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177C92F-B4AE-4B78-A3AA-F0DC3BC14F7B"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Avant-propos</w:t>
      </w:r>
    </w:p>
    <w:p>
      <w:pPr>
        <w:pStyle w:val="Text1"/>
        <w:rPr>
          <w:noProof/>
        </w:rPr>
      </w:pPr>
      <w:r>
        <w:rPr>
          <w:noProof/>
        </w:rPr>
        <w:t>Conformément à l’article 7, paragraphe 3, de l’accord interne relatif au 11</w:t>
      </w:r>
      <w:r>
        <w:rPr>
          <w:noProof/>
          <w:vertAlign w:val="superscript"/>
        </w:rPr>
        <w:t>e</w:t>
      </w:r>
      <w:r>
        <w:rPr>
          <w:noProof/>
        </w:rPr>
        <w:t> FED</w:t>
      </w:r>
      <w:r>
        <w:rPr>
          <w:rStyle w:val="FootnoteReference"/>
          <w:noProof/>
        </w:rPr>
        <w:footnoteReference w:id="1"/>
      </w:r>
      <w:r>
        <w:rPr>
          <w:noProof/>
        </w:rPr>
        <w:t xml:space="preserve"> et à l’article 19, paragraphe 4, du règlement (UE) 2018/1877 du Conseil</w:t>
      </w:r>
      <w:r>
        <w:rPr>
          <w:rStyle w:val="FootnoteReference"/>
          <w:noProof/>
        </w:rPr>
        <w:footnoteReference w:id="2"/>
      </w:r>
      <w:r>
        <w:rPr>
          <w:noProof/>
        </w:rPr>
        <w:t xml:space="preserve"> portant règlement financier applicable au 11</w:t>
      </w:r>
      <w:r>
        <w:rPr>
          <w:noProof/>
          <w:vertAlign w:val="superscript"/>
        </w:rPr>
        <w:t>e</w:t>
      </w:r>
      <w:r>
        <w:rPr>
          <w:noProof/>
        </w:rPr>
        <w:t xml:space="preserve"> Fonds européen de développement (ci-après le «règlement financier du 11</w:t>
      </w:r>
      <w:r>
        <w:rPr>
          <w:noProof/>
          <w:vertAlign w:val="superscript"/>
        </w:rPr>
        <w:t>e</w:t>
      </w:r>
      <w:r>
        <w:rPr>
          <w:noProof/>
        </w:rPr>
        <w:t xml:space="preserve"> FED»), la Commission expose dans le présent document les engagements, paiements et contributions effectués en 2018 et à effectuer lors des exercices 2019 et 2020, en tenant compte des prévisions de la Banque européenne d’investissement (BEI). </w:t>
      </w:r>
    </w:p>
    <w:p>
      <w:pPr>
        <w:pStyle w:val="Text1"/>
        <w:rPr>
          <w:noProof/>
        </w:rPr>
      </w:pPr>
      <w:r>
        <w:rPr>
          <w:noProof/>
        </w:rPr>
        <w:t>Le présent document expose l’exécution financière des FED (du 8</w:t>
      </w:r>
      <w:r>
        <w:rPr>
          <w:noProof/>
          <w:vertAlign w:val="superscript"/>
        </w:rPr>
        <w:t>e</w:t>
      </w:r>
      <w:r>
        <w:rPr>
          <w:noProof/>
        </w:rPr>
        <w:t xml:space="preserve"> au 11</w:t>
      </w:r>
      <w:r>
        <w:rPr>
          <w:noProof/>
          <w:vertAlign w:val="superscript"/>
        </w:rPr>
        <w:t>e</w:t>
      </w:r>
      <w:r>
        <w:rPr>
          <w:noProof/>
        </w:rPr>
        <w:t>) pour 2018 et les prévisions d’exécution pour 2019 et 2020.</w:t>
      </w:r>
    </w:p>
    <w:p>
      <w:pPr>
        <w:pStyle w:val="Text1"/>
        <w:rPr>
          <w:noProof/>
        </w:rPr>
      </w:pPr>
      <w:r>
        <w:rPr>
          <w:noProof/>
        </w:rPr>
        <w:t>Les contributions sont directement versées par les États membres à la Banque européenne d’investissement (BEI) pour les instruments des 9</w:t>
      </w:r>
      <w:r>
        <w:rPr>
          <w:noProof/>
          <w:vertAlign w:val="superscript"/>
        </w:rPr>
        <w:t>e</w:t>
      </w:r>
      <w:r>
        <w:rPr>
          <w:noProof/>
        </w:rPr>
        <w:t>, 10</w:t>
      </w:r>
      <w:r>
        <w:rPr>
          <w:noProof/>
          <w:vertAlign w:val="superscript"/>
        </w:rPr>
        <w:t>e</w:t>
      </w:r>
      <w:r>
        <w:rPr>
          <w:noProof/>
        </w:rPr>
        <w:t xml:space="preserve"> et 11</w:t>
      </w:r>
      <w:r>
        <w:rPr>
          <w:noProof/>
          <w:vertAlign w:val="superscript"/>
        </w:rPr>
        <w:t>e</w:t>
      </w:r>
      <w:r>
        <w:rPr>
          <w:noProof/>
        </w:rPr>
        <w:t xml:space="preserve"> FED dont elle assure la gestion (la facilité d’investissement et les bonifications d’intérêts). </w:t>
      </w:r>
    </w:p>
    <w:p>
      <w:pPr>
        <w:pStyle w:val="ManualHeading1"/>
        <w:rPr>
          <w:noProof/>
        </w:rPr>
      </w:pPr>
      <w:r>
        <w:t>2.</w:t>
      </w:r>
      <w:r>
        <w:tab/>
      </w:r>
      <w:r>
        <w:rPr>
          <w:noProof/>
        </w:rPr>
        <w:t>Introduction</w:t>
      </w:r>
    </w:p>
    <w:p>
      <w:pPr>
        <w:pStyle w:val="Text1"/>
        <w:rPr>
          <w:noProof/>
        </w:rPr>
      </w:pPr>
      <w:r>
        <w:rPr>
          <w:noProof/>
        </w:rPr>
        <w:t>La Commission et la BEI ont actualisé, pour chacun des pays d’Afrique, des Caraïbes et du Pacifique (ACP) et des pays et territoires d’outre-mer (PTOM), leurs prévisions d’engagements et de paiements pour les exercices 2019 et 2020. Les prévisions de paiements, en particulier, ont été élaborées dans l’objectif d’aider les États membres à réserver des montants aussi exacts que possible sur leurs budgets nationaux, tout en veillant à ce qu’un volume suffisant de ressources financières soit disponible pour le FED, afin d’éviter des problèmes de trésorerie.</w:t>
      </w:r>
    </w:p>
    <w:p>
      <w:pPr>
        <w:pStyle w:val="Text1"/>
        <w:rPr>
          <w:noProof/>
        </w:rPr>
      </w:pPr>
      <w:r>
        <w:rPr>
          <w:noProof/>
        </w:rPr>
        <w:t>Conformément à l’article 7, paragraphe 3, de l’accord interne relatif au 11</w:t>
      </w:r>
      <w:r>
        <w:rPr>
          <w:noProof/>
          <w:vertAlign w:val="superscript"/>
        </w:rPr>
        <w:t>e</w:t>
      </w:r>
      <w:r>
        <w:rPr>
          <w:noProof/>
        </w:rPr>
        <w:t> FED et à l’article 19, paragraphe 4, du règlement financier applicable au 11</w:t>
      </w:r>
      <w:r>
        <w:rPr>
          <w:noProof/>
          <w:vertAlign w:val="superscript"/>
        </w:rPr>
        <w:t>e</w:t>
      </w:r>
      <w:r>
        <w:rPr>
          <w:noProof/>
        </w:rPr>
        <w:t> FED, les estimations d’engagements et de paiements ont été actualisées sur la base des prévisions les plus récentes.</w:t>
      </w:r>
    </w:p>
    <w:p>
      <w:pPr>
        <w:pStyle w:val="Text1"/>
        <w:rPr>
          <w:noProof/>
        </w:rPr>
      </w:pPr>
      <w:r>
        <w:rPr>
          <w:noProof/>
        </w:rPr>
        <w:t>Le graphique qui suit décrit l’évolution générale des engagements et paiements bruts de 1999 à 2018 et fournit des projections pour la période 2019-2020 (montants cumulés Commission et BEI).</w:t>
      </w:r>
    </w:p>
    <w:p>
      <w:pPr>
        <w:pStyle w:val="Text1"/>
        <w:ind w:left="0"/>
        <w:rPr>
          <w:noProof/>
        </w:rPr>
      </w:pP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szCs w:val="24"/>
        </w:rPr>
        <w:t>Engagements et paiements bruts: évolution 1999-2020 (en millions d’EUR)</w:t>
      </w:r>
    </w:p>
    <w:p>
      <w:pPr>
        <w:pStyle w:val="Text1"/>
        <w:ind w:left="0"/>
        <w:jc w:val="center"/>
        <w:rPr>
          <w:noProof/>
        </w:rPr>
      </w:pPr>
      <w:r>
        <w:rPr>
          <w:noProof/>
          <w:lang w:val="en-GB"/>
        </w:rPr>
        <w:drawing>
          <wp:inline distT="0" distB="0" distL="0" distR="0">
            <wp:extent cx="5761355" cy="3213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355" cy="3213100"/>
                    </a:xfrm>
                    <a:prstGeom prst="rect">
                      <a:avLst/>
                    </a:prstGeom>
                  </pic:spPr>
                </pic:pic>
              </a:graphicData>
            </a:graphic>
          </wp:inline>
        </w:drawing>
      </w:r>
    </w:p>
    <w:p>
      <w:pPr>
        <w:pStyle w:val="Text1"/>
        <w:ind w:left="0"/>
        <w:rPr>
          <w:noProof/>
        </w:rPr>
      </w:pPr>
      <w:r>
        <w:rPr>
          <w:noProof/>
        </w:rPr>
        <w:t>* Prévisions pour 2019-2020</w:t>
      </w:r>
    </w:p>
    <w:p>
      <w:pPr>
        <w:pStyle w:val="Text1"/>
        <w:ind w:left="0"/>
        <w:rPr>
          <w:noProof/>
        </w:rPr>
      </w:pPr>
      <w:r>
        <w:rPr>
          <w:noProof/>
        </w:rPr>
        <w:t>Remarque: chiffres de l’exécution des Fonds européens de développement au 31 décembre 2018 (engagements et paiements) et prévisions pour 2019-2020.</w:t>
      </w:r>
    </w:p>
    <w:p>
      <w:pPr>
        <w:pStyle w:val="ManualHeading1"/>
        <w:rPr>
          <w:noProof/>
        </w:rPr>
      </w:pPr>
      <w:r>
        <w:t>3.</w:t>
      </w:r>
      <w:r>
        <w:tab/>
      </w:r>
      <w:r>
        <w:rPr>
          <w:noProof/>
        </w:rPr>
        <w:t>Chiffres réels pour 2018 et prévisions pour 2019 et 2020 (en millions d’EUR)</w:t>
      </w:r>
    </w:p>
    <w:p>
      <w:pPr>
        <w:pStyle w:val="Text1"/>
        <w:rPr>
          <w:noProof/>
        </w:rPr>
      </w:pPr>
      <w:r>
        <w:rPr>
          <w:noProof/>
        </w:rPr>
        <w:t>Le tableau qui suit fait le point sur les engagements, les paiements et les contributions, sur la base des prévisions le plus récentes de la Commission.</w:t>
      </w:r>
    </w:p>
    <w:tbl>
      <w:tblPr>
        <w:tblW w:w="5000" w:type="pct"/>
        <w:tblCellMar>
          <w:left w:w="70" w:type="dxa"/>
          <w:right w:w="70" w:type="dxa"/>
        </w:tblCellMar>
        <w:tblLook w:val="04A0" w:firstRow="1" w:lastRow="0" w:firstColumn="1" w:lastColumn="0" w:noHBand="0" w:noVBand="1"/>
      </w:tblPr>
      <w:tblGrid>
        <w:gridCol w:w="2862"/>
        <w:gridCol w:w="2558"/>
        <w:gridCol w:w="1306"/>
        <w:gridCol w:w="1306"/>
        <w:gridCol w:w="1181"/>
      </w:tblGrid>
      <w:tr>
        <w:trPr>
          <w:trHeight w:val="240"/>
        </w:trPr>
        <w:tc>
          <w:tcPr>
            <w:tcW w:w="294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Chiffres réels pour 2018</w:t>
            </w:r>
            <w:r>
              <w:rPr>
                <w:rFonts w:ascii="Times New Roman" w:hAnsi="Times New Roman"/>
                <w:b/>
                <w:bCs/>
                <w:noProof/>
                <w:sz w:val="24"/>
                <w:szCs w:val="24"/>
              </w:rPr>
              <w:br/>
              <w:t>Prévisions 2019-2020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642"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2018</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2019</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2020</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Engagements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4 959</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4 057</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3 372</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1 130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956</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917</w:t>
            </w:r>
          </w:p>
        </w:tc>
      </w:tr>
      <w:tr>
        <w:trPr>
          <w:trHeight w:val="33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6 089</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5 013</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4 289</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Paiements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4 124</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4 400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381</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590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590</w:t>
            </w:r>
          </w:p>
        </w:tc>
      </w:tr>
      <w:tr>
        <w:trPr>
          <w:trHeight w:val="33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4 505</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4 990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4 990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Contributions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4 250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4 400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250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r>
      <w:tr>
        <w:trPr>
          <w:trHeight w:val="33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4 500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4 700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4 700</w:t>
            </w:r>
          </w:p>
        </w:tc>
      </w:tr>
    </w:tbl>
    <w:p>
      <w:pPr>
        <w:pStyle w:val="Text1"/>
        <w:ind w:left="0"/>
        <w:jc w:val="left"/>
        <w:rPr>
          <w:noProof/>
          <w:sz w:val="20"/>
          <w:szCs w:val="20"/>
        </w:rPr>
      </w:pPr>
      <w:r>
        <w:rPr>
          <w:noProof/>
          <w:sz w:val="20"/>
          <w:szCs w:val="20"/>
        </w:rPr>
        <w:t>* Il s’agit de montants bruts, c’est-à-dire sans déduction des dégagements ni des recouvrements/remboursements. Cette approche correspond à celle utilisée pour le budget général de l’Union.</w:t>
      </w:r>
    </w:p>
    <w:p>
      <w:pPr>
        <w:pStyle w:val="ManualHeading1"/>
        <w:rPr>
          <w:noProof/>
        </w:rPr>
      </w:pPr>
      <w:r>
        <w:rPr>
          <w:noProof/>
        </w:rPr>
        <w:br w:type="page"/>
      </w:r>
      <w:r>
        <w:t>4.</w:t>
      </w:r>
      <w:r>
        <w:tab/>
      </w:r>
      <w:r>
        <w:rPr>
          <w:noProof/>
        </w:rPr>
        <w:t>Estimations non contraignantes des contributions pour 2021-2022 (en millions d’EUR)</w:t>
      </w:r>
    </w:p>
    <w:tbl>
      <w:tblPr>
        <w:tblW w:w="5000" w:type="pct"/>
        <w:tblCellMar>
          <w:left w:w="70" w:type="dxa"/>
          <w:right w:w="70" w:type="dxa"/>
        </w:tblCellMar>
        <w:tblLook w:val="04A0" w:firstRow="1" w:lastRow="0" w:firstColumn="1" w:lastColumn="0" w:noHBand="0" w:noVBand="1"/>
      </w:tblPr>
      <w:tblGrid>
        <w:gridCol w:w="2516"/>
        <w:gridCol w:w="2515"/>
        <w:gridCol w:w="2091"/>
        <w:gridCol w:w="2091"/>
      </w:tblGrid>
      <w:tr>
        <w:trPr>
          <w:trHeight w:val="315"/>
        </w:trPr>
        <w:tc>
          <w:tcPr>
            <w:tcW w:w="1365"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1365"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1135" w:type="pct"/>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1135"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r>
      <w:tr>
        <w:trPr>
          <w:trHeight w:val="315"/>
        </w:trPr>
        <w:tc>
          <w:tcPr>
            <w:tcW w:w="2730"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Prévisions 2021-2022 (*)</w:t>
            </w:r>
          </w:p>
        </w:tc>
        <w:tc>
          <w:tcPr>
            <w:tcW w:w="113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2021</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2022</w:t>
            </w:r>
          </w:p>
        </w:tc>
      </w:tr>
      <w:tr>
        <w:trPr>
          <w:trHeight w:val="330"/>
        </w:trPr>
        <w:tc>
          <w:tcPr>
            <w:tcW w:w="1365"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Contributions</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3 700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2 700</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400</w:t>
            </w:r>
          </w:p>
        </w:tc>
      </w:tr>
      <w:tr>
        <w:trPr>
          <w:trHeight w:val="330"/>
        </w:trPr>
        <w:tc>
          <w:tcPr>
            <w:tcW w:w="1365"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Total</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4 000</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3 100</w:t>
            </w:r>
          </w:p>
        </w:tc>
      </w:tr>
    </w:tbl>
    <w:p>
      <w:pPr>
        <w:pStyle w:val="Text1"/>
        <w:ind w:left="0"/>
        <w:rPr>
          <w:noProof/>
          <w:sz w:val="20"/>
          <w:szCs w:val="20"/>
        </w:rPr>
      </w:pPr>
      <w:r>
        <w:rPr>
          <w:noProof/>
          <w:sz w:val="20"/>
          <w:szCs w:val="20"/>
        </w:rPr>
        <w:t>* Article 19, paragraphe 2, du règlement financier du 11</w:t>
      </w:r>
      <w:r>
        <w:rPr>
          <w:noProof/>
          <w:sz w:val="20"/>
          <w:szCs w:val="20"/>
          <w:vertAlign w:val="superscript"/>
        </w:rPr>
        <w:t>e</w:t>
      </w:r>
      <w:r>
        <w:rPr>
          <w:noProof/>
          <w:sz w:val="20"/>
          <w:szCs w:val="20"/>
        </w:rPr>
        <w:t xml:space="preserve"> FED [règlement (UE) 2018/1877]: prévisions indicatives et non contraignantes, fondées sur une approche statistique, concernant le montant annuel des contributions escompté pour les exercices n + 3 et n + 4.</w:t>
      </w:r>
    </w:p>
    <w:p>
      <w:pPr>
        <w:pStyle w:val="ManualHeading1"/>
        <w:rPr>
          <w:noProof/>
        </w:rPr>
      </w:pPr>
      <w:r>
        <w:t>5.</w:t>
      </w:r>
      <w:r>
        <w:tab/>
      </w:r>
      <w:r>
        <w:rPr>
          <w:noProof/>
        </w:rPr>
        <w:t>Exécution financière pour 2018 et prévisions pour les exercices 2019 et 2020</w:t>
      </w:r>
    </w:p>
    <w:p>
      <w:pPr>
        <w:pStyle w:val="Text1"/>
        <w:rPr>
          <w:noProof/>
        </w:rPr>
      </w:pPr>
      <w:r>
        <w:rPr>
          <w:noProof/>
        </w:rPr>
        <w:t>Les prévisions actualisées sont présentées aux annexes 1 à 3.</w:t>
      </w:r>
    </w:p>
    <w:p>
      <w:pPr>
        <w:pStyle w:val="Text1"/>
        <w:rPr>
          <w:noProof/>
        </w:rPr>
      </w:pPr>
      <w:r>
        <w:rPr>
          <w:noProof/>
        </w:rPr>
        <w:t>Les objectifs fixés pour 2018 en ce qui concerne les engagements et les paiements ont été pratiquement atteints par la Commission:</w:t>
      </w:r>
    </w:p>
    <w:p>
      <w:pPr>
        <w:pStyle w:val="Text1"/>
        <w:rPr>
          <w:noProof/>
        </w:rPr>
      </w:pPr>
      <w:r>
        <w:rPr>
          <w:noProof/>
        </w:rPr>
        <w:t>•</w:t>
      </w:r>
      <w:r>
        <w:rPr>
          <w:noProof/>
        </w:rPr>
        <w:tab/>
        <w:t xml:space="preserve">les engagements </w:t>
      </w:r>
      <w:r>
        <w:rPr>
          <w:noProof/>
          <w:color w:val="000000"/>
        </w:rPr>
        <w:t>du FED se sont élevés à 4 959 000 000 EUR, excédant l’objectif de 4 537 000 000 EUR (</w:t>
      </w:r>
      <w:r>
        <w:rPr>
          <w:bCs/>
          <w:noProof/>
          <w:color w:val="000000"/>
        </w:rPr>
        <w:t>109,3 %</w:t>
      </w:r>
      <w:r>
        <w:rPr>
          <w:noProof/>
          <w:color w:val="000000"/>
        </w:rPr>
        <w:t xml:space="preserve"> de l’objectif annuel)</w:t>
      </w:r>
      <w:r>
        <w:rPr>
          <w:noProof/>
        </w:rPr>
        <w:t>.</w:t>
      </w:r>
    </w:p>
    <w:p>
      <w:pPr>
        <w:pStyle w:val="Text1"/>
        <w:rPr>
          <w:noProof/>
        </w:rPr>
      </w:pPr>
      <w:r>
        <w:rPr>
          <w:noProof/>
        </w:rPr>
        <w:t>Après plusieurs années d’engagements très élevés, il y aura un atterrissage en douceur des nouveaux engagements au cours des deux dernières années du 11</w:t>
      </w:r>
      <w:r>
        <w:rPr>
          <w:noProof/>
          <w:vertAlign w:val="superscript"/>
        </w:rPr>
        <w:t>e</w:t>
      </w:r>
      <w:r>
        <w:rPr>
          <w:noProof/>
        </w:rPr>
        <w:t xml:space="preserve"> FED;</w:t>
      </w:r>
    </w:p>
    <w:p>
      <w:pPr>
        <w:pStyle w:val="Text1"/>
        <w:rPr>
          <w:noProof/>
        </w:rPr>
      </w:pPr>
      <w:r>
        <w:rPr>
          <w:noProof/>
        </w:rPr>
        <w:t>•</w:t>
      </w:r>
      <w:r>
        <w:rPr>
          <w:noProof/>
        </w:rPr>
        <w:tab/>
        <w:t>les paiements effectués au titre du FED ont atteint un montant de 4 124 000 000 EUR au 31.12.2018, ce qui représente un taux d’exécution de 98,2 % de l’objectif annuel (4 200 000 000 EUR). Ce niveau de paiements est largement comparable au niveau record des paiements de l’année dernière.</w:t>
      </w:r>
    </w:p>
    <w:p>
      <w:pPr>
        <w:pStyle w:val="Text1"/>
        <w:rPr>
          <w:noProof/>
        </w:rPr>
      </w:pPr>
      <w:r>
        <w:rPr>
          <w:noProof/>
        </w:rPr>
        <w:t xml:space="preserve">En 2019 et 2020, le niveau des paiements du FED devrait atteindre un nouveau record de 4 400 000 000 EUR. </w:t>
      </w:r>
    </w:p>
    <w:p>
      <w:pPr>
        <w:pStyle w:val="Text1"/>
        <w:rPr>
          <w:noProof/>
        </w:rPr>
      </w:pPr>
    </w:p>
    <w:p>
      <w:pPr>
        <w:pStyle w:val="Text1"/>
        <w:ind w:left="0"/>
        <w:rPr>
          <w:noProof/>
        </w:rPr>
      </w:pPr>
      <w:r>
        <w:rPr>
          <w:noProof/>
        </w:rPr>
        <w:t>Les annexes 1, 2 et 3 indiquent respectivement les chiffres réels pour 2018 et les prévisions d’engagements, les prévisions de paiements et la situation financière par rapport aux prévisions précédentes pour les exercices 2019-2020.</w:t>
      </w:r>
    </w:p>
    <w:p>
      <w:pPr>
        <w:pStyle w:val="Text1"/>
        <w:ind w:left="0"/>
        <w:rPr>
          <w:noProof/>
        </w:rPr>
      </w:pPr>
      <w:r>
        <w:rPr>
          <w:noProof/>
        </w:rPr>
        <w:t>Les annexes 4 et 5 montrent respectivement les contributions pour 2019 et 2020, par tranche et par État membre.</w:t>
      </w:r>
    </w:p>
    <w:p>
      <w:pPr>
        <w:pStyle w:val="Text1"/>
        <w:ind w:left="0"/>
        <w:rPr>
          <w:noProof/>
        </w:rPr>
      </w:pPr>
      <w:r>
        <w:rPr>
          <w:noProof/>
        </w:rPr>
        <w:t>L’annexe 6 montre les contributions annuelles pour les exercices 2019 à 2022, par État membre.</w:t>
      </w:r>
    </w:p>
    <w:p>
      <w:pPr>
        <w:pStyle w:val="Text1"/>
        <w:ind w:left="0"/>
        <w:rPr>
          <w:noProof/>
        </w:rPr>
      </w:pPr>
      <w:r>
        <w:rPr>
          <w:noProof/>
        </w:rPr>
        <w:t>L’annexe 7 présente l’état des réserves de fonds dégagés de FED antérieurs.</w:t>
      </w:r>
    </w:p>
    <w:p>
      <w:pPr>
        <w:pStyle w:val="Text1"/>
        <w:ind w:left="0"/>
        <w:rPr>
          <w:noProof/>
        </w:rPr>
      </w:pPr>
      <w:r>
        <w:rPr>
          <w:noProof/>
        </w:rPr>
        <w:t>L’annexe 8 présente la réduction potentielle des contributions des États membres en tenant compte du montant dans la réserve de fonds dégagés de FED antérieurs.</w:t>
      </w:r>
    </w:p>
    <w:p>
      <w:pPr>
        <w:rPr>
          <w:b/>
          <w:bCs/>
          <w:noProof/>
          <w:szCs w:val="26"/>
        </w:rPr>
      </w:pPr>
      <w:r>
        <w:rPr>
          <w:noProof/>
        </w:rPr>
        <w:br w:type="page"/>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299"/>
        </w:sectPr>
      </w:pPr>
    </w:p>
    <w:p>
      <w:pPr>
        <w:pStyle w:val="ManualHeading2"/>
        <w:rPr>
          <w:noProof/>
        </w:rPr>
      </w:pPr>
      <w:r>
        <w:t>5.1.</w:t>
      </w:r>
      <w:r>
        <w:tab/>
      </w:r>
      <w:r>
        <w:rPr>
          <w:noProof/>
        </w:rPr>
        <w:t>Annexe 1: engagements réels</w:t>
      </w:r>
      <w:r>
        <w:rPr>
          <w:rStyle w:val="FootnoteReference"/>
          <w:noProof/>
        </w:rPr>
        <w:footnoteReference w:id="3"/>
      </w:r>
      <w:r>
        <w:rPr>
          <w:noProof/>
        </w:rPr>
        <w:t xml:space="preserve"> pour 2018 et prévisions pour 2019 et 2020 (en millions d’EUR)</w:t>
      </w:r>
    </w:p>
    <w:tbl>
      <w:tblPr>
        <w:tblW w:w="5000" w:type="pct"/>
        <w:tblCellMar>
          <w:left w:w="70" w:type="dxa"/>
          <w:right w:w="70" w:type="dxa"/>
        </w:tblCellMar>
        <w:tblLook w:val="04A0" w:firstRow="1" w:lastRow="0" w:firstColumn="1" w:lastColumn="0" w:noHBand="0" w:noVBand="1"/>
      </w:tblPr>
      <w:tblGrid>
        <w:gridCol w:w="4556"/>
        <w:gridCol w:w="1565"/>
        <w:gridCol w:w="1565"/>
        <w:gridCol w:w="1566"/>
        <w:gridCol w:w="1566"/>
        <w:gridCol w:w="1566"/>
        <w:gridCol w:w="1758"/>
      </w:tblGrid>
      <w:tr>
        <w:trPr>
          <w:trHeight w:val="255"/>
        </w:trPr>
        <w:tc>
          <w:tcPr>
            <w:tcW w:w="132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12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w:t>
            </w:r>
          </w:p>
        </w:tc>
        <w:tc>
          <w:tcPr>
            <w:tcW w:w="1272"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r>
      <w:tr>
        <w:trPr>
          <w:trHeight w:val="510"/>
        </w:trPr>
        <w:tc>
          <w:tcPr>
            <w:tcW w:w="1320"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2018</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2018</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2018</w:t>
            </w:r>
          </w:p>
        </w:tc>
        <w:tc>
          <w:tcPr>
            <w:tcW w:w="67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r>
      <w:tr>
        <w:trPr>
          <w:trHeight w:val="255"/>
        </w:trPr>
        <w:tc>
          <w:tcPr>
            <w:tcW w:w="1320"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Régions</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orientale et australe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1 070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1 578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986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1 609</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de l’Ouest et centrale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1 355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878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1 071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916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Amérique latine et Caraïbes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208</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345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235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Pacifique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231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249</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2 864</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3 050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2 512</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2 891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Autres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Facilité de soutien à la paix, droits de l’homme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359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540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340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UE-Afrique, facilité de soutien à la paix pour l’Afrique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201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162</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621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Planète et prospérité</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236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296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287</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Fonds fiduciaire de l’UE pour l’Afrique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650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655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Ressources, évaluation, procédures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256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199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176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GB"/>
              </w:rPr>
            </w:pPr>
            <w:r>
              <w:rPr>
                <w:rFonts w:ascii="Times New Roman" w:hAnsi="Times New Roman"/>
                <w:noProof/>
                <w:sz w:val="20"/>
                <w:szCs w:val="20"/>
                <w:lang w:val="en-GB"/>
              </w:rPr>
              <w:t>DG ECHO, EACEA, DG EAC</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lang w:val="en-GB"/>
              </w:rPr>
              <w:t xml:space="preserve">   </w:t>
            </w:r>
            <w:r>
              <w:rPr>
                <w:rFonts w:ascii="Times New Roman" w:hAnsi="Times New Roman"/>
                <w:noProof/>
                <w:sz w:val="20"/>
                <w:szCs w:val="20"/>
              </w:rPr>
              <w:t>16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1 673</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1 908</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1 544</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1 166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4 537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4 959</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4 057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4 057</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3 823</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3 372</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Facilité d’investissement</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1 070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850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850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850</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Bonifications d’intérêt (**)</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60</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117</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BEI*</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880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1 130</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930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956</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930</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917</w:t>
            </w:r>
          </w:p>
        </w:tc>
      </w:tr>
      <w:tr>
        <w:trPr>
          <w:trHeight w:val="255"/>
        </w:trPr>
        <w:tc>
          <w:tcPr>
            <w:tcW w:w="1320" w:type="pct"/>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 + BEI*</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5 417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6 089</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4 987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5 013</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4 753</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4 289</w:t>
            </w:r>
          </w:p>
        </w:tc>
      </w:tr>
    </w:tbl>
    <w:p>
      <w:pPr>
        <w:spacing w:after="0"/>
        <w:rPr>
          <w:rFonts w:ascii="Times New Roman" w:hAnsi="Times New Roman" w:cs="Times New Roman"/>
          <w:noProof/>
          <w:sz w:val="20"/>
          <w:szCs w:val="20"/>
        </w:rPr>
      </w:pPr>
      <w:r>
        <w:rPr>
          <w:rFonts w:ascii="Times New Roman" w:hAnsi="Times New Roman"/>
          <w:noProof/>
          <w:sz w:val="20"/>
          <w:szCs w:val="20"/>
        </w:rPr>
        <w:t xml:space="preserve"> * En raison de l’arrondissement, la somme des montants individuels arrondis indiqués peut différer légèrement du total correspondant.</w:t>
      </w:r>
    </w:p>
    <w:p>
      <w:pPr>
        <w:spacing w:after="0"/>
        <w:rPr>
          <w:rFonts w:ascii="Times New Roman" w:hAnsi="Times New Roman" w:cs="Times New Roman"/>
          <w:noProof/>
          <w:sz w:val="20"/>
          <w:szCs w:val="20"/>
        </w:rPr>
      </w:pPr>
      <w:r>
        <w:rPr>
          <w:rFonts w:ascii="Times New Roman" w:hAnsi="Times New Roman"/>
          <w:noProof/>
          <w:sz w:val="20"/>
          <w:szCs w:val="20"/>
        </w:rPr>
        <w:t>** Y compris les bonifications d’intérêt au titre des FED précédents.</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Annexe 2: paiements réels</w:t>
      </w:r>
      <w:r>
        <w:rPr>
          <w:rStyle w:val="FootnoteReference"/>
          <w:noProof/>
        </w:rPr>
        <w:footnoteReference w:id="4"/>
      </w:r>
      <w:r>
        <w:rPr>
          <w:noProof/>
        </w:rPr>
        <w:t xml:space="preserve"> pour 2018 et prévisions pour 2019 et 2020 (en millions d’EUR)</w:t>
      </w:r>
    </w:p>
    <w:tbl>
      <w:tblPr>
        <w:tblW w:w="5000" w:type="pct"/>
        <w:tblCellMar>
          <w:left w:w="70" w:type="dxa"/>
          <w:right w:w="70" w:type="dxa"/>
        </w:tblCellMar>
        <w:tblLook w:val="04A0" w:firstRow="1" w:lastRow="0" w:firstColumn="1" w:lastColumn="0" w:noHBand="0" w:noVBand="1"/>
      </w:tblPr>
      <w:tblGrid>
        <w:gridCol w:w="4556"/>
        <w:gridCol w:w="1761"/>
        <w:gridCol w:w="1761"/>
        <w:gridCol w:w="1761"/>
        <w:gridCol w:w="1761"/>
        <w:gridCol w:w="1761"/>
        <w:gridCol w:w="1689"/>
      </w:tblGrid>
      <w:tr>
        <w:trPr>
          <w:trHeight w:val="255"/>
        </w:trPr>
        <w:tc>
          <w:tcPr>
            <w:tcW w:w="134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12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c>
          <w:tcPr>
            <w:tcW w:w="122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r>
      <w:tr>
        <w:trPr>
          <w:trHeight w:val="510"/>
        </w:trPr>
        <w:tc>
          <w:tcPr>
            <w:tcW w:w="1340"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4"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2018</w:t>
            </w:r>
          </w:p>
        </w:tc>
        <w:tc>
          <w:tcPr>
            <w:tcW w:w="61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1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2018</w:t>
            </w:r>
          </w:p>
        </w:tc>
        <w:tc>
          <w:tcPr>
            <w:tcW w:w="61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1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2018</w:t>
            </w:r>
          </w:p>
        </w:tc>
        <w:tc>
          <w:tcPr>
            <w:tcW w:w="59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r>
      <w:tr>
        <w:trPr>
          <w:trHeight w:val="255"/>
        </w:trPr>
        <w:tc>
          <w:tcPr>
            <w:tcW w:w="1340"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Régions</w:t>
            </w:r>
          </w:p>
        </w:tc>
        <w:tc>
          <w:tcPr>
            <w:tcW w:w="614"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orientale et australe</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827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813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936</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936</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de l’Ouest et centrale</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1 770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1 738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1 893</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1 893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Amérique latine et Caraïbes</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154</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223</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Pacifique</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95</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96</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96</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2 851</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2 801</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3 148</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3 148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 xml:space="preserve">Autres </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Facilité de soutien à la paix, droits de l’homme</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223</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240</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UE-Afrique, facilité de soutien à la paix pour l’Afrique</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371</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364</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400</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Planète et prospérité</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405</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398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375</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375</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Ressources, évaluation, procédures</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158</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155</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159</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159</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GB"/>
              </w:rPr>
            </w:pPr>
            <w:r>
              <w:rPr>
                <w:rFonts w:ascii="Times New Roman" w:hAnsi="Times New Roman"/>
                <w:noProof/>
                <w:sz w:val="20"/>
                <w:szCs w:val="20"/>
                <w:lang w:val="en-GB"/>
              </w:rPr>
              <w:t>DG ECHO, EACEA, DG EAC</w:t>
            </w:r>
          </w:p>
        </w:tc>
        <w:tc>
          <w:tcPr>
            <w:tcW w:w="614"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lang w:val="en-GB"/>
              </w:rPr>
              <w:t xml:space="preserve">   </w:t>
            </w:r>
            <w:r>
              <w:rPr>
                <w:rFonts w:ascii="Times New Roman" w:hAnsi="Times New Roman"/>
                <w:noProof/>
                <w:sz w:val="20"/>
                <w:szCs w:val="20"/>
              </w:rPr>
              <w:t>187</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184</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78</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78</w:t>
            </w:r>
          </w:p>
        </w:tc>
        <w:tc>
          <w:tcPr>
            <w:tcW w:w="61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4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14"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1 348</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1 324</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1 252</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1 252</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4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w:t>
            </w: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4 200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4 124</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4 400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4 400</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4 600</w:t>
            </w:r>
          </w:p>
        </w:tc>
        <w:tc>
          <w:tcPr>
            <w:tcW w:w="59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4 400</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Facilité d’investissement</w:t>
            </w:r>
          </w:p>
        </w:tc>
        <w:tc>
          <w:tcPr>
            <w:tcW w:w="614"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525</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355</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1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1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575</w:t>
            </w:r>
          </w:p>
        </w:tc>
        <w:tc>
          <w:tcPr>
            <w:tcW w:w="59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r>
      <w:tr>
        <w:trPr>
          <w:trHeight w:val="255"/>
        </w:trPr>
        <w:tc>
          <w:tcPr>
            <w:tcW w:w="134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Bonifications d’intérêt (**)</w:t>
            </w:r>
          </w:p>
        </w:tc>
        <w:tc>
          <w:tcPr>
            <w:tcW w:w="614"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30</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26</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30</w:t>
            </w:r>
          </w:p>
        </w:tc>
        <w:tc>
          <w:tcPr>
            <w:tcW w:w="61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61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30</w:t>
            </w:r>
          </w:p>
        </w:tc>
        <w:tc>
          <w:tcPr>
            <w:tcW w:w="59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r>
      <w:tr>
        <w:trPr>
          <w:trHeight w:val="255"/>
        </w:trPr>
        <w:tc>
          <w:tcPr>
            <w:tcW w:w="134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BEI*</w:t>
            </w: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555</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381</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580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590</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605</w:t>
            </w:r>
          </w:p>
        </w:tc>
        <w:tc>
          <w:tcPr>
            <w:tcW w:w="59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590</w:t>
            </w:r>
          </w:p>
        </w:tc>
      </w:tr>
      <w:tr>
        <w:trPr>
          <w:trHeight w:val="255"/>
        </w:trPr>
        <w:tc>
          <w:tcPr>
            <w:tcW w:w="1340"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 + BEI*</w:t>
            </w: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4 755</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4 505</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4 980</w:t>
            </w:r>
          </w:p>
        </w:tc>
        <w:tc>
          <w:tcPr>
            <w:tcW w:w="61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4 990</w:t>
            </w:r>
          </w:p>
        </w:tc>
        <w:tc>
          <w:tcPr>
            <w:tcW w:w="61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5 205</w:t>
            </w:r>
          </w:p>
        </w:tc>
        <w:tc>
          <w:tcPr>
            <w:tcW w:w="59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4 990</w:t>
            </w:r>
          </w:p>
        </w:tc>
      </w:tr>
    </w:tbl>
    <w:p>
      <w:pPr>
        <w:spacing w:after="0"/>
        <w:rPr>
          <w:rFonts w:ascii="Times New Roman" w:hAnsi="Times New Roman" w:cs="Times New Roman"/>
          <w:noProof/>
          <w:sz w:val="20"/>
          <w:szCs w:val="20"/>
        </w:rPr>
      </w:pPr>
      <w:r>
        <w:rPr>
          <w:rFonts w:ascii="Times New Roman" w:hAnsi="Times New Roman"/>
          <w:noProof/>
          <w:sz w:val="20"/>
          <w:szCs w:val="20"/>
        </w:rPr>
        <w:t xml:space="preserve"> * En raison de l’arrondissement, la somme des montants individuels arrondis indiqués peut différer légèrement du total correspondant.</w:t>
      </w:r>
    </w:p>
    <w:p>
      <w:pPr>
        <w:spacing w:after="0"/>
        <w:rPr>
          <w:rFonts w:ascii="Times New Roman" w:hAnsi="Times New Roman" w:cs="Times New Roman"/>
          <w:noProof/>
          <w:sz w:val="20"/>
          <w:szCs w:val="20"/>
        </w:rPr>
      </w:pPr>
      <w:r>
        <w:rPr>
          <w:rFonts w:ascii="Times New Roman" w:hAnsi="Times New Roman"/>
          <w:noProof/>
          <w:sz w:val="20"/>
          <w:szCs w:val="20"/>
        </w:rPr>
        <w:t>** Y compris les bonifications d’intérêt au titre des FED précédents.</w:t>
      </w:r>
    </w:p>
    <w:p>
      <w:pPr>
        <w:spacing w:after="0"/>
        <w:rPr>
          <w:rFonts w:ascii="Times New Roman" w:hAnsi="Times New Roman" w:cs="Times New Roman"/>
          <w:noProof/>
          <w:sz w:val="20"/>
          <w:szCs w:val="20"/>
        </w:rPr>
      </w:pP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Annexe 3: situation financière pour 2018, prévisions pour 2019-2020 et estimations non contraignantes pour 2021-2022 (en millions d’EUR):</w:t>
      </w:r>
    </w:p>
    <w:tbl>
      <w:tblPr>
        <w:tblW w:w="5000" w:type="pct"/>
        <w:tblCellMar>
          <w:left w:w="70" w:type="dxa"/>
          <w:right w:w="70" w:type="dxa"/>
        </w:tblCellMar>
        <w:tblLook w:val="04A0" w:firstRow="1" w:lastRow="0" w:firstColumn="1" w:lastColumn="0" w:noHBand="0" w:noVBand="1"/>
      </w:tblPr>
      <w:tblGrid>
        <w:gridCol w:w="829"/>
        <w:gridCol w:w="4706"/>
        <w:gridCol w:w="1864"/>
        <w:gridCol w:w="1318"/>
        <w:gridCol w:w="1421"/>
        <w:gridCol w:w="1863"/>
        <w:gridCol w:w="1318"/>
        <w:gridCol w:w="1421"/>
      </w:tblGrid>
      <w:tr>
        <w:trPr>
          <w:trHeight w:val="390"/>
        </w:trPr>
        <w:tc>
          <w:tcPr>
            <w:tcW w:w="281"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fr-BE"/>
              </w:rPr>
            </w:pPr>
          </w:p>
        </w:tc>
        <w:tc>
          <w:tcPr>
            <w:tcW w:w="156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Communication d’octobre 2018 </w:t>
            </w:r>
            <w:r>
              <w:rPr>
                <w:rFonts w:ascii="Arial" w:hAnsi="Arial"/>
                <w:b/>
                <w:bCs/>
                <w:noProof/>
                <w:sz w:val="18"/>
                <w:szCs w:val="18"/>
                <w:vertAlign w:val="superscript"/>
              </w:rPr>
              <w:t>1</w:t>
            </w:r>
          </w:p>
        </w:tc>
        <w:tc>
          <w:tcPr>
            <w:tcW w:w="1561"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Communication de juin 2019 </w:t>
            </w:r>
            <w:r>
              <w:rPr>
                <w:rFonts w:ascii="Arial" w:hAnsi="Arial"/>
                <w:b/>
                <w:bCs/>
                <w:noProof/>
                <w:sz w:val="18"/>
                <w:szCs w:val="18"/>
                <w:vertAlign w:val="superscript"/>
              </w:rPr>
              <w:t>1</w:t>
            </w:r>
          </w:p>
        </w:tc>
      </w:tr>
      <w:tr>
        <w:trPr>
          <w:trHeight w:val="199"/>
        </w:trPr>
        <w:tc>
          <w:tcPr>
            <w:tcW w:w="281" w:type="pct"/>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val="fr-BE" w:eastAsia="fr-BE"/>
              </w:rPr>
            </w:pPr>
          </w:p>
        </w:tc>
        <w:tc>
          <w:tcPr>
            <w:tcW w:w="63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BEI</w:t>
            </w:r>
            <w:r>
              <w:rPr>
                <w:rFonts w:ascii="Arial" w:hAnsi="Arial"/>
                <w:b/>
                <w:bCs/>
                <w:noProof/>
                <w:sz w:val="18"/>
                <w:szCs w:val="18"/>
                <w:vertAlign w:val="superscript"/>
              </w:rPr>
              <w:t xml:space="preserve"> 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TOTAL</w:t>
            </w:r>
          </w:p>
        </w:tc>
        <w:tc>
          <w:tcPr>
            <w:tcW w:w="63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BEI</w:t>
            </w:r>
            <w:r>
              <w:rPr>
                <w:rFonts w:ascii="Arial" w:hAnsi="Arial"/>
                <w:b/>
                <w:bCs/>
                <w:noProof/>
                <w:sz w:val="18"/>
                <w:szCs w:val="18"/>
                <w:vertAlign w:val="superscript"/>
              </w:rPr>
              <w:t xml:space="preserve"> 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TOTAL</w:t>
            </w:r>
          </w:p>
        </w:tc>
      </w:tr>
      <w:tr>
        <w:trPr>
          <w:trHeight w:val="199"/>
        </w:trPr>
        <w:tc>
          <w:tcPr>
            <w:tcW w:w="28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1596"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31.12.2017</w:t>
            </w:r>
            <w:r>
              <w:rPr>
                <w:rFonts w:ascii="Arial" w:hAnsi="Arial"/>
                <w:b/>
                <w:bCs/>
                <w:noProof/>
                <w:sz w:val="18"/>
                <w:szCs w:val="18"/>
                <w:vertAlign w:val="superscript"/>
              </w:rPr>
              <w:t xml:space="preserve"> 4</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284</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336</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348</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400</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2018</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2018:</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4 500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4 500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w:t>
            </w:r>
            <w:r>
              <w:rPr>
                <w:rFonts w:ascii="Arial" w:hAnsi="Arial"/>
                <w:i/>
                <w:iCs/>
                <w:noProof/>
                <w:sz w:val="18"/>
                <w:szCs w:val="18"/>
                <w:vertAlign w:val="superscript"/>
              </w:rPr>
              <w:t>re</w:t>
            </w:r>
            <w:r>
              <w:rPr>
                <w:rFonts w:ascii="Arial" w:hAnsi="Arial"/>
                <w:i/>
                <w:iCs/>
                <w:noProof/>
                <w:sz w:val="18"/>
                <w:szCs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2 200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2 200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w:t>
            </w:r>
            <w:r>
              <w:rPr>
                <w:rFonts w:ascii="Arial" w:hAnsi="Arial"/>
                <w:i/>
                <w:iCs/>
                <w:noProof/>
                <w:sz w:val="18"/>
                <w:szCs w:val="18"/>
                <w:vertAlign w:val="superscript"/>
              </w:rPr>
              <w:t>e</w:t>
            </w:r>
            <w:r>
              <w:rPr>
                <w:rFonts w:ascii="Arial" w:hAnsi="Arial"/>
                <w:i/>
                <w:iCs/>
                <w:noProof/>
                <w:sz w:val="18"/>
                <w:szCs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1 400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1 400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w:t>
            </w:r>
            <w:r>
              <w:rPr>
                <w:rFonts w:ascii="Arial" w:hAnsi="Arial"/>
                <w:i/>
                <w:iCs/>
                <w:noProof/>
                <w:sz w:val="18"/>
                <w:szCs w:val="18"/>
                <w:vertAlign w:val="superscript"/>
              </w:rPr>
              <w:t>e</w:t>
            </w:r>
            <w:r>
              <w:rPr>
                <w:rFonts w:ascii="Arial" w:hAnsi="Arial"/>
                <w:i/>
                <w:iCs/>
                <w:noProof/>
                <w:sz w:val="18"/>
                <w:szCs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307</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307</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Contrib. &amp; ajust. 2018 reçus en 2017</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173</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173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177</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177</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Contrib. &amp; ajust. 2019 reçus en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autres revenus, actifs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68</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Total des paiements</w:t>
            </w:r>
            <w:r>
              <w:rPr>
                <w:rFonts w:ascii="Arial" w:hAnsi="Arial"/>
                <w:noProof/>
                <w:sz w:val="18"/>
                <w:szCs w:val="18"/>
                <w:vertAlign w:val="superscript"/>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4 200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555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4 755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4 124</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381</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4 505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31.12.2018</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229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306</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387</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228</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615</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2019</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2019:</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w:t>
            </w:r>
            <w:r>
              <w:rPr>
                <w:rFonts w:ascii="Arial" w:hAnsi="Arial"/>
                <w:i/>
                <w:iCs/>
                <w:noProof/>
                <w:sz w:val="18"/>
                <w:szCs w:val="18"/>
                <w:vertAlign w:val="superscript"/>
              </w:rPr>
              <w:t>re</w:t>
            </w:r>
            <w:r>
              <w:rPr>
                <w:rFonts w:ascii="Arial" w:hAnsi="Arial"/>
                <w:i/>
                <w:iCs/>
                <w:noProof/>
                <w:sz w:val="18"/>
                <w:szCs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2 000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2 100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2 000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2 100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w:t>
            </w:r>
            <w:r>
              <w:rPr>
                <w:rFonts w:ascii="Arial" w:hAnsi="Arial"/>
                <w:i/>
                <w:iCs/>
                <w:noProof/>
                <w:sz w:val="18"/>
                <w:szCs w:val="18"/>
                <w:vertAlign w:val="superscript"/>
              </w:rPr>
              <w:t>e</w:t>
            </w:r>
            <w:r>
              <w:rPr>
                <w:rFonts w:ascii="Arial" w:hAnsi="Arial"/>
                <w:i/>
                <w:iCs/>
                <w:noProof/>
                <w:sz w:val="18"/>
                <w:szCs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1 500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1 500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w:t>
            </w:r>
            <w:r>
              <w:rPr>
                <w:rFonts w:ascii="Arial" w:hAnsi="Arial"/>
                <w:i/>
                <w:iCs/>
                <w:noProof/>
                <w:sz w:val="18"/>
                <w:szCs w:val="18"/>
                <w:vertAlign w:val="superscript"/>
              </w:rPr>
              <w:t>e</w:t>
            </w:r>
            <w:r>
              <w:rPr>
                <w:rFonts w:ascii="Arial" w:hAnsi="Arial"/>
                <w:i/>
                <w:iCs/>
                <w:noProof/>
                <w:sz w:val="18"/>
                <w:szCs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320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320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331</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331</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Contrib. &amp; ajust. 2019 reçus en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autres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Total des paiements</w:t>
            </w:r>
            <w:r>
              <w:rPr>
                <w:rFonts w:ascii="Arial" w:hAnsi="Arial"/>
                <w:noProof/>
                <w:sz w:val="18"/>
                <w:szCs w:val="18"/>
                <w:vertAlign w:val="superscript"/>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580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4 990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31.12.2019</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294</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117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411</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442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269</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711</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2020</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2020:</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autres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Total des paiements</w:t>
            </w:r>
            <w:r>
              <w:rPr>
                <w:rFonts w:ascii="Arial" w:hAnsi="Arial"/>
                <w:noProof/>
                <w:sz w:val="18"/>
                <w:szCs w:val="18"/>
                <w:vertAlign w:val="superscript"/>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605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5 205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4 990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31.12.2020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359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142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501</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497</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311</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808</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2021</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2021</w:t>
            </w:r>
            <w:r>
              <w:rPr>
                <w:rFonts w:ascii="Arial" w:hAnsi="Arial"/>
                <w:noProof/>
                <w:color w:val="FF0000"/>
                <w:sz w:val="18"/>
                <w:szCs w:val="18"/>
                <w:vertAlign w:val="superscript"/>
              </w:rPr>
              <w:t xml:space="preserve"> 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4 000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4 300</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3 700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4 000</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2022</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2022</w:t>
            </w:r>
            <w:r>
              <w:rPr>
                <w:rFonts w:ascii="Arial" w:hAnsi="Arial"/>
                <w:noProof/>
                <w:color w:val="FF0000"/>
                <w:sz w:val="18"/>
                <w:szCs w:val="18"/>
                <w:vertAlign w:val="superscript"/>
              </w:rPr>
              <w:t xml:space="preserve"> 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3 500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3 900</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2 700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3 100</w:t>
            </w:r>
          </w:p>
        </w:tc>
      </w:tr>
    </w:tbl>
    <w:p>
      <w:pPr>
        <w:spacing w:after="0"/>
        <w:rPr>
          <w:rFonts w:ascii="Times New Roman" w:hAnsi="Times New Roman" w:cs="Times New Roman"/>
          <w:noProof/>
          <w:sz w:val="20"/>
          <w:szCs w:val="20"/>
        </w:rPr>
      </w:pPr>
    </w:p>
    <w:p>
      <w:pPr>
        <w:pStyle w:val="Text1"/>
        <w:spacing w:before="0" w:after="0"/>
        <w:ind w:left="851"/>
        <w:jc w:val="left"/>
        <w:rPr>
          <w:noProof/>
          <w:sz w:val="14"/>
          <w:szCs w:val="14"/>
        </w:rPr>
      </w:pPr>
      <w:r>
        <w:rPr>
          <w:noProof/>
          <w:sz w:val="14"/>
          <w:szCs w:val="14"/>
        </w:rPr>
        <w:t>1</w:t>
      </w:r>
      <w:r>
        <w:rPr>
          <w:noProof/>
          <w:sz w:val="14"/>
          <w:szCs w:val="14"/>
        </w:rPr>
        <w:tab/>
        <w:t>Montants disponibles d’un point de vue opérationnel conformément à la communication de la Commission au Conseil.</w:t>
      </w:r>
      <w:r>
        <w:rPr>
          <w:noProof/>
          <w:sz w:val="14"/>
          <w:szCs w:val="14"/>
        </w:rPr>
        <w:br/>
        <w:t>2</w:t>
      </w:r>
      <w:r>
        <w:rPr>
          <w:noProof/>
          <w:sz w:val="14"/>
          <w:szCs w:val="14"/>
        </w:rPr>
        <w:tab/>
        <w:t>Hors frais de gestion de la BEI.</w:t>
      </w:r>
      <w:r>
        <w:rPr>
          <w:noProof/>
          <w:sz w:val="14"/>
          <w:szCs w:val="14"/>
        </w:rPr>
        <w:br/>
        <w:t>3</w:t>
      </w:r>
      <w:r>
        <w:rPr>
          <w:noProof/>
          <w:sz w:val="14"/>
          <w:szCs w:val="14"/>
        </w:rPr>
        <w:tab/>
        <w:t>Y compris les bonifications d’intérêt liées aux FED antérieurs.</w:t>
      </w:r>
      <w:r>
        <w:rPr>
          <w:noProof/>
          <w:sz w:val="14"/>
          <w:szCs w:val="14"/>
        </w:rPr>
        <w:br/>
        <w:t>4</w:t>
      </w:r>
      <w:r>
        <w:rPr>
          <w:noProof/>
          <w:sz w:val="14"/>
          <w:szCs w:val="14"/>
        </w:rPr>
        <w:tab/>
        <w:t>Article 19, paragraphe 2, point d), du règlement financier applicable au 11</w:t>
      </w:r>
      <w:r>
        <w:rPr>
          <w:noProof/>
          <w:sz w:val="14"/>
          <w:szCs w:val="14"/>
          <w:vertAlign w:val="superscript"/>
        </w:rPr>
        <w:t>e</w:t>
      </w:r>
      <w:r>
        <w:rPr>
          <w:noProof/>
          <w:sz w:val="14"/>
          <w:szCs w:val="14"/>
        </w:rPr>
        <w:t xml:space="preserve"> FED: prévisions non contraignantes, fondées sur une approche statistique, concernant le montant annuel des contributions escompté pour les exercices n + 3 et </w:t>
      </w:r>
      <w:r>
        <w:rPr>
          <w:noProof/>
          <w:sz w:val="14"/>
          <w:szCs w:val="14"/>
        </w:rPr>
        <w:tab/>
        <w:t>n + 4.</w:t>
      </w:r>
      <w:r>
        <w:rPr>
          <w:noProof/>
          <w:sz w:val="14"/>
          <w:szCs w:val="14"/>
        </w:rPr>
        <w:br/>
        <w:t>5</w:t>
      </w:r>
      <w:r>
        <w:rPr>
          <w:noProof/>
          <w:sz w:val="14"/>
          <w:szCs w:val="14"/>
        </w:rPr>
        <w:tab/>
        <w:t>Article 19, paragraphe 1, du règlement financier applicable au 11</w:t>
      </w:r>
      <w:r>
        <w:rPr>
          <w:noProof/>
          <w:sz w:val="14"/>
          <w:szCs w:val="14"/>
          <w:vertAlign w:val="superscript"/>
        </w:rPr>
        <w:t>e</w:t>
      </w:r>
      <w:r>
        <w:rPr>
          <w:noProof/>
          <w:sz w:val="14"/>
          <w:szCs w:val="14"/>
        </w:rPr>
        <w:t xml:space="preserve"> FED: les appels à contributions utilisent d’abord les montants prévus pour les FED antérieurs, l’un après l’autre. Par conséquent, les appels à contributions au titre du </w:t>
      </w:r>
      <w:r>
        <w:rPr>
          <w:noProof/>
          <w:sz w:val="14"/>
          <w:szCs w:val="14"/>
        </w:rPr>
        <w:tab/>
        <w:t>11</w:t>
      </w:r>
      <w:r>
        <w:rPr>
          <w:noProof/>
          <w:sz w:val="14"/>
          <w:szCs w:val="14"/>
          <w:vertAlign w:val="superscript"/>
        </w:rPr>
        <w:t>e</w:t>
      </w:r>
      <w:r>
        <w:rPr>
          <w:noProof/>
          <w:sz w:val="14"/>
          <w:szCs w:val="14"/>
        </w:rPr>
        <w:t xml:space="preserve"> FED destinés à financer l’enveloppe de financement avec impact sont encore reportés.</w:t>
      </w:r>
    </w:p>
    <w:p>
      <w:pPr>
        <w:pStyle w:val="Text1"/>
        <w:spacing w:before="0" w:after="0"/>
        <w:ind w:left="851"/>
        <w:jc w:val="left"/>
        <w:rPr>
          <w:noProof/>
          <w:sz w:val="14"/>
          <w:szCs w:val="14"/>
        </w:rPr>
      </w:pPr>
      <w:r>
        <w:rPr>
          <w:noProof/>
          <w:sz w:val="14"/>
          <w:szCs w:val="14"/>
        </w:rPr>
        <w:t>6-7</w:t>
      </w:r>
      <w:r>
        <w:rPr>
          <w:noProof/>
          <w:sz w:val="14"/>
          <w:szCs w:val="14"/>
        </w:rPr>
        <w:tab/>
        <w:t>Le solde de trésorerie du FED ne peut jamais être négatif. Tout montant négatif dans le tableau indique une insuffisance de crédits de paiement.</w:t>
      </w:r>
      <w:r>
        <w:rPr>
          <w:noProof/>
          <w:sz w:val="14"/>
          <w:szCs w:val="14"/>
        </w:rPr>
        <w:br/>
      </w:r>
    </w:p>
    <w:p>
      <w:pPr>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Annexe 4: contributions des États membres pour 2019 (en EUR)</w:t>
      </w:r>
    </w:p>
    <w:tbl>
      <w:tblPr>
        <w:tblW w:w="5000" w:type="pct"/>
        <w:tblCellMar>
          <w:left w:w="70" w:type="dxa"/>
          <w:right w:w="70" w:type="dxa"/>
        </w:tblCellMar>
        <w:tblLook w:val="04A0" w:firstRow="1" w:lastRow="0" w:firstColumn="1" w:lastColumn="0" w:noHBand="0" w:noVBand="1"/>
      </w:tblPr>
      <w:tblGrid>
        <w:gridCol w:w="1801"/>
        <w:gridCol w:w="877"/>
        <w:gridCol w:w="991"/>
        <w:gridCol w:w="1202"/>
        <w:gridCol w:w="1292"/>
        <w:gridCol w:w="1220"/>
        <w:gridCol w:w="1310"/>
        <w:gridCol w:w="1239"/>
        <w:gridCol w:w="1239"/>
        <w:gridCol w:w="1218"/>
        <w:gridCol w:w="1332"/>
        <w:gridCol w:w="1329"/>
      </w:tblGrid>
      <w:tr>
        <w:trPr>
          <w:trHeight w:val="282"/>
        </w:trPr>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ÉTATS MEMBRES</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10</w:t>
            </w:r>
            <w:r>
              <w:rPr>
                <w:rFonts w:ascii="Times New Roman" w:hAnsi="Times New Roman"/>
                <w:b/>
                <w:bCs/>
                <w:noProof/>
                <w:sz w:val="16"/>
                <w:szCs w:val="16"/>
                <w:vertAlign w:val="superscript"/>
              </w:rPr>
              <w:t>e</w:t>
            </w:r>
            <w:r>
              <w:rPr>
                <w:rFonts w:ascii="Times New Roman" w:hAnsi="Times New Roman"/>
                <w:b/>
                <w:bCs/>
                <w:noProof/>
                <w:sz w:val="16"/>
                <w:szCs w:val="16"/>
              </w:rPr>
              <w:t xml:space="preserve"> FED %</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11</w:t>
            </w:r>
            <w:r>
              <w:rPr>
                <w:rFonts w:ascii="Times New Roman" w:hAnsi="Times New Roman"/>
                <w:b/>
                <w:bCs/>
                <w:noProof/>
                <w:sz w:val="16"/>
                <w:szCs w:val="16"/>
                <w:vertAlign w:val="superscript"/>
              </w:rPr>
              <w:t>e</w:t>
            </w:r>
            <w:r>
              <w:rPr>
                <w:rFonts w:ascii="Times New Roman" w:hAnsi="Times New Roman"/>
                <w:b/>
                <w:bCs/>
                <w:noProof/>
                <w:sz w:val="16"/>
                <w:szCs w:val="16"/>
              </w:rPr>
              <w:t xml:space="preserve"> FED %</w:t>
            </w: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w:t>
            </w:r>
            <w:r>
              <w:rPr>
                <w:rFonts w:ascii="Times New Roman" w:hAnsi="Times New Roman"/>
                <w:b/>
                <w:bCs/>
                <w:noProof/>
                <w:sz w:val="16"/>
                <w:szCs w:val="16"/>
                <w:vertAlign w:val="superscript"/>
              </w:rPr>
              <w:t>re</w:t>
            </w:r>
            <w:r>
              <w:rPr>
                <w:rFonts w:ascii="Times New Roman" w:hAnsi="Times New Roman"/>
                <w:b/>
                <w:bCs/>
                <w:noProof/>
                <w:sz w:val="16"/>
                <w:szCs w:val="16"/>
              </w:rPr>
              <w:t> tranche</w:t>
            </w:r>
          </w:p>
        </w:tc>
        <w:tc>
          <w:tcPr>
            <w:tcW w:w="848"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829"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408"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BEI</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w:t>
            </w:r>
            <w:r>
              <w:rPr>
                <w:rFonts w:ascii="Times New Roman" w:hAnsi="Times New Roman"/>
                <w:b/>
                <w:bCs/>
                <w:noProof/>
                <w:sz w:val="16"/>
                <w:szCs w:val="16"/>
              </w:rPr>
              <w:br/>
              <w:t>Commission</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2019</w:t>
            </w: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xml:space="preserve"> FED</w:t>
            </w:r>
          </w:p>
        </w:tc>
        <w:tc>
          <w:tcPr>
            <w:tcW w:w="4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xml:space="preserve"> FED</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BELGIQUE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3,53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64 985 400,00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48 739 050,00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29 243 430,00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10 590 000,00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142 967 880,00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153 557 880,00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BULGARIE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4 370 600,00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3 277 950,00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1 966 770,00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9 615 320,00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10 035 320,00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RÉPUBLIQUE TCHÈQUE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15 949 000,00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11 961 750,00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7 177 050,00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35 087 800,00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36 617 800,00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DANEMARK</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39 609 000,00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29 706 750,00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17 824 050,00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87 139 800,00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93 139 800,00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ALLEMAGNE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20 500 000,00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411 596 000,00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20 500 000,00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308 697 000,00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20 500 000,00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185 218 200,00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61 500 000,00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905 511 200,00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967 011 200,00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ESTONIE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1 727 000,00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1 295 250,00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777 150,00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3 799 400,00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3 949 400,00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IRLANDE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18 801 200,00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14 100 900,00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8 460 540,00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41 362 640,00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44 092 640,00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GRÈCE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30 147 000,00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22 610 250,00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13 566 150,00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66 323 400,00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70 733 400,00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ESPAGNE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158 649 600,00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118 987 200,00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71 392 320,00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349 029 120,00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372 579 120,00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FRANCE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356 253 800,00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267 190 350,00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160 314 210,00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783 758 360,00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842 408 360,00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CROATIE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4 503 600,00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3 377 700,00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2 026 620,00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9 907 920,00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9 907 920,00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ITALIE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12,86</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12 860 000,00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250 601 800,00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12 860 000,00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187 951 350,00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12 860 000,00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112 770 810,00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38 580 000,00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551 323 960,00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589 903 960,00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CHYPRE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0,09</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2 232 400,00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1 674 300,00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1 004 580,00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4 911 280,00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5 181 280,00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LETTONIE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2 322 400,00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1 741 800,00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1 045 080,00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5 319 280,00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LITUANIE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3 615 400,00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2 711 550,00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1 626 930,00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7 953 880,00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8 313 880,00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LUXEMBOURG</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3 826 350,00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2 295 810,00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11 223 960,00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12 033 960,00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HONGRIE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12 291 200,00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9 218 400,00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5 531 040,00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27 040 640,00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28 690 640,00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MALTE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760 200,00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570 150,00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342 090,00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1 672 440,00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1 762 440,00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PAYS-BAS</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95 535 600,00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71 651 700,00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42 991 020,00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210 178 320,00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224 728 320,00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AUTRICHE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2,41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47 951 400,00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35 963 550,00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21 578 130,00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7 230 000,00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105 493 080,00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112 723 080,00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POLOGNE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1,30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1 300 000,00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40 146 800,00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1 300 000,00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30 110 100,00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1 300 000,00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18 066 060,00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88 322 960,00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92 222 960,00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PORTUGAL</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23 935 800,00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17 951 850,00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10 771 110,00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52 658 760,00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56 108 760,00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ROUMANIE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14 363 000,00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10 772 250,00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6 463 350,00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31 598 600,00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32 708 600,00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SLOVÉNIE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4 490 400,00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3 367 800,00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2 020 680,00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9 878 880,00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10 418 880,00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SLOVAQUIE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7 523 200,00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5 642 400,00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3 385 440,00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16 551 040,00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17 181 040,00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FINLANDE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30 181 800,00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22 636 350,00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13 581 810,00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66 399 960,00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70 809 960,00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SUÈDE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2,74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58 782 200,00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44 086 650,00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26 451 990,00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8 220 000,00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129 320 840,00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137 540 840,00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ROYAUME-UNI</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14,82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14 820 000,00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293 572 400,00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14 820 000,00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220 179 300,00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14 820 000,00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132 107 580,00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44 460 000,00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645 859 280,00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690 319 280,00</w:t>
            </w:r>
          </w:p>
        </w:tc>
      </w:tr>
      <w:tr>
        <w:trPr>
          <w:trHeight w:val="282"/>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EU-28</w:t>
            </w:r>
          </w:p>
        </w:tc>
        <w:tc>
          <w:tcPr>
            <w:tcW w:w="295"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33"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100 000 000,00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2 000 000 000,00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100 000 000,00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1 500 000 000,00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900 000 000,00</w:t>
            </w:r>
          </w:p>
        </w:tc>
        <w:tc>
          <w:tcPr>
            <w:tcW w:w="408"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300 000 000,00</w:t>
            </w:r>
          </w:p>
        </w:tc>
        <w:tc>
          <w:tcPr>
            <w:tcW w:w="446"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4 400 000 000,00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4 700 000 000,00</w:t>
            </w:r>
          </w:p>
        </w:tc>
      </w:tr>
    </w:tbl>
    <w:p>
      <w:pPr>
        <w:pStyle w:val="Heading2"/>
        <w:numPr>
          <w:ilvl w:val="0"/>
          <w:numId w:val="0"/>
        </w:numPr>
        <w:spacing w:after="0"/>
        <w:rPr>
          <w:noProof/>
          <w:highlight w:val="lightGray"/>
        </w:rPr>
      </w:pPr>
    </w:p>
    <w:p>
      <w:pPr>
        <w:rPr>
          <w:rFonts w:ascii="Times New Roman" w:eastAsia="Times New Roman" w:hAnsi="Times New Roman" w:cs="Times New Roman"/>
          <w:noProof/>
          <w:sz w:val="24"/>
          <w:szCs w:val="26"/>
          <w:highlight w:val="lightGray"/>
        </w:rPr>
      </w:pPr>
      <w:r>
        <w:rPr>
          <w:noProof/>
        </w:rPr>
        <w:br w:type="page"/>
      </w:r>
    </w:p>
    <w:p>
      <w:pPr>
        <w:pStyle w:val="ManualHeading2"/>
        <w:rPr>
          <w:noProof/>
        </w:rPr>
      </w:pPr>
      <w:r>
        <w:t>5.5.</w:t>
      </w:r>
      <w:r>
        <w:tab/>
      </w:r>
      <w:r>
        <w:rPr>
          <w:noProof/>
        </w:rPr>
        <w:t>Annexe 5: contributions des États membres pour 2020 (en EUR)</w:t>
      </w:r>
    </w:p>
    <w:tbl>
      <w:tblPr>
        <w:tblW w:w="5000" w:type="pct"/>
        <w:tblCellMar>
          <w:left w:w="70" w:type="dxa"/>
          <w:right w:w="70" w:type="dxa"/>
        </w:tblCellMar>
        <w:tblLook w:val="04A0" w:firstRow="1" w:lastRow="0" w:firstColumn="1" w:lastColumn="0" w:noHBand="0" w:noVBand="1"/>
      </w:tblPr>
      <w:tblGrid>
        <w:gridCol w:w="1801"/>
        <w:gridCol w:w="877"/>
        <w:gridCol w:w="991"/>
        <w:gridCol w:w="1202"/>
        <w:gridCol w:w="1292"/>
        <w:gridCol w:w="1220"/>
        <w:gridCol w:w="1310"/>
        <w:gridCol w:w="1239"/>
        <w:gridCol w:w="1239"/>
        <w:gridCol w:w="1218"/>
        <w:gridCol w:w="1332"/>
        <w:gridCol w:w="1329"/>
      </w:tblGrid>
      <w:tr>
        <w:trPr>
          <w:trHeight w:val="282"/>
        </w:trPr>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ÉTATS MEMBRES</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10</w:t>
            </w:r>
            <w:r>
              <w:rPr>
                <w:rFonts w:ascii="Times New Roman" w:hAnsi="Times New Roman"/>
                <w:b/>
                <w:bCs/>
                <w:noProof/>
                <w:sz w:val="16"/>
                <w:szCs w:val="16"/>
                <w:vertAlign w:val="superscript"/>
              </w:rPr>
              <w:t>e</w:t>
            </w:r>
            <w:r>
              <w:rPr>
                <w:rFonts w:ascii="Times New Roman" w:hAnsi="Times New Roman"/>
                <w:b/>
                <w:bCs/>
                <w:noProof/>
                <w:sz w:val="16"/>
                <w:szCs w:val="16"/>
              </w:rPr>
              <w:t xml:space="preserve"> FED %</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11</w:t>
            </w:r>
            <w:r>
              <w:rPr>
                <w:rFonts w:ascii="Times New Roman" w:hAnsi="Times New Roman"/>
                <w:b/>
                <w:bCs/>
                <w:noProof/>
                <w:sz w:val="16"/>
                <w:szCs w:val="16"/>
                <w:vertAlign w:val="superscript"/>
              </w:rPr>
              <w:t>e</w:t>
            </w:r>
            <w:r>
              <w:rPr>
                <w:rFonts w:ascii="Times New Roman" w:hAnsi="Times New Roman"/>
                <w:b/>
                <w:bCs/>
                <w:noProof/>
                <w:sz w:val="16"/>
                <w:szCs w:val="16"/>
              </w:rPr>
              <w:t xml:space="preserve"> FED %</w:t>
            </w: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w:t>
            </w:r>
            <w:r>
              <w:rPr>
                <w:rFonts w:ascii="Times New Roman" w:hAnsi="Times New Roman"/>
                <w:b/>
                <w:bCs/>
                <w:noProof/>
                <w:sz w:val="16"/>
                <w:szCs w:val="16"/>
                <w:vertAlign w:val="superscript"/>
              </w:rPr>
              <w:t>ère</w:t>
            </w:r>
            <w:r>
              <w:rPr>
                <w:rFonts w:ascii="Times New Roman" w:hAnsi="Times New Roman"/>
                <w:b/>
                <w:bCs/>
                <w:noProof/>
                <w:sz w:val="16"/>
                <w:szCs w:val="16"/>
              </w:rPr>
              <w:t> tranche</w:t>
            </w:r>
          </w:p>
        </w:tc>
        <w:tc>
          <w:tcPr>
            <w:tcW w:w="848"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829"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408"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BEI</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w:t>
            </w:r>
            <w:r>
              <w:rPr>
                <w:rFonts w:ascii="Times New Roman" w:hAnsi="Times New Roman"/>
                <w:b/>
                <w:bCs/>
                <w:noProof/>
                <w:sz w:val="16"/>
                <w:szCs w:val="16"/>
              </w:rPr>
              <w:br/>
              <w:t>Commission</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2020</w:t>
            </w: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559"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0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xml:space="preserve"> FED</w:t>
            </w:r>
          </w:p>
        </w:tc>
        <w:tc>
          <w:tcPr>
            <w:tcW w:w="4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xml:space="preserve"> FED</w:t>
            </w:r>
          </w:p>
        </w:tc>
        <w:tc>
          <w:tcPr>
            <w:tcW w:w="4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xml:space="preserve"> FED</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0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BELGIQUE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3,53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64 985 400,00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48 739 050,00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29 243 430,00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10 590 000,00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142 967 880,00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153 557 880,00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BULGARIE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4 370 600,00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3 277 950,00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1 966 770,00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9 615 320,00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10 035 320,00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RÉPUBLIQUE TCHÈQUE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15 949 000,00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11 961 750,00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7 177 050,00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35 087 800,00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36 617 800,00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DANEMARK</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39 609 000,00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29 706 750,00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17 824 050,00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87 139 800,00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93 139 800,00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ALLEMAGNE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20 500 000,00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411 596 000,00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20 500 000,00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308 697 000,00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20 500 000,00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185 218 200,00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61 500 000,00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905 511 200,00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967 011 200,00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ESTONIE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1 727 000,00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1 295 250,00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777 150,00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3 799 400,00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3 949 400,00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IRLANDE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18 801 200,00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14 100 900,00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8 460 540,00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41 362 640,00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44 092 640,00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GRÈCE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30 147 000,00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22 610 250,00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13 566 150,00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66 323 400,00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70 733 400,00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ESPAGNE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158 649 600,00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118 987 200,00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71 392 320,00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349 029 120,00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372 579 120,00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FRANCE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356 253 800,00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267 190 350,00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160 314 210,00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783 758 360,00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842 408 360,00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CROATIE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4 503 600,00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3 377 700,00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2 026 620,00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9 907 920,00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9 907 920,00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ITALIE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12,86</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12 860 000,00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250 601 800,00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12 860 000,00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187 951 350,00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12 860 000,00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112 770 810,00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38 580 000,00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551 323 960,00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589 903 960,00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CHYPRE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0,09</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2 232 400,00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1 674 300,00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1 004 580,00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4 911 280,00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5 181 280,00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LETTONIE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2 322 400,00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1 741 800,00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1 045 080,00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5 319 280,00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LITUANIE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3 615 400,00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2 711 550,00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1 626 930,00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7 953 880,00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8 313 880,00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LUXEMBOURG</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3 826 350,00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2 295 810,00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11 223 960,00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12 033 960,00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HONGRIE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12 291 200,00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9 218 400,00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5 531 040,00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27 040 640,00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28 690 640,00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MALTE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760 200,00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570 150,00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342 090,00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1 672 440,00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1 762 440,00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PAYS-BAS</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4,85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95 535 600,00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71 651 700,00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42 991 020,00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14 550 000,00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210 178 320,00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224 728 320,00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AUTRICHE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2,41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47 951 400,00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35 963 550,00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21 578 130,00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7 230 000,00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105 493 080,00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112 723 080,00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POLOGNE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1,30</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1 300 000,00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40 146 800,00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1 300 000,00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30 110 100,00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1 300 000,00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18 066 060,00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3 900 000,00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88 322 960,00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92 222 960,00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PORTUGAL</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1,15</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1 150 000,00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23 935 800,00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1 150 000,00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17 951 850,00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1 150 000,00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10 771 110,00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3 450 000,00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52 658 760,00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56 108 760,00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ROUMANIE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14 363 000,00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10 772 250,00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6 463 350,00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31 598 600,00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32 708 600,00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SLOVÉNIE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4 490 400,00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3 367 800,00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2 020 680,00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9 878 880,00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10 418 880,00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SLOVAQUIE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7 523 200,00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5 642 400,00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3 385 440,00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16 551 040,00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17 181 040,00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FINLANDE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30 181 800,00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22 636 350,00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1 470 000,00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13 581 810,00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66 399 960,00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70 809 960,00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SUÈDE</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2,74</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2 740 000,00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58 782 200,00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2 740 000,00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44 086 650,00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2 740 000,00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26 451 990,00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8 220 000,00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129 320 840,00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137 540 840,00</w:t>
            </w:r>
          </w:p>
        </w:tc>
      </w:tr>
      <w:tr>
        <w:trPr>
          <w:trHeight w:val="240"/>
        </w:trPr>
        <w:tc>
          <w:tcPr>
            <w:tcW w:w="559"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ROYAUME-UNI</w:t>
            </w:r>
          </w:p>
        </w:tc>
        <w:tc>
          <w:tcPr>
            <w:tcW w:w="29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14,82</w:t>
            </w:r>
          </w:p>
        </w:tc>
        <w:tc>
          <w:tcPr>
            <w:tcW w:w="33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40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14 820 000,00</w:t>
            </w:r>
          </w:p>
        </w:tc>
        <w:tc>
          <w:tcPr>
            <w:tcW w:w="43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293 572 400,00</w:t>
            </w:r>
          </w:p>
        </w:tc>
        <w:tc>
          <w:tcPr>
            <w:tcW w:w="40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14 820 000,00</w:t>
            </w:r>
          </w:p>
        </w:tc>
        <w:tc>
          <w:tcPr>
            <w:tcW w:w="43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220 179 300,00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14 820 000,00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132 107 580,00</w:t>
            </w:r>
          </w:p>
        </w:tc>
        <w:tc>
          <w:tcPr>
            <w:tcW w:w="40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44 460 000,00</w:t>
            </w:r>
          </w:p>
        </w:tc>
        <w:tc>
          <w:tcPr>
            <w:tcW w:w="44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645 859 280,00</w:t>
            </w:r>
          </w:p>
        </w:tc>
        <w:tc>
          <w:tcPr>
            <w:tcW w:w="446"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690 319 280,00</w:t>
            </w:r>
          </w:p>
        </w:tc>
      </w:tr>
      <w:tr>
        <w:trPr>
          <w:trHeight w:val="282"/>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EU-28</w:t>
            </w:r>
          </w:p>
        </w:tc>
        <w:tc>
          <w:tcPr>
            <w:tcW w:w="295"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33"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100 000 000,00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2 000 000 000,00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100 000 000,00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1 500 000 000,00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900 000 000,00</w:t>
            </w:r>
          </w:p>
        </w:tc>
        <w:tc>
          <w:tcPr>
            <w:tcW w:w="408"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300 000 000,00</w:t>
            </w:r>
          </w:p>
        </w:tc>
        <w:tc>
          <w:tcPr>
            <w:tcW w:w="446"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4 400 000 000,00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4 700 000 000,00</w:t>
            </w:r>
          </w:p>
        </w:tc>
      </w:tr>
    </w:tbl>
    <w:p>
      <w:pPr>
        <w:pStyle w:val="Heading2"/>
        <w:numPr>
          <w:ilvl w:val="0"/>
          <w:numId w:val="0"/>
        </w:numPr>
        <w:spacing w:after="0"/>
        <w:rPr>
          <w:noProof/>
          <w:highlight w:val="lightGray"/>
        </w:rPr>
      </w:pPr>
    </w:p>
    <w:p>
      <w:pPr>
        <w:rPr>
          <w:rFonts w:ascii="Times New Roman" w:eastAsia="Times New Roman" w:hAnsi="Times New Roman" w:cs="Times New Roman"/>
          <w:noProof/>
          <w:sz w:val="24"/>
          <w:szCs w:val="26"/>
          <w:highlight w:val="lightGray"/>
        </w:rPr>
      </w:pPr>
      <w:r>
        <w:rPr>
          <w:noProof/>
        </w:rPr>
        <w:br w:type="page"/>
      </w:r>
    </w:p>
    <w:p>
      <w:pPr>
        <w:pStyle w:val="ManualHeading2"/>
        <w:rPr>
          <w:noProof/>
        </w:rPr>
      </w:pPr>
      <w:r>
        <w:t>5.6.</w:t>
      </w:r>
      <w:r>
        <w:tab/>
      </w:r>
      <w:r>
        <w:rPr>
          <w:noProof/>
        </w:rPr>
        <w:t>Annexe 6: contributions des États membres pour la période 2019-2022 (en EUR)</w:t>
      </w:r>
    </w:p>
    <w:p>
      <w:pPr>
        <w:spacing w:after="0"/>
        <w:rPr>
          <w:rFonts w:ascii="Times New Roman" w:hAnsi="Times New Roman" w:cs="Times New Roman"/>
          <w:noProof/>
          <w:sz w:val="20"/>
          <w:szCs w:val="20"/>
        </w:rPr>
      </w:pPr>
    </w:p>
    <w:tbl>
      <w:tblPr>
        <w:tblW w:w="5000" w:type="pct"/>
        <w:tblCellMar>
          <w:left w:w="70" w:type="dxa"/>
          <w:right w:w="70" w:type="dxa"/>
        </w:tblCellMar>
        <w:tblLook w:val="04A0" w:firstRow="1" w:lastRow="0" w:firstColumn="1" w:lastColumn="0" w:noHBand="0" w:noVBand="1"/>
      </w:tblPr>
      <w:tblGrid>
        <w:gridCol w:w="2228"/>
        <w:gridCol w:w="681"/>
        <w:gridCol w:w="763"/>
        <w:gridCol w:w="1172"/>
        <w:gridCol w:w="1365"/>
        <w:gridCol w:w="1171"/>
        <w:gridCol w:w="1364"/>
        <w:gridCol w:w="1141"/>
        <w:gridCol w:w="1303"/>
        <w:gridCol w:w="1327"/>
        <w:gridCol w:w="1171"/>
        <w:gridCol w:w="1364"/>
      </w:tblGrid>
      <w:tr>
        <w:trPr>
          <w:trHeight w:val="253"/>
        </w:trPr>
        <w:tc>
          <w:tcPr>
            <w:tcW w:w="74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ÉTATS MEMBRES</w:t>
            </w:r>
          </w:p>
        </w:tc>
        <w:tc>
          <w:tcPr>
            <w:tcW w:w="226"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p>
        </w:tc>
        <w:tc>
          <w:tcPr>
            <w:tcW w:w="253"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p>
        </w:tc>
        <w:tc>
          <w:tcPr>
            <w:tcW w:w="842"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2019</w:t>
            </w:r>
          </w:p>
        </w:tc>
        <w:tc>
          <w:tcPr>
            <w:tcW w:w="842"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2020</w:t>
            </w:r>
          </w:p>
        </w:tc>
        <w:tc>
          <w:tcPr>
            <w:tcW w:w="1253"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2021</w:t>
            </w:r>
          </w:p>
        </w:tc>
        <w:tc>
          <w:tcPr>
            <w:tcW w:w="842"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2022</w:t>
            </w:r>
          </w:p>
        </w:tc>
      </w:tr>
      <w:tr>
        <w:trPr>
          <w:trHeight w:val="253"/>
        </w:trPr>
        <w:tc>
          <w:tcPr>
            <w:tcW w:w="740"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26"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FED</w:t>
            </w:r>
          </w:p>
        </w:tc>
        <w:tc>
          <w:tcPr>
            <w:tcW w:w="253"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FED</w:t>
            </w:r>
          </w:p>
        </w:tc>
        <w:tc>
          <w:tcPr>
            <w:tcW w:w="389"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53"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10</w:t>
            </w:r>
            <w:r>
              <w:rPr>
                <w:rFonts w:ascii="Times New Roman" w:hAnsi="Times New Roman"/>
                <w:b/>
                <w:bCs/>
                <w:noProof/>
                <w:sz w:val="16"/>
                <w:szCs w:val="16"/>
                <w:vertAlign w:val="superscript"/>
              </w:rPr>
              <w:t>e</w:t>
            </w:r>
          </w:p>
        </w:tc>
        <w:tc>
          <w:tcPr>
            <w:tcW w:w="389"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53" w:type="pct"/>
            <w:tcBorders>
              <w:top w:val="nil"/>
              <w:left w:val="nil"/>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10</w:t>
            </w:r>
            <w:r>
              <w:rPr>
                <w:rFonts w:ascii="Times New Roman" w:hAnsi="Times New Roman"/>
                <w:b/>
                <w:bCs/>
                <w:noProof/>
                <w:sz w:val="16"/>
                <w:szCs w:val="16"/>
                <w:vertAlign w:val="superscript"/>
              </w:rPr>
              <w:t>e</w:t>
            </w:r>
          </w:p>
        </w:tc>
        <w:tc>
          <w:tcPr>
            <w:tcW w:w="379" w:type="pct"/>
            <w:tcBorders>
              <w:top w:val="nil"/>
              <w:left w:val="single" w:sz="8" w:space="0" w:color="auto"/>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33"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10</w:t>
            </w:r>
            <w:r>
              <w:rPr>
                <w:rFonts w:ascii="Times New Roman" w:hAnsi="Times New Roman"/>
                <w:b/>
                <w:bCs/>
                <w:noProof/>
                <w:sz w:val="16"/>
                <w:szCs w:val="16"/>
                <w:vertAlign w:val="superscript"/>
              </w:rPr>
              <w:t>e</w:t>
            </w:r>
          </w:p>
        </w:tc>
        <w:tc>
          <w:tcPr>
            <w:tcW w:w="441"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c>
          <w:tcPr>
            <w:tcW w:w="389"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53"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BELGIQUE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3,53</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142 967 880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10 590 000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142 967 880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10 590 000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120 222 990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2 471 000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7 473 321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87 730 290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12 997 080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BULGARIE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0,14</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9 615 320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9 615 320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8 085 610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98 000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502 619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5 900 310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874 120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RÉPUBLIQUE TCHÈQUE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35 087 800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35 087 800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29 505 650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1 834 135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21 531 150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3 189 800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DANEMARK</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87 139 800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6 000 000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87 139 800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6 000 000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73 276 650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1 400 000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4 555 035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53 472 150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7 921 800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ALLEMAGNE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905 511 200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61 500 000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905 511 200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61 500 000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761 452 600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14 350 000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47 333 540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555 654 600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82 319 200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ESTONIE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3 799 400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3 799 400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3 194 950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198 605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2 331 450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345 400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IRLANDE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41 362 640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41 362 640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34 782 220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2 162 138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25 381 620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3 760 240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GRÈCE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66 323 400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66 323 400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55 771 950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3 466 905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40 698 450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6 029 400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ESPAGNE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7,85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349 029 120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349 029 120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293 501 760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5 495 000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18 244 704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214 176 960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31 729 920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FRANCE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19,55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783 758 360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58 650 000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783 758 360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58 650 000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659 069 530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13 685 000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40 969 187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480 942 630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71 250 760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CROATIE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9 907 920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9 907 920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8 331 660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517 914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6 079 860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900 720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ITALIE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12,86</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551 323 960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38 580 000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551 323 960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38 580 000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463 613 330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9 002 000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28 819 207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338 312 430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50 120 360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CHYPRE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0,09</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4 911 280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4 911 280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4 129 940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256 726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3 013 740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446 480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LETTONIE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5 109 280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5 109 280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4 296 440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267 076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3 135 240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464 480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LITUANIE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0,12</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7 953 880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7 953 880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6 688 490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84 000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415 771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4 880 790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723 080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LUXEMBOURG</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11 223 960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11 223 960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9 438 330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586 707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6 887 430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1 020 360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HONGRIE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27 040 640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27 040 640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22 738 720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1 413 488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16 593 120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2 458 240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MALTE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1 672 440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1 672 440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1 406 370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87 423</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1 026 270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152 040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PAYS-BAS</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4,85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210 178 320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14 550 000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210 178 320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14 550 000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176 740 860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3 395 000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10 986 594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128 973 060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19 107 120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AUTRICHE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2,41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105 493 080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7 230 000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105 493 080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7 230 000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88 710 090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1 687 000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5 514 411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64 734 390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9 590 280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POLOGNE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1,30</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88 322 960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3 900 000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88 322 960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3 900 000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74 271 580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4 616 882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54 198 180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8 029 360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PORTUGAL</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1,15</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52 658 760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3 450 000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52 658 760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3 450 000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44 281 230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805 000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2 752 617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32 313 330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4 787 160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ROUMANIE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31 598 600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31 598 600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26 571 550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1 651 745</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19 390 050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2 872 600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SLOVÉNIE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9 878 880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9 878 880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8 307 240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126 000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516 396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6 062 040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898 080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SLOVAQUIE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16 551 040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16 551 040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13 917 920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147 000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865 168</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10 156 320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1 504 640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FINLANDE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66 399 960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66 399 960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55 836 330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3 470 907</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40 745 430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6 036 360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SUÈDE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2,74</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129 320 840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8 220 000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129 320 840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8 220 000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108 747 070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1 918 000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6 759 953</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79 355 970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11 756 440</w:t>
            </w:r>
          </w:p>
        </w:tc>
      </w:tr>
      <w:tr>
        <w:trPr>
          <w:trHeight w:val="240"/>
        </w:trPr>
        <w:tc>
          <w:tcPr>
            <w:tcW w:w="74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ROYAUME-UNI</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14,82</w:t>
            </w:r>
          </w:p>
        </w:tc>
        <w:tc>
          <w:tcPr>
            <w:tcW w:w="253"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645 859 280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44 460 000</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645 859 280</w:t>
            </w:r>
          </w:p>
        </w:tc>
        <w:tc>
          <w:tcPr>
            <w:tcW w:w="453"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44 460 000</w:t>
            </w:r>
          </w:p>
        </w:tc>
        <w:tc>
          <w:tcPr>
            <w:tcW w:w="379"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543 108 940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10 374 000</w:t>
            </w:r>
          </w:p>
        </w:tc>
        <w:tc>
          <w:tcPr>
            <w:tcW w:w="44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33 760 826</w:t>
            </w:r>
          </w:p>
        </w:tc>
        <w:tc>
          <w:tcPr>
            <w:tcW w:w="389"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396 322 740</w:t>
            </w:r>
          </w:p>
        </w:tc>
        <w:tc>
          <w:tcPr>
            <w:tcW w:w="453"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58 714 480</w:t>
            </w:r>
          </w:p>
        </w:tc>
      </w:tr>
      <w:tr>
        <w:trPr>
          <w:trHeight w:val="253"/>
        </w:trPr>
        <w:tc>
          <w:tcPr>
            <w:tcW w:w="740"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EU-28</w:t>
            </w:r>
          </w:p>
        </w:tc>
        <w:tc>
          <w:tcPr>
            <w:tcW w:w="226"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253"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89"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4 400 000 000</w:t>
            </w:r>
          </w:p>
        </w:tc>
        <w:tc>
          <w:tcPr>
            <w:tcW w:w="453"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89"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4 400 000 000</w:t>
            </w:r>
          </w:p>
        </w:tc>
        <w:tc>
          <w:tcPr>
            <w:tcW w:w="453"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79" w:type="pct"/>
            <w:tcBorders>
              <w:top w:val="single" w:sz="8" w:space="0" w:color="auto"/>
              <w:left w:val="single" w:sz="8" w:space="0" w:color="auto"/>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3 700 000 000</w:t>
            </w:r>
          </w:p>
        </w:tc>
        <w:tc>
          <w:tcPr>
            <w:tcW w:w="433"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70 000 000</w:t>
            </w:r>
          </w:p>
        </w:tc>
        <w:tc>
          <w:tcPr>
            <w:tcW w:w="441"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230 000 000</w:t>
            </w:r>
          </w:p>
        </w:tc>
        <w:tc>
          <w:tcPr>
            <w:tcW w:w="389"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2 700 000 000</w:t>
            </w:r>
          </w:p>
        </w:tc>
        <w:tc>
          <w:tcPr>
            <w:tcW w:w="453"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400 000 000</w:t>
            </w:r>
          </w:p>
        </w:tc>
      </w:tr>
      <w:tr>
        <w:trPr>
          <w:trHeight w:val="253"/>
        </w:trPr>
        <w:tc>
          <w:tcPr>
            <w:tcW w:w="740"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w:t>
            </w:r>
          </w:p>
        </w:tc>
        <w:tc>
          <w:tcPr>
            <w:tcW w:w="226"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w:t>
            </w:r>
          </w:p>
        </w:tc>
        <w:tc>
          <w:tcPr>
            <w:tcW w:w="253"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w:t>
            </w:r>
          </w:p>
        </w:tc>
        <w:tc>
          <w:tcPr>
            <w:tcW w:w="842" w:type="pct"/>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4 700 000 000</w:t>
            </w:r>
          </w:p>
        </w:tc>
        <w:tc>
          <w:tcPr>
            <w:tcW w:w="842"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4 700 000 000</w:t>
            </w:r>
          </w:p>
        </w:tc>
        <w:tc>
          <w:tcPr>
            <w:tcW w:w="1253" w:type="pct"/>
            <w:gridSpan w:val="3"/>
            <w:tcBorders>
              <w:top w:val="nil"/>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4 000 000 000</w:t>
            </w:r>
          </w:p>
        </w:tc>
        <w:tc>
          <w:tcPr>
            <w:tcW w:w="842"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3 100 000 000</w:t>
            </w:r>
          </w:p>
        </w:tc>
      </w:tr>
    </w:tbl>
    <w:p>
      <w:pPr>
        <w:pStyle w:val="Text1"/>
        <w:ind w:left="0"/>
        <w:jc w:val="left"/>
        <w:rPr>
          <w:noProof/>
          <w:sz w:val="20"/>
          <w:szCs w:val="20"/>
        </w:rPr>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425" w:right="964" w:bottom="964" w:left="964" w:header="709" w:footer="709" w:gutter="0"/>
          <w:cols w:space="720"/>
          <w:docGrid w:linePitch="360"/>
        </w:sectPr>
      </w:pPr>
    </w:p>
    <w:p>
      <w:pPr>
        <w:pStyle w:val="ManualHeading2"/>
        <w:rPr>
          <w:noProof/>
        </w:rPr>
      </w:pPr>
      <w:r>
        <w:t>5.7.</w:t>
      </w:r>
      <w:r>
        <w:tab/>
      </w:r>
      <w:r>
        <w:rPr>
          <w:noProof/>
        </w:rPr>
        <w:t>Annexe 7: état des réserves de fonds dégagés de FED antérieurs (en millions d’EUR)</w:t>
      </w:r>
    </w:p>
    <w:p>
      <w:pPr>
        <w:jc w:val="both"/>
        <w:rPr>
          <w:rFonts w:ascii="Times New Roman" w:hAnsi="Times New Roman" w:cs="Times New Roman"/>
          <w:noProof/>
          <w:sz w:val="24"/>
          <w:szCs w:val="24"/>
        </w:rPr>
      </w:pPr>
      <w:r>
        <w:rPr>
          <w:rFonts w:ascii="Times New Roman" w:hAnsi="Times New Roman"/>
          <w:noProof/>
          <w:sz w:val="24"/>
          <w:szCs w:val="24"/>
        </w:rPr>
        <w:t>Conformément à l’article 55 du règlement financier applicable au 11</w:t>
      </w:r>
      <w:r>
        <w:rPr>
          <w:rFonts w:ascii="Times New Roman" w:hAnsi="Times New Roman"/>
          <w:noProof/>
          <w:sz w:val="24"/>
          <w:szCs w:val="24"/>
          <w:vertAlign w:val="superscript"/>
        </w:rPr>
        <w:t>e</w:t>
      </w:r>
      <w:r>
        <w:rPr>
          <w:rFonts w:ascii="Times New Roman" w:hAnsi="Times New Roman"/>
          <w:noProof/>
          <w:sz w:val="24"/>
          <w:szCs w:val="24"/>
        </w:rPr>
        <w:t xml:space="preserve"> FED, le tableau qui suit indique le montant des réserves de fonds dégagés de FED antérieurs à la fin de l’année 2018.</w:t>
      </w:r>
    </w:p>
    <w:tbl>
      <w:tblPr>
        <w:tblW w:w="9087" w:type="dxa"/>
        <w:tblInd w:w="93" w:type="dxa"/>
        <w:tblLook w:val="04A0" w:firstRow="1" w:lastRow="0" w:firstColumn="1" w:lastColumn="0" w:noHBand="0" w:noVBand="1"/>
      </w:tblPr>
      <w:tblGrid>
        <w:gridCol w:w="7670"/>
        <w:gridCol w:w="1417"/>
      </w:tblGrid>
      <w:tr>
        <w:trPr>
          <w:trHeight w:val="255"/>
        </w:trPr>
        <w:tc>
          <w:tcPr>
            <w:tcW w:w="9087" w:type="dxa"/>
            <w:gridSpan w:val="2"/>
            <w:tcBorders>
              <w:top w:val="single" w:sz="4" w:space="0" w:color="auto"/>
              <w:left w:val="single" w:sz="4" w:space="0" w:color="auto"/>
              <w:bottom w:val="single" w:sz="4" w:space="0" w:color="auto"/>
              <w:right w:val="single" w:sz="4" w:space="0" w:color="auto"/>
            </w:tcBorders>
            <w:noWrap/>
            <w:vAlign w:val="bottom"/>
          </w:tcPr>
          <w:p>
            <w:pPr>
              <w:spacing w:after="120" w:line="240" w:lineRule="auto"/>
              <w:rPr>
                <w:rFonts w:ascii="Verdana" w:hAnsi="Verdana" w:cs="Arial"/>
                <w:b/>
                <w:noProof/>
                <w:sz w:val="18"/>
                <w:szCs w:val="18"/>
              </w:rPr>
            </w:pPr>
            <w:r>
              <w:rPr>
                <w:rFonts w:ascii="Verdana" w:hAnsi="Verdana"/>
                <w:b/>
                <w:noProof/>
                <w:sz w:val="18"/>
                <w:szCs w:val="18"/>
              </w:rPr>
              <w:t>Montant total disponible dans les réserves de performance non mobilisables au 31.12.2018 (en millions d’EUR)</w:t>
            </w:r>
          </w:p>
        </w:tc>
      </w:tr>
      <w:tr>
        <w:trPr>
          <w:trHeight w:val="255"/>
        </w:trPr>
        <w:tc>
          <w:tcPr>
            <w:tcW w:w="7670" w:type="dxa"/>
            <w:tcBorders>
              <w:top w:val="single" w:sz="4" w:space="0" w:color="auto"/>
              <w:left w:val="single" w:sz="4" w:space="0" w:color="auto"/>
              <w:bottom w:val="single" w:sz="4" w:space="0" w:color="auto"/>
              <w:right w:val="single" w:sz="4" w:space="0" w:color="auto"/>
            </w:tcBorders>
            <w:noWrap/>
            <w:vAlign w:val="bottom"/>
          </w:tcPr>
          <w:p>
            <w:pPr>
              <w:spacing w:after="120" w:line="240" w:lineRule="auto"/>
              <w:rPr>
                <w:rFonts w:ascii="Verdana" w:hAnsi="Verdana" w:cs="Arial"/>
                <w:noProof/>
                <w:sz w:val="18"/>
                <w:szCs w:val="18"/>
              </w:rPr>
            </w:pPr>
            <w:r>
              <w:rPr>
                <w:rFonts w:ascii="Verdana" w:hAnsi="Verdana"/>
                <w:noProof/>
                <w:sz w:val="18"/>
                <w:szCs w:val="18"/>
              </w:rPr>
              <w:t>Réserve non mobilisable provenant de fonds dégagés au titre des 8</w:t>
            </w:r>
            <w:r>
              <w:rPr>
                <w:rFonts w:ascii="Verdana" w:hAnsi="Verdana"/>
                <w:noProof/>
                <w:sz w:val="18"/>
                <w:szCs w:val="18"/>
                <w:vertAlign w:val="superscript"/>
              </w:rPr>
              <w:t>e</w:t>
            </w:r>
            <w:r>
              <w:rPr>
                <w:rFonts w:ascii="Verdana" w:hAnsi="Verdana"/>
                <w:noProof/>
                <w:sz w:val="18"/>
                <w:szCs w:val="18"/>
              </w:rPr>
              <w:t xml:space="preserve"> et 9</w:t>
            </w:r>
            <w:r>
              <w:rPr>
                <w:rFonts w:ascii="Verdana" w:hAnsi="Verdana"/>
                <w:noProof/>
                <w:sz w:val="18"/>
                <w:szCs w:val="18"/>
                <w:vertAlign w:val="superscript"/>
              </w:rPr>
              <w:t>e</w:t>
            </w:r>
            <w:r>
              <w:rPr>
                <w:rFonts w:ascii="Verdana" w:hAnsi="Verdana"/>
                <w:noProof/>
                <w:sz w:val="18"/>
                <w:szCs w:val="18"/>
              </w:rPr>
              <w:t> FED</w:t>
            </w:r>
          </w:p>
        </w:tc>
        <w:tc>
          <w:tcPr>
            <w:tcW w:w="1417" w:type="dxa"/>
            <w:tcBorders>
              <w:top w:val="single" w:sz="4" w:space="0" w:color="auto"/>
              <w:left w:val="nil"/>
              <w:bottom w:val="single" w:sz="4" w:space="0" w:color="auto"/>
              <w:right w:val="single" w:sz="4" w:space="0" w:color="auto"/>
            </w:tcBorders>
            <w:noWrap/>
            <w:vAlign w:val="bottom"/>
          </w:tcPr>
          <w:p>
            <w:pPr>
              <w:spacing w:after="120" w:line="240" w:lineRule="auto"/>
              <w:jc w:val="right"/>
              <w:rPr>
                <w:rFonts w:ascii="Verdana" w:hAnsi="Verdana" w:cs="Arial"/>
                <w:noProof/>
                <w:sz w:val="18"/>
                <w:szCs w:val="18"/>
              </w:rPr>
            </w:pPr>
            <w:r>
              <w:rPr>
                <w:rFonts w:ascii="Verdana" w:hAnsi="Verdana"/>
                <w:noProof/>
                <w:sz w:val="18"/>
                <w:szCs w:val="18"/>
              </w:rPr>
              <w:t>156,5</w:t>
            </w:r>
          </w:p>
        </w:tc>
      </w:tr>
      <w:tr>
        <w:trPr>
          <w:trHeight w:val="255"/>
        </w:trPr>
        <w:tc>
          <w:tcPr>
            <w:tcW w:w="7670" w:type="dxa"/>
            <w:tcBorders>
              <w:top w:val="single" w:sz="4" w:space="0" w:color="auto"/>
              <w:left w:val="single" w:sz="4" w:space="0" w:color="auto"/>
              <w:bottom w:val="single" w:sz="4" w:space="0" w:color="auto"/>
              <w:right w:val="single" w:sz="4" w:space="0" w:color="auto"/>
            </w:tcBorders>
            <w:noWrap/>
            <w:vAlign w:val="bottom"/>
          </w:tcPr>
          <w:p>
            <w:pPr>
              <w:spacing w:after="120" w:line="240" w:lineRule="auto"/>
              <w:rPr>
                <w:rFonts w:ascii="Verdana" w:hAnsi="Verdana" w:cs="Arial"/>
                <w:noProof/>
                <w:sz w:val="18"/>
                <w:szCs w:val="18"/>
              </w:rPr>
            </w:pPr>
            <w:r>
              <w:rPr>
                <w:rFonts w:ascii="Verdana" w:hAnsi="Verdana"/>
                <w:noProof/>
                <w:sz w:val="18"/>
                <w:szCs w:val="18"/>
              </w:rPr>
              <w:t>Réserve non mobilisable provenant de fonds dégagés au titre du 10</w:t>
            </w:r>
            <w:r>
              <w:rPr>
                <w:rFonts w:ascii="Verdana" w:hAnsi="Verdana"/>
                <w:noProof/>
                <w:sz w:val="18"/>
                <w:szCs w:val="18"/>
                <w:vertAlign w:val="superscript"/>
              </w:rPr>
              <w:t>e</w:t>
            </w:r>
            <w:r>
              <w:rPr>
                <w:rFonts w:ascii="Verdana" w:hAnsi="Verdana"/>
                <w:noProof/>
                <w:sz w:val="18"/>
                <w:szCs w:val="18"/>
              </w:rPr>
              <w:t xml:space="preserve"> FED </w:t>
            </w:r>
          </w:p>
        </w:tc>
        <w:tc>
          <w:tcPr>
            <w:tcW w:w="1417" w:type="dxa"/>
            <w:tcBorders>
              <w:top w:val="single" w:sz="4" w:space="0" w:color="auto"/>
              <w:left w:val="nil"/>
              <w:bottom w:val="single" w:sz="4" w:space="0" w:color="auto"/>
              <w:right w:val="single" w:sz="4" w:space="0" w:color="auto"/>
            </w:tcBorders>
            <w:noWrap/>
            <w:vAlign w:val="bottom"/>
          </w:tcPr>
          <w:p>
            <w:pPr>
              <w:spacing w:after="120" w:line="240" w:lineRule="auto"/>
              <w:jc w:val="right"/>
              <w:rPr>
                <w:rFonts w:ascii="Verdana" w:hAnsi="Verdana" w:cs="Arial"/>
                <w:noProof/>
                <w:sz w:val="18"/>
                <w:szCs w:val="18"/>
              </w:rPr>
            </w:pPr>
            <w:r>
              <w:rPr>
                <w:rFonts w:ascii="Verdana" w:hAnsi="Verdana"/>
                <w:noProof/>
                <w:sz w:val="18"/>
                <w:szCs w:val="18"/>
              </w:rPr>
              <w:t>318,3</w:t>
            </w:r>
          </w:p>
        </w:tc>
      </w:tr>
      <w:tr>
        <w:trPr>
          <w:trHeight w:val="255"/>
        </w:trPr>
        <w:tc>
          <w:tcPr>
            <w:tcW w:w="7670" w:type="dxa"/>
            <w:tcBorders>
              <w:top w:val="single" w:sz="4" w:space="0" w:color="auto"/>
              <w:left w:val="single" w:sz="4" w:space="0" w:color="auto"/>
              <w:bottom w:val="single" w:sz="4" w:space="0" w:color="auto"/>
              <w:right w:val="single" w:sz="4" w:space="0" w:color="auto"/>
            </w:tcBorders>
            <w:noWrap/>
            <w:vAlign w:val="bottom"/>
          </w:tcPr>
          <w:p>
            <w:pPr>
              <w:rPr>
                <w:rFonts w:ascii="Verdana" w:hAnsi="Verdana" w:cs="Arial"/>
                <w:b/>
                <w:noProof/>
                <w:sz w:val="18"/>
                <w:szCs w:val="18"/>
              </w:rPr>
            </w:pPr>
            <w:r>
              <w:rPr>
                <w:rFonts w:ascii="Verdana" w:hAnsi="Verdana"/>
                <w:b/>
                <w:noProof/>
                <w:sz w:val="18"/>
                <w:szCs w:val="18"/>
              </w:rPr>
              <w:t xml:space="preserve">Montant total disponible dans les réserves de performance non mobilisables </w:t>
            </w:r>
          </w:p>
        </w:tc>
        <w:tc>
          <w:tcPr>
            <w:tcW w:w="1417" w:type="dxa"/>
            <w:tcBorders>
              <w:top w:val="single" w:sz="4" w:space="0" w:color="auto"/>
              <w:left w:val="nil"/>
              <w:bottom w:val="single" w:sz="4" w:space="0" w:color="auto"/>
              <w:right w:val="single" w:sz="4" w:space="0" w:color="auto"/>
            </w:tcBorders>
            <w:noWrap/>
            <w:vAlign w:val="bottom"/>
          </w:tcPr>
          <w:p>
            <w:pPr>
              <w:jc w:val="right"/>
              <w:rPr>
                <w:rFonts w:ascii="Verdana" w:hAnsi="Verdana" w:cs="Arial"/>
                <w:b/>
                <w:noProof/>
                <w:sz w:val="18"/>
                <w:szCs w:val="18"/>
              </w:rPr>
            </w:pPr>
            <w:r>
              <w:rPr>
                <w:rFonts w:ascii="Verdana" w:hAnsi="Verdana"/>
                <w:b/>
                <w:noProof/>
                <w:sz w:val="18"/>
                <w:szCs w:val="18"/>
              </w:rPr>
              <w:t>474,8</w:t>
            </w:r>
          </w:p>
        </w:tc>
      </w:tr>
    </w:tbl>
    <w:p>
      <w:pPr>
        <w:jc w:val="both"/>
        <w:rPr>
          <w:rFonts w:ascii="Times New Roman" w:hAnsi="Times New Roman" w:cs="Times New Roman"/>
          <w:noProof/>
          <w:sz w:val="24"/>
          <w:szCs w:val="24"/>
        </w:rPr>
      </w:pPr>
    </w:p>
    <w:p>
      <w:pPr>
        <w:pStyle w:val="ManualHeading2"/>
        <w:rPr>
          <w:noProof/>
        </w:rPr>
      </w:pPr>
      <w:r>
        <w:t>5.8.</w:t>
      </w:r>
      <w:r>
        <w:tab/>
      </w:r>
      <w:r>
        <w:rPr>
          <w:noProof/>
        </w:rPr>
        <w:t>Annexe 8: réduction potentielle des contributions des États membres en tenant compte du montant dans la réserve de fonds dégagés de FED antérieurs (EUR)</w:t>
      </w:r>
    </w:p>
    <w:p>
      <w:pPr>
        <w:jc w:val="both"/>
        <w:rPr>
          <w:rFonts w:ascii="Times New Roman" w:hAnsi="Times New Roman" w:cs="Times New Roman"/>
          <w:noProof/>
          <w:sz w:val="24"/>
          <w:szCs w:val="24"/>
        </w:rPr>
      </w:pPr>
      <w:r>
        <w:rPr>
          <w:rFonts w:ascii="Times New Roman" w:hAnsi="Times New Roman"/>
          <w:noProof/>
          <w:sz w:val="24"/>
          <w:szCs w:val="24"/>
        </w:rPr>
        <w:t>Conformément à l’article 55 du règlement financier applicable au 11</w:t>
      </w:r>
      <w:r>
        <w:rPr>
          <w:rFonts w:ascii="Times New Roman" w:hAnsi="Times New Roman"/>
          <w:noProof/>
          <w:sz w:val="24"/>
          <w:szCs w:val="24"/>
          <w:vertAlign w:val="superscript"/>
        </w:rPr>
        <w:t>e</w:t>
      </w:r>
      <w:r>
        <w:rPr>
          <w:rFonts w:ascii="Times New Roman" w:hAnsi="Times New Roman"/>
          <w:noProof/>
          <w:sz w:val="24"/>
          <w:szCs w:val="24"/>
        </w:rPr>
        <w:t xml:space="preserve"> FED,  le tableau qui suit montre la réduction potentielle des contributions des États membres compte tenu du montant dans la réserve de fonds dégagés de FED antérieurs.</w:t>
      </w:r>
    </w:p>
    <w:tbl>
      <w:tblPr>
        <w:tblW w:w="5000" w:type="pct"/>
        <w:tblCellMar>
          <w:left w:w="70" w:type="dxa"/>
          <w:right w:w="70" w:type="dxa"/>
        </w:tblCellMar>
        <w:tblLook w:val="04A0" w:firstRow="1" w:lastRow="0" w:firstColumn="1" w:lastColumn="0" w:noHBand="0" w:noVBand="1"/>
      </w:tblPr>
      <w:tblGrid>
        <w:gridCol w:w="2193"/>
        <w:gridCol w:w="1009"/>
        <w:gridCol w:w="1009"/>
        <w:gridCol w:w="1527"/>
        <w:gridCol w:w="1798"/>
        <w:gridCol w:w="1674"/>
      </w:tblGrid>
      <w:tr>
        <w:trPr>
          <w:trHeight w:val="435"/>
        </w:trPr>
        <w:tc>
          <w:tcPr>
            <w:tcW w:w="1190" w:type="pc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ÉTATS MEMBRES</w:t>
            </w:r>
          </w:p>
        </w:tc>
        <w:tc>
          <w:tcPr>
            <w:tcW w:w="548" w:type="pct"/>
            <w:tcBorders>
              <w:top w:val="single" w:sz="8"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Clé 9</w:t>
            </w:r>
            <w:r>
              <w:rPr>
                <w:rFonts w:ascii="Times New Roman" w:hAnsi="Times New Roman"/>
                <w:b/>
                <w:bCs/>
                <w:noProof/>
                <w:color w:val="000000"/>
                <w:sz w:val="16"/>
                <w:szCs w:val="16"/>
                <w:vertAlign w:val="superscript"/>
              </w:rPr>
              <w:t>e</w:t>
            </w:r>
            <w:r>
              <w:rPr>
                <w:rFonts w:ascii="Times New Roman" w:hAnsi="Times New Roman"/>
                <w:b/>
                <w:bCs/>
                <w:noProof/>
                <w:color w:val="000000"/>
                <w:sz w:val="16"/>
                <w:szCs w:val="16"/>
              </w:rPr>
              <w:br/>
              <w:t>FED %</w:t>
            </w:r>
          </w:p>
        </w:tc>
        <w:tc>
          <w:tcPr>
            <w:tcW w:w="548" w:type="pct"/>
            <w:tcBorders>
              <w:top w:val="single" w:sz="8"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Clé 10</w:t>
            </w:r>
            <w:r>
              <w:rPr>
                <w:rFonts w:ascii="Times New Roman" w:hAnsi="Times New Roman"/>
                <w:b/>
                <w:bCs/>
                <w:noProof/>
                <w:color w:val="000000"/>
                <w:sz w:val="16"/>
                <w:szCs w:val="16"/>
                <w:vertAlign w:val="superscript"/>
              </w:rPr>
              <w:t>e</w:t>
            </w:r>
            <w:r>
              <w:rPr>
                <w:rFonts w:ascii="Times New Roman" w:hAnsi="Times New Roman"/>
                <w:b/>
                <w:bCs/>
                <w:noProof/>
                <w:color w:val="000000"/>
                <w:sz w:val="16"/>
                <w:szCs w:val="16"/>
              </w:rPr>
              <w:br/>
              <w:t>FED %</w:t>
            </w:r>
          </w:p>
        </w:tc>
        <w:tc>
          <w:tcPr>
            <w:tcW w:w="829" w:type="pct"/>
            <w:tcBorders>
              <w:top w:val="single" w:sz="8" w:space="0" w:color="auto"/>
              <w:left w:val="nil"/>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w:t>
            </w:r>
            <w:r>
              <w:rPr>
                <w:rFonts w:ascii="Times New Roman" w:hAnsi="Times New Roman"/>
                <w:b/>
                <w:bCs/>
                <w:noProof/>
                <w:color w:val="000000"/>
                <w:sz w:val="16"/>
                <w:szCs w:val="16"/>
                <w:vertAlign w:val="superscript"/>
              </w:rPr>
              <w:t>e</w:t>
            </w:r>
            <w:r>
              <w:rPr>
                <w:rFonts w:ascii="Times New Roman" w:hAnsi="Times New Roman"/>
                <w:b/>
                <w:bCs/>
                <w:noProof/>
                <w:color w:val="000000"/>
                <w:sz w:val="16"/>
                <w:szCs w:val="16"/>
              </w:rPr>
              <w:t>/9</w:t>
            </w:r>
            <w:r>
              <w:rPr>
                <w:rFonts w:ascii="Times New Roman" w:hAnsi="Times New Roman"/>
                <w:b/>
                <w:bCs/>
                <w:noProof/>
                <w:color w:val="000000"/>
                <w:sz w:val="16"/>
                <w:szCs w:val="16"/>
                <w:vertAlign w:val="superscript"/>
              </w:rPr>
              <w:t>e</w:t>
            </w:r>
            <w:r>
              <w:rPr>
                <w:rFonts w:ascii="Times New Roman" w:hAnsi="Times New Roman"/>
                <w:b/>
                <w:bCs/>
                <w:noProof/>
                <w:color w:val="000000"/>
                <w:sz w:val="16"/>
                <w:szCs w:val="16"/>
              </w:rPr>
              <w:t xml:space="preserve"> FED</w:t>
            </w:r>
          </w:p>
        </w:tc>
        <w:tc>
          <w:tcPr>
            <w:tcW w:w="976" w:type="pct"/>
            <w:tcBorders>
              <w:top w:val="single" w:sz="8" w:space="0" w:color="auto"/>
              <w:left w:val="nil"/>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w:t>
            </w:r>
            <w:r>
              <w:rPr>
                <w:rFonts w:ascii="Times New Roman" w:hAnsi="Times New Roman"/>
                <w:b/>
                <w:bCs/>
                <w:noProof/>
                <w:color w:val="000000"/>
                <w:sz w:val="16"/>
                <w:szCs w:val="16"/>
                <w:vertAlign w:val="superscript"/>
              </w:rPr>
              <w:t>e</w:t>
            </w:r>
            <w:r>
              <w:rPr>
                <w:rFonts w:ascii="Times New Roman" w:hAnsi="Times New Roman"/>
                <w:b/>
                <w:bCs/>
                <w:noProof/>
                <w:color w:val="000000"/>
                <w:sz w:val="16"/>
                <w:szCs w:val="16"/>
              </w:rPr>
              <w:t> FED</w:t>
            </w:r>
          </w:p>
        </w:tc>
        <w:tc>
          <w:tcPr>
            <w:tcW w:w="909" w:type="pct"/>
            <w:tcBorders>
              <w:top w:val="single" w:sz="8" w:space="0" w:color="auto"/>
              <w:left w:val="nil"/>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TOTAL</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BELGIQUE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3,92</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3,53</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6 132 854,42</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11 236 740,17</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17 369 594,60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BULGARIE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0,14</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445 649,75</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445 649,75</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RÉPUBLIQUE TCHÈQUE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0,51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1 623 438,38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1 623 438,38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DANEMARK</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2,14</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2,00</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3 348 037,87</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6 366 425,03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9 714 462,90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ALLEMAGNE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23,36</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20,50</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36 546 805,96</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65 255 856,53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101 802 662,49</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ESTONIE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0,05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159 160,63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159 160,63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IRLANDE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0,62</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0,91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969 992,28</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2 896 723,39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3 866 715,67</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GRÈCE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1,25</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1,47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1 955 629,60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4 679 322,40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6 634 951,99</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ESPAGNE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5,84</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7,85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9 136 701,49</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24 988 218,23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34 124 919,72</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FRANCE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24,30</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19,55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38 017 439,42</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62 231 804,64</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100 249 244,06</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CROATIE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ITALIE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12,54</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12,86</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19 618 876,14</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40 936 112,93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60 554 989,07</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CHYPRE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0,09</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286 489,13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286 489,13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LETTONIE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0,07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222 824,88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222 824,88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LITUANIE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0,12</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381 985,50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381 985,50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LUXEMBOURG</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0,29</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0,27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453 706,07</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859 467,38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1 313 173,45</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HONGRIE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0,55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1 750 766,88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1 750 766,88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MALTE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0,03</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95 496,38</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95 496,38</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PAYS-BAS</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5,22</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4,85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8 166 709,21</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15 438 580,69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23 605 289,90</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AUTRICHE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2,65</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2,41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4 145 934,75</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7 671 542,16</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11 817 476,91</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POLOGNE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1,30</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4 138 176,27</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4 138 176,27</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PORTUGAL</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0,97</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1,15</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1 517 568,57</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3 660 694,39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5 178 262,96</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ROUMANIE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0,37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1 177 788,63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1 177 788,63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SLOVÉNIE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0,18</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572 978,25</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572 978,25</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SLOVAQUIE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0,21</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0,00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668 474,63</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668 474,63</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FINLANDE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1,48</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1,47</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2 315 465,45</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4 679 322,40</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6 994 787,84</w:t>
            </w:r>
          </w:p>
        </w:tc>
      </w:tr>
      <w:tr>
        <w:trPr>
          <w:trHeight w:val="255"/>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SUÈDE</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2,73</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2,74</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4 271 095,05</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8 722 002,29</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12 993 097,33</w:t>
            </w:r>
          </w:p>
        </w:tc>
      </w:tr>
      <w:tr>
        <w:trPr>
          <w:trHeight w:val="270"/>
        </w:trPr>
        <w:tc>
          <w:tcPr>
            <w:tcW w:w="1190"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ROYAUME-UNI</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12,69</w:t>
            </w:r>
          </w:p>
        </w:tc>
        <w:tc>
          <w:tcPr>
            <w:tcW w:w="548" w:type="pct"/>
            <w:tcBorders>
              <w:top w:val="nil"/>
              <w:left w:val="nil"/>
              <w:bottom w:val="nil"/>
              <w:right w:val="single" w:sz="8" w:space="0" w:color="auto"/>
            </w:tcBorders>
            <w:shd w:val="clear" w:color="000000" w:fill="BFBFBF"/>
            <w:noWrap/>
            <w:vAlign w:val="center"/>
            <w:hideMark/>
          </w:tcPr>
          <w:p>
            <w:pPr>
              <w:spacing w:after="0" w:line="240" w:lineRule="auto"/>
              <w:jc w:val="center"/>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14,82</w:t>
            </w:r>
          </w:p>
        </w:tc>
        <w:tc>
          <w:tcPr>
            <w:tcW w:w="829" w:type="pct"/>
            <w:tcBorders>
              <w:top w:val="nil"/>
              <w:left w:val="nil"/>
              <w:bottom w:val="nil"/>
              <w:right w:val="nil"/>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19 853 551,70</w:t>
            </w:r>
          </w:p>
        </w:tc>
        <w:tc>
          <w:tcPr>
            <w:tcW w:w="976" w:type="pct"/>
            <w:tcBorders>
              <w:top w:val="nil"/>
              <w:left w:val="single" w:sz="8" w:space="0" w:color="auto"/>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47 175 209,45</w:t>
            </w:r>
          </w:p>
        </w:tc>
        <w:tc>
          <w:tcPr>
            <w:tcW w:w="909" w:type="pct"/>
            <w:tcBorders>
              <w:top w:val="nil"/>
              <w:left w:val="nil"/>
              <w:bottom w:val="nil"/>
              <w:right w:val="single" w:sz="8"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67 028 761,15</w:t>
            </w:r>
          </w:p>
        </w:tc>
      </w:tr>
      <w:tr>
        <w:trPr>
          <w:trHeight w:val="270"/>
        </w:trPr>
        <w:tc>
          <w:tcPr>
            <w:tcW w:w="1190"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Total EU-28</w:t>
            </w:r>
          </w:p>
        </w:tc>
        <w:tc>
          <w:tcPr>
            <w:tcW w:w="548"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100,00</w:t>
            </w:r>
          </w:p>
        </w:tc>
        <w:tc>
          <w:tcPr>
            <w:tcW w:w="548"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100,00</w:t>
            </w:r>
          </w:p>
        </w:tc>
        <w:tc>
          <w:tcPr>
            <w:tcW w:w="829"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156 450 367,97</w:t>
            </w:r>
          </w:p>
        </w:tc>
        <w:tc>
          <w:tcPr>
            <w:tcW w:w="976"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318 321 251,37</w:t>
            </w:r>
          </w:p>
        </w:tc>
        <w:tc>
          <w:tcPr>
            <w:tcW w:w="909"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474 771 619,34</w:t>
            </w:r>
          </w:p>
        </w:tc>
      </w:tr>
    </w:tbl>
    <w:p>
      <w:pP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01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02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2">
    <w:p>
      <w:pPr>
        <w:pStyle w:val="FootnoteText"/>
      </w:pPr>
      <w:r>
        <w:rPr>
          <w:rStyle w:val="FootnoteReference"/>
        </w:rPr>
        <w:footnoteRef/>
      </w:r>
      <w:r>
        <w:tab/>
        <w:t>Règlement (UE) 2018/1877 du Conseil du 26 novembre 2018 portant règlement financier applicable au 11</w:t>
      </w:r>
      <w:r>
        <w:rPr>
          <w:vertAlign w:val="superscript"/>
        </w:rPr>
        <w:t>e</w:t>
      </w:r>
      <w:r>
        <w:t xml:space="preserve"> Fonds européen de développement (JO L 307 du 3.12.2018, p. 1).</w:t>
      </w:r>
    </w:p>
  </w:footnote>
  <w:footnote w:id="3">
    <w:p>
      <w:pPr>
        <w:pStyle w:val="FootnoteText"/>
      </w:pPr>
      <w:r>
        <w:rPr>
          <w:rStyle w:val="FootnoteReference"/>
        </w:rPr>
        <w:footnoteRef/>
      </w:r>
      <w:r>
        <w:tab/>
        <w:t>Engagements bruts, à savoir sans déduction des dégagements.</w:t>
      </w:r>
    </w:p>
  </w:footnote>
  <w:footnote w:id="4">
    <w:p>
      <w:pPr>
        <w:pStyle w:val="FootnoteText"/>
      </w:pPr>
      <w:r>
        <w:rPr>
          <w:rStyle w:val="FootnoteReference"/>
        </w:rPr>
        <w:footnoteRef/>
      </w:r>
      <w:r>
        <w:tab/>
        <w:t>Paiements bruts, c’est-à-dire sans déduction des recouvrements.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lvlText w:val="%1."/>
      <w:lvlJc w:val="left"/>
      <w:pPr>
        <w:tabs>
          <w:tab w:val="num" w:pos="1209"/>
        </w:tabs>
        <w:ind w:left="1209" w:hanging="360"/>
      </w:pPr>
    </w:lvl>
  </w:abstractNum>
  <w:abstractNum w:abstractNumId="1">
    <w:nsid w:val="FFFFFF7E"/>
    <w:multiLevelType w:val="singleLevel"/>
    <w:tmpl w:val="BA0623B4"/>
    <w:lvl w:ilvl="0">
      <w:start w:val="1"/>
      <w:numFmt w:val="decimal"/>
      <w:lvlText w:val="%1."/>
      <w:lvlJc w:val="left"/>
      <w:pPr>
        <w:tabs>
          <w:tab w:val="num" w:pos="926"/>
        </w:tabs>
        <w:ind w:left="926" w:hanging="360"/>
      </w:pPr>
    </w:lvl>
  </w:abstractNum>
  <w:abstractNum w:abstractNumId="2">
    <w:nsid w:val="FFFFFF7F"/>
    <w:multiLevelType w:val="singleLevel"/>
    <w:tmpl w:val="268AEF7A"/>
    <w:lvl w:ilvl="0">
      <w:start w:val="1"/>
      <w:numFmt w:val="decimal"/>
      <w:lvlText w:val="%1."/>
      <w:lvlJc w:val="left"/>
      <w:pPr>
        <w:tabs>
          <w:tab w:val="num" w:pos="643"/>
        </w:tabs>
        <w:ind w:left="643" w:hanging="360"/>
      </w:pPr>
    </w:lvl>
  </w:abstractNum>
  <w:abstractNum w:abstractNumId="3">
    <w:nsid w:val="FFFFFF81"/>
    <w:multiLevelType w:val="singleLevel"/>
    <w:tmpl w:val="EE18D2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lvlText w:val="%1."/>
      <w:lvlJc w:val="left"/>
      <w:pPr>
        <w:tabs>
          <w:tab w:val="num" w:pos="360"/>
        </w:tabs>
        <w:ind w:left="360" w:hanging="360"/>
      </w:pPr>
    </w:lvl>
  </w:abstractNum>
  <w:abstractNum w:abstractNumId="7">
    <w:nsid w:val="FFFFFF89"/>
    <w:multiLevelType w:val="singleLevel"/>
    <w:tmpl w:val="46743C36"/>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F4C408B"/>
    <w:multiLevelType w:val="hybridMultilevel"/>
    <w:tmpl w:val="EDF20430"/>
    <w:lvl w:ilvl="0" w:tplc="A22C064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1"/>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77C92F-B4AE-4B78-A3AA-F0DC3BC14F7B"/>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Informations financières sur le Fonds européen de développement &lt;/FMT&gt;_x000d__x000d__x000b__x000d__x000d__x000d__x000b__x000d_Fonds européen de développement (FED): prévisions relatives aux engagements, aux paiements et aux contributions"/>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19162">
      <w:bodyDiv w:val="1"/>
      <w:marLeft w:val="0"/>
      <w:marRight w:val="0"/>
      <w:marTop w:val="0"/>
      <w:marBottom w:val="0"/>
      <w:divBdr>
        <w:top w:val="none" w:sz="0" w:space="0" w:color="auto"/>
        <w:left w:val="none" w:sz="0" w:space="0" w:color="auto"/>
        <w:bottom w:val="none" w:sz="0" w:space="0" w:color="auto"/>
        <w:right w:val="none" w:sz="0" w:space="0" w:color="auto"/>
      </w:divBdr>
    </w:div>
    <w:div w:id="427968215">
      <w:bodyDiv w:val="1"/>
      <w:marLeft w:val="0"/>
      <w:marRight w:val="0"/>
      <w:marTop w:val="0"/>
      <w:marBottom w:val="0"/>
      <w:divBdr>
        <w:top w:val="none" w:sz="0" w:space="0" w:color="auto"/>
        <w:left w:val="none" w:sz="0" w:space="0" w:color="auto"/>
        <w:bottom w:val="none" w:sz="0" w:space="0" w:color="auto"/>
        <w:right w:val="none" w:sz="0" w:space="0" w:color="auto"/>
      </w:divBdr>
    </w:div>
    <w:div w:id="494616487">
      <w:bodyDiv w:val="1"/>
      <w:marLeft w:val="0"/>
      <w:marRight w:val="0"/>
      <w:marTop w:val="0"/>
      <w:marBottom w:val="0"/>
      <w:divBdr>
        <w:top w:val="none" w:sz="0" w:space="0" w:color="auto"/>
        <w:left w:val="none" w:sz="0" w:space="0" w:color="auto"/>
        <w:bottom w:val="none" w:sz="0" w:space="0" w:color="auto"/>
        <w:right w:val="none" w:sz="0" w:space="0" w:color="auto"/>
      </w:divBdr>
    </w:div>
    <w:div w:id="800155419">
      <w:bodyDiv w:val="1"/>
      <w:marLeft w:val="0"/>
      <w:marRight w:val="0"/>
      <w:marTop w:val="0"/>
      <w:marBottom w:val="0"/>
      <w:divBdr>
        <w:top w:val="none" w:sz="0" w:space="0" w:color="auto"/>
        <w:left w:val="none" w:sz="0" w:space="0" w:color="auto"/>
        <w:bottom w:val="none" w:sz="0" w:space="0" w:color="auto"/>
        <w:right w:val="none" w:sz="0" w:space="0" w:color="auto"/>
      </w:divBdr>
    </w:div>
    <w:div w:id="833109636">
      <w:bodyDiv w:val="1"/>
      <w:marLeft w:val="0"/>
      <w:marRight w:val="0"/>
      <w:marTop w:val="0"/>
      <w:marBottom w:val="0"/>
      <w:divBdr>
        <w:top w:val="none" w:sz="0" w:space="0" w:color="auto"/>
        <w:left w:val="none" w:sz="0" w:space="0" w:color="auto"/>
        <w:bottom w:val="none" w:sz="0" w:space="0" w:color="auto"/>
        <w:right w:val="none" w:sz="0" w:space="0" w:color="auto"/>
      </w:divBdr>
    </w:div>
    <w:div w:id="1023749419">
      <w:bodyDiv w:val="1"/>
      <w:marLeft w:val="0"/>
      <w:marRight w:val="0"/>
      <w:marTop w:val="0"/>
      <w:marBottom w:val="0"/>
      <w:divBdr>
        <w:top w:val="none" w:sz="0" w:space="0" w:color="auto"/>
        <w:left w:val="none" w:sz="0" w:space="0" w:color="auto"/>
        <w:bottom w:val="none" w:sz="0" w:space="0" w:color="auto"/>
        <w:right w:val="none" w:sz="0" w:space="0" w:color="auto"/>
      </w:divBdr>
    </w:div>
    <w:div w:id="1152405720">
      <w:bodyDiv w:val="1"/>
      <w:marLeft w:val="0"/>
      <w:marRight w:val="0"/>
      <w:marTop w:val="0"/>
      <w:marBottom w:val="0"/>
      <w:divBdr>
        <w:top w:val="none" w:sz="0" w:space="0" w:color="auto"/>
        <w:left w:val="none" w:sz="0" w:space="0" w:color="auto"/>
        <w:bottom w:val="none" w:sz="0" w:space="0" w:color="auto"/>
        <w:right w:val="none" w:sz="0" w:space="0" w:color="auto"/>
      </w:divBdr>
    </w:div>
    <w:div w:id="1190683766">
      <w:bodyDiv w:val="1"/>
      <w:marLeft w:val="0"/>
      <w:marRight w:val="0"/>
      <w:marTop w:val="0"/>
      <w:marBottom w:val="0"/>
      <w:divBdr>
        <w:top w:val="none" w:sz="0" w:space="0" w:color="auto"/>
        <w:left w:val="none" w:sz="0" w:space="0" w:color="auto"/>
        <w:bottom w:val="none" w:sz="0" w:space="0" w:color="auto"/>
        <w:right w:val="none" w:sz="0" w:space="0" w:color="auto"/>
      </w:divBdr>
    </w:div>
    <w:div w:id="1330906994">
      <w:bodyDiv w:val="1"/>
      <w:marLeft w:val="0"/>
      <w:marRight w:val="0"/>
      <w:marTop w:val="0"/>
      <w:marBottom w:val="0"/>
      <w:divBdr>
        <w:top w:val="none" w:sz="0" w:space="0" w:color="auto"/>
        <w:left w:val="none" w:sz="0" w:space="0" w:color="auto"/>
        <w:bottom w:val="none" w:sz="0" w:space="0" w:color="auto"/>
        <w:right w:val="none" w:sz="0" w:space="0" w:color="auto"/>
      </w:divBdr>
    </w:div>
    <w:div w:id="1345672292">
      <w:bodyDiv w:val="1"/>
      <w:marLeft w:val="0"/>
      <w:marRight w:val="0"/>
      <w:marTop w:val="0"/>
      <w:marBottom w:val="0"/>
      <w:divBdr>
        <w:top w:val="none" w:sz="0" w:space="0" w:color="auto"/>
        <w:left w:val="none" w:sz="0" w:space="0" w:color="auto"/>
        <w:bottom w:val="none" w:sz="0" w:space="0" w:color="auto"/>
        <w:right w:val="none" w:sz="0" w:space="0" w:color="auto"/>
      </w:divBdr>
    </w:div>
    <w:div w:id="1403912491">
      <w:bodyDiv w:val="1"/>
      <w:marLeft w:val="0"/>
      <w:marRight w:val="0"/>
      <w:marTop w:val="0"/>
      <w:marBottom w:val="0"/>
      <w:divBdr>
        <w:top w:val="none" w:sz="0" w:space="0" w:color="auto"/>
        <w:left w:val="none" w:sz="0" w:space="0" w:color="auto"/>
        <w:bottom w:val="none" w:sz="0" w:space="0" w:color="auto"/>
        <w:right w:val="none" w:sz="0" w:space="0" w:color="auto"/>
      </w:divBdr>
    </w:div>
    <w:div w:id="1434210494">
      <w:bodyDiv w:val="1"/>
      <w:marLeft w:val="0"/>
      <w:marRight w:val="0"/>
      <w:marTop w:val="0"/>
      <w:marBottom w:val="0"/>
      <w:divBdr>
        <w:top w:val="none" w:sz="0" w:space="0" w:color="auto"/>
        <w:left w:val="none" w:sz="0" w:space="0" w:color="auto"/>
        <w:bottom w:val="none" w:sz="0" w:space="0" w:color="auto"/>
        <w:right w:val="none" w:sz="0" w:space="0" w:color="auto"/>
      </w:divBdr>
    </w:div>
    <w:div w:id="1586106177">
      <w:bodyDiv w:val="1"/>
      <w:marLeft w:val="0"/>
      <w:marRight w:val="0"/>
      <w:marTop w:val="0"/>
      <w:marBottom w:val="0"/>
      <w:divBdr>
        <w:top w:val="none" w:sz="0" w:space="0" w:color="auto"/>
        <w:left w:val="none" w:sz="0" w:space="0" w:color="auto"/>
        <w:bottom w:val="none" w:sz="0" w:space="0" w:color="auto"/>
        <w:right w:val="none" w:sz="0" w:space="0" w:color="auto"/>
      </w:divBdr>
    </w:div>
    <w:div w:id="1668899244">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786850981">
      <w:bodyDiv w:val="1"/>
      <w:marLeft w:val="0"/>
      <w:marRight w:val="0"/>
      <w:marTop w:val="0"/>
      <w:marBottom w:val="0"/>
      <w:divBdr>
        <w:top w:val="none" w:sz="0" w:space="0" w:color="auto"/>
        <w:left w:val="none" w:sz="0" w:space="0" w:color="auto"/>
        <w:bottom w:val="none" w:sz="0" w:space="0" w:color="auto"/>
        <w:right w:val="none" w:sz="0" w:space="0" w:color="auto"/>
      </w:divBdr>
    </w:div>
    <w:div w:id="1865902798">
      <w:bodyDiv w:val="1"/>
      <w:marLeft w:val="0"/>
      <w:marRight w:val="0"/>
      <w:marTop w:val="0"/>
      <w:marBottom w:val="0"/>
      <w:divBdr>
        <w:top w:val="none" w:sz="0" w:space="0" w:color="auto"/>
        <w:left w:val="none" w:sz="0" w:space="0" w:color="auto"/>
        <w:bottom w:val="none" w:sz="0" w:space="0" w:color="auto"/>
        <w:right w:val="none" w:sz="0" w:space="0" w:color="auto"/>
      </w:divBdr>
    </w:div>
    <w:div w:id="19083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564821-0303-455D-95D3-9CCECEB3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5329</Words>
  <Characters>22064</Characters>
  <Application>Microsoft Office Word</Application>
  <DocSecurity>0</DocSecurity>
  <Lines>2451</Lines>
  <Paragraphs>2282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43</cp:revision>
  <dcterms:created xsi:type="dcterms:W3CDTF">2019-03-28T16:27:00Z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