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042AC2-7FDC-4051-92AE-697BF79A494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Foreword</w:t>
      </w:r>
    </w:p>
    <w:p>
      <w:pPr>
        <w:pStyle w:val="Text1"/>
        <w:rPr>
          <w:noProof/>
        </w:rPr>
      </w:pPr>
      <w:r>
        <w:rPr>
          <w:noProof/>
        </w:rPr>
        <w:t>In accordance with Article 7(3) of the 11</w:t>
      </w:r>
      <w:r>
        <w:rPr>
          <w:noProof/>
          <w:vertAlign w:val="superscript"/>
        </w:rPr>
        <w:t>th</w:t>
      </w:r>
      <w:r>
        <w:rPr>
          <w:noProof/>
        </w:rPr>
        <w:t xml:space="preserve"> EDF Internal Agreement</w:t>
      </w:r>
      <w:r>
        <w:rPr>
          <w:rStyle w:val="FootnoteReference"/>
          <w:noProof/>
        </w:rPr>
        <w:footnoteReference w:id="1"/>
      </w:r>
      <w:r>
        <w:rPr>
          <w:noProof/>
        </w:rPr>
        <w:t xml:space="preserve"> and Article 19(4) of the Council Regulation (EU) 2018/1877</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the commitments, payments and contributions made in 2018 and to be made in the years 2019 and 2020, taking into account the forecasts of the European Investment Bank (EIB). </w:t>
      </w:r>
    </w:p>
    <w:p>
      <w:pPr>
        <w:pStyle w:val="Text1"/>
        <w:rPr>
          <w:noProof/>
        </w:rPr>
      </w:pPr>
      <w:r>
        <w:rPr>
          <w:noProof/>
        </w:rPr>
        <w:t>This document sets out the financial implementation of the EDFs (Eighth to 11</w:t>
      </w:r>
      <w:r>
        <w:rPr>
          <w:noProof/>
          <w:vertAlign w:val="superscript"/>
        </w:rPr>
        <w:t>th</w:t>
      </w:r>
      <w:r>
        <w:rPr>
          <w:noProof/>
        </w:rPr>
        <w:t>) for 2018 and the forecasts of implementation for 2019 and 2020.</w:t>
      </w:r>
    </w:p>
    <w:p>
      <w:pPr>
        <w:pStyle w:val="Text1"/>
        <w:rPr>
          <w:noProof/>
        </w:rPr>
      </w:pPr>
      <w:r>
        <w:rPr>
          <w:noProof/>
        </w:rPr>
        <w:t>Member States contribute funds directly to the European Investment Bank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 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2019 and 2020 for each of the African, Caribbean and Pacific (ACP) countries and the Overseas Countries and Territories (OCTs).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7(3) of the 11</w:t>
      </w:r>
      <w:r>
        <w:rPr>
          <w:noProof/>
          <w:vertAlign w:val="superscript"/>
        </w:rPr>
        <w:t>th</w:t>
      </w:r>
      <w:r>
        <w:rPr>
          <w:noProof/>
        </w:rPr>
        <w:t xml:space="preserve"> EDF Internal Agreement and Article 19(4) of the 11</w:t>
      </w:r>
      <w:r>
        <w:rPr>
          <w:noProof/>
          <w:vertAlign w:val="superscript"/>
        </w:rPr>
        <w:t>th</w:t>
      </w:r>
      <w:r>
        <w:rPr>
          <w:noProof/>
        </w:rPr>
        <w:t xml:space="preserve"> EDF Financial Regulation, the estimates of commitments and payments have been updated following the latest forecasts.</w:t>
      </w:r>
    </w:p>
    <w:p>
      <w:pPr>
        <w:pStyle w:val="Text1"/>
        <w:rPr>
          <w:noProof/>
        </w:rPr>
      </w:pPr>
      <w:r>
        <w:rPr>
          <w:noProof/>
        </w:rPr>
        <w:t>The graph below shows the general evolution in gross commitments and payments since 1999 until 2018 and projections for the period 2019-2020 (Commission and EIB cumulated amounts).</w:t>
      </w:r>
    </w:p>
    <w:p>
      <w:pPr>
        <w:pStyle w:val="Text1"/>
        <w:ind w:left="0"/>
        <w:rPr>
          <w:noProof/>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rPr>
          <w:rFonts w:ascii="Times New Roman" w:hAnsi="Times New Roman" w:cs="Times New Roman"/>
          <w:b/>
          <w:noProof/>
          <w:sz w:val="24"/>
          <w:szCs w:val="24"/>
        </w:rPr>
      </w:pPr>
      <w:r>
        <w:rPr>
          <w:rFonts w:ascii="Times New Roman" w:hAnsi="Times New Roman" w:cs="Times New Roman"/>
          <w:b/>
          <w:noProof/>
          <w:sz w:val="24"/>
          <w:szCs w:val="24"/>
        </w:rPr>
        <w:t>Gross commitments and payments: trend 1999-2020 (EUR million)</w:t>
      </w:r>
    </w:p>
    <w:p>
      <w:pPr>
        <w:pStyle w:val="Text1"/>
        <w:ind w:left="0"/>
        <w:jc w:val="center"/>
        <w:rPr>
          <w:noProof/>
        </w:rPr>
      </w:pPr>
      <w:r>
        <w:rPr>
          <w:noProof/>
        </w:rPr>
        <w:drawing>
          <wp:inline distT="0" distB="0" distL="0" distR="0">
            <wp:extent cx="5761355" cy="3213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355" cy="3213100"/>
                    </a:xfrm>
                    <a:prstGeom prst="rect">
                      <a:avLst/>
                    </a:prstGeom>
                  </pic:spPr>
                </pic:pic>
              </a:graphicData>
            </a:graphic>
          </wp:inline>
        </w:drawing>
      </w:r>
    </w:p>
    <w:p>
      <w:pPr>
        <w:pStyle w:val="Text1"/>
        <w:ind w:left="0"/>
        <w:rPr>
          <w:noProof/>
        </w:rPr>
      </w:pPr>
      <w:r>
        <w:rPr>
          <w:noProof/>
        </w:rPr>
        <w:t>* Forecasts for 2019-2020</w:t>
      </w:r>
    </w:p>
    <w:p>
      <w:pPr>
        <w:pStyle w:val="Text1"/>
        <w:ind w:left="0"/>
        <w:rPr>
          <w:noProof/>
        </w:rPr>
      </w:pPr>
      <w:r>
        <w:rPr>
          <w:noProof/>
        </w:rPr>
        <w:t>Note: Figures from implementation of the European Development Funds until 31 December 2018 (commitments and payments) and forecasts for 2019-2020.</w:t>
      </w:r>
    </w:p>
    <w:p>
      <w:pPr>
        <w:pStyle w:val="ManualHeading1"/>
        <w:rPr>
          <w:noProof/>
        </w:rPr>
      </w:pPr>
      <w:r>
        <w:t>3.</w:t>
      </w:r>
      <w:r>
        <w:tab/>
      </w:r>
      <w:r>
        <w:rPr>
          <w:noProof/>
        </w:rPr>
        <w:t>Financial actuals 2018 and forecasts for 2019 - 2020</w:t>
      </w:r>
      <w:r>
        <w:rPr>
          <w:noProof/>
          <w:szCs w:val="24"/>
        </w:rPr>
        <w:t xml:space="preserve"> (EUR million)</w:t>
      </w:r>
    </w:p>
    <w:p>
      <w:pPr>
        <w:pStyle w:val="Text1"/>
        <w:rPr>
          <w:noProof/>
        </w:rPr>
      </w:pPr>
      <w:r>
        <w:rPr>
          <w:noProof/>
        </w:rPr>
        <w:t>The following table provides an update of the commitments, the payments and of the contributions, based on the Commission's latest forecasts.</w:t>
      </w:r>
    </w:p>
    <w:tbl>
      <w:tblPr>
        <w:tblW w:w="5000" w:type="pct"/>
        <w:tblCellMar>
          <w:left w:w="70" w:type="dxa"/>
          <w:right w:w="70" w:type="dxa"/>
        </w:tblCellMar>
        <w:tblLook w:val="04A0" w:firstRow="1" w:lastRow="0" w:firstColumn="1" w:lastColumn="0" w:noHBand="0" w:noVBand="1"/>
      </w:tblPr>
      <w:tblGrid>
        <w:gridCol w:w="2862"/>
        <w:gridCol w:w="2558"/>
        <w:gridCol w:w="1306"/>
        <w:gridCol w:w="1306"/>
        <w:gridCol w:w="1181"/>
      </w:tblGrid>
      <w:tr>
        <w:trPr>
          <w:trHeight w:val="240"/>
        </w:trPr>
        <w:tc>
          <w:tcPr>
            <w:tcW w:w="294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Actuals 2018</w:t>
            </w:r>
            <w:r>
              <w:rPr>
                <w:rFonts w:ascii="Times New Roman" w:eastAsia="Times New Roman" w:hAnsi="Times New Roman" w:cs="Times New Roman"/>
                <w:b/>
                <w:bCs/>
                <w:noProof/>
                <w:sz w:val="24"/>
                <w:szCs w:val="24"/>
                <w:lang w:val="fr-BE" w:eastAsia="fr-BE"/>
              </w:rPr>
              <w:br/>
              <w:t>Forecasts 2019-2020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42"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2018</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2019</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2020</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Commitments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4 959</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4 057</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3 372</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1.130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956</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917</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6 089</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5 013</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4 289</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Payments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4 124</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4 400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381</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590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590</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4 505</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4 990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4 990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4 250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4 400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250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4 500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4 700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4 700</w:t>
            </w:r>
          </w:p>
        </w:tc>
      </w:tr>
    </w:tbl>
    <w:p>
      <w:pPr>
        <w:pStyle w:val="Text1"/>
        <w:ind w:left="0"/>
        <w:jc w:val="left"/>
        <w:rPr>
          <w:noProof/>
          <w:sz w:val="20"/>
          <w:szCs w:val="20"/>
        </w:rPr>
      </w:pPr>
      <w:r>
        <w:rPr>
          <w:noProof/>
          <w:sz w:val="20"/>
          <w:szCs w:val="20"/>
        </w:rPr>
        <w:t>* Gross amounts, i.e. no decommitments or recoveries/reflows have been deducted. This approach is in line with that used for the general budget of the Union.</w:t>
      </w:r>
    </w:p>
    <w:p>
      <w:pPr>
        <w:pStyle w:val="ManualHeading1"/>
        <w:rPr>
          <w:noProof/>
        </w:rPr>
      </w:pPr>
      <w:r>
        <w:rPr>
          <w:noProof/>
        </w:rPr>
        <w:br w:type="page"/>
      </w:r>
      <w:r>
        <w:t>4.</w:t>
      </w:r>
      <w:r>
        <w:tab/>
      </w:r>
      <w:r>
        <w:rPr>
          <w:noProof/>
        </w:rPr>
        <w:t>Non-binding Estimates of contributions for 2021 - 2022</w:t>
      </w:r>
      <w:r>
        <w:rPr>
          <w:noProof/>
          <w:szCs w:val="24"/>
        </w:rPr>
        <w:t xml:space="preserve"> (EUR million)</w:t>
      </w:r>
    </w:p>
    <w:tbl>
      <w:tblPr>
        <w:tblW w:w="5000" w:type="pct"/>
        <w:tblCellMar>
          <w:left w:w="70" w:type="dxa"/>
          <w:right w:w="70" w:type="dxa"/>
        </w:tblCellMar>
        <w:tblLook w:val="04A0" w:firstRow="1" w:lastRow="0" w:firstColumn="1" w:lastColumn="0" w:noHBand="0" w:noVBand="1"/>
      </w:tblPr>
      <w:tblGrid>
        <w:gridCol w:w="2516"/>
        <w:gridCol w:w="2515"/>
        <w:gridCol w:w="2091"/>
        <w:gridCol w:w="2091"/>
      </w:tblGrid>
      <w:tr>
        <w:trPr>
          <w:trHeight w:val="315"/>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r>
      <w:tr>
        <w:trPr>
          <w:trHeight w:val="315"/>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Forecasts 2021-2022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2021</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2022</w:t>
            </w:r>
          </w:p>
        </w:tc>
      </w:tr>
      <w:tr>
        <w:trPr>
          <w:trHeight w:val="33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3 700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2 700</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400</w:t>
            </w:r>
          </w:p>
        </w:tc>
      </w:tr>
      <w:tr>
        <w:trPr>
          <w:trHeight w:val="33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4 000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3 100</w:t>
            </w:r>
          </w:p>
        </w:tc>
      </w:tr>
    </w:tbl>
    <w:p>
      <w:pPr>
        <w:pStyle w:val="Text1"/>
        <w:ind w:left="0"/>
        <w:rPr>
          <w:noProof/>
          <w:sz w:val="20"/>
          <w:szCs w:val="20"/>
        </w:rPr>
      </w:pPr>
      <w:r>
        <w:rPr>
          <w:noProof/>
          <w:sz w:val="20"/>
          <w:szCs w:val="20"/>
        </w:rPr>
        <w:t>* Art.19 (2) 11</w:t>
      </w:r>
      <w:r>
        <w:rPr>
          <w:noProof/>
          <w:sz w:val="20"/>
          <w:szCs w:val="20"/>
          <w:vertAlign w:val="superscript"/>
        </w:rPr>
        <w:t>th</w:t>
      </w:r>
      <w:r>
        <w:rPr>
          <w:noProof/>
          <w:sz w:val="20"/>
          <w:szCs w:val="20"/>
        </w:rPr>
        <w:t xml:space="preserve"> EDF Financial Regulation (EU 2018/1877): indicative, non-binding forecast based on a statistical approach for the expected annual amounts of contributions for the years n + 3 and n + 4.</w:t>
      </w:r>
    </w:p>
    <w:p>
      <w:pPr>
        <w:pStyle w:val="ManualHeading1"/>
        <w:rPr>
          <w:noProof/>
        </w:rPr>
      </w:pPr>
      <w:r>
        <w:t>5.</w:t>
      </w:r>
      <w:r>
        <w:tab/>
      </w:r>
      <w:r>
        <w:rPr>
          <w:noProof/>
        </w:rPr>
        <w:t>Financial implementation for 2018, forecasts for 2019 and 2020.</w:t>
      </w:r>
    </w:p>
    <w:p>
      <w:pPr>
        <w:pStyle w:val="Text1"/>
        <w:rPr>
          <w:noProof/>
        </w:rPr>
      </w:pPr>
      <w:r>
        <w:rPr>
          <w:noProof/>
        </w:rPr>
        <w:t>Updated forecasts are set out in attachments 1 to 3.</w:t>
      </w:r>
    </w:p>
    <w:p>
      <w:pPr>
        <w:pStyle w:val="Text1"/>
        <w:rPr>
          <w:noProof/>
        </w:rPr>
      </w:pPr>
      <w:r>
        <w:rPr>
          <w:noProof/>
        </w:rPr>
        <w:t>Commitments and payments targets set for 2018 were almost reached by the Commission:</w:t>
      </w:r>
    </w:p>
    <w:p>
      <w:pPr>
        <w:pStyle w:val="Text1"/>
        <w:rPr>
          <w:noProof/>
        </w:rPr>
      </w:pPr>
      <w:r>
        <w:rPr>
          <w:noProof/>
        </w:rPr>
        <w:t>•</w:t>
      </w:r>
      <w:r>
        <w:rPr>
          <w:noProof/>
        </w:rPr>
        <w:tab/>
        <w:t xml:space="preserve">EDF </w:t>
      </w:r>
      <w:r>
        <w:rPr>
          <w:noProof/>
          <w:color w:val="000000"/>
        </w:rPr>
        <w:t>Commitments amounted to EUR 4 959 million, exceeding the target of EUR 4 537 million (</w:t>
      </w:r>
      <w:r>
        <w:rPr>
          <w:bCs/>
          <w:noProof/>
          <w:color w:val="000000"/>
        </w:rPr>
        <w:t>109,3%</w:t>
      </w:r>
      <w:r>
        <w:rPr>
          <w:noProof/>
          <w:color w:val="000000"/>
        </w:rPr>
        <w:t xml:space="preserve"> of the annual target)</w:t>
      </w:r>
    </w:p>
    <w:p>
      <w:pPr>
        <w:pStyle w:val="Text1"/>
        <w:rPr>
          <w:noProof/>
        </w:rPr>
      </w:pPr>
      <w:r>
        <w:rPr>
          <w:noProof/>
        </w:rPr>
        <w:t>After several years of very high commitments, a soft landing of new commitments will take place over the last 2 years of the 11th EDF.</w:t>
      </w:r>
    </w:p>
    <w:p>
      <w:pPr>
        <w:pStyle w:val="Text1"/>
        <w:rPr>
          <w:noProof/>
        </w:rPr>
      </w:pPr>
      <w:r>
        <w:rPr>
          <w:noProof/>
        </w:rPr>
        <w:t>•</w:t>
      </w:r>
      <w:r>
        <w:rPr>
          <w:noProof/>
        </w:rPr>
        <w:tab/>
        <w:t>EDF payments reached EUR 4 124 million on 31/12/2018. This represents an execution rate of 98,2% of the annual target (EUR 4 200 million). This level of payments is largely comparable to last year’s record level of payments.</w:t>
      </w:r>
    </w:p>
    <w:p>
      <w:pPr>
        <w:pStyle w:val="Text1"/>
        <w:rPr>
          <w:noProof/>
        </w:rPr>
      </w:pPr>
      <w:r>
        <w:rPr>
          <w:noProof/>
        </w:rPr>
        <w:t xml:space="preserve">In 2019 and 2020 the level of EDF payments should reach a new record level, at EUR 4 400 million. </w:t>
      </w:r>
    </w:p>
    <w:p>
      <w:pPr>
        <w:pStyle w:val="Text1"/>
        <w:rPr>
          <w:noProof/>
        </w:rPr>
      </w:pPr>
    </w:p>
    <w:p>
      <w:pPr>
        <w:pStyle w:val="Text1"/>
        <w:ind w:left="0"/>
        <w:rPr>
          <w:noProof/>
        </w:rPr>
      </w:pPr>
      <w:r>
        <w:rPr>
          <w:noProof/>
        </w:rPr>
        <w:t>Attachments 1, 2 and 3 show respectively actuals for 2018 and forecasts of commitments, forecasts of payments and the financial situation compared with previous forecasts for the period 2019-2020.</w:t>
      </w:r>
    </w:p>
    <w:p>
      <w:pPr>
        <w:pStyle w:val="Text1"/>
        <w:ind w:left="0"/>
        <w:rPr>
          <w:noProof/>
        </w:rPr>
      </w:pPr>
      <w:r>
        <w:rPr>
          <w:noProof/>
        </w:rPr>
        <w:t>Attachments 4 and 5 show respectively contributions for 2019 and for 2020 per instalment and per Member State.</w:t>
      </w:r>
    </w:p>
    <w:p>
      <w:pPr>
        <w:pStyle w:val="Text1"/>
        <w:ind w:left="0"/>
        <w:rPr>
          <w:noProof/>
        </w:rPr>
      </w:pPr>
      <w:r>
        <w:rPr>
          <w:noProof/>
        </w:rPr>
        <w:t>Attachment 6 shows the yearly contributions for the period 2019-2022 per Member State.</w:t>
      </w:r>
    </w:p>
    <w:p>
      <w:pPr>
        <w:pStyle w:val="Text1"/>
        <w:ind w:left="0"/>
        <w:rPr>
          <w:noProof/>
        </w:rPr>
      </w:pPr>
      <w:r>
        <w:rPr>
          <w:noProof/>
        </w:rPr>
        <w:t>Attachment 7 shows the state of reserves of decommitted funds from previous EDFs.</w:t>
      </w:r>
    </w:p>
    <w:p>
      <w:pPr>
        <w:pStyle w:val="Text1"/>
        <w:ind w:left="0"/>
        <w:rPr>
          <w:noProof/>
        </w:rPr>
      </w:pPr>
      <w:r>
        <w:rPr>
          <w:noProof/>
        </w:rPr>
        <w:t>Attachment 8 shows the potential reduction of Member States contributions taking into account the amount in the reserve from decommitted funds of previous EDFs.</w:t>
      </w:r>
    </w:p>
    <w:p>
      <w:pPr>
        <w:rPr>
          <w:b/>
          <w:bCs/>
          <w:noProof/>
          <w:szCs w:val="26"/>
        </w:rPr>
      </w:pPr>
      <w:r>
        <w:rPr>
          <w:b/>
          <w:bCs/>
          <w:noProof/>
          <w:szCs w:val="26"/>
        </w:rPr>
        <w:br w:type="page"/>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Attachment 1: Actuals commitments</w:t>
      </w:r>
      <w:r>
        <w:rPr>
          <w:rStyle w:val="FootnoteReference"/>
          <w:noProof/>
        </w:rPr>
        <w:footnoteReference w:id="3"/>
      </w:r>
      <w:r>
        <w:rPr>
          <w:noProof/>
        </w:rPr>
        <w:t xml:space="preserve"> for 2018, and forecasts for 2019 and 2020 (EUR million)</w:t>
      </w:r>
    </w:p>
    <w:tbl>
      <w:tblPr>
        <w:tblW w:w="5000" w:type="pct"/>
        <w:tblCellMar>
          <w:left w:w="70" w:type="dxa"/>
          <w:right w:w="70" w:type="dxa"/>
        </w:tblCellMar>
        <w:tblLook w:val="04A0" w:firstRow="1" w:lastRow="0" w:firstColumn="1" w:lastColumn="0" w:noHBand="0" w:noVBand="1"/>
      </w:tblPr>
      <w:tblGrid>
        <w:gridCol w:w="3732"/>
        <w:gridCol w:w="1703"/>
        <w:gridCol w:w="1703"/>
        <w:gridCol w:w="1703"/>
        <w:gridCol w:w="1703"/>
        <w:gridCol w:w="1703"/>
        <w:gridCol w:w="1895"/>
      </w:tblGrid>
      <w:tr>
        <w:trPr>
          <w:trHeight w:val="255"/>
        </w:trPr>
        <w:tc>
          <w:tcPr>
            <w:tcW w:w="132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2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2018</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2019</w:t>
            </w:r>
          </w:p>
        </w:tc>
        <w:tc>
          <w:tcPr>
            <w:tcW w:w="1272"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r>
      <w:tr>
        <w:trPr>
          <w:trHeight w:val="510"/>
        </w:trPr>
        <w:tc>
          <w:tcPr>
            <w:tcW w:w="132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0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67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r>
      <w:tr>
        <w:trPr>
          <w:trHeight w:val="255"/>
        </w:trPr>
        <w:tc>
          <w:tcPr>
            <w:tcW w:w="132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1 070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1 578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986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1 609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1 355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878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1 071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916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208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345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2 864</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3 050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2 512</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2 891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Other</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Peace Facility, Human rights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359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540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340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201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162</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621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296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287</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EUTF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650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655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211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256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199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176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1 673</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1 908</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1 544</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1 166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4 537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4 959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4 057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4 057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3 823</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3 372</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1 070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850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850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850</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Interest rate subsidies (**)</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60</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117</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880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1 130</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930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956</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930</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917</w:t>
            </w:r>
          </w:p>
        </w:tc>
      </w:tr>
      <w:tr>
        <w:trPr>
          <w:trHeight w:val="255"/>
        </w:trPr>
        <w:tc>
          <w:tcPr>
            <w:tcW w:w="1320"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EC+EIB*</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5 417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6 089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4 987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5 013</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4 753</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4 289</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Attachment 2: Actuals payments</w:t>
      </w:r>
      <w:r>
        <w:rPr>
          <w:rStyle w:val="FootnoteReference"/>
          <w:noProof/>
        </w:rPr>
        <w:footnoteReference w:id="4"/>
      </w:r>
      <w:r>
        <w:rPr>
          <w:noProof/>
        </w:rPr>
        <w:t xml:space="preserve"> for 2018, and forecasts for 2019 and 2020 (EUR million)</w:t>
      </w:r>
    </w:p>
    <w:tbl>
      <w:tblPr>
        <w:tblW w:w="5000" w:type="pct"/>
        <w:tblCellMar>
          <w:left w:w="70" w:type="dxa"/>
          <w:right w:w="70" w:type="dxa"/>
        </w:tblCellMar>
        <w:tblLook w:val="04A0" w:firstRow="1" w:lastRow="0" w:firstColumn="1" w:lastColumn="0" w:noHBand="0" w:noVBand="1"/>
      </w:tblPr>
      <w:tblGrid>
        <w:gridCol w:w="4034"/>
        <w:gridCol w:w="1848"/>
        <w:gridCol w:w="1848"/>
        <w:gridCol w:w="1848"/>
        <w:gridCol w:w="1848"/>
        <w:gridCol w:w="1848"/>
        <w:gridCol w:w="1776"/>
      </w:tblGrid>
      <w:tr>
        <w:trPr>
          <w:trHeight w:val="255"/>
        </w:trPr>
        <w:tc>
          <w:tcPr>
            <w:tcW w:w="134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2018</w:t>
            </w:r>
          </w:p>
        </w:tc>
        <w:tc>
          <w:tcPr>
            <w:tcW w:w="122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2019</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r>
      <w:tr>
        <w:trPr>
          <w:trHeight w:val="510"/>
        </w:trPr>
        <w:tc>
          <w:tcPr>
            <w:tcW w:w="134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1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61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1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61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1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2018</w:t>
            </w:r>
          </w:p>
        </w:tc>
        <w:tc>
          <w:tcPr>
            <w:tcW w:w="59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r>
      <w:tr>
        <w:trPr>
          <w:trHeight w:val="255"/>
        </w:trPr>
        <w:tc>
          <w:tcPr>
            <w:tcW w:w="134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14"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827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813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936</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936</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1 770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1 738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1 893</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1 893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223</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96</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96</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2 851</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2 801</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3 148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3 148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Other </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Peace Facility, Human rights</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371</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364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400</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398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375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375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159</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159</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187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184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14"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1 348</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1 324</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1 252</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1 252</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4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4 200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4 124</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4 600</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w:t>
            </w:r>
          </w:p>
        </w:tc>
        <w:tc>
          <w:tcPr>
            <w:tcW w:w="614"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525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355</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575</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Interest rate subsidies (**)</w:t>
            </w:r>
          </w:p>
        </w:tc>
        <w:tc>
          <w:tcPr>
            <w:tcW w:w="614"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30</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26</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30</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30</w:t>
            </w:r>
          </w:p>
        </w:tc>
        <w:tc>
          <w:tcPr>
            <w:tcW w:w="59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r>
      <w:tr>
        <w:trPr>
          <w:trHeight w:val="255"/>
        </w:trPr>
        <w:tc>
          <w:tcPr>
            <w:tcW w:w="134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555</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381</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580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605</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r>
      <w:tr>
        <w:trPr>
          <w:trHeight w:val="255"/>
        </w:trPr>
        <w:tc>
          <w:tcPr>
            <w:tcW w:w="1340"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 + EIB*</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4 755</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4 505</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4 980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5 205</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Attachment 3: Financial situation for 2018, forecasts for 2019-2020 and non-binding estimations for 2021-2022 (EUR million):</w:t>
      </w:r>
    </w:p>
    <w:tbl>
      <w:tblPr>
        <w:tblW w:w="5000" w:type="pct"/>
        <w:tblCellMar>
          <w:left w:w="70" w:type="dxa"/>
          <w:right w:w="70" w:type="dxa"/>
        </w:tblCellMar>
        <w:tblLook w:val="04A0" w:firstRow="1" w:lastRow="0" w:firstColumn="1" w:lastColumn="0" w:noHBand="0" w:noVBand="1"/>
      </w:tblPr>
      <w:tblGrid>
        <w:gridCol w:w="829"/>
        <w:gridCol w:w="4706"/>
        <w:gridCol w:w="1864"/>
        <w:gridCol w:w="1318"/>
        <w:gridCol w:w="1421"/>
        <w:gridCol w:w="1863"/>
        <w:gridCol w:w="1318"/>
        <w:gridCol w:w="1421"/>
      </w:tblGrid>
      <w:tr>
        <w:trPr>
          <w:trHeight w:val="390"/>
        </w:trPr>
        <w:tc>
          <w:tcPr>
            <w:tcW w:w="281"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US" w:eastAsia="fr-BE"/>
              </w:rPr>
            </w:pPr>
          </w:p>
        </w:tc>
        <w:tc>
          <w:tcPr>
            <w:tcW w:w="156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October 2018 </w:t>
            </w:r>
            <w:r>
              <w:rPr>
                <w:rFonts w:ascii="Arial" w:eastAsia="Times New Roman" w:hAnsi="Arial" w:cs="Arial"/>
                <w:b/>
                <w:bCs/>
                <w:noProof/>
                <w:sz w:val="18"/>
                <w:szCs w:val="18"/>
                <w:vertAlign w:val="superscript"/>
                <w:lang w:val="fr-BE" w:eastAsia="fr-BE"/>
              </w:rPr>
              <w:t>1</w:t>
            </w:r>
          </w:p>
        </w:tc>
        <w:tc>
          <w:tcPr>
            <w:tcW w:w="1561"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June 2019 </w:t>
            </w:r>
            <w:r>
              <w:rPr>
                <w:rFonts w:ascii="Arial" w:eastAsia="Times New Roman" w:hAnsi="Arial" w:cs="Arial"/>
                <w:b/>
                <w:bCs/>
                <w:noProof/>
                <w:sz w:val="18"/>
                <w:szCs w:val="18"/>
                <w:vertAlign w:val="superscript"/>
                <w:lang w:val="fr-BE" w:eastAsia="fr-BE"/>
              </w:rPr>
              <w:t>1</w:t>
            </w:r>
          </w:p>
        </w:tc>
      </w:tr>
      <w:tr>
        <w:trPr>
          <w:trHeight w:val="199"/>
        </w:trPr>
        <w:tc>
          <w:tcPr>
            <w:tcW w:w="281"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63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r>
              <w:rPr>
                <w:rFonts w:ascii="Arial" w:eastAsia="Times New Roman" w:hAnsi="Arial" w:cs="Arial"/>
                <w:b/>
                <w:bCs/>
                <w:noProof/>
                <w:sz w:val="18"/>
                <w:szCs w:val="18"/>
                <w:vertAlign w:val="superscript"/>
                <w:lang w:val="fr-BE" w:eastAsia="fr-BE"/>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c>
          <w:tcPr>
            <w:tcW w:w="63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r>
              <w:rPr>
                <w:rFonts w:ascii="Arial" w:eastAsia="Times New Roman" w:hAnsi="Arial" w:cs="Arial"/>
                <w:b/>
                <w:bCs/>
                <w:noProof/>
                <w:sz w:val="18"/>
                <w:szCs w:val="18"/>
                <w:vertAlign w:val="superscript"/>
                <w:lang w:val="fr-BE" w:eastAsia="fr-BE"/>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r>
      <w:tr>
        <w:trPr>
          <w:trHeight w:val="199"/>
        </w:trPr>
        <w:tc>
          <w:tcPr>
            <w:tcW w:w="28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1596"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31/12/2017</w:t>
            </w:r>
            <w:r>
              <w:rPr>
                <w:rFonts w:ascii="Arial" w:eastAsia="Times New Roman" w:hAnsi="Arial" w:cs="Arial"/>
                <w:b/>
                <w:bCs/>
                <w:noProof/>
                <w:sz w:val="18"/>
                <w:szCs w:val="18"/>
                <w:vertAlign w:val="superscript"/>
                <w:lang w:val="fr-BE" w:eastAsia="fr-BE"/>
              </w:rPr>
              <w:t xml:space="preserve"> 4</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336</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348</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400</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2018</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2018:</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4 500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4 500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2 200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2 200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1 400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1 400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307</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307</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2018 received in 2017</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173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177</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177</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2019 received in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en-US" w:eastAsia="fr-BE"/>
              </w:rPr>
            </w:pPr>
            <w:r>
              <w:rPr>
                <w:rFonts w:ascii="Arial" w:eastAsia="Times New Roman" w:hAnsi="Arial" w:cs="Arial"/>
                <w:noProof/>
                <w:sz w:val="18"/>
                <w:szCs w:val="18"/>
                <w:lang w:val="en-US" w:eastAsia="fr-BE"/>
              </w:rPr>
              <w:t>Recoveries, interest and other incomes, assets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en-US" w:eastAsia="fr-BE"/>
              </w:rPr>
              <w:t xml:space="preserve">   </w:t>
            </w:r>
            <w:r>
              <w:rPr>
                <w:rFonts w:ascii="Arial" w:eastAsia="Times New Roman" w:hAnsi="Arial" w:cs="Arial"/>
                <w:noProof/>
                <w:sz w:val="18"/>
                <w:szCs w:val="18"/>
                <w:lang w:val="fr-BE" w:eastAsia="fr-BE"/>
              </w:rPr>
              <w:t>68</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4 755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4 124</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381</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4 505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31/12/2018</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229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306</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387</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228</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615</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2019</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2019:</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2 100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2 100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320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320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2019 received in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other</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31/12/2019</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294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117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411</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442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269</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711</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2020</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2020:</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other</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65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605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5 205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359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142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501</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497</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311</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808</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2021</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2021</w:t>
            </w:r>
            <w:r>
              <w:rPr>
                <w:rFonts w:ascii="Arial" w:eastAsia="Times New Roman" w:hAnsi="Arial" w:cs="Arial"/>
                <w:noProof/>
                <w:color w:val="FF0000"/>
                <w:sz w:val="18"/>
                <w:szCs w:val="18"/>
                <w:vertAlign w:val="superscript"/>
                <w:lang w:val="fr-BE" w:eastAsia="fr-BE"/>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4 000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4 300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4 000</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2022</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2022</w:t>
            </w:r>
            <w:r>
              <w:rPr>
                <w:rFonts w:ascii="Arial" w:eastAsia="Times New Roman" w:hAnsi="Arial" w:cs="Arial"/>
                <w:noProof/>
                <w:color w:val="FF0000"/>
                <w:sz w:val="18"/>
                <w:szCs w:val="18"/>
                <w:vertAlign w:val="superscript"/>
                <w:lang w:val="fr-BE" w:eastAsia="fr-BE"/>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3 500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3 900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3 100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sz w:val="14"/>
          <w:szCs w:val="14"/>
        </w:rPr>
        <w:tab/>
        <w:t>Funds available for operations as per Communication from the Commission to the Council;</w:t>
      </w:r>
      <w:r>
        <w:rPr>
          <w:noProof/>
          <w:sz w:val="14"/>
          <w:szCs w:val="14"/>
        </w:rPr>
        <w:br/>
        <w:t>2</w:t>
      </w:r>
      <w:r>
        <w:rPr>
          <w:noProof/>
          <w:sz w:val="14"/>
          <w:szCs w:val="14"/>
        </w:rPr>
        <w:tab/>
        <w:t>Net of EIB management fees;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Art.19(2)(d) 11</w:t>
      </w:r>
      <w:r>
        <w:rPr>
          <w:noProof/>
          <w:sz w:val="14"/>
          <w:szCs w:val="14"/>
          <w:vertAlign w:val="superscript"/>
        </w:rPr>
        <w:t>th</w:t>
      </w:r>
      <w:r>
        <w:rPr>
          <w:noProof/>
          <w:sz w:val="14"/>
          <w:szCs w:val="14"/>
        </w:rPr>
        <w:t xml:space="preserve"> EDF Financial Regulation: non-binding forecast based on a statistical approach for the expected annual contributions for the years n + 3 and n + 4;</w:t>
      </w:r>
      <w:r>
        <w:rPr>
          <w:noProof/>
          <w:sz w:val="14"/>
          <w:szCs w:val="14"/>
        </w:rPr>
        <w:br/>
        <w:t>5</w:t>
      </w:r>
      <w:r>
        <w:rPr>
          <w:noProof/>
          <w:sz w:val="14"/>
          <w:szCs w:val="14"/>
        </w:rPr>
        <w:tab/>
        <w:t>Art.19(1), 11</w:t>
      </w:r>
      <w:r>
        <w:rPr>
          <w:noProof/>
          <w:sz w:val="14"/>
          <w:szCs w:val="14"/>
          <w:vertAlign w:val="superscript"/>
        </w:rPr>
        <w:t>th</w:t>
      </w:r>
      <w:r>
        <w:rPr>
          <w:noProof/>
          <w:sz w:val="14"/>
          <w:szCs w:val="14"/>
        </w:rPr>
        <w:t xml:space="preserve"> EDF Financial Regulation, calls for contributions shall first use up the amounts laid down for previous EDFs, one after the other. Therefore calls under the 11th EDF to finance the IFE are further delayed.</w:t>
      </w:r>
    </w:p>
    <w:p>
      <w:pPr>
        <w:pStyle w:val="Text1"/>
        <w:spacing w:before="0" w:after="0"/>
        <w:ind w:left="851"/>
        <w:jc w:val="left"/>
        <w:rPr>
          <w:noProof/>
          <w:sz w:val="14"/>
          <w:szCs w:val="14"/>
        </w:rPr>
      </w:pPr>
      <w:r>
        <w:rPr>
          <w:noProof/>
          <w:sz w:val="14"/>
          <w:szCs w:val="14"/>
        </w:rPr>
        <w:t>6-7</w:t>
      </w:r>
      <w:r>
        <w:rPr>
          <w:noProof/>
          <w:sz w:val="14"/>
          <w:szCs w:val="14"/>
        </w:rPr>
        <w:tab/>
        <w:t>The EDF treasury balance can never be negative. Any negative amounts in the table indicates a shortage of payment credits.</w:t>
      </w:r>
      <w:r>
        <w:rPr>
          <w:noProof/>
          <w:sz w:val="14"/>
          <w:szCs w:val="14"/>
        </w:rPr>
        <w:br/>
      </w:r>
    </w:p>
    <w:p>
      <w:pP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Attachment 4: Member States contributions for 2019 (EUR)</w:t>
      </w:r>
    </w:p>
    <w:tbl>
      <w:tblPr>
        <w:tblW w:w="5000" w:type="pct"/>
        <w:tblCellMar>
          <w:left w:w="70" w:type="dxa"/>
          <w:right w:w="70" w:type="dxa"/>
        </w:tblCellMar>
        <w:tblLook w:val="04A0" w:firstRow="1" w:lastRow="0" w:firstColumn="1" w:lastColumn="0" w:noHBand="0" w:noVBand="1"/>
      </w:tblPr>
      <w:tblGrid>
        <w:gridCol w:w="1684"/>
        <w:gridCol w:w="889"/>
        <w:gridCol w:w="1002"/>
        <w:gridCol w:w="1213"/>
        <w:gridCol w:w="1303"/>
        <w:gridCol w:w="1231"/>
        <w:gridCol w:w="1321"/>
        <w:gridCol w:w="1249"/>
        <w:gridCol w:w="1249"/>
        <w:gridCol w:w="1228"/>
        <w:gridCol w:w="1342"/>
        <w:gridCol w:w="1339"/>
      </w:tblGrid>
      <w:tr>
        <w:trPr>
          <w:trHeight w:val="282"/>
        </w:trPr>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10th EDF %</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11th EDF %</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1st instalment</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2nd instalment</w:t>
            </w:r>
          </w:p>
        </w:tc>
        <w:tc>
          <w:tcPr>
            <w:tcW w:w="829"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xml:space="preserve"> 3rd instalment</w:t>
            </w:r>
          </w:p>
        </w:tc>
        <w:tc>
          <w:tcPr>
            <w:tcW w:w="40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EIB</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w:t>
            </w:r>
            <w:r>
              <w:rPr>
                <w:rFonts w:ascii="Times New Roman" w:eastAsia="Times New Roman" w:hAnsi="Times New Roman" w:cs="Times New Roman"/>
                <w:b/>
                <w:bCs/>
                <w:noProof/>
                <w:sz w:val="16"/>
                <w:szCs w:val="16"/>
                <w:lang w:val="fr-BE" w:eastAsia="fr-BE"/>
              </w:rPr>
              <w:br/>
              <w:t>Commission</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2019</w:t>
            </w: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BELGIUM</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64 985 400,00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48 739 050,00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29 243 430,00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153 557 880,00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BULGARIA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4 370 600,00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3 277 950,00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1 966 770,00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10 035 320,00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CZECH REPUBLIC</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15 949 000,00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11 961 750,00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7 177 050,00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36 617 800,00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DENMARK</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39 609 000,00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29 706 750,00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17 824 050,00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93 139 800,00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GERMANY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411 596 000,00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308 697 000,00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185 218 200,00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967 011 200,00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ESTONIA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1 727 000,00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1 295 250,00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777 150,00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3 949 400,00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IRELAND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18 801 200,00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14 100 900,00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8 460 540,00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44 092 640,00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GREECE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30 147 000,00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22 610 250,00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13 566 150,00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70 733 400,00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SPAIN</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158 649 600,00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118 987 200,00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71 392 320,00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372 579 120,00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FRANCE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356 253 800,00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267 190 350,00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160 314 210,00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842 408 360,00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CROATIA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4 503 600,00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3 377 700,00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2 026 620,00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9 907 920,00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ITALY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250 601 800,00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187 951 350,00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112 770 810,00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589 903 960,00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CYPRUS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2 232 400,00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1 674 300,00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1 004 580,00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5 181 280,00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LATVIA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2 322 400,00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1 741 800,00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1 045 080,00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5 319 280,00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LITHUANIA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3 615 400,00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2 711 550,00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1 626 930,00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8 313 880,00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LUXEMBOURG</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3 826 350,00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2 295 810,00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12 033 960,00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HUNGARY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12 291 200,00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9 218 400,00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5 531 040,00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28 690 640,00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MALTA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760 200,00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570 150,00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342 090,00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1 762 440,00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NETHERLANDS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95 535 600,00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71 651 700,00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42 991 020,00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224 728 320,00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AUSTRIA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47 951 400,00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35 963 550,00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21 578 130,00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112 723 080,00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40 146 800,00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30 110 100,00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18 066 060,00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92 222 960,00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PORTUGAL</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23 935 800,00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17 951 850,00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10 771 110,00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56 108 760,00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ROMANIA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14 363 000,00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10 772 250,00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6 463 350,00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32 708 600,00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SLOVENIA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4 490 400,00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3 367 800,00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2 020 680,00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10 418 880,00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SLOVAKIA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7 523 200,00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5 642 400,00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3 385 440,00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17 181 040,00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FINLAND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30 181 800,00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22 636 350,00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13 581 810,00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70 809 960,00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SWEDEN</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58 782 200,00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44 086 650,00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26 451 990,00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137 540 840,00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UNITED KINGDOM</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293 572 400,00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220 179 300,00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132 107 580,00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690 319 280,00</w:t>
            </w:r>
          </w:p>
        </w:tc>
      </w:tr>
      <w:tr>
        <w:trPr>
          <w:trHeight w:val="282"/>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EU-28</w:t>
            </w:r>
          </w:p>
        </w:tc>
        <w:tc>
          <w:tcPr>
            <w:tcW w:w="29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3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2 000 000 000,00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1 500 000 000,00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900 000 000,00</w:t>
            </w:r>
          </w:p>
        </w:tc>
        <w:tc>
          <w:tcPr>
            <w:tcW w:w="40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300 000 000,00</w:t>
            </w:r>
          </w:p>
        </w:tc>
        <w:tc>
          <w:tcPr>
            <w:tcW w:w="446"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4 400 000 000,00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lang w:eastAsia="en-GB"/>
        </w:rPr>
      </w:pPr>
      <w:r>
        <w:rPr>
          <w:noProof/>
          <w:highlight w:val="lightGray"/>
        </w:rPr>
        <w:br w:type="page"/>
      </w:r>
    </w:p>
    <w:p>
      <w:pPr>
        <w:pStyle w:val="ManualHeading2"/>
        <w:rPr>
          <w:noProof/>
        </w:rPr>
      </w:pPr>
      <w:r>
        <w:t>5.5.</w:t>
      </w:r>
      <w:r>
        <w:tab/>
      </w:r>
      <w:r>
        <w:rPr>
          <w:noProof/>
        </w:rPr>
        <w:t>Attachment 5: Member States contributions for 2020 (EUR)</w:t>
      </w:r>
    </w:p>
    <w:tbl>
      <w:tblPr>
        <w:tblW w:w="5000" w:type="pct"/>
        <w:tblCellMar>
          <w:left w:w="70" w:type="dxa"/>
          <w:right w:w="70" w:type="dxa"/>
        </w:tblCellMar>
        <w:tblLook w:val="04A0" w:firstRow="1" w:lastRow="0" w:firstColumn="1" w:lastColumn="0" w:noHBand="0" w:noVBand="1"/>
      </w:tblPr>
      <w:tblGrid>
        <w:gridCol w:w="1684"/>
        <w:gridCol w:w="889"/>
        <w:gridCol w:w="1002"/>
        <w:gridCol w:w="1213"/>
        <w:gridCol w:w="1303"/>
        <w:gridCol w:w="1231"/>
        <w:gridCol w:w="1321"/>
        <w:gridCol w:w="1249"/>
        <w:gridCol w:w="1249"/>
        <w:gridCol w:w="1228"/>
        <w:gridCol w:w="1342"/>
        <w:gridCol w:w="1339"/>
      </w:tblGrid>
      <w:tr>
        <w:trPr>
          <w:trHeight w:val="282"/>
        </w:trPr>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10th EDF %</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Key 11th EDF %</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1st instalment</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2nd instalment</w:t>
            </w:r>
          </w:p>
        </w:tc>
        <w:tc>
          <w:tcPr>
            <w:tcW w:w="829"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xml:space="preserve"> 3rd instalment</w:t>
            </w:r>
          </w:p>
        </w:tc>
        <w:tc>
          <w:tcPr>
            <w:tcW w:w="40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EIB</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w:t>
            </w:r>
            <w:r>
              <w:rPr>
                <w:rFonts w:ascii="Times New Roman" w:eastAsia="Times New Roman" w:hAnsi="Times New Roman" w:cs="Times New Roman"/>
                <w:b/>
                <w:bCs/>
                <w:noProof/>
                <w:sz w:val="16"/>
                <w:szCs w:val="16"/>
                <w:lang w:val="fr-BE" w:eastAsia="fr-BE"/>
              </w:rPr>
              <w:br/>
              <w:t>Commission</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2020</w:t>
            </w: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Commission</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 EDF</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 EDF</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BELGIUM</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64 985 400,00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48 739 050,00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29 243 430,00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153 557 880,00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BULGARIA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4 370 600,00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3 277 950,00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1 966 770,00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10 035 320,00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CZECH REPUBLIC</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15 949 000,00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11 961 750,00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7 177 050,00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36 617 800,00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DENMARK</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39 609 000,00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29 706 750,00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17 824 050,00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93 139 800,00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GERMANY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411 596 000,00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308 697 000,00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185 218 200,00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967 011 200,00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ESTONIA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1 727 000,00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1 295 250,00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777 150,00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3 949 400,00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IRELAND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18 801 200,00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14 100 900,00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8 460 540,00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44 092 640,00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GREECE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30 147 000,00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22 610 250,00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13 566 150,00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70 733 400,00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SPAIN</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158 649 600,00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118 987 200,00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71 392 320,00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372 579 120,00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FRANCE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356 253 800,00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267 190 350,00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160 314 210,00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842 408 360,00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CROATIA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4 503 600,00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3 377 700,00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2 026 620,00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9 907 920,00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ITALY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250 601 800,00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187 951 350,00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12 860 000,00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112 770 810,00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589 903 960,00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CYPRUS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2 232 400,00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1 674 300,00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1 004 580,00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5 181 280,00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LATVIA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2 322 400,00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1 741 800,00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1 045 080,00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5 319 280,00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LITHUANIA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3 615 400,00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2 711 550,00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1 626 930,00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8 313 880,00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LUXEMBOURG</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3 826 350,00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2 295 810,00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12 033 960,00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HUNGARY</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12 291 200,00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9 218 400,00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5 531 040,00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28 690 640,00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MALTA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760 200,00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570 150,00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342 090,00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1 762 440,00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NETHERLANDS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95 535 600,00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71 651 700,00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42 991 020,00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224 728 320,00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AUSTRIA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47 951 400,00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35 963 550,00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21 578 130,00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112 723 080,00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40 146 800,00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30 110 100,00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1 300 000,00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18 066 060,00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92 222 960,00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PORTUGAL</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23 935 800,00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17 951 850,00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10 771 110,00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56 108 760,00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ROMANIA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14 363 000,00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10 772 250,00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6 463 350,00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32 708 600,00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SLOVENIA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4 490 400,00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3 367 800,00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2 020 680,00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10 418 880,00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SLOVAKIA</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7 523 200,00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5 642 400,00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3 385 440,00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17 181 040,00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FINLAND</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30 181 800,00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22 636 350,00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13 581 810,00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70 809 960,00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SWEDEN</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58 782 200,00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44 086 650,00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26 451 990,00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137 540 840,00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UNITED KINGDOM</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293 572 400,00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220 179 300,00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14 820 000,00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132 107 580,00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690 319 280,00</w:t>
            </w:r>
          </w:p>
        </w:tc>
      </w:tr>
      <w:tr>
        <w:trPr>
          <w:trHeight w:val="282"/>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EU-28</w:t>
            </w:r>
          </w:p>
        </w:tc>
        <w:tc>
          <w:tcPr>
            <w:tcW w:w="29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3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2 000 000 000,00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1 500 000 000,00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900 000 000,00</w:t>
            </w:r>
          </w:p>
        </w:tc>
        <w:tc>
          <w:tcPr>
            <w:tcW w:w="40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300 000 000,00</w:t>
            </w:r>
          </w:p>
        </w:tc>
        <w:tc>
          <w:tcPr>
            <w:tcW w:w="446"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4 400 000 000,00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lang w:eastAsia="en-GB"/>
        </w:rPr>
      </w:pPr>
      <w:r>
        <w:rPr>
          <w:noProof/>
          <w:highlight w:val="lightGray"/>
        </w:rPr>
        <w:br w:type="page"/>
      </w:r>
    </w:p>
    <w:p>
      <w:pPr>
        <w:pStyle w:val="ManualHeading2"/>
        <w:rPr>
          <w:noProof/>
        </w:rPr>
      </w:pPr>
      <w:r>
        <w:t>5.6.</w:t>
      </w:r>
      <w:r>
        <w:tab/>
      </w:r>
      <w:r>
        <w:rPr>
          <w:noProof/>
        </w:rPr>
        <w:t>Attachment 6: Member States contributions for 2019-2022 (EUR)</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2228"/>
        <w:gridCol w:w="681"/>
        <w:gridCol w:w="763"/>
        <w:gridCol w:w="1172"/>
        <w:gridCol w:w="1365"/>
        <w:gridCol w:w="1171"/>
        <w:gridCol w:w="1364"/>
        <w:gridCol w:w="1141"/>
        <w:gridCol w:w="1303"/>
        <w:gridCol w:w="1327"/>
        <w:gridCol w:w="1171"/>
        <w:gridCol w:w="1364"/>
      </w:tblGrid>
      <w:tr>
        <w:trPr>
          <w:trHeight w:val="253"/>
        </w:trPr>
        <w:tc>
          <w:tcPr>
            <w:tcW w:w="74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w:t>
            </w:r>
          </w:p>
        </w:tc>
        <w:tc>
          <w:tcPr>
            <w:tcW w:w="22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w:t>
            </w:r>
          </w:p>
        </w:tc>
        <w:tc>
          <w:tcPr>
            <w:tcW w:w="253"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2019</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2020</w:t>
            </w:r>
          </w:p>
        </w:tc>
        <w:tc>
          <w:tcPr>
            <w:tcW w:w="1253"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2021</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2022</w:t>
            </w:r>
          </w:p>
        </w:tc>
      </w:tr>
      <w:tr>
        <w:trPr>
          <w:trHeight w:val="253"/>
        </w:trPr>
        <w:tc>
          <w:tcPr>
            <w:tcW w:w="740"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2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253"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3"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3"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379"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3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44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453"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BELGIUM</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120 222 990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2 471 000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7 473 321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87 730 290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12 997 080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BULGARIA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8 085 610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98 000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502 619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5 900 310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874 120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CZECH REPUBLIC</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29 505 650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1 834 135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21 531 150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3 189 800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DENMARK</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73 276 650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4 555 035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53 472 150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7 921 800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GERMANY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761 452 600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14 350 000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47 333 540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555 654 600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82 319 200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ESTONIA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3 194 950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198 605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2 331 450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345 400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IRELAND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34 782 220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2 162 138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25 381 620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3 760 240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GREECE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55 771 950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3 466 905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40 698 450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6 029 400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SPAIN</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293 501 760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5 495 000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18 244 704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214 176 960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31 729 920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FRANCE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659 069 530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13 685 000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40 969 187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480 942 630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71 250 760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CROATIA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8 331 660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517 914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6 079 860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900 720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ITALY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463 613 330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9 002 000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28 819 207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338 312 430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50 120 360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CYPRUS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4 129 940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256 726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3 013 740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446 480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LATVIA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4 296 440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267 076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3 135 240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464 480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LITHUANIA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6 688 490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84 000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415 771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4 880 790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723 080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LUXEMBOURG</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9 438 330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586 707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6 887 430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1 020 360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HUNGARY</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22 738 720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1 413 488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16 593 120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2 458 240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MALTA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1 406 370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87 423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1 026 270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152 040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NETHERLANDS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176 740 860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3 395 000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10 986 594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128 973 060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19 107 120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AUSTRIA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88 710 090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1 687 000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5 514 411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64 734 390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9 590 280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74 271 580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4 616 882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54 198 180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8 029 360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PORTUGAL</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44 281 230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805 000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2 752 617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32 313 330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4 787 160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ROMANIA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26 571 550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1 651 745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19 390 050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2 872 600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SLOVENIA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8 307 240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126 000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516 396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6 062 040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898 080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SLOVAKIA</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13 917 920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865 168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10 156 320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1 504 640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FINLAND</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55 836 330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3 470 907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40 745 430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6 036 360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SWEDEN</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108 747 070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1 918 000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6 759 953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79 355 970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11 756 440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UNITED KINGDOM</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543 108 940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10 374 000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33 760 826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396 322 740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58 714 480</w:t>
            </w:r>
          </w:p>
        </w:tc>
      </w:tr>
      <w:tr>
        <w:trPr>
          <w:trHeight w:val="253"/>
        </w:trPr>
        <w:tc>
          <w:tcPr>
            <w:tcW w:w="740"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EU-28</w:t>
            </w:r>
          </w:p>
        </w:tc>
        <w:tc>
          <w:tcPr>
            <w:tcW w:w="22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2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w:t>
            </w:r>
          </w:p>
        </w:tc>
        <w:tc>
          <w:tcPr>
            <w:tcW w:w="4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w:t>
            </w:r>
          </w:p>
        </w:tc>
        <w:tc>
          <w:tcPr>
            <w:tcW w:w="453"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79"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3 700 000 000</w:t>
            </w:r>
          </w:p>
        </w:tc>
        <w:tc>
          <w:tcPr>
            <w:tcW w:w="43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70 000 000</w:t>
            </w:r>
          </w:p>
        </w:tc>
        <w:tc>
          <w:tcPr>
            <w:tcW w:w="441"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230 000 000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2 700 000 000</w:t>
            </w:r>
          </w:p>
        </w:tc>
        <w:tc>
          <w:tcPr>
            <w:tcW w:w="4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400 000 000</w:t>
            </w:r>
          </w:p>
        </w:tc>
      </w:tr>
      <w:tr>
        <w:trPr>
          <w:trHeight w:val="253"/>
        </w:trPr>
        <w:tc>
          <w:tcPr>
            <w:tcW w:w="740"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w:t>
            </w:r>
          </w:p>
        </w:tc>
        <w:tc>
          <w:tcPr>
            <w:tcW w:w="22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253"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842"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w:t>
            </w:r>
          </w:p>
        </w:tc>
        <w:tc>
          <w:tcPr>
            <w:tcW w:w="842"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w:t>
            </w:r>
          </w:p>
        </w:tc>
        <w:tc>
          <w:tcPr>
            <w:tcW w:w="1253"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4 000 000 000</w:t>
            </w:r>
          </w:p>
        </w:tc>
        <w:tc>
          <w:tcPr>
            <w:tcW w:w="842"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3 100 000 000</w:t>
            </w:r>
          </w:p>
        </w:tc>
      </w:tr>
    </w:tbl>
    <w:p>
      <w:pPr>
        <w:pStyle w:val="Text1"/>
        <w:ind w:left="0"/>
        <w:jc w:val="left"/>
        <w:rPr>
          <w:noProof/>
          <w:sz w:val="20"/>
          <w:szCs w:val="20"/>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425" w:right="964" w:bottom="964" w:left="964" w:header="709" w:footer="709" w:gutter="0"/>
          <w:cols w:space="720"/>
          <w:docGrid w:linePitch="360"/>
        </w:sectPr>
      </w:pPr>
    </w:p>
    <w:p>
      <w:pPr>
        <w:pStyle w:val="ManualHeading2"/>
        <w:rPr>
          <w:noProof/>
        </w:rPr>
      </w:pPr>
      <w:r>
        <w:t>5.7.</w:t>
      </w:r>
      <w:r>
        <w:tab/>
      </w:r>
      <w:r>
        <w:rPr>
          <w:noProof/>
        </w:rPr>
        <w:t>Attachment 7: State of reserves of decommitted funds from previous EDFs (EUR million)</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55 of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Financial Regulation, the following table displays the amount of reserves of decommitted funds from previous EDFs at the end of 2018.</w:t>
      </w:r>
    </w:p>
    <w:tbl>
      <w:tblPr>
        <w:tblW w:w="9087" w:type="dxa"/>
        <w:tblInd w:w="93" w:type="dxa"/>
        <w:tblLook w:val="04A0" w:firstRow="1" w:lastRow="0" w:firstColumn="1" w:lastColumn="0" w:noHBand="0" w:noVBand="1"/>
      </w:tblPr>
      <w:tblGrid>
        <w:gridCol w:w="7670"/>
        <w:gridCol w:w="1417"/>
      </w:tblGrid>
      <w:tr>
        <w:trPr>
          <w:trHeight w:val="255"/>
        </w:trPr>
        <w:tc>
          <w:tcPr>
            <w:tcW w:w="9087" w:type="dxa"/>
            <w:gridSpan w:val="2"/>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b/>
                <w:noProof/>
                <w:sz w:val="18"/>
                <w:szCs w:val="18"/>
                <w:lang w:val="fr-BE"/>
              </w:rPr>
            </w:pPr>
            <w:r>
              <w:rPr>
                <w:rFonts w:ascii="Verdana" w:hAnsi="Verdana" w:cs="Arial"/>
                <w:b/>
                <w:noProof/>
                <w:sz w:val="18"/>
                <w:szCs w:val="18"/>
                <w:lang w:val="fr-BE"/>
              </w:rPr>
              <w:t>Total available on non-mobilisable performance reserves at 31/12/2018 (EUR million)</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noProof/>
                <w:sz w:val="18"/>
                <w:szCs w:val="18"/>
              </w:rPr>
            </w:pPr>
            <w:r>
              <w:rPr>
                <w:rFonts w:ascii="Verdana" w:hAnsi="Verdana" w:cs="Arial"/>
                <w:noProof/>
                <w:sz w:val="18"/>
                <w:szCs w:val="18"/>
              </w:rPr>
              <w:t>non-mobilisable reserve from decommitted funds under the Eight and Ninth EDF</w:t>
            </w:r>
          </w:p>
        </w:tc>
        <w:tc>
          <w:tcPr>
            <w:tcW w:w="1417" w:type="dxa"/>
            <w:tcBorders>
              <w:top w:val="single" w:sz="4" w:space="0" w:color="auto"/>
              <w:left w:val="nil"/>
              <w:bottom w:val="single" w:sz="4" w:space="0" w:color="auto"/>
              <w:right w:val="single" w:sz="4" w:space="0" w:color="auto"/>
            </w:tcBorders>
            <w:noWrap/>
            <w:vAlign w:val="bottom"/>
          </w:tcPr>
          <w:p>
            <w:pPr>
              <w:spacing w:after="120" w:line="240" w:lineRule="auto"/>
              <w:jc w:val="right"/>
              <w:rPr>
                <w:rFonts w:ascii="Verdana" w:hAnsi="Verdana" w:cs="Arial"/>
                <w:noProof/>
                <w:sz w:val="18"/>
                <w:szCs w:val="18"/>
                <w:lang w:val="fr-BE"/>
              </w:rPr>
            </w:pPr>
            <w:r>
              <w:rPr>
                <w:rFonts w:ascii="Verdana" w:hAnsi="Verdana" w:cs="Arial"/>
                <w:noProof/>
                <w:sz w:val="18"/>
                <w:szCs w:val="18"/>
                <w:lang w:val="fr-BE"/>
              </w:rPr>
              <w:t>156,5</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noProof/>
                <w:sz w:val="18"/>
                <w:szCs w:val="18"/>
              </w:rPr>
            </w:pPr>
            <w:r>
              <w:rPr>
                <w:rFonts w:ascii="Verdana" w:hAnsi="Verdana" w:cs="Arial"/>
                <w:noProof/>
                <w:sz w:val="18"/>
                <w:szCs w:val="18"/>
              </w:rPr>
              <w:t>non-mobilisable reserve from decommitted funds under the 10</w:t>
            </w:r>
            <w:r>
              <w:rPr>
                <w:rFonts w:ascii="Verdana" w:hAnsi="Verdana" w:cs="Arial"/>
                <w:noProof/>
                <w:sz w:val="18"/>
                <w:szCs w:val="18"/>
                <w:vertAlign w:val="superscript"/>
              </w:rPr>
              <w:t>th</w:t>
            </w:r>
            <w:r>
              <w:rPr>
                <w:rFonts w:ascii="Verdana" w:hAnsi="Verdana" w:cs="Arial"/>
                <w:noProof/>
                <w:sz w:val="18"/>
                <w:szCs w:val="18"/>
              </w:rPr>
              <w:t xml:space="preserve"> EDF </w:t>
            </w:r>
          </w:p>
        </w:tc>
        <w:tc>
          <w:tcPr>
            <w:tcW w:w="1417" w:type="dxa"/>
            <w:tcBorders>
              <w:top w:val="single" w:sz="4" w:space="0" w:color="auto"/>
              <w:left w:val="nil"/>
              <w:bottom w:val="single" w:sz="4" w:space="0" w:color="auto"/>
              <w:right w:val="single" w:sz="4" w:space="0" w:color="auto"/>
            </w:tcBorders>
            <w:noWrap/>
            <w:vAlign w:val="bottom"/>
          </w:tcPr>
          <w:p>
            <w:pPr>
              <w:spacing w:after="120" w:line="240" w:lineRule="auto"/>
              <w:jc w:val="right"/>
              <w:rPr>
                <w:rFonts w:ascii="Verdana" w:hAnsi="Verdana" w:cs="Arial"/>
                <w:noProof/>
                <w:sz w:val="18"/>
                <w:szCs w:val="18"/>
              </w:rPr>
            </w:pPr>
            <w:r>
              <w:rPr>
                <w:rFonts w:ascii="Verdana" w:hAnsi="Verdana" w:cs="Arial"/>
                <w:noProof/>
                <w:sz w:val="18"/>
                <w:szCs w:val="18"/>
              </w:rPr>
              <w:t>318,3</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rPr>
                <w:rFonts w:ascii="Verdana" w:hAnsi="Verdana" w:cs="Arial"/>
                <w:b/>
                <w:noProof/>
                <w:sz w:val="18"/>
                <w:szCs w:val="18"/>
                <w:lang w:val="fr-BE"/>
              </w:rPr>
            </w:pPr>
            <w:r>
              <w:rPr>
                <w:rFonts w:ascii="Verdana" w:hAnsi="Verdana" w:cs="Arial"/>
                <w:b/>
                <w:noProof/>
                <w:sz w:val="18"/>
                <w:szCs w:val="18"/>
                <w:lang w:val="fr-BE"/>
              </w:rPr>
              <w:t xml:space="preserve">Total available on non-mobilisable performance reserves </w:t>
            </w:r>
          </w:p>
        </w:tc>
        <w:tc>
          <w:tcPr>
            <w:tcW w:w="1417" w:type="dxa"/>
            <w:tcBorders>
              <w:top w:val="single" w:sz="4" w:space="0" w:color="auto"/>
              <w:left w:val="nil"/>
              <w:bottom w:val="single" w:sz="4" w:space="0" w:color="auto"/>
              <w:right w:val="single" w:sz="4" w:space="0" w:color="auto"/>
            </w:tcBorders>
            <w:noWrap/>
            <w:vAlign w:val="bottom"/>
          </w:tcPr>
          <w:p>
            <w:pPr>
              <w:jc w:val="right"/>
              <w:rPr>
                <w:rFonts w:ascii="Verdana" w:hAnsi="Verdana" w:cs="Arial"/>
                <w:b/>
                <w:noProof/>
                <w:sz w:val="18"/>
                <w:szCs w:val="18"/>
              </w:rPr>
            </w:pPr>
            <w:r>
              <w:rPr>
                <w:rFonts w:ascii="Verdana" w:hAnsi="Verdana" w:cs="Arial"/>
                <w:b/>
                <w:noProof/>
                <w:sz w:val="18"/>
                <w:szCs w:val="18"/>
              </w:rPr>
              <w:t>474,8</w:t>
            </w:r>
          </w:p>
        </w:tc>
      </w:tr>
    </w:tbl>
    <w:p>
      <w:pPr>
        <w:jc w:val="both"/>
        <w:rPr>
          <w:rFonts w:ascii="Times New Roman" w:hAnsi="Times New Roman" w:cs="Times New Roman"/>
          <w:noProof/>
          <w:sz w:val="24"/>
          <w:szCs w:val="24"/>
        </w:rPr>
      </w:pPr>
    </w:p>
    <w:p>
      <w:pPr>
        <w:pStyle w:val="ManualHeading2"/>
        <w:rPr>
          <w:noProof/>
        </w:rPr>
      </w:pPr>
      <w:r>
        <w:t>5.8.</w:t>
      </w:r>
      <w:r>
        <w:tab/>
      </w:r>
      <w:r>
        <w:rPr>
          <w:noProof/>
        </w:rPr>
        <w:t>Attachment 8: Potential reduction of Member States contributions taking into account the amount in the reserve from decommitted funds of previous EDFs (EUR)</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Article 55 of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Financial Regulation, the following table displays the potential reduction of Member States contributions taking into account the amount in the reserve from decommitted funds of previous EDFs.</w:t>
      </w:r>
    </w:p>
    <w:tbl>
      <w:tblPr>
        <w:tblW w:w="5000" w:type="pct"/>
        <w:tblCellMar>
          <w:left w:w="70" w:type="dxa"/>
          <w:right w:w="70" w:type="dxa"/>
        </w:tblCellMar>
        <w:tblLook w:val="04A0" w:firstRow="1" w:lastRow="0" w:firstColumn="1" w:lastColumn="0" w:noHBand="0" w:noVBand="1"/>
      </w:tblPr>
      <w:tblGrid>
        <w:gridCol w:w="2193"/>
        <w:gridCol w:w="1009"/>
        <w:gridCol w:w="1009"/>
        <w:gridCol w:w="1527"/>
        <w:gridCol w:w="1798"/>
        <w:gridCol w:w="1674"/>
      </w:tblGrid>
      <w:tr>
        <w:trPr>
          <w:trHeight w:val="435"/>
        </w:trPr>
        <w:tc>
          <w:tcPr>
            <w:tcW w:w="1190" w:type="pc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MEMBER STATES</w:t>
            </w:r>
          </w:p>
        </w:tc>
        <w:tc>
          <w:tcPr>
            <w:tcW w:w="548" w:type="pct"/>
            <w:tcBorders>
              <w:top w:val="single" w:sz="8"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Key 9th</w:t>
            </w:r>
            <w:r>
              <w:rPr>
                <w:rFonts w:ascii="Times New Roman" w:eastAsia="Times New Roman" w:hAnsi="Times New Roman" w:cs="Times New Roman"/>
                <w:b/>
                <w:bCs/>
                <w:noProof/>
                <w:color w:val="000000"/>
                <w:sz w:val="16"/>
                <w:szCs w:val="16"/>
                <w:lang w:val="fr-BE" w:eastAsia="fr-BE"/>
              </w:rPr>
              <w:br/>
              <w:t>EDF %</w:t>
            </w:r>
          </w:p>
        </w:tc>
        <w:tc>
          <w:tcPr>
            <w:tcW w:w="548" w:type="pct"/>
            <w:tcBorders>
              <w:top w:val="single" w:sz="8"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Key 10th</w:t>
            </w:r>
            <w:r>
              <w:rPr>
                <w:rFonts w:ascii="Times New Roman" w:eastAsia="Times New Roman" w:hAnsi="Times New Roman" w:cs="Times New Roman"/>
                <w:b/>
                <w:bCs/>
                <w:noProof/>
                <w:color w:val="000000"/>
                <w:sz w:val="16"/>
                <w:szCs w:val="16"/>
                <w:lang w:val="fr-BE" w:eastAsia="fr-BE"/>
              </w:rPr>
              <w:br/>
              <w:t>EDF %</w:t>
            </w:r>
          </w:p>
        </w:tc>
        <w:tc>
          <w:tcPr>
            <w:tcW w:w="829"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8/9th EDF</w:t>
            </w:r>
          </w:p>
        </w:tc>
        <w:tc>
          <w:tcPr>
            <w:tcW w:w="976"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10th EDF</w:t>
            </w:r>
          </w:p>
        </w:tc>
        <w:tc>
          <w:tcPr>
            <w:tcW w:w="909"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TOTAL</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BELGIUM</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3,92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3,53</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6 132 854,42</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11 236 740,17</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17 369 594,60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BULGARIA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0,14</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445 649,75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445 649,75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CZECH REPUBLIC</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0,51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1 623 438,38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1 623 438,38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DENMARK</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2,14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2,00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3 348 037,87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6 366 425,03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9 714 462,90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GERMANY</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23,36</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20,50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36 546 805,96</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65 255 856,53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101 802 662,49</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ESTONIA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0,05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159 160,63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159 160,63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IRELAND</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0,62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0,91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969 992,28</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2 896 723,39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3 866 715,67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GREECE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1,25</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1,47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1 955 629,60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4 679 322,40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6 634 951,99</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SPAIN</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5,84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7,85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9 136 701,49</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24 988 218,23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34 124 919,72</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FRANCE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24,30</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19,55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38 017 439,42</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62 231 804,64</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100 249 244,06</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CROATIA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ITALY</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12,54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12,86</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19 618 876,14</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40 936 112,93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60 554 989,07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CYPRUS</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0,09</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286 489,13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286 489,13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LATVIA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0,07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222 824,88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222 824,88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LITHUANIA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0,12</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381 985,50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381 985,50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LUXEMBOURG</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0,29</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0,27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453 706,07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859 467,38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1 313 173,45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HUNGARY</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0,55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1 750 766,88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1 750 766,88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MALTA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0,03</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95 496,38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95 496,38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NETHERLANDS</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5,22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4,85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8 166 709,21</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15 438 580,69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23 605 289,90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AUSTRIA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2,65</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2,41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4 145 934,75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7 671 542,16</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11 817 476,91</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POLAND</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1,30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4 138 176,27</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4 138 176,27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PORTUGAL</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0,97</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1,15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1 517 568,57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3 660 694,39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5 178 262,96</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ROMANIA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0,37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1 177 788,63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1 177 788,63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SLOVENIA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0,18</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572 978,25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572 978,25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SLOVAKIA</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0,21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668 474,63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 668 474,63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FINLAND</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1,48</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1,47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2 315 465,45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4 679 322,40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6 994 787,84</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SWEDEN</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2,73</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2,74</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4 271 095,05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8 722 002,29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12 993 097,33</w:t>
            </w:r>
          </w:p>
        </w:tc>
      </w:tr>
      <w:tr>
        <w:trPr>
          <w:trHeight w:val="270"/>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lang w:val="fr-BE" w:eastAsia="fr-BE"/>
              </w:rPr>
            </w:pPr>
            <w:r>
              <w:rPr>
                <w:rFonts w:ascii="Times New Roman" w:eastAsia="Times New Roman" w:hAnsi="Times New Roman" w:cs="Times New Roman"/>
                <w:noProof/>
                <w:color w:val="000000"/>
                <w:sz w:val="16"/>
                <w:szCs w:val="16"/>
                <w:lang w:val="fr-BE" w:eastAsia="fr-BE"/>
              </w:rPr>
              <w:t>UNITED KINGDOM</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12,69</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14,82</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19 853 551,70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47 175 209,45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67 028 761,15</w:t>
            </w:r>
          </w:p>
        </w:tc>
      </w:tr>
      <w:tr>
        <w:trPr>
          <w:trHeight w:val="270"/>
        </w:trPr>
        <w:tc>
          <w:tcPr>
            <w:tcW w:w="1190"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color w:val="000000"/>
                <w:sz w:val="16"/>
                <w:szCs w:val="16"/>
                <w:lang w:val="fr-BE" w:eastAsia="fr-BE"/>
              </w:rPr>
            </w:pPr>
            <w:r>
              <w:rPr>
                <w:rFonts w:ascii="Times New Roman" w:eastAsia="Times New Roman" w:hAnsi="Times New Roman" w:cs="Times New Roman"/>
                <w:b/>
                <w:bCs/>
                <w:noProof/>
                <w:color w:val="000000"/>
                <w:sz w:val="16"/>
                <w:szCs w:val="16"/>
                <w:lang w:val="fr-BE" w:eastAsia="fr-BE"/>
              </w:rPr>
              <w:t>TOTAL EU-28</w:t>
            </w:r>
          </w:p>
        </w:tc>
        <w:tc>
          <w:tcPr>
            <w:tcW w:w="54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100,00</w:t>
            </w:r>
          </w:p>
        </w:tc>
        <w:tc>
          <w:tcPr>
            <w:tcW w:w="54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100,00</w:t>
            </w:r>
          </w:p>
        </w:tc>
        <w:tc>
          <w:tcPr>
            <w:tcW w:w="829"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156 450 367,97</w:t>
            </w:r>
          </w:p>
        </w:tc>
        <w:tc>
          <w:tcPr>
            <w:tcW w:w="976"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318 321 251,37</w:t>
            </w:r>
          </w:p>
        </w:tc>
        <w:tc>
          <w:tcPr>
            <w:tcW w:w="909"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474 771 619,34</w:t>
            </w:r>
          </w:p>
        </w:tc>
      </w:tr>
    </w:tbl>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01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02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1-14).</w:t>
      </w:r>
    </w:p>
  </w:footnote>
  <w:footnote w:id="2">
    <w:p>
      <w:pPr>
        <w:pStyle w:val="FootnoteText"/>
      </w:pPr>
      <w:r>
        <w:rPr>
          <w:rStyle w:val="FootnoteReference"/>
        </w:rPr>
        <w:footnoteRef/>
      </w:r>
      <w:r>
        <w:tab/>
        <w:t>Council Regulation (EU) 2018/1877 of 26 November 2018 on the revised Financial Regulation applicable to the 11</w:t>
      </w:r>
      <w:r>
        <w:rPr>
          <w:vertAlign w:val="superscript"/>
        </w:rPr>
        <w:t>th</w:t>
      </w:r>
      <w:r>
        <w:t xml:space="preserve"> European Development Fund</w:t>
      </w:r>
      <w:r>
        <w:rPr>
          <w:szCs w:val="24"/>
        </w:rPr>
        <w:t xml:space="preserve"> (OJ L 307, 3.12.2018, p. 1–21).</w:t>
      </w:r>
    </w:p>
  </w:footnote>
  <w:footnote w:id="3">
    <w:p>
      <w:pPr>
        <w:pStyle w:val="FootnoteText"/>
      </w:pPr>
      <w:r>
        <w:rPr>
          <w:rStyle w:val="FootnoteReference"/>
        </w:rPr>
        <w:footnoteRef/>
      </w:r>
      <w:r>
        <w:tab/>
        <w:t>Gross commitments, i.e. without de-commitments being deducted.</w:t>
      </w:r>
    </w:p>
  </w:footnote>
  <w:footnote w:id="4">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042AC2-7FDC-4051-92AE-697BF79A4949"/>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inancial information on the European Development Fund_x000b__x000b_European Development Fund (EDF): forecasts of commitments, payments and contributions"/>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19162">
      <w:bodyDiv w:val="1"/>
      <w:marLeft w:val="0"/>
      <w:marRight w:val="0"/>
      <w:marTop w:val="0"/>
      <w:marBottom w:val="0"/>
      <w:divBdr>
        <w:top w:val="none" w:sz="0" w:space="0" w:color="auto"/>
        <w:left w:val="none" w:sz="0" w:space="0" w:color="auto"/>
        <w:bottom w:val="none" w:sz="0" w:space="0" w:color="auto"/>
        <w:right w:val="none" w:sz="0" w:space="0" w:color="auto"/>
      </w:divBdr>
    </w:div>
    <w:div w:id="427968215">
      <w:bodyDiv w:val="1"/>
      <w:marLeft w:val="0"/>
      <w:marRight w:val="0"/>
      <w:marTop w:val="0"/>
      <w:marBottom w:val="0"/>
      <w:divBdr>
        <w:top w:val="none" w:sz="0" w:space="0" w:color="auto"/>
        <w:left w:val="none" w:sz="0" w:space="0" w:color="auto"/>
        <w:bottom w:val="none" w:sz="0" w:space="0" w:color="auto"/>
        <w:right w:val="none" w:sz="0" w:space="0" w:color="auto"/>
      </w:divBdr>
    </w:div>
    <w:div w:id="494616487">
      <w:bodyDiv w:val="1"/>
      <w:marLeft w:val="0"/>
      <w:marRight w:val="0"/>
      <w:marTop w:val="0"/>
      <w:marBottom w:val="0"/>
      <w:divBdr>
        <w:top w:val="none" w:sz="0" w:space="0" w:color="auto"/>
        <w:left w:val="none" w:sz="0" w:space="0" w:color="auto"/>
        <w:bottom w:val="none" w:sz="0" w:space="0" w:color="auto"/>
        <w:right w:val="none" w:sz="0" w:space="0" w:color="auto"/>
      </w:divBdr>
    </w:div>
    <w:div w:id="800155419">
      <w:bodyDiv w:val="1"/>
      <w:marLeft w:val="0"/>
      <w:marRight w:val="0"/>
      <w:marTop w:val="0"/>
      <w:marBottom w:val="0"/>
      <w:divBdr>
        <w:top w:val="none" w:sz="0" w:space="0" w:color="auto"/>
        <w:left w:val="none" w:sz="0" w:space="0" w:color="auto"/>
        <w:bottom w:val="none" w:sz="0" w:space="0" w:color="auto"/>
        <w:right w:val="none" w:sz="0" w:space="0" w:color="auto"/>
      </w:divBdr>
    </w:div>
    <w:div w:id="833109636">
      <w:bodyDiv w:val="1"/>
      <w:marLeft w:val="0"/>
      <w:marRight w:val="0"/>
      <w:marTop w:val="0"/>
      <w:marBottom w:val="0"/>
      <w:divBdr>
        <w:top w:val="none" w:sz="0" w:space="0" w:color="auto"/>
        <w:left w:val="none" w:sz="0" w:space="0" w:color="auto"/>
        <w:bottom w:val="none" w:sz="0" w:space="0" w:color="auto"/>
        <w:right w:val="none" w:sz="0" w:space="0" w:color="auto"/>
      </w:divBdr>
    </w:div>
    <w:div w:id="1023749419">
      <w:bodyDiv w:val="1"/>
      <w:marLeft w:val="0"/>
      <w:marRight w:val="0"/>
      <w:marTop w:val="0"/>
      <w:marBottom w:val="0"/>
      <w:divBdr>
        <w:top w:val="none" w:sz="0" w:space="0" w:color="auto"/>
        <w:left w:val="none" w:sz="0" w:space="0" w:color="auto"/>
        <w:bottom w:val="none" w:sz="0" w:space="0" w:color="auto"/>
        <w:right w:val="none" w:sz="0" w:space="0" w:color="auto"/>
      </w:divBdr>
    </w:div>
    <w:div w:id="1152405720">
      <w:bodyDiv w:val="1"/>
      <w:marLeft w:val="0"/>
      <w:marRight w:val="0"/>
      <w:marTop w:val="0"/>
      <w:marBottom w:val="0"/>
      <w:divBdr>
        <w:top w:val="none" w:sz="0" w:space="0" w:color="auto"/>
        <w:left w:val="none" w:sz="0" w:space="0" w:color="auto"/>
        <w:bottom w:val="none" w:sz="0" w:space="0" w:color="auto"/>
        <w:right w:val="none" w:sz="0" w:space="0" w:color="auto"/>
      </w:divBdr>
    </w:div>
    <w:div w:id="1190683766">
      <w:bodyDiv w:val="1"/>
      <w:marLeft w:val="0"/>
      <w:marRight w:val="0"/>
      <w:marTop w:val="0"/>
      <w:marBottom w:val="0"/>
      <w:divBdr>
        <w:top w:val="none" w:sz="0" w:space="0" w:color="auto"/>
        <w:left w:val="none" w:sz="0" w:space="0" w:color="auto"/>
        <w:bottom w:val="none" w:sz="0" w:space="0" w:color="auto"/>
        <w:right w:val="none" w:sz="0" w:space="0" w:color="auto"/>
      </w:divBdr>
    </w:div>
    <w:div w:id="1330906994">
      <w:bodyDiv w:val="1"/>
      <w:marLeft w:val="0"/>
      <w:marRight w:val="0"/>
      <w:marTop w:val="0"/>
      <w:marBottom w:val="0"/>
      <w:divBdr>
        <w:top w:val="none" w:sz="0" w:space="0" w:color="auto"/>
        <w:left w:val="none" w:sz="0" w:space="0" w:color="auto"/>
        <w:bottom w:val="none" w:sz="0" w:space="0" w:color="auto"/>
        <w:right w:val="none" w:sz="0" w:space="0" w:color="auto"/>
      </w:divBdr>
    </w:div>
    <w:div w:id="1345672292">
      <w:bodyDiv w:val="1"/>
      <w:marLeft w:val="0"/>
      <w:marRight w:val="0"/>
      <w:marTop w:val="0"/>
      <w:marBottom w:val="0"/>
      <w:divBdr>
        <w:top w:val="none" w:sz="0" w:space="0" w:color="auto"/>
        <w:left w:val="none" w:sz="0" w:space="0" w:color="auto"/>
        <w:bottom w:val="none" w:sz="0" w:space="0" w:color="auto"/>
        <w:right w:val="none" w:sz="0" w:space="0" w:color="auto"/>
      </w:divBdr>
    </w:div>
    <w:div w:id="1403912491">
      <w:bodyDiv w:val="1"/>
      <w:marLeft w:val="0"/>
      <w:marRight w:val="0"/>
      <w:marTop w:val="0"/>
      <w:marBottom w:val="0"/>
      <w:divBdr>
        <w:top w:val="none" w:sz="0" w:space="0" w:color="auto"/>
        <w:left w:val="none" w:sz="0" w:space="0" w:color="auto"/>
        <w:bottom w:val="none" w:sz="0" w:space="0" w:color="auto"/>
        <w:right w:val="none" w:sz="0" w:space="0" w:color="auto"/>
      </w:divBdr>
    </w:div>
    <w:div w:id="1434210494">
      <w:bodyDiv w:val="1"/>
      <w:marLeft w:val="0"/>
      <w:marRight w:val="0"/>
      <w:marTop w:val="0"/>
      <w:marBottom w:val="0"/>
      <w:divBdr>
        <w:top w:val="none" w:sz="0" w:space="0" w:color="auto"/>
        <w:left w:val="none" w:sz="0" w:space="0" w:color="auto"/>
        <w:bottom w:val="none" w:sz="0" w:space="0" w:color="auto"/>
        <w:right w:val="none" w:sz="0" w:space="0" w:color="auto"/>
      </w:divBdr>
    </w:div>
    <w:div w:id="1586106177">
      <w:bodyDiv w:val="1"/>
      <w:marLeft w:val="0"/>
      <w:marRight w:val="0"/>
      <w:marTop w:val="0"/>
      <w:marBottom w:val="0"/>
      <w:divBdr>
        <w:top w:val="none" w:sz="0" w:space="0" w:color="auto"/>
        <w:left w:val="none" w:sz="0" w:space="0" w:color="auto"/>
        <w:bottom w:val="none" w:sz="0" w:space="0" w:color="auto"/>
        <w:right w:val="none" w:sz="0" w:space="0" w:color="auto"/>
      </w:divBdr>
    </w:div>
    <w:div w:id="1668899244">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786850981">
      <w:bodyDiv w:val="1"/>
      <w:marLeft w:val="0"/>
      <w:marRight w:val="0"/>
      <w:marTop w:val="0"/>
      <w:marBottom w:val="0"/>
      <w:divBdr>
        <w:top w:val="none" w:sz="0" w:space="0" w:color="auto"/>
        <w:left w:val="none" w:sz="0" w:space="0" w:color="auto"/>
        <w:bottom w:val="none" w:sz="0" w:space="0" w:color="auto"/>
        <w:right w:val="none" w:sz="0" w:space="0" w:color="auto"/>
      </w:divBdr>
    </w:div>
    <w:div w:id="1865902798">
      <w:bodyDiv w:val="1"/>
      <w:marLeft w:val="0"/>
      <w:marRight w:val="0"/>
      <w:marTop w:val="0"/>
      <w:marBottom w:val="0"/>
      <w:divBdr>
        <w:top w:val="none" w:sz="0" w:space="0" w:color="auto"/>
        <w:left w:val="none" w:sz="0" w:space="0" w:color="auto"/>
        <w:bottom w:val="none" w:sz="0" w:space="0" w:color="auto"/>
        <w:right w:val="none" w:sz="0" w:space="0" w:color="auto"/>
      </w:divBdr>
    </w:div>
    <w:div w:id="19083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DAABAB-0CB5-4E7C-81EB-8ADBCA09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5152</Words>
  <Characters>21075</Characters>
  <Application>Microsoft Office Word</Application>
  <DocSecurity>0</DocSecurity>
  <Lines>2341</Lines>
  <Paragraphs>2384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40</cp:revision>
  <dcterms:created xsi:type="dcterms:W3CDTF">2019-03-28T16:27:00Z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