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94CBD2-E3E8-46F6-92AA-0EEF00D97A08" style="width:450.7pt;height:44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1"/>
        <w:ind w:left="0" w:firstLine="0"/>
        <w:rPr>
          <w:b w:val="0"/>
          <w:smallCaps w:val="0"/>
          <w:noProof/>
        </w:rPr>
      </w:pPr>
      <w:r>
        <w:rPr>
          <w:b w:val="0"/>
          <w:smallCaps w:val="0"/>
          <w:noProof/>
        </w:rPr>
        <w:t>Настоящото предложение се отнася до решението за установяване на позицията, която трябва да се заеме от името на Съюза в рамките на съответните комитети на Икономическата комисия за Европа на Организацията на обединените нации във връзка с предвиденото приемане на мегарешение.</w:t>
      </w:r>
    </w:p>
    <w:p>
      <w:pPr>
        <w:pStyle w:val="ManualHeading1"/>
        <w:rPr>
          <w:noProof/>
        </w:rPr>
      </w:pPr>
      <w:r>
        <w:rPr>
          <w:noProof/>
        </w:rPr>
        <w:t>2.</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предназначени да премахнат техническите пречки пред търговията с моторни превозни средства между договарящите се страни по Ревизираната спогодба от 1958 г. и да гарантират,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нови глобални технически правила на ООН (ГТП на ООН) и/или промени в съществуващи правила на ООН или глобални технически правила на ООН (ГТП на ООН), за да се осигури технически напредък. Преди всяко заседание на Работна група 29 една от шестте работни комисии към нея приема тези промени.</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спогодби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 xml:space="preserve">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юни 2019 г., предвидено да се проведе от 24 до 28 юни 2019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Спогодбата от 1958 г. има основна роля за постигането на тази цел, тъй като производителите от ЕС могат да използват общ набор от правила за одобряване на типа със съзнанието, че договарящите се страни ще признаят съответствието на продуктите им с националното си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Спогодбата от 1958 г.</w:t>
      </w:r>
    </w:p>
    <w:p>
      <w:pPr>
        <w:rPr>
          <w:noProof/>
        </w:rPr>
      </w:pPr>
      <w:r>
        <w:rPr>
          <w:noProof/>
        </w:rPr>
        <w:t>Подобен подход беше приложен и с Директива 2007/46/ЕО, която замени системите за одобряване в отделните държави членки с процедура на Съюза за одобряване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ООН бяха включени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се въвеждат в законодателството на Съюза в рамките на ЕО одобряването на типа.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политиките на Съюза в областта на транспорта, климата и енергетиката, които надлежно са взети предвид в процеса на изготвяне и приемане на правилата на ООН, попадащи в обхвата на Спогодбата от 1958 г.</w:t>
      </w:r>
    </w:p>
    <w:p>
      <w:pPr>
        <w:pStyle w:val="ManualHeading1"/>
        <w:rPr>
          <w:noProof/>
        </w:rPr>
      </w:pPr>
      <w:r>
        <w:rPr>
          <w:noProof/>
        </w:rPr>
        <w:t>3.</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за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такива международни инструменти, като предложения за правила на ООН, промени в правила на ООН и проекти на глобални технически правила, и включването им в системата на Съюза за одобряване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настоящото решение на Съвета Комисията се упълномощава да гласува от името на Съюза, като то е пропорционален инструмент в съответствие с член 5, параграф 1 от Решение 97/836/ЕО на Съвета с цел да се определи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бъде определена позицията, която трябва да се заеме от името на Съюза в орган, създаден с международно споразумение, е необходимо решение на Съвета.</w:t>
      </w:r>
    </w:p>
    <w:p>
      <w:pPr>
        <w:pStyle w:val="ManualHeading1"/>
        <w:rPr>
          <w:noProof/>
        </w:rPr>
      </w:pPr>
      <w:r>
        <w:rPr>
          <w:noProof/>
        </w:rPr>
        <w:t>4.</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се прилага.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То обаче ще бъде разгледано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промени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одобрение на системи и компоненти не само в ЕС, но и на експортните пазари на договарящите се страни по Спогодбата от 1958 г., които не членуват в ЕС.</w:t>
      </w:r>
    </w:p>
    <w:p>
      <w:pPr>
        <w:rPr>
          <w:noProof/>
        </w:rPr>
      </w:pPr>
      <w:r>
        <w:rPr>
          <w:noProof/>
        </w:rPr>
        <w:t>Предложението има много положително въздействие върху конкурентоспособността на автомобилната промишленост на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пречки пред търговията и за отваряне или разширяване на достъпа до съответните пазари за предприятията от автомобилната промишленост на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5.</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t>6.</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оценяване и докладване</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специфичните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10"/>
        </w:numPr>
        <w:rPr>
          <w:noProof/>
        </w:rPr>
      </w:pPr>
      <w:r>
        <w:rPr>
          <w:noProof/>
        </w:rPr>
        <w:t xml:space="preserve">предложенията за изменения на правила на ООН № 14, 17, 24, 30, 44, 51, 64, 75, 78, 79, 83, 85, 90, 115, 117, 129, 138, 139, 140 и 145; </w:t>
      </w:r>
    </w:p>
    <w:p>
      <w:pPr>
        <w:pStyle w:val="Tiret0"/>
        <w:rPr>
          <w:noProof/>
        </w:rPr>
      </w:pPr>
      <w:r>
        <w:rPr>
          <w:noProof/>
        </w:rPr>
        <w:t>предложенията за изменения на глобални технически правила (ГТП) № 15 и 19;</w:t>
      </w:r>
    </w:p>
    <w:p>
      <w:pPr>
        <w:pStyle w:val="Tiret0"/>
        <w:rPr>
          <w:noProof/>
        </w:rPr>
      </w:pPr>
      <w:r>
        <w:rPr>
          <w:noProof/>
        </w:rPr>
        <w:t xml:space="preserve">предложението за изменение на Обща резолюция M.R.2; </w:t>
      </w:r>
    </w:p>
    <w:p>
      <w:pPr>
        <w:pStyle w:val="Tiret0"/>
        <w:rPr>
          <w:noProof/>
        </w:rPr>
      </w:pPr>
      <w:r>
        <w:rPr>
          <w:noProof/>
        </w:rPr>
        <w:t>предложението за едно ново правило на ООН; както и</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r>
        <w:rPr>
          <w:noProof/>
        </w:rPr>
        <w:t>предложенията за три (изменения на) разрешения за разработване на ГТП.</w:t>
      </w:r>
    </w:p>
    <w:p>
      <w:pPr>
        <w:pStyle w:val="Rfrenceinterinstitutionnelle"/>
        <w:rPr>
          <w:noProof/>
        </w:rPr>
      </w:pPr>
      <w:r>
        <w:rPr>
          <w:noProof/>
        </w:rPr>
        <w:t>2019/0124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Европейският съюз трябва да заеме в рамките на съответните комитети на Икономическата комисия за Европа на Организацията на обединените нации по отношение на предложенията за промени в правила № 14, 17, 24, 30, 44, 51, 64, 75, 78, 79, 83, 85, 90, 115, 117, 129, 138, 139, 140 и 145 на ООН, по отношение на глобални технически правила (ГТП) № 15 и 19, по отношение на предложението за изменение на Обща резолюция M.R.2, по отношение на предложението за едно ново правило на ООН, както и по отношение на предложенията за (изменения на) разрешенията за разработване на ГТП</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w:t>
      </w:r>
      <w:r>
        <w:rPr>
          <w:rStyle w:val="FootnoteReference"/>
          <w:noProof/>
        </w:rPr>
        <w:footnoteReference w:id="1"/>
      </w:r>
      <w:r>
        <w:rPr>
          <w:noProof/>
        </w:rPr>
        <w:t xml:space="preserve"> на Съвета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 Ревизираната спогодба от 1958 г. влезе в сила на 24 март 1998 г.</w:t>
      </w:r>
    </w:p>
    <w:p>
      <w:pPr>
        <w:pStyle w:val="ManualConsidrant"/>
        <w:rPr>
          <w:noProof/>
        </w:rPr>
      </w:pPr>
      <w:r>
        <w:t>(2)</w:t>
      </w:r>
      <w:r>
        <w:tab/>
      </w:r>
      <w:r>
        <w:rPr>
          <w:noProof/>
        </w:rPr>
        <w:t>С Решение 2000/125/ЕО</w:t>
      </w:r>
      <w:r>
        <w:rPr>
          <w:rStyle w:val="FootnoteReference"/>
          <w:noProof/>
        </w:rPr>
        <w:footnoteReference w:id="2"/>
      </w:r>
      <w:r>
        <w:rPr>
          <w:noProof/>
        </w:rPr>
        <w:t xml:space="preserve"> на Съвета Съюзът се присъедини към Спогодбата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Паралелното споразумение влезе в сила на 15 февруари 2000 г.</w:t>
      </w:r>
    </w:p>
    <w:p>
      <w:pPr>
        <w:pStyle w:val="ManualConsidrant"/>
        <w:rPr>
          <w:noProof/>
        </w:rPr>
      </w:pPr>
      <w:r>
        <w:t>(3)</w:t>
      </w:r>
      <w:r>
        <w:tab/>
      </w:r>
      <w:r>
        <w:rPr>
          <w:noProof/>
        </w:rPr>
        <w:t>Съгласно член 1 от Ревизираната спогодба от 1958 г. и член 6 от Паралелното споразумение Административният комитет по Ревизираната спогодба от 1958 г. и Изпълнителният комитет по Паралелното споразумение („съответните комитети на Икономическата комисия за Европа на Организацията на обединените нации“) могат да приемат предложенията за промени в правила № 14, 17, 24, 30, 44, 51, 64, 75, 78, 79, 83, 85, 90, 115, 117, 129, 138, 139, 140 и 145 на ООН, предложенията за изменения на глобални технически правила (ГТП) № 15 и 19, предложението за изменение на Обща резолюция M.R.2, предложението за едно ново правило на ООН и предложенията за (изменения на) разрешенията за разработване на ГТП („мегарешение“).</w:t>
      </w:r>
    </w:p>
    <w:p>
      <w:pPr>
        <w:pStyle w:val="ManualConsidrant"/>
        <w:rPr>
          <w:noProof/>
        </w:rPr>
      </w:pPr>
      <w:r>
        <w:t>(4)</w:t>
      </w:r>
      <w:r>
        <w:tab/>
      </w:r>
      <w:r>
        <w:rPr>
          <w:noProof/>
        </w:rPr>
        <w:t>Очаква се по време на 178-та сесия на Световния форум, насрочена да се проведе между 24 и 28 юни 2019 г., съответните комитети на Икономическата комисия за Европа на Организацията на обединените нации да приемат мегарешение във връзка с административните разпоредби и единните технически предписания за одобряване на колесните превозни средства, оборудване и части, които могат да се монтират и/или да се използват на колесните превозни средства, както и глобалните технически правила за тези превозни средства, оборудване и части</w:t>
      </w:r>
      <w:r>
        <w:t>.</w:t>
      </w:r>
    </w:p>
    <w:p>
      <w:pPr>
        <w:pStyle w:val="ManualConsidrant"/>
        <w:rPr>
          <w:noProof/>
        </w:rPr>
      </w:pPr>
      <w:r>
        <w:t>(5)</w:t>
      </w:r>
      <w:r>
        <w:tab/>
      </w:r>
      <w:r>
        <w:rPr>
          <w:noProof/>
        </w:rPr>
        <w:t>Целесъобразно е да се определи позицията, която трябва да се заеме от името на Съюза в рамките на съответните комитети на Икономическата комисия за Европа на Организацията на обединените нации по отношение на приемането на предложения за правила на ООН, тъй като правилата на ООН ще бъдат обвързващи за Съюза и могат да окажат съществено въздействие върху съдържанието на правото на Съюза в областта на одобряването на типа на превозните средства.</w:t>
      </w:r>
    </w:p>
    <w:p>
      <w:pPr>
        <w:pStyle w:val="ManualConsidrant"/>
        <w:rPr>
          <w:noProof/>
        </w:rPr>
      </w:pPr>
      <w:r>
        <w:t>(6)</w:t>
      </w:r>
      <w:r>
        <w:tab/>
      </w:r>
      <w:r>
        <w:rPr>
          <w:noProof/>
        </w:rPr>
        <w:t>Директива 2007/46/ЕО на Европейския парламент и на Съвета</w:t>
      </w:r>
      <w:r>
        <w:rPr>
          <w:rStyle w:val="FootnoteReference"/>
          <w:noProof/>
        </w:rPr>
        <w:footnoteReference w:id="3"/>
      </w:r>
      <w:r>
        <w:rPr>
          <w:noProof/>
        </w:rPr>
        <w:t xml:space="preserve"> замени системите за одобряване в отделните държави членки с процедура на Съюза за одобряване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Ревизираната спогодба от 1958 г. („правилата на ООН“), бяха включени в системата на ЕС за одобряване на типа или като изисквания за одобряване на типа, или като алтернативи на законодателството на Съюза. След приемането на Директива 2007/46/ЕО правилата на ООН във все по-голяма степен се включват в законодателството на Съюза.  </w:t>
      </w:r>
    </w:p>
    <w:p>
      <w:pPr>
        <w:pStyle w:val="ManualConsidrant"/>
        <w:rPr>
          <w:noProof/>
        </w:rPr>
      </w:pPr>
      <w:r>
        <w:t>(7)</w:t>
      </w:r>
      <w:r>
        <w:tab/>
      </w:r>
      <w:r>
        <w:rPr>
          <w:noProof/>
        </w:rPr>
        <w:t>С оглед на натрупания опит и техническия напредък изискванията относно някои елементи или характеристики, обхванати от правила на ООН № 17, 24, 30, 44, 64, 75, 78, 79, 83, 85, 90, 115, 117, 129, 138, 139 и 140, трябва да бъдат допълнени, а някои, обхванати от глобални технически правила на ООН № 15 и 19, трябва да бъдат изменени. Освен това някои разпоредби в правила на ИКЕ на ООН № 14, 51, 83, 129 и 145 и в глобално техническо правило на ООН № 15 трябва да бъдат поправени. И накрая, трябва да бъдат приети нови изисквания относно усъвършенстваната система за аварийно спиране,</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Административния комитет по Ревизираната спогодба от 1958 г. и на Изпълнителния комитет по Паралелното споразумение по време на </w:t>
      </w:r>
      <w:r>
        <w:rPr>
          <w:noProof/>
          <w:spacing w:val="-4"/>
          <w:sz w:val="23"/>
        </w:rPr>
        <w:t>178-та сесия на Световния форум</w:t>
      </w:r>
      <w:r>
        <w:rPr>
          <w:noProof/>
        </w:rPr>
        <w:t>, насрочена да се проведе между 24 и 28 юни 2019 г., е да се гласува в подкрепа на предложенията, изброени в приложението към настоящото решение.</w:t>
      </w:r>
    </w:p>
    <w:p>
      <w:pPr>
        <w:jc w:val="center"/>
        <w:rPr>
          <w:i/>
          <w:noProof/>
        </w:rPr>
      </w:pPr>
      <w:r>
        <w:rPr>
          <w:i/>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spacing w:before="120"/>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година“)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одобряване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8 09:23: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94CBD2-E3E8-46F6-92AA-0EEF00D97A08"/>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4"/>
    <w:docVar w:name="LW_REF.II.NEW.CP_YEAR" w:val="2019"/>
    <w:docVar w:name="LW_REF.INST.NEW" w:val="COM"/>
    <w:docVar w:name="LW_REF.INST.NEW_ADOPTED" w:val="final"/>
    <w:docVar w:name="LW_REF.INST.NEW_TEXT" w:val="(2019)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45?\u1074?\u1088?\u1086?\u1087?\u1077?\u1081?\u1089?\u1082?\u1080?\u1103?\u1090? \u1089?\u1098?\u1102?\u1079? \u1090?\u1088?\u1103?\u1073?\u1074?\u1072? \u1076?\u1072? \u1079?\u1072?\u1077?\u1084?\u1077?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7?\u1088?\u1086?\u1084?\u1077?\u1085?\u1080? \u1074? \u1087?\u1088?\u1072?\u1074?\u1080?\u1083?\u1072? \u8470? 14, 17, 24, 30, 44, 51, 64, 75, 78, 79, 83, 85, 90, 115, 117, 129, 138, 139, 140 \u1080? 145 \u1085?\u1072? \u1054?\u1054?\u1053?, \u1087?\u1086? \u1086?\u1090?\u1085?\u1086?\u1096?\u1077?\u1085?\u1080?\u1077? \u1085?\u1072? \u1075?\u1083?\u1086?\u1073?\u1072?\u1083?\u1085?\u1080? \u1090?\u1077?\u1093?\u1085?\u1080?\u1095?\u1077?\u1089?\u1082?\u1080? \u1087?\u1088?\u1072?\u1074?\u1080?\u1083?\u1072? (\u1043?\u1058?\u1055?) \u8470? 15 \u1080? 19, \u1087?\u1086? \u1086?\u1090?\u1085?\u1086?\u1096?\u1077?\u1085?\u1080?\u1077? \u1085?\u1072? \u1087?\u1088?\u1077?\u1076?\u1083?\u1086?\u1078?\u1077?\u1085?\u1080?\u1077?\u1090?\u1086? \u1079?\u1072? \u1080?\u1079?\u1084?\u1077?\u1085?\u1077?\u1085?\u1080?\u1077? \u1085?\u1072? \u1054?\u1073?\u1097?\u1072? \u1088?\u1077?\u1079?\u1086?\u1083?\u1102?\u1094?\u1080?\u1103? M.R.2, \u1087?\u1086? \u1086?\u1090?\u1085?\u1086?\u1096?\u1077?\u1085?\u1080?\u1077? \u1085?\u1072? \u1087?\u1088?\u1077?\u1076?\u1083?\u1086?\u1078?\u1077?\u1085?\u1080?\u1077?\u1090?\u1086? \u1079?\u1072? \u1077?\u1076?\u1085?\u1086? \u1085?\u1086?\u1074?\u1086? \u1087?\u1088?\u1072?\u1074?\u1080?\u1083?\u1086? \u1085?\u1072? \u1054?\u1054?\u1053?, \u1082?\u1072?\u1082?\u1090?\u1086? \u1080? \u1087?\u1086? \u1086?\u1090?\u1085?\u1086?\u1096?\u1077?\u1085?\u1080?\u1077? \u1085?\u1072? \u1087?\u1088?\u1077?\u1076?\u1083?\u1086?\u1078?\u1077?\u1085?\u1080?\u1103?\u1090?\u1072? \u1079?\u1072? (\u1080?\u1079?\u1084?\u1077?\u1085?\u1077?\u1085?\u1080?\u1103? \u1085?\u1072?) \u1088?\u1072?\u1079?\u1088?\u1077?\u1096?\u1077?\u1085?\u1080?\u1103?\u1090?\u1072? \u1079?\u1072? \u1088?\u1072?\u1079?\u1088?\u1072?\u1073?\u1086?\u1090?\u1074?\u1072?\u1085?\u1077? \u1085?\u1072? \u1043?\u1058?\u1055?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E1DF-10E3-4872-826F-3FC42058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2261</Words>
  <Characters>12708</Characters>
  <Application>Microsoft Office Word</Application>
  <DocSecurity>0</DocSecurity>
  <Lines>239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2019-05-06T09:30:00Z</cp:lastPrinted>
  <dcterms:created xsi:type="dcterms:W3CDTF">2019-05-23T09:07:00Z</dcterms:created>
  <dcterms:modified xsi:type="dcterms:W3CDTF">2019-05-28T07:23:00Z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