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D491BD36-83EE-41EC-B8D8-66CA65A52A91" style="width:450.75pt;height:35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jc w:val="center"/>
        <w:rPr>
          <w:b/>
          <w:noProof/>
          <w:u w:val="single"/>
        </w:rPr>
      </w:pPr>
      <w:bookmarkStart w:id="0" w:name="_GoBack"/>
      <w:bookmarkEnd w:id="0"/>
      <w:r>
        <w:rPr>
          <w:b/>
          <w:noProof/>
          <w:u w:val="single"/>
        </w:rPr>
        <w:lastRenderedPageBreak/>
        <w:t>ОБЯСНИТЕЛЕН МЕМОРАНДУМ</w:t>
      </w:r>
    </w:p>
    <w:p>
      <w:pPr>
        <w:keepNext/>
        <w:tabs>
          <w:tab w:val="left" w:pos="850"/>
        </w:tabs>
        <w:spacing w:before="360"/>
        <w:ind w:left="850" w:hanging="850"/>
        <w:outlineLvl w:val="0"/>
        <w:rPr>
          <w:b/>
          <w:smallCaps/>
          <w:noProof/>
        </w:rPr>
      </w:pPr>
      <w:r>
        <w:rPr>
          <w:b/>
          <w:smallCaps/>
          <w:noProof/>
        </w:rPr>
        <w:t>1.</w:t>
      </w:r>
      <w:r>
        <w:rPr>
          <w:noProof/>
        </w:rPr>
        <w:tab/>
      </w:r>
      <w:r>
        <w:rPr>
          <w:b/>
          <w:smallCaps/>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Съвета на Световната митническа организация във връзка с предвиденото приемане на проект за препоръка за изменение на Номенклатурата на Хармонизираната система.</w:t>
      </w:r>
    </w:p>
    <w:p>
      <w:pPr>
        <w:keepNext/>
        <w:tabs>
          <w:tab w:val="left" w:pos="850"/>
        </w:tabs>
        <w:spacing w:before="360"/>
        <w:ind w:left="850" w:hanging="850"/>
        <w:outlineLvl w:val="0"/>
        <w:rPr>
          <w:b/>
          <w:smallCaps/>
          <w:noProof/>
        </w:rPr>
      </w:pPr>
      <w:r>
        <w:rPr>
          <w:b/>
          <w:smallCaps/>
          <w:noProof/>
        </w:rPr>
        <w:t>2.</w:t>
      </w:r>
      <w:r>
        <w:rPr>
          <w:noProof/>
        </w:rPr>
        <w:tab/>
      </w:r>
      <w:r>
        <w:rPr>
          <w:b/>
          <w:smallCaps/>
          <w:noProof/>
        </w:rPr>
        <w:t>Контекст на предложението</w:t>
      </w:r>
    </w:p>
    <w:p>
      <w:pPr>
        <w:keepNext/>
        <w:tabs>
          <w:tab w:val="left" w:pos="850"/>
        </w:tabs>
        <w:ind w:left="850" w:hanging="850"/>
        <w:outlineLvl w:val="1"/>
        <w:rPr>
          <w:b/>
          <w:noProof/>
        </w:rPr>
      </w:pPr>
      <w:r>
        <w:rPr>
          <w:b/>
          <w:noProof/>
        </w:rPr>
        <w:t>2.1.</w:t>
      </w:r>
      <w:r>
        <w:rPr>
          <w:noProof/>
        </w:rPr>
        <w:tab/>
      </w:r>
      <w:r>
        <w:rPr>
          <w:b/>
          <w:noProof/>
        </w:rPr>
        <w:t>Международната конвенция по Хармонизираната система за описание и кодиране на стоките</w:t>
      </w:r>
    </w:p>
    <w:p>
      <w:pPr>
        <w:rPr>
          <w:rFonts w:eastAsia="Arial Unicode MS"/>
          <w:noProof/>
        </w:rPr>
      </w:pPr>
      <w:r>
        <w:rPr>
          <w:noProof/>
        </w:rPr>
        <w:t>Международната конвенция по Хармонизираната система за описание и кодиране на стоките (наричана по-нататък „Конвенцията“) има за цел улесняване на международната търговия и събирането, сравняването и анализирането на статистически данни, особено за международната търговия. Като приложение към Конвенцията е установена Номенклатурата на Хармонизираната система (ХС), която представлява международна хармонизирана система, осигуряваща възможност на участващите държави да класифицират (класират) търгуваните стоки по общ начин за търговски цели. По-конкретно, Номенклатурата на ХС включва описанието на стоките, представени като позиции и подпозиции, и съответстващите им числови кодове, съставени въз основа на 6-цифрова кодова система. Номенклатурата на ХС се изменя веднъж на всеки пет години</w:t>
      </w:r>
      <w:r>
        <w:rPr>
          <w:rStyle w:val="FootnoteReference"/>
          <w:noProof/>
        </w:rPr>
        <w:footnoteReference w:id="1"/>
      </w:r>
      <w:r>
        <w:rPr>
          <w:noProof/>
        </w:rPr>
        <w:t xml:space="preserve">. Тя се прилага от над 190 администрации по целия свят; вследствие на това над 98 % от всички стоки, търгувани в света, се класират в съответствие с нея. </w:t>
      </w:r>
    </w:p>
    <w:p>
      <w:pPr>
        <w:rPr>
          <w:rFonts w:eastAsia="Arial Unicode MS"/>
          <w:noProof/>
        </w:rPr>
      </w:pPr>
      <w:r>
        <w:rPr>
          <w:noProof/>
        </w:rPr>
        <w:t>Конвенцията влезе в сила на 1 януари 1988 г.</w:t>
      </w:r>
    </w:p>
    <w:p>
      <w:pPr>
        <w:rPr>
          <w:rFonts w:eastAsia="Arial Unicode MS"/>
          <w:noProof/>
        </w:rPr>
      </w:pPr>
      <w:r>
        <w:rPr>
          <w:noProof/>
        </w:rPr>
        <w:t>Европейският съюз и всички държави членки са страни по Конвенцията</w:t>
      </w:r>
      <w:r>
        <w:rPr>
          <w:rStyle w:val="FootnoteReference"/>
          <w:noProof/>
        </w:rPr>
        <w:footnoteReference w:id="2"/>
      </w:r>
      <w:r>
        <w:rPr>
          <w:noProof/>
        </w:rPr>
        <w:t>.</w:t>
      </w:r>
    </w:p>
    <w:p>
      <w:pPr>
        <w:keepNext/>
        <w:tabs>
          <w:tab w:val="left" w:pos="850"/>
        </w:tabs>
        <w:ind w:left="850" w:hanging="850"/>
        <w:outlineLvl w:val="1"/>
        <w:rPr>
          <w:b/>
          <w:noProof/>
        </w:rPr>
      </w:pPr>
      <w:r>
        <w:rPr>
          <w:b/>
          <w:noProof/>
        </w:rPr>
        <w:t>2.2.</w:t>
      </w:r>
      <w:r>
        <w:rPr>
          <w:noProof/>
        </w:rPr>
        <w:tab/>
      </w:r>
      <w:r>
        <w:rPr>
          <w:b/>
          <w:noProof/>
        </w:rPr>
        <w:t>Световната митническа организация (СМО)</w:t>
      </w:r>
    </w:p>
    <w:p>
      <w:pPr>
        <w:rPr>
          <w:rFonts w:eastAsia="Arial Unicode MS"/>
          <w:noProof/>
        </w:rPr>
      </w:pPr>
      <w:r>
        <w:rPr>
          <w:noProof/>
        </w:rPr>
        <w:t>Световната митническа организация (СМО), създадена през 1952 г. като Съвет за митническо сътрудничество, е независима междуправителствена организация, чиято задача е повишаване на ефективността и ефикасността на митническите администрации. СМО предлага на членовете си редица конвенции и други международни актове, както и услуги за техническа помощ и обучение. Днес в СМО са представени 182 митнически администрации от целия свят.</w:t>
      </w:r>
    </w:p>
    <w:p>
      <w:pPr>
        <w:rPr>
          <w:rFonts w:eastAsia="Arial Unicode MS"/>
          <w:noProof/>
        </w:rPr>
      </w:pPr>
      <w:r>
        <w:rPr>
          <w:noProof/>
        </w:rPr>
        <w:t xml:space="preserve">Управителното тяло на СМО е Съветът, който за изпълнението на задачите си разчита на компетентностите и уменията на служителите на Секретариата и различни технически и консултативни комитети. </w:t>
      </w:r>
    </w:p>
    <w:p>
      <w:pPr>
        <w:rPr>
          <w:rFonts w:eastAsiaTheme="majorEastAsia"/>
          <w:bCs/>
          <w:noProof/>
          <w:szCs w:val="26"/>
        </w:rPr>
      </w:pPr>
      <w:r>
        <w:rPr>
          <w:noProof/>
        </w:rPr>
        <w:t>Техническият комитет в СМО, който отговаря за подготвителната работа във връзка с Конвенцията, е Комитетът по ХС. Главните задачи на Комитета по ХС са следните:</w:t>
      </w:r>
    </w:p>
    <w:p>
      <w:pPr>
        <w:pStyle w:val="Bullet0"/>
        <w:numPr>
          <w:ilvl w:val="0"/>
          <w:numId w:val="10"/>
        </w:numPr>
        <w:rPr>
          <w:noProof/>
        </w:rPr>
      </w:pPr>
      <w:r>
        <w:rPr>
          <w:noProof/>
        </w:rPr>
        <w:t xml:space="preserve">да осигурява еднакво тълкуване и прилагане на правните текстове във връзка с ХС, в т.ч. уреждайки споровете по класирането между договарящите страни, улеснявайки по този начин търговията; </w:t>
      </w:r>
    </w:p>
    <w:p>
      <w:pPr>
        <w:pStyle w:val="Bullet0"/>
        <w:rPr>
          <w:noProof/>
        </w:rPr>
      </w:pPr>
      <w:r>
        <w:rPr>
          <w:noProof/>
        </w:rPr>
        <w:t xml:space="preserve">да предлага изменения и обновявания на ХС, за да бъдат отразявани техническото развитие и промените в търговските схеми, както и други потребности на ползвателите на ХС; </w:t>
      </w:r>
    </w:p>
    <w:p>
      <w:pPr>
        <w:pStyle w:val="Bullet0"/>
        <w:rPr>
          <w:noProof/>
        </w:rPr>
      </w:pPr>
      <w:r>
        <w:rPr>
          <w:noProof/>
        </w:rPr>
        <w:t>да насърчава разпространяването на прилагането на ХС и да разглежда общи и политически въпроси, свързани с нея.</w:t>
      </w:r>
    </w:p>
    <w:p>
      <w:pPr>
        <w:ind w:left="720"/>
        <w:contextualSpacing/>
        <w:rPr>
          <w:rFonts w:eastAsiaTheme="majorEastAsia"/>
          <w:bCs/>
          <w:noProof/>
          <w:szCs w:val="26"/>
        </w:rPr>
      </w:pPr>
    </w:p>
    <w:p>
      <w:pPr>
        <w:rPr>
          <w:rFonts w:eastAsiaTheme="majorEastAsia"/>
          <w:bCs/>
          <w:noProof/>
          <w:szCs w:val="26"/>
        </w:rPr>
      </w:pPr>
      <w:r>
        <w:rPr>
          <w:noProof/>
        </w:rPr>
        <w:t>Съветът на СМО разглежда предложения за изменения на Конвенцията, съставени от Комитета по ХС, и може да ги препоръча на договарящите страни. Измененията, препоръчани от Съвета на СМО, се смятат за приети, ако никоя от договарящите страни не е представила възражение в срок от шест месеца от изпращането на уведомление до тях.</w:t>
      </w:r>
    </w:p>
    <w:p>
      <w:pPr>
        <w:rPr>
          <w:rFonts w:eastAsiaTheme="majorEastAsia"/>
          <w:bCs/>
          <w:noProof/>
          <w:szCs w:val="26"/>
        </w:rPr>
      </w:pPr>
      <w:r>
        <w:rPr>
          <w:noProof/>
        </w:rPr>
        <w:t>Позициите, които трябва да се заемат от Съюза в рамките на СМО по въпроси във връзка с ХС, се съгласуват с държавите членки. Съюзът и неговите държави членки заедно имат само един глас в Съвета на СМО.</w:t>
      </w:r>
    </w:p>
    <w:p>
      <w:pPr>
        <w:keepNext/>
        <w:tabs>
          <w:tab w:val="left" w:pos="850"/>
        </w:tabs>
        <w:ind w:left="850" w:hanging="850"/>
        <w:outlineLvl w:val="1"/>
        <w:rPr>
          <w:b/>
          <w:noProof/>
        </w:rPr>
      </w:pPr>
      <w:r>
        <w:rPr>
          <w:b/>
          <w:noProof/>
        </w:rPr>
        <w:t>2.3.</w:t>
      </w:r>
      <w:r>
        <w:rPr>
          <w:noProof/>
        </w:rPr>
        <w:tab/>
      </w:r>
      <w:r>
        <w:rPr>
          <w:b/>
          <w:noProof/>
        </w:rPr>
        <w:t>Предвиденият акт на Съвета на СМО</w:t>
      </w:r>
    </w:p>
    <w:p>
      <w:pPr>
        <w:rPr>
          <w:rFonts w:eastAsia="Arial Unicode MS"/>
          <w:noProof/>
        </w:rPr>
      </w:pPr>
      <w:r>
        <w:rPr>
          <w:noProof/>
        </w:rPr>
        <w:t>На своите 133</w:t>
      </w:r>
      <w:r>
        <w:rPr>
          <w:noProof/>
          <w:vertAlign w:val="superscript"/>
        </w:rPr>
        <w:t>-та</w:t>
      </w:r>
      <w:r>
        <w:rPr>
          <w:noProof/>
        </w:rPr>
        <w:t xml:space="preserve"> и 134</w:t>
      </w:r>
      <w:r>
        <w:rPr>
          <w:noProof/>
          <w:vertAlign w:val="superscript"/>
        </w:rPr>
        <w:t>-та</w:t>
      </w:r>
      <w:r>
        <w:rPr>
          <w:noProof/>
        </w:rPr>
        <w:t xml:space="preserve"> сесии (27 – 29 юни 2019 г.) Съветът на СМО трябва да приеме препоръка за изменения на Номенклатурата на ХС по член 16 от Конвенцията за ХС („предвиденият акт“). Изменената Номенклатура на ХС ще влезе в сила през 2022 г.</w:t>
      </w:r>
    </w:p>
    <w:p>
      <w:pPr>
        <w:rPr>
          <w:rFonts w:eastAsia="Arial Unicode MS"/>
          <w:noProof/>
        </w:rPr>
      </w:pPr>
      <w:r>
        <w:rPr>
          <w:noProof/>
        </w:rPr>
        <w:t xml:space="preserve">Препоръката беше изготвена в периода 19—29 март 2019 г. по време на шестдесет и третата сесия на Комитета по ХС. </w:t>
      </w:r>
    </w:p>
    <w:p>
      <w:pPr>
        <w:rPr>
          <w:rFonts w:eastAsia="Arial Unicode MS"/>
          <w:noProof/>
        </w:rPr>
      </w:pPr>
      <w:r>
        <w:rPr>
          <w:noProof/>
        </w:rPr>
        <w:t>Проектът на препоръка включва 355 набора от изменения на Номенклатурата на ХС, чиято цел е да отразят развитието на търговските модели и на новите технологии и необходимостта от модернизиране и адаптиране на номенклатурата към нейната среда. По-специално, предложените изменения:</w:t>
      </w:r>
    </w:p>
    <w:p>
      <w:pPr>
        <w:pStyle w:val="Tiret0"/>
        <w:numPr>
          <w:ilvl w:val="0"/>
          <w:numId w:val="12"/>
        </w:numPr>
        <w:rPr>
          <w:noProof/>
        </w:rPr>
      </w:pPr>
      <w:r>
        <w:rPr>
          <w:noProof/>
        </w:rPr>
        <w:t>Опростяват Номенклатурата, като заличават позиции и подпозиции с малък обем на търговията, с което поддържат ХС актуална и в съответствие с развитието на продуктите.</w:t>
      </w:r>
    </w:p>
    <w:p>
      <w:pPr>
        <w:pStyle w:val="ListParagraph"/>
        <w:rPr>
          <w:rFonts w:eastAsia="Arial Unicode MS"/>
          <w:noProof/>
        </w:rPr>
      </w:pPr>
    </w:p>
    <w:p>
      <w:pPr>
        <w:pStyle w:val="Tiret0"/>
        <w:rPr>
          <w:noProof/>
        </w:rPr>
      </w:pPr>
      <w:r>
        <w:rPr>
          <w:noProof/>
        </w:rPr>
        <w:t>Улесняват класификацията в съответствие с приложимите международни стандарти, или вземат предвид нови продукти или изменението на състава на продукти (продукти за клетъчна терапия, 3D принтери, плоски екрани, кисели млека, хранителни продукти от насекоми,  необработено (Virgin) маслиново масло, нови тютюневи изделия, дронове, полупроводници и преобразуватели и др.).</w:t>
      </w:r>
    </w:p>
    <w:p>
      <w:pPr>
        <w:pStyle w:val="ListParagraph"/>
        <w:rPr>
          <w:rFonts w:eastAsia="Arial Unicode MS"/>
          <w:noProof/>
        </w:rPr>
      </w:pPr>
    </w:p>
    <w:p>
      <w:pPr>
        <w:pStyle w:val="Tiret0"/>
        <w:rPr>
          <w:noProof/>
        </w:rPr>
      </w:pPr>
      <w:r>
        <w:rPr>
          <w:noProof/>
        </w:rPr>
        <w:t>Подобряват съответствието между френската и английската версия на Номенклатурата, за да осигурят единно прилагане и да намалят съществуващи или потенциални различия в класификацията.</w:t>
      </w:r>
    </w:p>
    <w:p>
      <w:pPr>
        <w:pStyle w:val="ListParagraph"/>
        <w:rPr>
          <w:rFonts w:eastAsia="Arial Unicode MS"/>
          <w:noProof/>
        </w:rPr>
      </w:pPr>
    </w:p>
    <w:p>
      <w:pPr>
        <w:pStyle w:val="Tiret0"/>
        <w:rPr>
          <w:noProof/>
        </w:rPr>
      </w:pPr>
      <w:r>
        <w:rPr>
          <w:noProof/>
        </w:rPr>
        <w:t>Улесняват борбата с измамите и незаконната търговия и защитата на здравето и на околната среда чрез създаване на позиции и подпозиции в различни области (синтетични диаманти, химикали, културни ценности, фентанил, отпадъци и др.).</w:t>
      </w:r>
    </w:p>
    <w:p>
      <w:pPr>
        <w:rPr>
          <w:rFonts w:eastAsia="Arial Unicode MS"/>
          <w:noProof/>
        </w:rPr>
      </w:pPr>
      <w:r>
        <w:rPr>
          <w:noProof/>
        </w:rPr>
        <w:t>Предложенията бяха представени от международни организации (Кимбърлийския процес, ФАО, Базелската и Ротердамската конвенции, Международния съвет за маслиновото масло и др.), договарящите страни и секретариата на СМО. Сред тези изменения са няколко предложения, представени от ЕС (например фото-  и термочувствителни плаки, ламинирани тъкани, надуваеми лодки, електронни текстилни продукти, стъклени влакна, 3D принтери, огнеупорни керамични изделия, машини за коване, кисело мляко, забележка 3 към глава 27, огъващи се моливи).</w:t>
      </w:r>
    </w:p>
    <w:p>
      <w:pPr>
        <w:rPr>
          <w:rFonts w:eastAsia="Arial Unicode MS"/>
          <w:noProof/>
        </w:rPr>
      </w:pPr>
      <w:r>
        <w:rPr>
          <w:noProof/>
        </w:rPr>
        <w:t>Проектът за препоръка е включен като приложение С към доклада от 63</w:t>
      </w:r>
      <w:r>
        <w:rPr>
          <w:noProof/>
          <w:vertAlign w:val="superscript"/>
        </w:rPr>
        <w:t>-ото</w:t>
      </w:r>
      <w:r>
        <w:rPr>
          <w:noProof/>
        </w:rPr>
        <w:t xml:space="preserve"> заседание на Комитета по ХС през март 2019 г. (док. NC2626B1b-HSC/63/March 2019).</w:t>
      </w:r>
    </w:p>
    <w:p>
      <w:pPr>
        <w:keepNext/>
        <w:tabs>
          <w:tab w:val="left" w:pos="850"/>
        </w:tabs>
        <w:spacing w:before="360"/>
        <w:ind w:left="850" w:hanging="850"/>
        <w:outlineLvl w:val="0"/>
        <w:rPr>
          <w:b/>
          <w:smallCaps/>
          <w:noProof/>
        </w:rPr>
      </w:pPr>
      <w:r>
        <w:rPr>
          <w:b/>
          <w:smallCaps/>
          <w:noProof/>
        </w:rPr>
        <w:t>3.</w:t>
      </w:r>
      <w:r>
        <w:rPr>
          <w:noProof/>
        </w:rPr>
        <w:tab/>
      </w:r>
      <w:r>
        <w:rPr>
          <w:b/>
          <w:smallCaps/>
          <w:noProof/>
        </w:rPr>
        <w:t>Позиция, която трябва да се заеме от името на Съюза</w:t>
      </w:r>
    </w:p>
    <w:p>
      <w:pPr>
        <w:rPr>
          <w:noProof/>
        </w:rPr>
      </w:pPr>
      <w:r>
        <w:rPr>
          <w:noProof/>
        </w:rPr>
        <w:t>Предложената позиция има за цел да изрази подкрепа за проекта за препоръка за изменение на Номенклатурата на ХС.</w:t>
      </w:r>
    </w:p>
    <w:p>
      <w:pPr>
        <w:rPr>
          <w:noProof/>
        </w:rPr>
      </w:pPr>
      <w:r>
        <w:rPr>
          <w:noProof/>
        </w:rPr>
        <w:t>За ЕС е важно да бъде приета такава препоръка, тъй като тя е насочена към актуализирането и модернизирането на Номенклатурата на ХС и опростяването и улесняването на класификацията на продуктите. Важно е също така да се отбележи, че ЕС даде съществен принос за тази модернизация, тъй като той внесе голяма част от свързаните с нея предложения в настоящия цикъл за преразглеждане.</w:t>
      </w:r>
    </w:p>
    <w:p>
      <w:pPr>
        <w:rPr>
          <w:noProof/>
        </w:rPr>
      </w:pPr>
      <w:r>
        <w:rPr>
          <w:noProof/>
        </w:rPr>
        <w:t>Бяха провеждани постоянни консултации с държавите членки в рамките на Експертната група по митнически въпроси — отдел за координация ХС/СМО, както и със Съвета, и при необходимост със службите на Комисията.</w:t>
      </w:r>
    </w:p>
    <w:p>
      <w:pPr>
        <w:rPr>
          <w:noProof/>
        </w:rPr>
      </w:pPr>
      <w:r>
        <w:rPr>
          <w:noProof/>
        </w:rPr>
        <w:t>Във връзка с изменението по отношение на новите тютюневи изделия, позицията на ЕС е установена с Решение на Съвета преди горепосочената сесия на Комитета по ХС</w:t>
      </w:r>
      <w:r>
        <w:rPr>
          <w:rStyle w:val="FootnoteReference"/>
          <w:noProof/>
        </w:rPr>
        <w:footnoteReference w:id="3"/>
      </w:r>
      <w:r>
        <w:rPr>
          <w:noProof/>
        </w:rPr>
        <w:t>. Тъй като Решението на Съвета се отклонява от предложението на Комисията, Комисията направи декларация</w:t>
      </w:r>
      <w:r>
        <w:rPr>
          <w:rStyle w:val="FootnoteReference"/>
          <w:noProof/>
        </w:rPr>
        <w:footnoteReference w:id="4"/>
      </w:r>
      <w:r>
        <w:rPr>
          <w:noProof/>
        </w:rPr>
        <w:t>, с която напомни че понастоящем Рамковата конвенция на СЗО за контрол на тютюна извършва работа във връзка с характера на емисиите, отделяни от новите тютюневи изделия, както и че може да се наложи резултатите от тази работа да бъдат взети предвид на по-късен етап, ако има нови данни от значение за оценката на обективните характеристики и свойства на такива продукти за митнически цели.</w:t>
      </w:r>
    </w:p>
    <w:p>
      <w:pPr>
        <w:rPr>
          <w:noProof/>
        </w:rPr>
      </w:pPr>
      <w:r>
        <w:rPr>
          <w:noProof/>
        </w:rPr>
        <w:t>Затова предложената позиция е следната:</w:t>
      </w:r>
    </w:p>
    <w:p>
      <w:pPr>
        <w:pStyle w:val="Tiret0"/>
        <w:numPr>
          <w:ilvl w:val="0"/>
          <w:numId w:val="9"/>
        </w:numPr>
        <w:ind w:left="851" w:hanging="851"/>
        <w:rPr>
          <w:noProof/>
        </w:rPr>
      </w:pPr>
      <w:r>
        <w:rPr>
          <w:noProof/>
        </w:rPr>
        <w:t>Относно Препоръката Съюзът следва да подкрепи нейното приемане.</w:t>
      </w:r>
    </w:p>
    <w:p>
      <w:pPr>
        <w:pStyle w:val="Tiret0"/>
        <w:rPr>
          <w:noProof/>
        </w:rPr>
      </w:pPr>
      <w:r>
        <w:rPr>
          <w:noProof/>
        </w:rPr>
        <w:t>Според случая Съюзът следва също така да подкрепи допълнителни редакционни изменения, ако такива бъдат предложени от секретариата на СМО.</w:t>
      </w:r>
    </w:p>
    <w:p>
      <w:pPr>
        <w:rPr>
          <w:noProof/>
        </w:rPr>
      </w:pPr>
      <w:r>
        <w:rPr>
          <w:noProof/>
        </w:rPr>
        <w:t xml:space="preserve">Предложената позиция на ЕС е съобразена с установената митническа политика и практиката на Съда на Европейския съюз за класиране на стоките при внос според обективните им характеристики и свойства. </w:t>
      </w:r>
    </w:p>
    <w:p>
      <w:pPr>
        <w:rPr>
          <w:noProof/>
        </w:rPr>
      </w:pPr>
      <w:r>
        <w:rPr>
          <w:noProof/>
        </w:rPr>
        <w:t xml:space="preserve">Предложената позиция е необходима, за да може ЕС да изрази позиция на следващото заседание на Съвета на СМО. </w:t>
      </w:r>
    </w:p>
    <w:p>
      <w:pPr>
        <w:keepNext/>
        <w:tabs>
          <w:tab w:val="left" w:pos="850"/>
        </w:tabs>
        <w:spacing w:before="360"/>
        <w:ind w:left="850" w:hanging="850"/>
        <w:outlineLvl w:val="0"/>
        <w:rPr>
          <w:b/>
          <w:smallCaps/>
          <w:noProof/>
        </w:rPr>
      </w:pPr>
      <w:r>
        <w:rPr>
          <w:b/>
          <w:smallCaps/>
          <w:noProof/>
        </w:rPr>
        <w:t>4.</w:t>
      </w:r>
      <w:r>
        <w:rPr>
          <w:noProof/>
        </w:rPr>
        <w:tab/>
      </w:r>
      <w:r>
        <w:rPr>
          <w:b/>
          <w:smallCaps/>
          <w:noProof/>
        </w:rPr>
        <w:t>Правно основание</w:t>
      </w:r>
    </w:p>
    <w:p>
      <w:pPr>
        <w:keepNext/>
        <w:tabs>
          <w:tab w:val="left" w:pos="850"/>
        </w:tabs>
        <w:ind w:left="850" w:hanging="850"/>
        <w:outlineLvl w:val="2"/>
        <w:rPr>
          <w:i/>
          <w:noProof/>
        </w:rPr>
      </w:pPr>
      <w:r>
        <w:rPr>
          <w:i/>
          <w:noProof/>
        </w:rPr>
        <w:t>4.1.1.</w:t>
      </w:r>
      <w:r>
        <w:rPr>
          <w:noProof/>
        </w:rPr>
        <w:tab/>
      </w:r>
      <w:r>
        <w:rPr>
          <w:i/>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 xml:space="preserve">Понятието </w:t>
      </w:r>
      <w:r>
        <w:rPr>
          <w:i/>
          <w:noProof/>
        </w:rPr>
        <w:t>„актове с правно действие“</w:t>
      </w:r>
      <w:r>
        <w:rPr>
          <w:noProof/>
        </w:rPr>
        <w:t xml:space="preserve"> включва актове с правно действие по силата на нормите на международното право, които уреждат съответния орган. То включва и актове,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rStyle w:val="FootnoteReference"/>
          <w:noProof/>
        </w:rPr>
        <w:footnoteReference w:id="5"/>
      </w:r>
      <w:r>
        <w:rPr>
          <w:noProof/>
        </w:rPr>
        <w:t>.</w:t>
      </w:r>
    </w:p>
    <w:p>
      <w:pPr>
        <w:rPr>
          <w:noProof/>
        </w:rPr>
      </w:pPr>
      <w:r>
        <w:rPr>
          <w:noProof/>
        </w:rPr>
        <w:t>Затова процесуалноправното основание на предложеното решение за установяване на позицията, която трябва да се заеме от името на Съюза във връзка с предвидения акт, е член 218, параграф 9 от ДФЕС.</w:t>
      </w:r>
    </w:p>
    <w:p>
      <w:pPr>
        <w:keepNext/>
        <w:tabs>
          <w:tab w:val="left" w:pos="850"/>
        </w:tabs>
        <w:ind w:left="850" w:hanging="850"/>
        <w:outlineLvl w:val="2"/>
        <w:rPr>
          <w:i/>
          <w:noProof/>
        </w:rPr>
      </w:pPr>
      <w:r>
        <w:rPr>
          <w:i/>
          <w:noProof/>
        </w:rPr>
        <w:t>4.1.2.</w:t>
      </w:r>
      <w:r>
        <w:rPr>
          <w:noProof/>
        </w:rPr>
        <w:tab/>
      </w:r>
      <w:r>
        <w:rPr>
          <w:i/>
          <w:noProof/>
        </w:rPr>
        <w:t>Приложение в конкретния случай</w:t>
      </w:r>
    </w:p>
    <w:p>
      <w:pPr>
        <w:rPr>
          <w:noProof/>
        </w:rPr>
      </w:pPr>
      <w:r>
        <w:rPr>
          <w:noProof/>
        </w:rPr>
        <w:t>Съветът на СМО е орган, създаден със споразумение, а именно Конвенцията за създаване на Съвет за митническо сътрудничество от 15 декември 1950 г. Той е органът, който по силата на Международната конвенция по Хармонизираната система за описание и кодиране на стоките отговаря за издаването на препоръки към договарящите страни за изменение на Конвенцията.</w:t>
      </w:r>
    </w:p>
    <w:p>
      <w:pPr>
        <w:rPr>
          <w:noProof/>
        </w:rPr>
      </w:pPr>
      <w:r>
        <w:rPr>
          <w:noProof/>
        </w:rPr>
        <w:t xml:space="preserve">Очаква се, съгласно член 16 от Конвенцията за ХС, Съветът на СМО да препоръча на договарящите страни по Конвенцията за ХС изменение на приложението към Конвенцията (Номенклатурата на ХС) на своето заседание през юни. Тази препоръка ще се смята за приета, ако никоя от договарящите страни не възрази в срок от шест месеца. Приетите изменения са обвързващи по силата на международното право за всички договарящи страни, след като влязат в сила, и тарифната/статистическата номенклатура на всяка договаряща страна трябва да бъде приведена в съответствие с изменената Хармонизирана система. Когато бъде приета, препоръката ще бъде включена в законодателството на ЕС, а именно: Приложение 1 към Регламент (EИО) № 2658/87 на Съвета относно тарифната и статистическа номенклатура и Общата митническа тарифа. Това се дължи на факта, че член 1, параграф 2, буква а) от посочения регламент гласи: </w:t>
      </w:r>
      <w:r>
        <w:rPr>
          <w:i/>
          <w:noProof/>
        </w:rPr>
        <w:t>„2.  Комбинираната номенклатура включва: а) номенклатурата на Хармонизираната система;“</w:t>
      </w:r>
      <w:r>
        <w:rPr>
          <w:noProof/>
        </w:rPr>
        <w:t xml:space="preserve"> </w:t>
      </w:r>
    </w:p>
    <w:p>
      <w:pPr>
        <w:rPr>
          <w:noProof/>
        </w:rPr>
      </w:pPr>
      <w:r>
        <w:rPr>
          <w:noProof/>
        </w:rPr>
        <w:t>Предвиденият акт не допълва, нито изменя институционалната рамка на Конвенцията.</w:t>
      </w:r>
    </w:p>
    <w:p>
      <w:pPr>
        <w:rPr>
          <w:noProof/>
        </w:rPr>
      </w:pPr>
      <w:r>
        <w:rPr>
          <w:noProof/>
        </w:rPr>
        <w:t>Поради това процесуалноправното основание за предложеното решение е член 218, параграф 9 от ДФЕС.</w:t>
      </w:r>
    </w:p>
    <w:p>
      <w:pPr>
        <w:keepNext/>
        <w:tabs>
          <w:tab w:val="left" w:pos="850"/>
        </w:tabs>
        <w:ind w:left="850" w:hanging="850"/>
        <w:outlineLvl w:val="1"/>
        <w:rPr>
          <w:b/>
          <w:noProof/>
        </w:rPr>
      </w:pPr>
      <w:r>
        <w:rPr>
          <w:b/>
          <w:noProof/>
        </w:rPr>
        <w:t>4.2.</w:t>
      </w:r>
      <w:r>
        <w:rPr>
          <w:noProof/>
        </w:rPr>
        <w:tab/>
      </w:r>
      <w:r>
        <w:rPr>
          <w:b/>
          <w:noProof/>
        </w:rPr>
        <w:t>Материалноправно основание</w:t>
      </w:r>
    </w:p>
    <w:p>
      <w:pPr>
        <w:keepNext/>
        <w:tabs>
          <w:tab w:val="left" w:pos="850"/>
        </w:tabs>
        <w:ind w:left="850" w:hanging="850"/>
        <w:outlineLvl w:val="2"/>
        <w:rPr>
          <w:i/>
          <w:noProof/>
        </w:rPr>
      </w:pPr>
      <w:r>
        <w:rPr>
          <w:i/>
          <w:noProof/>
        </w:rPr>
        <w:t>4.2.1.</w:t>
      </w:r>
      <w:r>
        <w:rPr>
          <w:noProof/>
        </w:rPr>
        <w:tab/>
      </w:r>
      <w:r>
        <w:rPr>
          <w:i/>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допълнителна, решението съгласно член 218, параграф 9 от ДФЕС трябва да се основава само на едно материалноправно основание, а именно на изискваното от основната или преобладаващата цел или част.</w:t>
      </w:r>
    </w:p>
    <w:p>
      <w:pPr>
        <w:keepNext/>
        <w:tabs>
          <w:tab w:val="left" w:pos="850"/>
        </w:tabs>
        <w:ind w:left="850" w:hanging="850"/>
        <w:outlineLvl w:val="2"/>
        <w:rPr>
          <w:i/>
          <w:noProof/>
        </w:rPr>
      </w:pPr>
      <w:r>
        <w:rPr>
          <w:i/>
          <w:noProof/>
        </w:rPr>
        <w:t>4.2.2.</w:t>
      </w:r>
      <w:r>
        <w:rPr>
          <w:noProof/>
        </w:rPr>
        <w:tab/>
      </w:r>
      <w:r>
        <w:rPr>
          <w:i/>
          <w:noProof/>
        </w:rPr>
        <w:t>Приложение в конкретния случай</w:t>
      </w:r>
    </w:p>
    <w:p>
      <w:pPr>
        <w:rPr>
          <w:noProof/>
        </w:rPr>
      </w:pPr>
      <w:r>
        <w:rPr>
          <w:noProof/>
        </w:rPr>
        <w:t>Тъй като главната цел и основното съдържание на предвидения акт са свързани с митническия съюз, материалноправното основание на предложеното решение е член 28, параграф 1 от ДФЕС.</w:t>
      </w:r>
    </w:p>
    <w:p>
      <w:pPr>
        <w:rPr>
          <w:noProof/>
        </w:rPr>
      </w:pPr>
      <w:r>
        <w:rPr>
          <w:noProof/>
        </w:rPr>
        <w:t>4.3. Заключение</w:t>
      </w:r>
    </w:p>
    <w:p>
      <w:pPr>
        <w:rPr>
          <w:noProof/>
        </w:rPr>
      </w:pPr>
      <w:r>
        <w:rPr>
          <w:noProof/>
        </w:rPr>
        <w:t>Правното основание на предложеното решение следва да бъде член 28, параграф 1 от ДФЕС във връзка с член 218, параграф 9 от ДФЕС.</w:t>
      </w:r>
    </w:p>
    <w:p>
      <w:pPr>
        <w:keepNext/>
        <w:tabs>
          <w:tab w:val="left" w:pos="850"/>
        </w:tabs>
        <w:spacing w:before="360"/>
        <w:ind w:left="850" w:hanging="850"/>
        <w:outlineLvl w:val="0"/>
        <w:rPr>
          <w:b/>
          <w:smallCaps/>
          <w:noProof/>
        </w:rPr>
      </w:pPr>
      <w:r>
        <w:rPr>
          <w:b/>
          <w:smallCaps/>
          <w:noProof/>
        </w:rPr>
        <w:t>5.</w:t>
      </w:r>
      <w:r>
        <w:rPr>
          <w:noProof/>
        </w:rPr>
        <w:tab/>
      </w:r>
      <w:r>
        <w:rPr>
          <w:b/>
          <w:smallCaps/>
          <w:noProof/>
        </w:rPr>
        <w:t xml:space="preserve">Отражение върху бюджета </w:t>
      </w:r>
    </w:p>
    <w:p>
      <w:pPr>
        <w:rPr>
          <w:noProof/>
        </w:rPr>
      </w:pPr>
      <w:r>
        <w:rPr>
          <w:noProof/>
        </w:rPr>
        <w:t xml:space="preserve">Предложението няма отражение върху бюджета на Европейския съюз. </w:t>
      </w:r>
    </w:p>
    <w:p>
      <w:pPr>
        <w:keepNext/>
        <w:tabs>
          <w:tab w:val="left" w:pos="850"/>
        </w:tabs>
        <w:spacing w:before="360"/>
        <w:ind w:left="850" w:hanging="850"/>
        <w:outlineLvl w:val="0"/>
        <w:rPr>
          <w:b/>
          <w:smallCaps/>
          <w:noProof/>
        </w:rPr>
      </w:pPr>
      <w:r>
        <w:rPr>
          <w:b/>
          <w:smallCaps/>
          <w:noProof/>
        </w:rPr>
        <w:t>6.</w:t>
      </w:r>
      <w:r>
        <w:rPr>
          <w:noProof/>
        </w:rPr>
        <w:tab/>
      </w:r>
      <w:r>
        <w:rPr>
          <w:b/>
          <w:smallCaps/>
          <w:noProof/>
        </w:rPr>
        <w:t>Публикуване на предвидения акт</w:t>
      </w:r>
    </w:p>
    <w:p>
      <w:pPr>
        <w:rPr>
          <w:noProof/>
        </w:rPr>
      </w:pPr>
      <w:r>
        <w:rPr>
          <w:noProof/>
        </w:rPr>
        <w:t>Няма</w:t>
      </w:r>
    </w:p>
    <w:p>
      <w:pPr>
        <w:spacing w:before="0" w:after="200" w:line="276" w:lineRule="auto"/>
        <w:jc w:val="left"/>
        <w:rPr>
          <w:noProof/>
        </w:rPr>
      </w:pPr>
      <w:r>
        <w:rPr>
          <w:noProof/>
        </w:rPr>
        <w:br w:type="page"/>
      </w:r>
    </w:p>
    <w:p>
      <w:pPr>
        <w:spacing w:before="0" w:after="0"/>
        <w:ind w:left="5103"/>
        <w:jc w:val="left"/>
        <w:rPr>
          <w:noProof/>
        </w:rPr>
      </w:pPr>
      <w:r>
        <w:rPr>
          <w:noProof/>
        </w:rPr>
        <w:t>2019/</w:t>
      </w:r>
      <w:r>
        <w:rPr>
          <w:noProof/>
          <w:color w:val="FF0000"/>
        </w:rPr>
        <w:t xml:space="preserve">XXX </w:t>
      </w:r>
      <w:r>
        <w:rPr>
          <w:noProof/>
        </w:rPr>
        <w:t>(NLE)</w:t>
      </w:r>
    </w:p>
    <w:p>
      <w:pPr>
        <w:spacing w:before="360" w:after="0"/>
        <w:jc w:val="center"/>
        <w:rPr>
          <w:noProof/>
        </w:rPr>
      </w:pPr>
      <w:r>
        <w:rPr>
          <w:noProof/>
        </w:rPr>
        <w:t>Предложение за</w:t>
      </w:r>
    </w:p>
    <w:p>
      <w:pPr>
        <w:spacing w:before="360" w:after="0"/>
        <w:jc w:val="center"/>
        <w:rPr>
          <w:b/>
          <w:noProof/>
        </w:rPr>
      </w:pPr>
      <w:r>
        <w:rPr>
          <w:b/>
          <w:noProof/>
        </w:rPr>
        <w:t>РЕШЕНИЕ НА СЪВЕТА</w:t>
      </w:r>
    </w:p>
    <w:p>
      <w:pPr>
        <w:spacing w:before="360" w:after="360"/>
        <w:jc w:val="center"/>
        <w:rPr>
          <w:b/>
          <w:noProof/>
        </w:rPr>
      </w:pPr>
      <w:r>
        <w:rPr>
          <w:b/>
          <w:noProof/>
        </w:rPr>
        <w:t>за позицията, която трябва да се заеме от името на Европейския съюз в рамките на Съвета на Световната митническа организация във връзка с негова препоръка съгласно член 16 за изменение на Хармонизираната система</w:t>
      </w:r>
    </w:p>
    <w:p>
      <w:pPr>
        <w:keepNext/>
        <w:spacing w:before="600"/>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28, параграф 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ind w:left="709" w:hanging="709"/>
        <w:rPr>
          <w:noProof/>
        </w:rPr>
      </w:pPr>
      <w:r>
        <w:rPr>
          <w:noProof/>
        </w:rPr>
        <w:t>(1)</w:t>
      </w:r>
      <w:r>
        <w:rPr>
          <w:noProof/>
        </w:rPr>
        <w:tab/>
        <w:t>Международната конвенция по Хармонизираната система за описание и кодиране на стоките (наричана по-нататък „Конвенцията“), сключена от Съюза с Решение 87/369/ЕИО на Съвета</w:t>
      </w:r>
      <w:r>
        <w:rPr>
          <w:rStyle w:val="FootnoteReference"/>
          <w:noProof/>
        </w:rPr>
        <w:footnoteReference w:customMarkFollows="1" w:id="6"/>
        <w:t>1</w:t>
      </w:r>
      <w:r>
        <w:rPr>
          <w:noProof/>
        </w:rPr>
        <w:t xml:space="preserve">, влезе в сила на 1 януари 1988 г. </w:t>
      </w:r>
    </w:p>
    <w:p>
      <w:pPr>
        <w:ind w:left="709" w:hanging="709"/>
        <w:rPr>
          <w:noProof/>
        </w:rPr>
      </w:pPr>
      <w:r>
        <w:rPr>
          <w:noProof/>
        </w:rPr>
        <w:t>(2)</w:t>
      </w:r>
      <w:r>
        <w:rPr>
          <w:noProof/>
        </w:rPr>
        <w:tab/>
        <w:t xml:space="preserve">Съгласно член 7 от Конвенцията Комитетът по Хармонизираната система (ХС) може да подготвя за Съвета на Световната митническа организация (СМО) предложения за изменения на Номенклатурата на ХС. По силата на член 16 от Конвенцията Съветът на СМО може да препоръча тези изменения на договарящите страни.  </w:t>
      </w:r>
    </w:p>
    <w:p>
      <w:pPr>
        <w:ind w:left="709" w:hanging="709"/>
        <w:rPr>
          <w:noProof/>
        </w:rPr>
      </w:pPr>
      <w:r>
        <w:rPr>
          <w:noProof/>
        </w:rPr>
        <w:t>(3)</w:t>
      </w:r>
      <w:r>
        <w:rPr>
          <w:noProof/>
        </w:rPr>
        <w:tab/>
        <w:t>Очаква се на своите заседания през юни Съветът на СМО да вземе решение по препоръка до договарящите страни за изменение на Номенклатурата на ХС. Тази препоръка ще бъде приета въз основа на предложение, подготвено от Комитета по ХС и завършено на 63</w:t>
      </w:r>
      <w:r>
        <w:rPr>
          <w:noProof/>
          <w:vertAlign w:val="superscript"/>
        </w:rPr>
        <w:t>-ото</w:t>
      </w:r>
      <w:r>
        <w:rPr>
          <w:noProof/>
        </w:rPr>
        <w:t xml:space="preserve"> му заседание на 19 – 29 март 2019 г. Тя ще влезе в сила на 1 януари 2022 г.</w:t>
      </w:r>
    </w:p>
    <w:p>
      <w:pPr>
        <w:ind w:left="709" w:hanging="709"/>
        <w:rPr>
          <w:rFonts w:eastAsia="Arial Unicode MS"/>
          <w:noProof/>
        </w:rPr>
      </w:pPr>
      <w:r>
        <w:rPr>
          <w:noProof/>
        </w:rPr>
        <w:t>(4)</w:t>
      </w:r>
      <w:r>
        <w:rPr>
          <w:noProof/>
        </w:rPr>
        <w:tab/>
        <w:t xml:space="preserve">Особено важно е Номенклатурата на ХС да се актуализира редовно и в съответствие с развитието на търговските модели и на новите технологии и да отразява във възможно най-голяма степен потребностите на ползвателите. Предложената препоръка включва множество набори от изменения, които отчитат необходимостта от модернизиране и адаптиране на номенклатурата към нейната среда. </w:t>
      </w:r>
    </w:p>
    <w:p>
      <w:pPr>
        <w:ind w:left="709" w:hanging="709"/>
        <w:rPr>
          <w:noProof/>
        </w:rPr>
      </w:pPr>
      <w:r>
        <w:rPr>
          <w:noProof/>
        </w:rPr>
        <w:t>(5)</w:t>
      </w:r>
      <w:r>
        <w:rPr>
          <w:noProof/>
        </w:rPr>
        <w:tab/>
        <w:t>Тъй като препоръката за изменение на Номенклатурата на ХС трябва да бъде приета от Съвета на СМО, е целесъобразно да се установи позицията, която да се заеме от името на Съюза, защото след приемането ѝ по реда на член 16 от Конвенцията, препоръката ще бъде правно обвързваща за Съюза и ще може съществено да повлияе върху съдържанието на законодателството на Съюза, а именно приложение 1 към Регламент (EИО) № 2658/87 на Съвета</w:t>
      </w:r>
      <w:r>
        <w:rPr>
          <w:rStyle w:val="FootnoteReference"/>
          <w:noProof/>
        </w:rPr>
        <w:footnoteReference w:customMarkFollows="1" w:id="7"/>
        <w:t>2</w:t>
      </w:r>
      <w:r>
        <w:rPr>
          <w:noProof/>
        </w:rPr>
        <w:t>.</w:t>
      </w:r>
    </w:p>
    <w:p>
      <w:pPr>
        <w:ind w:left="709" w:hanging="709"/>
        <w:rPr>
          <w:noProof/>
        </w:rPr>
      </w:pPr>
      <w:r>
        <w:rPr>
          <w:noProof/>
        </w:rPr>
        <w:t>(6)</w:t>
      </w:r>
      <w:r>
        <w:rPr>
          <w:noProof/>
        </w:rPr>
        <w:tab/>
        <w:t>Частична позиция на ЕС, която да се заеме в рамките на СМО, беше установена още преди 63</w:t>
      </w:r>
      <w:r>
        <w:rPr>
          <w:noProof/>
          <w:vertAlign w:val="superscript"/>
        </w:rPr>
        <w:t>-ото</w:t>
      </w:r>
      <w:r>
        <w:rPr>
          <w:noProof/>
        </w:rPr>
        <w:t xml:space="preserve"> заседание на Комитета по Хармонизираната система</w:t>
      </w:r>
      <w:r>
        <w:rPr>
          <w:rStyle w:val="FootnoteReference"/>
          <w:noProof/>
        </w:rPr>
        <w:footnoteReference w:customMarkFollows="1" w:id="8"/>
        <w:t>3</w:t>
      </w:r>
      <w:r>
        <w:rPr>
          <w:noProof/>
        </w:rPr>
        <w:t>.</w:t>
      </w:r>
    </w:p>
    <w:p>
      <w:pPr>
        <w:ind w:left="709" w:hanging="709"/>
        <w:rPr>
          <w:noProof/>
        </w:rPr>
      </w:pPr>
      <w:r>
        <w:rPr>
          <w:noProof/>
        </w:rPr>
        <w:t>7)</w:t>
      </w:r>
      <w:r>
        <w:rPr>
          <w:noProof/>
        </w:rPr>
        <w:tab/>
        <w:t>Целесъобразно е да се подкрепи проектът за изменение на Номенклатурата на ХС, както и всички незначителни редакторски промени, които бъдат сметнати за необходими,</w:t>
      </w:r>
    </w:p>
    <w:p>
      <w:pPr>
        <w:keepNext/>
        <w:rPr>
          <w:noProof/>
        </w:rPr>
      </w:pPr>
      <w:r>
        <w:rPr>
          <w:noProof/>
        </w:rPr>
        <w:t>ПРИЕ НАСТОЯЩОТО РЕШЕНИЕ:</w:t>
      </w:r>
    </w:p>
    <w:p>
      <w:pPr>
        <w:keepNext/>
        <w:spacing w:before="360"/>
        <w:jc w:val="center"/>
        <w:rPr>
          <w:i/>
          <w:noProof/>
        </w:rPr>
      </w:pPr>
      <w:r>
        <w:rPr>
          <w:i/>
          <w:noProof/>
        </w:rPr>
        <w:t>Член 1</w:t>
      </w:r>
    </w:p>
    <w:p>
      <w:pPr>
        <w:rPr>
          <w:noProof/>
        </w:rPr>
      </w:pPr>
      <w:r>
        <w:rPr>
          <w:noProof/>
        </w:rPr>
        <w:t>Позицията, която трябва да се заеме от името на Съюза в рамките на сесиите на Съвета на СМО през юни 2019 г., е в подкрепа на проект за препоръка по член 16 във връзка с изменението на Хармонизираната система, както е определено в приложение С към Документ NC2626B1b (доклад HSC/63/March 2019).</w:t>
      </w:r>
    </w:p>
    <w:p>
      <w:pPr>
        <w:rPr>
          <w:noProof/>
        </w:rPr>
      </w:pPr>
      <w:r>
        <w:rPr>
          <w:noProof/>
          <w:color w:val="000000"/>
        </w:rPr>
        <w:t>Представителите на Съюза могат да подкрепят незначителни редакторски промени в проекта на препоръка по член 16 с оглед промени по време на предстоящите сесии на Съвета на СМО в консултация с държавите членки, или по време на координационните заседания на място без допълнително решение на Съвета.</w:t>
      </w:r>
      <w:r>
        <w:rPr>
          <w:noProof/>
        </w:rPr>
        <w:t xml:space="preserve"> </w:t>
      </w:r>
    </w:p>
    <w:p>
      <w:pPr>
        <w:keepNext/>
        <w:spacing w:before="360"/>
        <w:jc w:val="center"/>
        <w:rPr>
          <w:i/>
          <w:noProof/>
        </w:rPr>
      </w:pPr>
      <w:r>
        <w:rPr>
          <w:i/>
          <w:noProof/>
        </w:rPr>
        <w:t>Член 2</w:t>
      </w:r>
    </w:p>
    <w:p>
      <w:pPr>
        <w:rPr>
          <w:noProof/>
        </w:rPr>
      </w:pPr>
      <w:r>
        <w:rPr>
          <w:noProof/>
        </w:rPr>
        <w:t>Адресат на настоящото решение е Комисията.</w:t>
      </w:r>
    </w:p>
    <w:p>
      <w:pPr>
        <w:keepNext/>
        <w:spacing w:after="0"/>
        <w:rPr>
          <w:noProof/>
        </w:rPr>
      </w:pPr>
      <w:r>
        <w:rPr>
          <w:noProof/>
        </w:rPr>
        <w:t>Съставено в Брюксел на […] година.</w:t>
      </w:r>
    </w:p>
    <w:p>
      <w:pPr>
        <w:keepNext/>
        <w:tabs>
          <w:tab w:val="left" w:pos="4252"/>
        </w:tabs>
        <w:spacing w:before="720" w:after="0"/>
        <w:rPr>
          <w:i/>
          <w:noProof/>
        </w:rPr>
      </w:pPr>
      <w:r>
        <w:rPr>
          <w:noProof/>
        </w:rPr>
        <w:tab/>
      </w:r>
      <w:r>
        <w:rPr>
          <w:i/>
          <w:noProof/>
        </w:rPr>
        <w:t>За Съвета</w:t>
      </w:r>
    </w:p>
    <w:p>
      <w:pPr>
        <w:tabs>
          <w:tab w:val="left" w:pos="4252"/>
        </w:tabs>
        <w:spacing w:before="0" w:after="0"/>
        <w:jc w:val="left"/>
        <w:rPr>
          <w:noProof/>
        </w:rPr>
      </w:pPr>
      <w:r>
        <w:rPr>
          <w:noProof/>
        </w:rPr>
        <w:tab/>
      </w:r>
      <w:r>
        <w:rPr>
          <w:i/>
          <w:noProof/>
        </w:rPr>
        <w:t xml:space="preserve">Председател </w:t>
      </w:r>
    </w:p>
    <w:sectPr>
      <w:footerReference w:type="default" r:id="rId16"/>
      <w:footerReference w:type="first" r:id="rId1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От въвеждането ѝ през 1988 г. насам Номенклатурата на ХС е била изменяна пет пъти. Тези изменения са влезли в сила съответно през 1996, 2002, 2007, 2012 и 2017 г.</w:t>
      </w:r>
    </w:p>
  </w:footnote>
  <w:footnote w:id="2">
    <w:p>
      <w:pPr>
        <w:pStyle w:val="FootnoteText"/>
      </w:pPr>
      <w:r>
        <w:rPr>
          <w:rStyle w:val="FootnoteReference"/>
        </w:rPr>
        <w:footnoteRef/>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(ОВ L 198, 20.7.1987 г., стр. 1).</w:t>
      </w:r>
    </w:p>
  </w:footnote>
  <w:footnote w:id="3">
    <w:p>
      <w:pPr>
        <w:pStyle w:val="FootnoteText"/>
        <w:ind w:left="142" w:hanging="142"/>
      </w:pPr>
      <w:r>
        <w:rPr>
          <w:rStyle w:val="FootnoteReference"/>
        </w:rPr>
        <w:footnoteRef/>
      </w:r>
      <w:r>
        <w:tab/>
        <w:t>ST 7138 2019 INIT, Решение на Съвета за позицията, която трябва да се заеме от името на Европейския съюз в рамките на Световната митническа организация във връзка с Хармонизираната система.</w:t>
      </w:r>
    </w:p>
  </w:footnote>
  <w:footnote w:id="4">
    <w:p>
      <w:pPr>
        <w:pStyle w:val="FootnoteText"/>
        <w:ind w:left="142" w:hanging="153"/>
      </w:pPr>
      <w:r>
        <w:rPr>
          <w:rStyle w:val="FootnoteReference"/>
        </w:rPr>
        <w:footnoteRef/>
      </w:r>
      <w:r>
        <w:tab/>
        <w:t>ST 7208 2019 ADD 1, Решение на Съвета за позицията, която трябва да се заеме от името на Европейския съюз в рамките на Световната митническа организация във връзка с Хармонизираната система — приемане — изявление на Комисията.</w:t>
      </w:r>
    </w:p>
  </w:footnote>
  <w:footnote w:id="5">
    <w:p>
      <w:pPr>
        <w:pStyle w:val="FootnoteText"/>
      </w:pPr>
      <w:r>
        <w:rPr>
          <w:rStyle w:val="FootnoteReference"/>
        </w:rPr>
        <w:footnoteRef/>
      </w:r>
      <w:r>
        <w:tab/>
        <w:t xml:space="preserve">Решение на Съда на Европейския съюз от 7 октомври 2014 г., Германия/Съвет, C-399/12, ECLI:EU:C:2014:2258, т. 61 – 64. </w:t>
      </w:r>
    </w:p>
  </w:footnote>
  <w:footnote w:id="6">
    <w:p>
      <w:pPr>
        <w:pStyle w:val="FootnoteText"/>
      </w:pPr>
      <w:r>
        <w:rPr>
          <w:rStyle w:val="FootnoteReference"/>
        </w:rPr>
        <w:t>1</w:t>
      </w:r>
      <w:r>
        <w:tab/>
        <w:t>Решение 87/369/ЕИО на Съвета от 7 април 1987 г. за сключване на Международната конвенция относно Хармонизираната система за описание и кодиране на стоките и протокола за изменение към нея (ОВ L 198, 20.7.1987 г., стр. 1).</w:t>
      </w:r>
    </w:p>
  </w:footnote>
  <w:footnote w:id="7">
    <w:p>
      <w:pPr>
        <w:pStyle w:val="FootnoteText"/>
      </w:pPr>
      <w:r>
        <w:rPr>
          <w:rStyle w:val="FootnoteReference"/>
        </w:rPr>
        <w:t>2</w:t>
      </w:r>
      <w:r>
        <w:tab/>
        <w:t>Регламент (ЕИО) № 2658/87 на Съвета от 23 юли 1987 г. относно тарифната и статистическа номенклатура и Общата митническа тарифа (OВ L 256, 7.9.1987 г., стр. 1).</w:t>
      </w:r>
    </w:p>
  </w:footnote>
  <w:footnote w:id="8">
    <w:p>
      <w:pPr>
        <w:pStyle w:val="FootnoteText"/>
      </w:pPr>
      <w:r>
        <w:rPr>
          <w:rStyle w:val="FootnoteReference"/>
        </w:rPr>
        <w:t>3</w:t>
      </w:r>
      <w:r>
        <w:tab/>
        <w:t>ST 7138 2019 INIT, Решение на Съвета за позицията, която трябва да се заеме от името на Европейския съюз в рамките на Световната митническа организация във връзка с Хармонизираната система; ST 7208 2019 ADD 1, Решение на Съвета за позицията, която трябва да се заеме от името на Европейския съюз в рамките на Световната митническа организация във връзка с Хармонизираната система — Приемане — Изявление на Комисията.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7A72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822ED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7DCC2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49C1B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17AA2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08CEFD2"/>
    <w:lvl w:ilvl="0">
      <w:start w:val="1"/>
      <w:numFmt w:val="decimal"/>
      <w:pStyle w:val="ListNumber"/>
      <w:lvlText w:val="%1."/>
      <w:lvlJc w:val="left"/>
      <w:pPr>
        <w:tabs>
          <w:tab w:val="num" w:pos="360"/>
        </w:tabs>
        <w:ind w:left="360" w:hanging="360"/>
      </w:pPr>
    </w:lvl>
  </w:abstractNum>
  <w:abstractNum w:abstractNumId="6">
    <w:nsid w:val="FFFFFF89"/>
    <w:multiLevelType w:val="singleLevel"/>
    <w:tmpl w:val="29F61EB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8"/>
    <w:lvlOverride w:ilvl="0">
      <w:startOverride w:val="1"/>
    </w:lvlOverride>
  </w:num>
  <w:num w:numId="10">
    <w:abstractNumId w:val="14"/>
    <w:lvlOverride w:ilvl="0">
      <w:startOverride w:val="1"/>
    </w:lvlOverride>
  </w:num>
  <w:num w:numId="11">
    <w:abstractNumId w:val="11"/>
  </w:num>
  <w:num w:numId="12">
    <w:abstractNumId w:val="18"/>
    <w:lvlOverride w:ilvl="0">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2"/>
  </w:num>
  <w:num w:numId="27">
    <w:abstractNumId w:val="18"/>
  </w:num>
  <w:num w:numId="28">
    <w:abstractNumId w:val="12"/>
  </w:num>
  <w:num w:numId="29">
    <w:abstractNumId w:val="20"/>
  </w:num>
  <w:num w:numId="30">
    <w:abstractNumId w:val="10"/>
  </w:num>
  <w:num w:numId="31">
    <w:abstractNumId w:val="13"/>
  </w:num>
  <w:num w:numId="32">
    <w:abstractNumId w:val="8"/>
  </w:num>
  <w:num w:numId="33">
    <w:abstractNumId w:val="19"/>
  </w:num>
  <w:num w:numId="34">
    <w:abstractNumId w:val="7"/>
  </w:num>
  <w:num w:numId="35">
    <w:abstractNumId w:val="14"/>
  </w:num>
  <w:num w:numId="36">
    <w:abstractNumId w:val="16"/>
  </w:num>
  <w:num w:numId="37">
    <w:abstractNumId w:val="17"/>
  </w:num>
  <w:num w:numId="38">
    <w:abstractNumId w:val="9"/>
  </w:num>
  <w:num w:numId="39">
    <w:abstractNumId w:val="15"/>
  </w:num>
  <w:num w:numId="4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7 10:38:17"/>
    <w:docVar w:name="DQCResult_Distribution" w:val="0;0"/>
    <w:docVar w:name="DQCResult_DocumentContent" w:val="0;0"/>
    <w:docVar w:name="DQCResult_DocumentSize" w:val="0;0"/>
    <w:docVar w:name="DQCResult_DocumentVersions" w:val="0;0"/>
    <w:docVar w:name="DQCResult_InvalidFootnotes" w:val="0;3"/>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D491BD36-83EE-41EC-B8D8-66CA65A52A91"/>
    <w:docVar w:name="LW_COVERPAGE_TYPE" w:val="1"/>
    <w:docVar w:name="LW_CROSSREFERENCE" w:val="&lt;UNUSED&gt;"/>
    <w:docVar w:name="LW_DocType" w:val="COM"/>
    <w:docVar w:name="LW_EMISSION" w:val="3.6.2019"/>
    <w:docVar w:name="LW_EMISSION_ISODATE" w:val="2019-06-03"/>
    <w:docVar w:name="LW_EMISSION_LOCATION" w:val="BRX"/>
    <w:docVar w:name="LW_EMISSION_PREFIX" w:val="\u1041?\u1088?\u1102?\u1082?\u1089?\u1077?\u1083?,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85?\u1072? \u1057?\u1074?\u1077?\u1090?\u1086?\u1074?\u1085?\u1072?\u1090?\u1072? \u1084?\u1080?\u1090?\u1085?\u1080?\u1095?\u1077?\u1089?\u1082?\u1072? \u1086?\u1088?\u1075?\u1072?\u1085?\u1080?\u1079?\u1072?\u1094?\u1080?\u1103? \u1074?\u1098?\u1074? \u1074?\u1088?\u1098?\u1079?\u1082?\u1072? \u1089? \u1085?\u1077?\u1075?\u1086?\u1074?\u1072? \u1087?\u1088?\u1077?\u1087?\u1086?\u1088?\u1098?\u1082?\u1072? \u1089?\u1098?\u1075?\u1083?\u1072?\u1089?\u1085?\u1086? \u1095?\u1083?\u1077?\u1085? 16 \u1079?\u1072? \u1080?\u1079?\u1084?\u1077?\u1085?\u1077?\u1085?\u1080?\u1077? \u1085?\u1072? \u1061?\u1072?\u1088?\u1084?\u1086?\u1085?\u1080?\u1079?\u1080?\u1088?\u1072?\u1085?\u1072?\u1090?\u1072? \u1089?\u1080?\u1089?\u1090?\u1077?\u1084?\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pPr>
      <w:numPr>
        <w:numId w:val="1"/>
      </w:numPr>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LegalNumPar">
    <w:name w:val="LegalNumPar"/>
    <w:basedOn w:val="Normal"/>
    <w:pPr>
      <w:numPr>
        <w:numId w:val="11"/>
      </w:numPr>
      <w:spacing w:line="360" w:lineRule="auto"/>
    </w:pPr>
  </w:style>
  <w:style w:type="paragraph" w:customStyle="1" w:styleId="LegalNumPar2">
    <w:name w:val="LegalNumPar2"/>
    <w:basedOn w:val="Normal"/>
    <w:pPr>
      <w:numPr>
        <w:ilvl w:val="1"/>
        <w:numId w:val="11"/>
      </w:numPr>
      <w:spacing w:line="360" w:lineRule="auto"/>
    </w:pPr>
  </w:style>
  <w:style w:type="paragraph" w:customStyle="1" w:styleId="LegalNumPar3">
    <w:name w:val="LegalNumPar3"/>
    <w:basedOn w:val="Normal"/>
    <w:pPr>
      <w:numPr>
        <w:ilvl w:val="2"/>
        <w:numId w:val="11"/>
      </w:numPr>
      <w:spacing w:line="360" w:lineRule="auto"/>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31656">
      <w:bodyDiv w:val="1"/>
      <w:marLeft w:val="0"/>
      <w:marRight w:val="0"/>
      <w:marTop w:val="0"/>
      <w:marBottom w:val="0"/>
      <w:divBdr>
        <w:top w:val="none" w:sz="0" w:space="0" w:color="auto"/>
        <w:left w:val="none" w:sz="0" w:space="0" w:color="auto"/>
        <w:bottom w:val="none" w:sz="0" w:space="0" w:color="auto"/>
        <w:right w:val="none" w:sz="0" w:space="0" w:color="auto"/>
      </w:divBdr>
      <w:divsChild>
        <w:div w:id="1581325626">
          <w:marLeft w:val="0"/>
          <w:marRight w:val="0"/>
          <w:marTop w:val="0"/>
          <w:marBottom w:val="0"/>
          <w:divBdr>
            <w:top w:val="none" w:sz="0" w:space="0" w:color="auto"/>
            <w:left w:val="none" w:sz="0" w:space="0" w:color="auto"/>
            <w:bottom w:val="none" w:sz="0" w:space="0" w:color="auto"/>
            <w:right w:val="none" w:sz="0" w:space="0" w:color="auto"/>
          </w:divBdr>
        </w:div>
        <w:div w:id="1447892907">
          <w:marLeft w:val="0"/>
          <w:marRight w:val="0"/>
          <w:marTop w:val="0"/>
          <w:marBottom w:val="0"/>
          <w:divBdr>
            <w:top w:val="none" w:sz="0" w:space="0" w:color="auto"/>
            <w:left w:val="none" w:sz="0" w:space="0" w:color="auto"/>
            <w:bottom w:val="none" w:sz="0" w:space="0" w:color="auto"/>
            <w:right w:val="none" w:sz="0" w:space="0" w:color="auto"/>
          </w:divBdr>
        </w:div>
      </w:divsChild>
    </w:div>
    <w:div w:id="648749548">
      <w:bodyDiv w:val="1"/>
      <w:marLeft w:val="0"/>
      <w:marRight w:val="0"/>
      <w:marTop w:val="0"/>
      <w:marBottom w:val="0"/>
      <w:divBdr>
        <w:top w:val="none" w:sz="0" w:space="0" w:color="auto"/>
        <w:left w:val="none" w:sz="0" w:space="0" w:color="auto"/>
        <w:bottom w:val="none" w:sz="0" w:space="0" w:color="auto"/>
        <w:right w:val="none" w:sz="0" w:space="0" w:color="auto"/>
      </w:divBdr>
    </w:div>
    <w:div w:id="721291991">
      <w:bodyDiv w:val="1"/>
      <w:marLeft w:val="0"/>
      <w:marRight w:val="0"/>
      <w:marTop w:val="0"/>
      <w:marBottom w:val="0"/>
      <w:divBdr>
        <w:top w:val="none" w:sz="0" w:space="0" w:color="auto"/>
        <w:left w:val="none" w:sz="0" w:space="0" w:color="auto"/>
        <w:bottom w:val="none" w:sz="0" w:space="0" w:color="auto"/>
        <w:right w:val="none" w:sz="0" w:space="0" w:color="auto"/>
      </w:divBdr>
    </w:div>
    <w:div w:id="1211305809">
      <w:bodyDiv w:val="1"/>
      <w:marLeft w:val="0"/>
      <w:marRight w:val="0"/>
      <w:marTop w:val="0"/>
      <w:marBottom w:val="0"/>
      <w:divBdr>
        <w:top w:val="none" w:sz="0" w:space="0" w:color="auto"/>
        <w:left w:val="none" w:sz="0" w:space="0" w:color="auto"/>
        <w:bottom w:val="none" w:sz="0" w:space="0" w:color="auto"/>
        <w:right w:val="none" w:sz="0" w:space="0" w:color="auto"/>
      </w:divBdr>
      <w:divsChild>
        <w:div w:id="1765494187">
          <w:marLeft w:val="0"/>
          <w:marRight w:val="0"/>
          <w:marTop w:val="0"/>
          <w:marBottom w:val="0"/>
          <w:divBdr>
            <w:top w:val="none" w:sz="0" w:space="0" w:color="auto"/>
            <w:left w:val="none" w:sz="0" w:space="0" w:color="auto"/>
            <w:bottom w:val="none" w:sz="0" w:space="0" w:color="auto"/>
            <w:right w:val="none" w:sz="0" w:space="0" w:color="auto"/>
          </w:divBdr>
        </w:div>
        <w:div w:id="1173301576">
          <w:marLeft w:val="0"/>
          <w:marRight w:val="0"/>
          <w:marTop w:val="0"/>
          <w:marBottom w:val="0"/>
          <w:divBdr>
            <w:top w:val="none" w:sz="0" w:space="0" w:color="auto"/>
            <w:left w:val="none" w:sz="0" w:space="0" w:color="auto"/>
            <w:bottom w:val="none" w:sz="0" w:space="0" w:color="auto"/>
            <w:right w:val="none" w:sz="0" w:space="0" w:color="auto"/>
          </w:divBdr>
        </w:div>
        <w:div w:id="1415012100">
          <w:marLeft w:val="0"/>
          <w:marRight w:val="0"/>
          <w:marTop w:val="0"/>
          <w:marBottom w:val="0"/>
          <w:divBdr>
            <w:top w:val="none" w:sz="0" w:space="0" w:color="auto"/>
            <w:left w:val="none" w:sz="0" w:space="0" w:color="auto"/>
            <w:bottom w:val="none" w:sz="0" w:space="0" w:color="auto"/>
            <w:right w:val="none" w:sz="0" w:space="0" w:color="auto"/>
          </w:divBdr>
        </w:div>
      </w:divsChild>
    </w:div>
    <w:div w:id="1296329896">
      <w:bodyDiv w:val="1"/>
      <w:marLeft w:val="0"/>
      <w:marRight w:val="0"/>
      <w:marTop w:val="0"/>
      <w:marBottom w:val="0"/>
      <w:divBdr>
        <w:top w:val="none" w:sz="0" w:space="0" w:color="auto"/>
        <w:left w:val="none" w:sz="0" w:space="0" w:color="auto"/>
        <w:bottom w:val="none" w:sz="0" w:space="0" w:color="auto"/>
        <w:right w:val="none" w:sz="0" w:space="0" w:color="auto"/>
      </w:divBdr>
    </w:div>
    <w:div w:id="1564607662">
      <w:bodyDiv w:val="1"/>
      <w:marLeft w:val="0"/>
      <w:marRight w:val="0"/>
      <w:marTop w:val="0"/>
      <w:marBottom w:val="0"/>
      <w:divBdr>
        <w:top w:val="none" w:sz="0" w:space="0" w:color="auto"/>
        <w:left w:val="none" w:sz="0" w:space="0" w:color="auto"/>
        <w:bottom w:val="none" w:sz="0" w:space="0" w:color="auto"/>
        <w:right w:val="none" w:sz="0" w:space="0" w:color="auto"/>
      </w:divBdr>
    </w:div>
    <w:div w:id="1801651571">
      <w:bodyDiv w:val="1"/>
      <w:marLeft w:val="0"/>
      <w:marRight w:val="0"/>
      <w:marTop w:val="0"/>
      <w:marBottom w:val="0"/>
      <w:divBdr>
        <w:top w:val="none" w:sz="0" w:space="0" w:color="auto"/>
        <w:left w:val="none" w:sz="0" w:space="0" w:color="auto"/>
        <w:bottom w:val="none" w:sz="0" w:space="0" w:color="auto"/>
        <w:right w:val="none" w:sz="0" w:space="0" w:color="auto"/>
      </w:divBdr>
    </w:div>
    <w:div w:id="2043048399">
      <w:bodyDiv w:val="1"/>
      <w:marLeft w:val="0"/>
      <w:marRight w:val="0"/>
      <w:marTop w:val="0"/>
      <w:marBottom w:val="0"/>
      <w:divBdr>
        <w:top w:val="none" w:sz="0" w:space="0" w:color="auto"/>
        <w:left w:val="none" w:sz="0" w:space="0" w:color="auto"/>
        <w:bottom w:val="none" w:sz="0" w:space="0" w:color="auto"/>
        <w:right w:val="none" w:sz="0" w:space="0" w:color="auto"/>
      </w:divBdr>
      <w:divsChild>
        <w:div w:id="173081647">
          <w:marLeft w:val="0"/>
          <w:marRight w:val="0"/>
          <w:marTop w:val="0"/>
          <w:marBottom w:val="0"/>
          <w:divBdr>
            <w:top w:val="none" w:sz="0" w:space="0" w:color="auto"/>
            <w:left w:val="none" w:sz="0" w:space="0" w:color="auto"/>
            <w:bottom w:val="none" w:sz="0" w:space="0" w:color="auto"/>
            <w:right w:val="none" w:sz="0" w:space="0" w:color="auto"/>
          </w:divBdr>
        </w:div>
        <w:div w:id="293950752">
          <w:marLeft w:val="0"/>
          <w:marRight w:val="0"/>
          <w:marTop w:val="0"/>
          <w:marBottom w:val="0"/>
          <w:divBdr>
            <w:top w:val="none" w:sz="0" w:space="0" w:color="auto"/>
            <w:left w:val="none" w:sz="0" w:space="0" w:color="auto"/>
            <w:bottom w:val="none" w:sz="0" w:space="0" w:color="auto"/>
            <w:right w:val="none" w:sz="0" w:space="0" w:color="auto"/>
          </w:divBdr>
        </w:div>
        <w:div w:id="1103844438">
          <w:marLeft w:val="0"/>
          <w:marRight w:val="0"/>
          <w:marTop w:val="0"/>
          <w:marBottom w:val="0"/>
          <w:divBdr>
            <w:top w:val="none" w:sz="0" w:space="0" w:color="auto"/>
            <w:left w:val="none" w:sz="0" w:space="0" w:color="auto"/>
            <w:bottom w:val="none" w:sz="0" w:space="0" w:color="auto"/>
            <w:right w:val="none" w:sz="0" w:space="0" w:color="auto"/>
          </w:divBdr>
        </w:div>
      </w:divsChild>
    </w:div>
    <w:div w:id="2076972413">
      <w:bodyDiv w:val="1"/>
      <w:marLeft w:val="0"/>
      <w:marRight w:val="0"/>
      <w:marTop w:val="0"/>
      <w:marBottom w:val="0"/>
      <w:divBdr>
        <w:top w:val="none" w:sz="0" w:space="0" w:color="auto"/>
        <w:left w:val="none" w:sz="0" w:space="0" w:color="auto"/>
        <w:bottom w:val="none" w:sz="0" w:space="0" w:color="auto"/>
        <w:right w:val="none" w:sz="0" w:space="0" w:color="auto"/>
      </w:divBdr>
      <w:divsChild>
        <w:div w:id="785738253">
          <w:marLeft w:val="0"/>
          <w:marRight w:val="0"/>
          <w:marTop w:val="0"/>
          <w:marBottom w:val="0"/>
          <w:divBdr>
            <w:top w:val="none" w:sz="0" w:space="0" w:color="auto"/>
            <w:left w:val="none" w:sz="0" w:space="0" w:color="auto"/>
            <w:bottom w:val="none" w:sz="0" w:space="0" w:color="auto"/>
            <w:right w:val="none" w:sz="0" w:space="0" w:color="auto"/>
          </w:divBdr>
        </w:div>
        <w:div w:id="634289064">
          <w:marLeft w:val="0"/>
          <w:marRight w:val="0"/>
          <w:marTop w:val="0"/>
          <w:marBottom w:val="0"/>
          <w:divBdr>
            <w:top w:val="none" w:sz="0" w:space="0" w:color="auto"/>
            <w:left w:val="none" w:sz="0" w:space="0" w:color="auto"/>
            <w:bottom w:val="none" w:sz="0" w:space="0" w:color="auto"/>
            <w:right w:val="none" w:sz="0" w:space="0" w:color="auto"/>
          </w:divBdr>
        </w:div>
        <w:div w:id="24923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0F6BD55-EC7E-496B-BED3-EF69BE64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2177</Words>
  <Characters>12328</Characters>
  <Application>Microsoft Office Word</Application>
  <DocSecurity>0</DocSecurity>
  <Lines>241</Lines>
  <Paragraphs>96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15</cp:revision>
  <cp:lastPrinted>2019-05-21T15:14:00Z</cp:lastPrinted>
  <dcterms:created xsi:type="dcterms:W3CDTF">2019-06-05T14:18:00Z</dcterms:created>
  <dcterms:modified xsi:type="dcterms:W3CDTF">2019-06-07T08:38:00Z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