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799152-6107-413A-89E4-F0A66C93A419" style="width:451.1pt;height:436.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 проекта на решение на Съвместния комитет на ЕИП (приложен към предложението за решение на Съвета) се цели да се измени приложение II (Технически правила, стандарти, изпитвания и сертифициране) към Споразумението за ЕИП, за да се включи 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Приложеният проект на решение на Съвместния комитет разширява обхвата на прилагане на вече съществуващата политика на ЕС, за да включи членуващите в ЕИП държави от ЕАСТ (Норвегия, Исландия и Лихтенщайн). </w:t>
      </w:r>
    </w:p>
    <w:p>
      <w:pPr>
        <w:pBdr>
          <w:top w:val="nil"/>
          <w:left w:val="nil"/>
          <w:bottom w:val="nil"/>
          <w:right w:val="nil"/>
          <w:between w:val="nil"/>
          <w:bar w:val="nil"/>
        </w:pBdr>
        <w:spacing w:before="0" w:after="240"/>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Разширяването на обхвата на прилагане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с цел създаването на динамично и хомогенно европейско икономическо пространство, основано на общи правила и еднакви условия на конкуренция.</w:t>
      </w:r>
    </w:p>
    <w:p>
      <w:pPr>
        <w:pStyle w:val="ManualHeading1"/>
        <w:rPr>
          <w:noProof/>
        </w:rPr>
      </w:pPr>
      <w:r>
        <w:rPr>
          <w:noProof/>
        </w:rPr>
        <w:t>2.</w:t>
      </w:r>
      <w:r>
        <w:rPr>
          <w:noProof/>
        </w:rPr>
        <w:tab/>
      </w:r>
      <w:r>
        <w:rPr>
          <w:noProof/>
          <w:spacing w:val="-4"/>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Законодателството, което следва да бъде включено в Споразумението за ЕИП, се основава на член 114 от Договора за функционирането на Европейския съюз, във връзка с член 218, параграф 9 от него.</w:t>
      </w:r>
    </w:p>
    <w:p>
      <w:pPr>
        <w:rPr>
          <w:noProof/>
        </w:rPr>
      </w:pPr>
      <w:r>
        <w:rPr>
          <w:noProof/>
        </w:rPr>
        <w:t>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noProof/>
        </w:rPr>
      </w:pPr>
      <w:r>
        <w:rPr>
          <w:noProof/>
        </w:rPr>
        <w:t xml:space="preserve">Предложението е в съответствие с принципа на субсидиарност по следната причина: </w:t>
      </w:r>
    </w:p>
    <w:p>
      <w:pPr>
        <w:rPr>
          <w:noProof/>
        </w:rPr>
      </w:pPr>
      <w:r>
        <w:rPr>
          <w:noProof/>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 </w:t>
      </w:r>
    </w:p>
    <w:p>
      <w:pPr>
        <w:pBdr>
          <w:top w:val="nil"/>
          <w:left w:val="nil"/>
          <w:bottom w:val="nil"/>
          <w:right w:val="nil"/>
          <w:between w:val="nil"/>
          <w:bar w:val="nil"/>
        </w:pBdr>
        <w:spacing w:before="0" w:after="240"/>
        <w:rPr>
          <w:rFonts w:eastAsia="Arial Unicode MS"/>
          <w:noProof/>
        </w:rPr>
      </w:pPr>
      <w:r>
        <w:rPr>
          <w:noProof/>
        </w:rPr>
        <w:t>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очаква отражение върху бюджета в резултат на включването на Директива 2014/40/ЕС в Споразумението за ЕИП.</w:t>
      </w:r>
    </w:p>
    <w:p>
      <w:pPr>
        <w:pStyle w:val="ManualHeading1"/>
        <w:rPr>
          <w:noProof/>
        </w:rPr>
      </w:pPr>
      <w:r>
        <w:rPr>
          <w:noProof/>
        </w:rPr>
        <w:t>5.</w:t>
      </w:r>
      <w:r>
        <w:rPr>
          <w:noProof/>
        </w:rPr>
        <w:tab/>
        <w:t>ДРУГИ ЕЛЕМЕНТИ</w:t>
      </w:r>
    </w:p>
    <w:p>
      <w:pPr>
        <w:rPr>
          <w:b/>
          <w:noProof/>
          <w:u w:val="single"/>
        </w:rPr>
      </w:pPr>
      <w:r>
        <w:rPr>
          <w:b/>
          <w:noProof/>
          <w:u w:val="single"/>
        </w:rPr>
        <w:t xml:space="preserve">Основни адаптации, поискани от страна на ЕАСТ: </w:t>
      </w:r>
    </w:p>
    <w:p>
      <w:pPr>
        <w:rPr>
          <w:noProof/>
          <w:color w:val="000000" w:themeColor="text1"/>
          <w:szCs w:val="24"/>
        </w:rPr>
      </w:pPr>
      <w:r>
        <w:rPr>
          <w:i/>
          <w:noProof/>
          <w:color w:val="000000" w:themeColor="text1"/>
          <w:szCs w:val="24"/>
          <w:u w:val="single"/>
        </w:rPr>
        <w:t>Адаптация a)</w:t>
      </w:r>
      <w:r>
        <w:rPr>
          <w:noProof/>
          <w:color w:val="000000" w:themeColor="text1"/>
          <w:szCs w:val="24"/>
        </w:rPr>
        <w:t>:</w:t>
      </w:r>
      <w:r>
        <w:rPr>
          <w:i/>
          <w:noProof/>
          <w:color w:val="000000" w:themeColor="text1"/>
          <w:szCs w:val="24"/>
        </w:rPr>
        <w:t xml:space="preserve"> </w:t>
      </w:r>
      <w:r>
        <w:rPr>
          <w:noProof/>
          <w:color w:val="000000" w:themeColor="text1"/>
          <w:szCs w:val="24"/>
        </w:rPr>
        <w:t>Важно е да се гарантира, че Комисията разполага с достъп до данни и информация, както е предвидено в член 5, параграф 7. Ако е необходимо, в решенията на Съвместния комитет във връзка със законодателството за прилагане на Директива 2014/40/ЕС ще бъдат включени по-точни адаптации.</w:t>
      </w:r>
    </w:p>
    <w:p>
      <w:pPr>
        <w:rPr>
          <w:noProof/>
          <w:color w:val="000000" w:themeColor="text1"/>
          <w:szCs w:val="24"/>
        </w:rPr>
      </w:pPr>
      <w:r>
        <w:rPr>
          <w:i/>
          <w:noProof/>
          <w:color w:val="000000" w:themeColor="text1"/>
          <w:szCs w:val="24"/>
          <w:u w:val="single"/>
        </w:rPr>
        <w:t>Адаптация б):</w:t>
      </w:r>
      <w:r>
        <w:rPr>
          <w:noProof/>
          <w:color w:val="000000" w:themeColor="text1"/>
          <w:szCs w:val="24"/>
        </w:rPr>
        <w:t xml:space="preserve"> Поради конституционни ограничения в членуващите в ЕИП държави от ЕАСТ не е възможно да има такси, събирани пряко от Комисията. Предложеното решение е в съответствие със структурата на Споразумението за ЕИП, основана на два стълба.</w:t>
      </w:r>
    </w:p>
    <w:p>
      <w:pPr>
        <w:rPr>
          <w:noProof/>
          <w:color w:val="000000" w:themeColor="text1"/>
          <w:szCs w:val="24"/>
        </w:rPr>
      </w:pPr>
      <w:r>
        <w:rPr>
          <w:i/>
          <w:noProof/>
          <w:color w:val="000000" w:themeColor="text1"/>
          <w:szCs w:val="24"/>
          <w:u w:val="single"/>
        </w:rPr>
        <w:t>Адаптация в):</w:t>
      </w:r>
      <w:r>
        <w:rPr>
          <w:noProof/>
          <w:color w:val="000000" w:themeColor="text1"/>
          <w:szCs w:val="24"/>
        </w:rPr>
        <w:t xml:space="preserve"> От 1994 г. за Норвегия има освобождаване от забраната на тютюн за орална употреба. Като има предвид, че тютюнът за орална употреба е утвърден продукт на норвежкия пазар, използван от 14 % от населението (НСИ на Норвегия, 2017 г.), това освобождаване продължава да е оправдано. За да се обърне внимание на специфичните национални обстоятелства в Норвегия, подкрепени със статистически данни относно рисковете за здравето, свързани с използването на тютюн за орална употреба и неговите модели на употреба (съгласно обяснението по-долу), Норвегия би искала да се добави алтернативно здравно предупреждение за тютюневите изделия за орална употреба.</w:t>
      </w:r>
    </w:p>
    <w:p>
      <w:pPr>
        <w:rPr>
          <w:noProof/>
          <w:color w:val="000000" w:themeColor="text1"/>
          <w:szCs w:val="24"/>
        </w:rPr>
      </w:pPr>
      <w:r>
        <w:rPr>
          <w:noProof/>
          <w:color w:val="000000" w:themeColor="text1"/>
          <w:szCs w:val="24"/>
        </w:rPr>
        <w:t>През последните 10—15 години употребата на тютюн за орална употреба значително се увеличи, особено сред младите хора. Преди малко повече от десетилетие този тютюн беше използван от много малко млади мъже и от почти никакви жени. Днес сред младежите на възраст 16—24 години 33 % от момчетата и 18 % от момичетата в Норвегия го използват и няма признаци на отслабване на тази тенденция. В Швеция — другата държава, където продажбата на тютюн за орална употреба е разрешена, не се наблюдава такова увеличение на употребата сред младите жени, така че това обстоятелство е своеобразно за Норвегия.</w:t>
      </w:r>
    </w:p>
    <w:p>
      <w:pPr>
        <w:rPr>
          <w:noProof/>
          <w:color w:val="000000" w:themeColor="text1"/>
          <w:szCs w:val="24"/>
        </w:rPr>
      </w:pPr>
      <w:r>
        <w:rPr>
          <w:noProof/>
          <w:color w:val="000000" w:themeColor="text1"/>
          <w:szCs w:val="24"/>
        </w:rPr>
        <w:t>Освен това според предварителни данни в Норвегия близо 20 % от жените, които употребяват тютюн за орална употреба, продължават да го употребяват и по време на бременност. Налице са убедителни доказателства, че употребата на този тютюн по време на бременност може да доведе до намалено тегло при раждане, повишен риск от преждевременно раждане и раждане на мъртво дете. Има данни, че може също така да допринася за прееклампсия и за по-голям риск от дихателна недостатъчност сред новородените и малформации на устната/небцето. С бързо нарастващата употреба сред младите жени е вероятно през идните години да се увеличи и рискът от използването на снус от по-голям брой бременни жени. Последиците биха могли да бъдат увеличаване на неблагоприятното развитие на бременността и разстройствата на развитието на плода и бебето.</w:t>
      </w:r>
    </w:p>
    <w:p>
      <w:pPr>
        <w:rPr>
          <w:noProof/>
          <w:color w:val="000000" w:themeColor="text1"/>
          <w:szCs w:val="24"/>
        </w:rPr>
      </w:pPr>
      <w:r>
        <w:rPr>
          <w:noProof/>
          <w:color w:val="000000" w:themeColor="text1"/>
          <w:szCs w:val="24"/>
        </w:rPr>
        <w:t>Като се имат предвид специфичните национални обстоятелства в страната, Норвегия следва да има възможността да разреши алтернативни здравни предупреждения за тютюневите изделия за орална употреба, пуснати на пазара в Норвегия.</w:t>
      </w:r>
    </w:p>
    <w:p>
      <w:pPr>
        <w:rPr>
          <w:noProof/>
          <w:color w:val="000000" w:themeColor="text1"/>
          <w:szCs w:val="24"/>
        </w:rPr>
      </w:pPr>
      <w:r>
        <w:rPr>
          <w:i/>
          <w:noProof/>
          <w:color w:val="000000" w:themeColor="text1"/>
          <w:szCs w:val="24"/>
          <w:u w:val="single"/>
        </w:rPr>
        <w:t>Адаптация г):</w:t>
      </w:r>
      <w:r>
        <w:rPr>
          <w:noProof/>
          <w:color w:val="000000" w:themeColor="text1"/>
          <w:szCs w:val="24"/>
        </w:rPr>
        <w:t xml:space="preserve"> Продажбата на тютюн за орална употреба е разрешена в Норвегия, тъй като това е традиционно тютюнево изделие там. Това освобождаване следва да остане в сила.</w:t>
      </w:r>
    </w:p>
    <w:p>
      <w:pPr>
        <w:pBdr>
          <w:top w:val="nil"/>
          <w:left w:val="nil"/>
          <w:bottom w:val="nil"/>
          <w:right w:val="nil"/>
          <w:between w:val="nil"/>
          <w:bar w:val="nil"/>
        </w:pBdr>
        <w:spacing w:before="0" w:after="240"/>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2019/0130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w:t>
      </w:r>
      <w:r>
        <w:rPr>
          <w:noProof/>
        </w:rPr>
        <w:br/>
        <w:t>в рамките на Съвместния комитет на ЕИП във връзка с изменение на приложение II (Технически правила, стандарти, изпитвания и сертифициране) към Споразумението за ЕИП</w:t>
      </w:r>
      <w:r>
        <w:rPr>
          <w:noProof/>
        </w:rPr>
        <w:br/>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В съответствие с член 98 от Споразумението за ЕИП Съвместният комитет на ЕИП може да реши да измени, inter alia, приложение II (Технически правила, стандарти, изпитвания и сертифициране) към Споразумението за ЕИП.</w:t>
      </w:r>
    </w:p>
    <w:p>
      <w:pPr>
        <w:pStyle w:val="ManualConsidrant"/>
        <w:rPr>
          <w:noProof/>
        </w:rPr>
      </w:pPr>
      <w:r>
        <w:t>(3)</w:t>
      </w:r>
      <w:r>
        <w:tab/>
      </w:r>
      <w:r>
        <w:rPr>
          <w:noProof/>
        </w:rPr>
        <w:t>Директива 2014/40/ЕС на Европейския парламент и на Съвета</w:t>
      </w:r>
      <w:r>
        <w:rPr>
          <w:rStyle w:val="FootnoteReference"/>
          <w:noProof/>
        </w:rPr>
        <w:footnoteReference w:id="4"/>
      </w:r>
      <w:r>
        <w:rPr>
          <w:noProof/>
        </w:rPr>
        <w:t xml:space="preserve"> следва да бъде включена в Споразумението за ЕИП.</w:t>
      </w:r>
    </w:p>
    <w:p>
      <w:pPr>
        <w:pStyle w:val="ManualConsidrant"/>
        <w:rPr>
          <w:noProof/>
        </w:rPr>
      </w:pPr>
      <w:r>
        <w:t>(4)</w:t>
      </w:r>
      <w:r>
        <w:tab/>
      </w:r>
      <w:r>
        <w:rPr>
          <w:noProof/>
        </w:rPr>
        <w:t xml:space="preserve">Приложение II (Технически правила, стандарти, изпитвания и сертифициране) към Споразумението за ЕИП следва да бъде съответно изменено. </w:t>
      </w:r>
    </w:p>
    <w:p>
      <w:pPr>
        <w:pStyle w:val="ManualConsidrant"/>
        <w:rPr>
          <w:noProof/>
        </w:rPr>
      </w:pPr>
      <w:r>
        <w:t>(5)</w:t>
      </w:r>
      <w:r>
        <w:tab/>
      </w:r>
      <w:r>
        <w:rPr>
          <w:noProof/>
        </w:rPr>
        <w:t>Ето защо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Съюза в рамките на Съвместния комитет на ЕИП във връзка с предложеното изменение на приложение II (Технически правила, стандарти, изпитвания и сертифициране)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Next/>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rPr>
      </w:pPr>
      <w:r>
        <w:rPr>
          <w:rStyle w:val="FootnoteReference"/>
        </w:rPr>
        <w:footnoteRef/>
      </w:r>
      <w:r>
        <w:tab/>
        <w:t>OВ L 305, 30.11.1994 г., стр. 6–8</w:t>
      </w:r>
    </w:p>
  </w:footnote>
  <w:footnote w:id="2">
    <w:p>
      <w:pPr>
        <w:pStyle w:val="FootnoteText"/>
      </w:pPr>
      <w:r>
        <w:rPr>
          <w:rStyle w:val="FootnoteReference"/>
        </w:rPr>
        <w:footnoteRef/>
      </w:r>
      <w:r>
        <w:tab/>
        <w:t>ОВ L 305, 30.11.1994 г., стр. 6.</w:t>
      </w:r>
    </w:p>
  </w:footnote>
  <w:footnote w:id="3">
    <w:p>
      <w:pPr>
        <w:pStyle w:val="FootnoteText"/>
      </w:pPr>
      <w:r>
        <w:rPr>
          <w:rStyle w:val="FootnoteReference"/>
        </w:rPr>
        <w:footnoteRef/>
      </w:r>
      <w:r>
        <w:tab/>
        <w:t xml:space="preserve">ОВ L 1, 3.1.1994 г., стр. 3. </w:t>
      </w:r>
    </w:p>
  </w:footnote>
  <w:footnote w:id="4">
    <w:p>
      <w:pPr>
        <w:pStyle w:val="FootnoteText"/>
      </w:pPr>
      <w:r>
        <w:rPr>
          <w:rStyle w:val="FootnoteReference"/>
        </w:rPr>
        <w:footnoteRef/>
      </w:r>
      <w:r>
        <w:tab/>
        <w:t>Директива 2014/40/ЕС на Европейския парламент и на Съвета от 3 април 2014 година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 поправена с OВ L 150, 17.6.2015 г., стр.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DA5C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F699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A809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1C6A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E9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6C3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F86CB6"/>
    <w:lvl w:ilvl="0">
      <w:start w:val="1"/>
      <w:numFmt w:val="decimal"/>
      <w:pStyle w:val="ListNumber"/>
      <w:lvlText w:val="%1."/>
      <w:lvlJc w:val="left"/>
      <w:pPr>
        <w:tabs>
          <w:tab w:val="num" w:pos="360"/>
        </w:tabs>
        <w:ind w:left="360" w:hanging="360"/>
      </w:pPr>
    </w:lvl>
  </w:abstractNum>
  <w:abstractNum w:abstractNumId="7">
    <w:nsid w:val="FFFFFF89"/>
    <w:multiLevelType w:val="singleLevel"/>
    <w:tmpl w:val="133E78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1:48: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7799152-6107-413A-89E4-F0A66C93A419"/>
    <w:docVar w:name="LW_COVERPAGE_TYPE" w:val="1"/>
    <w:docVar w:name="LW_CROSSREFERENCE" w:val="&lt;UNUSED&gt;"/>
    <w:docVar w:name="LW_DocType" w:val="COM"/>
    <w:docVar w:name="LW_EMISSION" w:val="11.6.2019"/>
    <w:docVar w:name="LW_EMISSION_ISODATE" w:val="2019-06-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0"/>
    <w:docVar w:name="LW_REF.II.NEW.CP_YEAR" w:val="2019"/>
    <w:docVar w:name="LW_REF.INST.NEW" w:val="COM"/>
    <w:docVar w:name="LW_REF.INST.NEW_ADOPTED" w:val="final"/>
    <w:docVar w:name="LW_REF.INST.NEW_TEXT" w:val="(2019)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I (\u1058?\u1077?\u1093?\u1085?\u1080?\u1095?\u1077?\u1089?\u1082?\u1080? \u1087?\u1088?\u1072?\u1074?\u1080?\u1083?\u1072?, \u1089?\u1090?\u1072?\u1085?\u1076?\u1072?\u1088?\u1090?\u1080?, \u1080?\u1079?\u1087?\u1080?\u1090?\u1074?\u1072?\u1085?\u1080?\u1103? \u1080? \u1089?\u1077?\u1088?\u1090?\u1080?\u1092?\u1080?\u1094?\u1080?\u1088?\u1072?\u1085?\u1077?) \u1082?\u1098?\u1084? \u1057?\u1087?\u1086?\u1088?\u1072?\u1079?\u1091?\u1084?\u1077?\u1085?\u1080?\u1077?\u1090?\u1086? \u1079?\u1072? \u1045?\u1048?\u1055?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1257</Words>
  <Characters>7153</Characters>
  <Application>Microsoft Office Word</Application>
  <DocSecurity>0</DocSecurity>
  <Lines>145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2019-05-21T07:51:00Z</dcterms:created>
  <dcterms:modified xsi:type="dcterms:W3CDTF">2019-06-03T09:48:00Z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