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65FA580-6623-475E-A6B9-18C0CA19587C" style="width:450.75pt;height:351.7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РЕШЕНИЕ НА СЪВЕТА</w:t>
      </w:r>
    </w:p>
    <w:p>
      <w:pPr>
        <w:pStyle w:val="Titreobjet"/>
        <w:rPr>
          <w:noProof/>
        </w:rPr>
      </w:pPr>
      <w:r>
        <w:rPr>
          <w:noProof/>
        </w:rPr>
        <w:t>с което се констатира, че Румъния не е предприела ефективни действия в отговор на препоръката на Съвета от 4 декември 2018 г.</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Регламент (ЕО) № 1466/97 на Съвета</w:t>
      </w:r>
      <w:r>
        <w:rPr>
          <w:rStyle w:val="FootnoteReference"/>
          <w:noProof/>
        </w:rPr>
        <w:footnoteReference w:id="2"/>
      </w:r>
      <w:r>
        <w:rPr>
          <w:noProof/>
        </w:rPr>
        <w:t>, и по-специално член 10, параграф 2, алинея 4 от него,</w:t>
      </w:r>
    </w:p>
    <w:p>
      <w:pPr>
        <w:rPr>
          <w:noProof/>
        </w:rPr>
      </w:pPr>
      <w:r>
        <w:rPr>
          <w:noProof/>
        </w:rPr>
        <w:t>като взе предвид препоръката на Европейската комисия,</w:t>
      </w:r>
    </w:p>
    <w:p>
      <w:pPr>
        <w:rPr>
          <w:noProof/>
        </w:rPr>
      </w:pPr>
      <w:r>
        <w:rPr>
          <w:noProof/>
        </w:rPr>
        <w:t xml:space="preserve">като има предвид, че: </w:t>
      </w:r>
    </w:p>
    <w:p>
      <w:pPr>
        <w:pStyle w:val="Point0number"/>
        <w:numPr>
          <w:ilvl w:val="0"/>
          <w:numId w:val="9"/>
        </w:numPr>
        <w:rPr>
          <w:noProof/>
        </w:rPr>
      </w:pPr>
      <w:r>
        <w:rPr>
          <w:noProof/>
        </w:rPr>
        <w:t>През юни 2017 г. и юни 2018 г. Съветът констатира в съответствие с член 121, параграф 4 от Договора, че в Румъния съществува значително отклонение от средносрочната бюджетна цел или от плана за корекции за постигането ѝ. И в двата случая, с оглед на установеното значително отклонение Съветът отправи препоръка за това Румъния да предприеме необходимите мерки, за да преодолее значителното отклонение.</w:t>
      </w:r>
    </w:p>
    <w:p>
      <w:pPr>
        <w:pStyle w:val="Point0number"/>
        <w:numPr>
          <w:ilvl w:val="0"/>
          <w:numId w:val="9"/>
        </w:numPr>
        <w:rPr>
          <w:noProof/>
        </w:rPr>
      </w:pPr>
      <w:r>
        <w:rPr>
          <w:noProof/>
        </w:rPr>
        <w:t>На 4 декември 2018 г. Съветът констатира</w:t>
      </w:r>
      <w:r>
        <w:rPr>
          <w:rStyle w:val="FootnoteReference"/>
          <w:noProof/>
        </w:rPr>
        <w:footnoteReference w:id="3"/>
      </w:r>
      <w:r>
        <w:rPr>
          <w:noProof/>
        </w:rPr>
        <w:t>, че Румъния не е предприела ефективни действия в отговор на препоръката на Съвета от 22 юни 2018 г.</w:t>
      </w:r>
      <w:r>
        <w:rPr>
          <w:rStyle w:val="FootnoteReference"/>
          <w:noProof/>
        </w:rPr>
        <w:footnoteReference w:id="4"/>
      </w:r>
      <w:r>
        <w:rPr>
          <w:noProof/>
        </w:rPr>
        <w:t>. Въз основа на това на 4 декември 2018 г. Съветът издаде преразгледана препоръка</w:t>
      </w:r>
      <w:r>
        <w:rPr>
          <w:rStyle w:val="FootnoteReference"/>
          <w:noProof/>
        </w:rPr>
        <w:footnoteReference w:id="5"/>
      </w:r>
      <w:r>
        <w:rPr>
          <w:noProof/>
        </w:rPr>
        <w:t xml:space="preserve"> за това Румъния да предприеме необходимите мерки, за да гарантира, че номиналният темп на растеж на нетните първични държавни разходи не надвишава 4,5 % през 2018 г., което съответства на годишна корекция на структурното салдо в размер на 1,0 % от БВП. Той също така препоръча на Румъния да използва всички извънредни приходи за намаляване на дефицита, а мерките за бюджетна консолидация следва да гарантират трайно подобрение на структурното салдо по консолидирания държавен бюджет по начин, който благоприятства икономическия растеж. Съветът определи краен срок до 15 април 2019 г., в който Румъния да докладва относно действията, предприети в отговор на препоръката от 4 декември 2018 г.</w:t>
      </w:r>
    </w:p>
    <w:p>
      <w:pPr>
        <w:pStyle w:val="Point0number"/>
        <w:numPr>
          <w:ilvl w:val="0"/>
          <w:numId w:val="9"/>
        </w:numPr>
        <w:rPr>
          <w:noProof/>
        </w:rPr>
      </w:pPr>
      <w:r>
        <w:rPr>
          <w:noProof/>
        </w:rPr>
        <w:t>На 14 и 15 март 2019 г. Комисията проведе мисия за засилено наблюдение в Румъния с цел да извърши мониторинг на място съгласно член 11, параграф 2 от Регламент (ЕО) № 1466/97. След като изпрати предварителните си заключения на румънските органи за коментар, на 5 юни 2019 г. Комисията докладва констатациите си на Съвета. Тези заключения бяха оповестени публично. В доклада на Комисията се установява, че румънските органи не възнамеряват да предприемат действия по препоръката на Съвета от 4 декември 2018 г. Органите потвърдиха пред Комисията, че правителството няма намерение да се съобрази с препоръчаната структурна корекция. Те продължават да насочват усилията си върху поддържането на номиналния дефицит под прага от 3 % от БВП, посочен в Договора, като по този начин се цели да се избегнат корективните мерки на Пакта за стабилност и растеж. Бюджетът за 2019 г. предвижда цел за дефицита на принципа на текущото начисляване от 2,8 % от БВП. Според собствените оценки на правителството по време на мисията, този номинален дефицит би довел до корекция на структурното салдо от около 0,1 % в сравнение с 2018 г., което далеч не съответства на препоръката на Съвета.</w:t>
      </w:r>
    </w:p>
    <w:p>
      <w:pPr>
        <w:pStyle w:val="Point0number"/>
        <w:rPr>
          <w:noProof/>
        </w:rPr>
      </w:pPr>
      <w:r>
        <w:rPr>
          <w:noProof/>
        </w:rPr>
        <w:t>На 20 април 2018 г., след крайния срок, определен от Съвета, румънските органи предоставиха доклад за предприетите действия в отговор на препоръката на Съвета от 4 декември 2018 г. В доклада органите потвърдиха, че за 2019 г. техните цели са номинален дефицит от 2,8 % от БВП и незначително намаление на структурния дефицит. Фискалното въздействие от докладваните мерки далеч не съответства на изискването в препоръката на Съвета.</w:t>
      </w:r>
    </w:p>
    <w:p>
      <w:pPr>
        <w:pStyle w:val="Point0number"/>
        <w:rPr>
          <w:noProof/>
        </w:rPr>
      </w:pPr>
      <w:r>
        <w:rPr>
          <w:noProof/>
        </w:rPr>
        <w:t>Въз основа на прогнозата на Комисията от пролетта на 2019 г. ръстът на нетните първични държавни разходи през 2019 г. се очаква да възлиза на 11,6 %, което е значително над целевия показател за разходите от 4,5 %. Структурното салдо се очаква да се влоши с 0,7 % от БВП през 2019 г., достигайки дефицит от 3,6 % от БВП. Това е в противоречие с препоръчаното подобрение на структурното салдо от 1,0 % от БВП за 2018 г. Следователно и двата стълба сочат отклонение от препоръчаната корекция. Целевият показател за разходите сочи, че е налице отклонение от 2,1 % от БВП. Структурното салдо потвърждава това тълкуване, като показва леко по-ниско отклонение от 1,7 % от БВП. Размерът на отклонението, посочено от структурното салдо, е по-малък поради извънредни приходи и по-голям дефлатор на БВП. Като се имат предвид тези фактори, общата оценка потвърждава отклонение от препоръчаната корекция.</w:t>
      </w:r>
    </w:p>
    <w:p>
      <w:pPr>
        <w:pStyle w:val="Point0number"/>
        <w:rPr>
          <w:noProof/>
        </w:rPr>
      </w:pPr>
      <w:r>
        <w:rPr>
          <w:noProof/>
        </w:rPr>
        <w:t>Предвиденото увеличение на дефицита спрямо 2018 г. се дължи до голяма степен, както и в предходните години, на увеличението на разходите за възнаграждения на държавните служители. След публикуването на прогнозата на Комисията от есента на 2018 г., която бе в основата на препоръката на Съвета от 4 декември 2018 г., органите приеха нови данъци върху секторите на телекомуникациите, енергетиката и банковото дело. От друга страна, органите предоставиха данъчни съкращения в строителния сектор и повишиха някои социални обезщетения.</w:t>
      </w:r>
    </w:p>
    <w:p>
      <w:pPr>
        <w:pStyle w:val="Point0number"/>
        <w:rPr>
          <w:noProof/>
        </w:rPr>
      </w:pPr>
      <w:r>
        <w:rPr>
          <w:noProof/>
        </w:rPr>
        <w:t>Направените по-горе констатации водят до заключението, че действията, предприети от Румъния в отговор на препоръката на Съвета от 4 декември 2018 г., са недостатъчни. Фискалната корекция е значително по-малка от годишната структурна корекция от 1,0 % от БВП за 2019 г., което съответства на номинален темп на растеж на нетните първични държавни разходи, който не надвишава 4,5 % през 2019 г.,</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bookmarkStart w:id="1" w:name="_CopyToNewDocument_"/>
      <w:bookmarkEnd w:id="1"/>
      <w:r>
        <w:rPr>
          <w:noProof/>
        </w:rPr>
        <w:t>Румъния не е предприела ефективни действия в отговор на препоръката на Съвета от 4 декември 2018 г.</w:t>
      </w:r>
    </w:p>
    <w:p>
      <w:pPr>
        <w:pStyle w:val="Titrearticle"/>
        <w:rPr>
          <w:noProof/>
        </w:rPr>
      </w:pPr>
      <w:r>
        <w:rPr>
          <w:noProof/>
        </w:rPr>
        <w:t>Член 2</w:t>
      </w:r>
    </w:p>
    <w:p>
      <w:pPr>
        <w:rPr>
          <w:noProof/>
        </w:rPr>
      </w:pPr>
      <w:r>
        <w:rPr>
          <w:noProof/>
        </w:rPr>
        <w:t>Адресат на настоящото решение е Румъния.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nl-BE"/>
        </w:rPr>
      </w:pPr>
      <w:r>
        <w:rPr>
          <w:rStyle w:val="FootnoteReference"/>
        </w:rPr>
        <w:footnoteRef/>
      </w:r>
      <w:r>
        <w:tab/>
        <w:t>ОВ L 209, 2.8.1997 г., стр. 1.</w:t>
      </w:r>
    </w:p>
  </w:footnote>
  <w:footnote w:id="3">
    <w:p>
      <w:pPr>
        <w:pStyle w:val="FootnoteText"/>
        <w:rPr>
          <w:lang w:val="nl-BE"/>
        </w:rPr>
      </w:pPr>
      <w:r>
        <w:rPr>
          <w:rStyle w:val="FootnoteReference"/>
        </w:rPr>
        <w:footnoteRef/>
      </w:r>
      <w:r>
        <w:tab/>
        <w:t>ОВ L 323, 19.12.2018 г., стр. 16.</w:t>
      </w:r>
    </w:p>
  </w:footnote>
  <w:footnote w:id="4">
    <w:p>
      <w:pPr>
        <w:pStyle w:val="FootnoteText"/>
        <w:rPr>
          <w:lang w:val="nl-BE"/>
        </w:rPr>
      </w:pPr>
      <w:r>
        <w:rPr>
          <w:rStyle w:val="FootnoteReference"/>
        </w:rPr>
        <w:footnoteRef/>
      </w:r>
      <w:r>
        <w:tab/>
        <w:t>ОВ C 223, 27.6.2018 г., стр. 3.</w:t>
      </w:r>
    </w:p>
  </w:footnote>
  <w:footnote w:id="5">
    <w:p>
      <w:pPr>
        <w:pStyle w:val="FootnoteText"/>
        <w:rPr>
          <w:lang w:val="nl-BE"/>
        </w:rPr>
      </w:pPr>
      <w:r>
        <w:rPr>
          <w:rStyle w:val="FootnoteReference"/>
        </w:rPr>
        <w:footnoteRef/>
      </w:r>
      <w:r>
        <w:tab/>
        <w:t>ОВ C 460, 21.12.2018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9608FC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58822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1A58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7E2FC2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F669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001A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FFC4D16"/>
    <w:lvl w:ilvl="0">
      <w:start w:val="1"/>
      <w:numFmt w:val="decimal"/>
      <w:pStyle w:val="ListNumber"/>
      <w:lvlText w:val="%1."/>
      <w:lvlJc w:val="left"/>
      <w:pPr>
        <w:tabs>
          <w:tab w:val="num" w:pos="360"/>
        </w:tabs>
        <w:ind w:left="360" w:hanging="360"/>
      </w:pPr>
    </w:lvl>
  </w:abstractNum>
  <w:abstractNum w:abstractNumId="7">
    <w:nsid w:val="FFFFFF89"/>
    <w:multiLevelType w:val="singleLevel"/>
    <w:tmpl w:val="F4B8DA4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9-06-11 14:09:2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65FA580-6623-475E-A6B9-18C0CA19587C"/>
    <w:docVar w:name="LW_COVERPAGE_TYPE" w:val="1"/>
    <w:docVar w:name="LW_CROSSREFERENCE" w:val="{SWD(2019) 533 final}"/>
    <w:docVar w:name="LW_DocType" w:val="COM"/>
    <w:docVar w:name="LW_EMISSION" w:val="5.6.2019"/>
    <w:docVar w:name="LW_EMISSION_ISODATE" w:val="2019-06-05"/>
    <w:docVar w:name="LW_EMISSION_LOCATION" w:val="BRX"/>
    <w:docVar w:name="LW_EMISSION_PREFIX" w:val="Брюксел, "/>
    <w:docVar w:name="LW_EMISSION_SUFFIX" w:val="&lt;EMPTY&gt;"/>
    <w:docVar w:name="LW_ID_DOCMODEL" w:val="SG-001"/>
    <w:docVar w:name="LW_ID_DOCSIGNATURE" w:val="SG-001"/>
    <w:docVar w:name="LW_ID_DOCSTRUCTURE" w:val="COM/PL/ORG"/>
    <w:docVar w:name="LW_ID_DOCTYPE" w:val="SG-001"/>
    <w:docVar w:name="LW_ID_EXP.MOTIFS.NEW" w:val="EM_PL_"/>
    <w:docVar w:name="LW_ID_STATUT" w:val="SG-00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9? \u1082?\u1086?\u1077?\u1090?\u1086? \u1089?\u1077? \u1082?\u1086?\u1085?\u1089?\u1090?\u1072?\u1090?\u1080?\u1088?\u1072?, \u1095?\u1077? \u1056?\u1091?\u1084?\u1098?\u1085?\u1080?\u1103? \u1085?\u1077? \u1077? \u1087?\u1088?\u1077?\u1076?\u1087?\u1088?\u1080?\u1077?\u1083?\u1072? \u1077?\u1092?\u1077?\u1082?\u1090?\u1080?\u1074?\u1085?\u1080? \u1076?\u1077?\u1081?\u1089?\u1090?\u1074?\u1080?\u1103? \u1074? \u1086?\u1090?\u1075?\u1086?\u1074?\u1086?\u1088? \u1085?\u1072? \u1087?\u1088?\u1077?\u1087?\u1086?\u1088?\u1098?\u1082?\u1072?\u1090?\u1072? \u1085?\u1072? \u1057?\u1098?\u1074?\u1077?\u1090?\u1072? \u1086?\u1090? 4 \u1076?\u1077?\u1082?\u1077?\u1084?\u1074?\u1088?\u1080? 2018 \u107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05171-F981-42D9-AA33-732DA19F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4</Pages>
  <Words>862</Words>
  <Characters>4557</Characters>
  <Application>Microsoft Office Word</Application>
  <DocSecurity>0</DocSecurity>
  <Lines>93</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20</cp:revision>
  <dcterms:created xsi:type="dcterms:W3CDTF">2019-06-06T11:40:00Z</dcterms:created>
  <dcterms:modified xsi:type="dcterms:W3CDTF">2019-06-11T12:09:00Z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