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A2A6314-DC42-4692-A589-8F22F04DF1F5"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(„Споразумението за асоцииране“), включващо изграждането на задълбочена и всеобхватна зона за свободна търговия, влезе в сила на 1 септември 2017 г. Със Споразумението за асоцииране, наред с другото, се определят преференциални условия за двустранната търговия със стоки.</w:t>
      </w:r>
    </w:p>
    <w:p>
      <w:pPr>
        <w:pBdr>
          <w:top w:val="nil"/>
          <w:left w:val="nil"/>
          <w:bottom w:val="nil"/>
          <w:right w:val="nil"/>
          <w:between w:val="nil"/>
          <w:bar w:val="nil"/>
        </w:pBdr>
        <w:spacing w:before="0" w:after="240"/>
        <w:rPr>
          <w:noProof/>
        </w:rPr>
      </w:pPr>
      <w:r>
        <w:rPr>
          <w:noProof/>
        </w:rPr>
        <w:t xml:space="preserve">От средата на 2016 г. започна да се извършва внос от Украйна в ЕС на нов вид разфасовка от домашни птици във все по-големи количества. Тази нова разфасовка се състои от традиционни гърди с прикачени към тях раменни кости на крилцата, като последните съставляват много малка част от общото тегло на разфасовката. След минимална трансформация, тази разфасовка може да се предлага на пазара в ЕС като гърди от домашни птици. Бързото нарастване на безмитния внос на тази особена разфасовка от домашни птици, какъвто не съществуваше, нито можеше да се предвиди по време на преговорите по Споразумението за асоцииране, влече след себе си отслабване на предвидената в Споразумението за асоцииране защита по отношение на вноса на гърди от домашни птици и потенциално може да наруши деликатното равновесие на пазара на месо от домашни птици в ЕС. На 20 декември 2018 г. Съветът упълномощи Комисията да започне преговори с Украйна с цел намиране на решение чрез изменение на предвидените в Споразумението за асоцииране търговски преференции за месо от домашни птици и продукти от такова месо. </w:t>
      </w:r>
    </w:p>
    <w:p>
      <w:pPr>
        <w:pBdr>
          <w:top w:val="nil"/>
          <w:left w:val="nil"/>
          <w:bottom w:val="nil"/>
          <w:right w:val="nil"/>
          <w:between w:val="nil"/>
          <w:bar w:val="nil"/>
        </w:pBdr>
        <w:spacing w:before="0" w:after="240"/>
        <w:rPr>
          <w:noProof/>
        </w:rPr>
      </w:pPr>
      <w:r>
        <w:rPr>
          <w:noProof/>
        </w:rPr>
        <w:t xml:space="preserve">Преговорите бяха проведени от 29 януари до 22 февруари 2019 г. и приключиха на 19 март 2019 г. В споразумението се предвижда двете тарифни линии КН 0207 13 70 и КН 0207 14 70 да бъдат интегрирани в съществуващата тарифна квота (ТК) от понастоящем 18 400 тона със заложено увеличение на 20 000 тона през 2021 г. (пореден номер 09.4273), а размерът на ТК да бъде увеличен с 50 000 тона. Спрямо надвишаващия ТК внос по тарифни линии КН 0207 13 70 и КН 0207 14 70 съответно ще е приложима митническата ставка за най-облагодетелствана нация от 100,8 EUR/100 kg нетно тегло. </w:t>
      </w:r>
    </w:p>
    <w:p>
      <w:pPr>
        <w:pStyle w:val="ManualHeading2"/>
        <w:rPr>
          <w:noProof/>
        </w:rPr>
      </w:pPr>
      <w:r>
        <w:rPr>
          <w:noProof/>
        </w:rPr>
        <w:t>•</w:t>
      </w:r>
      <w:r>
        <w:rPr>
          <w:noProof/>
        </w:rPr>
        <w:tab/>
        <w:t>Съгласуваност със съществуващите разпоредби в конкретната област на политиката</w:t>
      </w:r>
    </w:p>
    <w:p>
      <w:pPr>
        <w:pBdr>
          <w:top w:val="nil"/>
          <w:left w:val="nil"/>
          <w:bottom w:val="nil"/>
          <w:right w:val="nil"/>
          <w:between w:val="nil"/>
          <w:bar w:val="nil"/>
        </w:pBdr>
        <w:spacing w:before="0" w:after="240"/>
        <w:rPr>
          <w:noProof/>
        </w:rPr>
      </w:pPr>
      <w:r>
        <w:rPr>
          <w:noProof/>
        </w:rPr>
        <w:t>С предложението се създава стабилна и предвидима среда за търговията с месо от домашни птици и се осигурява разумно и премерено увеличаване на търговията с Украйна. Това е в съответствие с целта за свободна и справедлива търговия, залегнала в член 3, параграф 5 от Договора за Европейския съюз, както и с целта за хармонично развитие на световната търговия, залегнала в член 206 от Договора за функционирането на Европейския съюз (ДФЕС).</w:t>
      </w:r>
    </w:p>
    <w:p>
      <w:pPr>
        <w:pStyle w:val="ManualHeading2"/>
        <w:rPr>
          <w:noProof/>
        </w:rPr>
      </w:pPr>
      <w:r>
        <w:rPr>
          <w:noProof/>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Описаните по-горе цели са съвместими с Общата селскостопанска политика, и по-специално с целите ѝ по член 39 от ДФЕС, които включват стабилизирането на пазарите.</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Член 207 във връзка с член 218, параграф 4 от Договора за функционирането на Европейския съюз (ДФЕС).</w:t>
      </w:r>
    </w:p>
    <w:p>
      <w:pPr>
        <w:pStyle w:val="ManualHeading2"/>
        <w:rPr>
          <w:noProof/>
        </w:rPr>
      </w:pPr>
      <w:r>
        <w:rPr>
          <w:noProof/>
        </w:rPr>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noProof/>
        </w:rPr>
      </w:pPr>
      <w:r>
        <w:rPr>
          <w:noProof/>
        </w:rPr>
        <w:t xml:space="preserve">Съгласно член 5, параграф 3 от ДЕС принципът на субсидиарност не се прилага в областите, които попадат в изключителната компетентност на ЕС. Общата търговска политика е сред областите, изброени в член 3 от ДФЕС, в които Съюзът разполага с изключителна компетентност. Тази политика включва договарянето на търговски споразумения по реда на, </w:t>
      </w:r>
      <w:r>
        <w:rPr>
          <w:i/>
          <w:noProof/>
        </w:rPr>
        <w:t>inter alia</w:t>
      </w:r>
      <w:r>
        <w:rPr>
          <w:noProof/>
        </w:rPr>
        <w:t>, член 207 от ДФЕС.</w:t>
      </w:r>
    </w:p>
    <w:p>
      <w:pPr>
        <w:pStyle w:val="ManualHeading2"/>
        <w:rPr>
          <w:noProof/>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Предложението е съобразено с принципа на пропорционалност. Изменението на предвидените в Споразумението за асоцииране митнически ставки и тарифни отстъпки по отношение на квотата за месо от домашни птици и продукти от такова месо действително е единственият начин за намиране на решение на описания по-горе проблем и за постигане по този начин на целта на настоящото предложение.</w:t>
      </w:r>
    </w:p>
    <w:p>
      <w:pPr>
        <w:pStyle w:val="ManualHeading2"/>
        <w:rPr>
          <w:noProof/>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Решение на Съвета на Европейския съюз.</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rPr>
      </w:pPr>
      <w:r>
        <w:rPr>
          <w:noProof/>
        </w:rPr>
        <w:t>•</w:t>
      </w:r>
      <w:r>
        <w:rPr>
          <w:noProof/>
        </w:rPr>
        <w:tab/>
        <w:t>Последващи оценки/проверки за пригодност на съществуващото законодателство</w:t>
      </w:r>
    </w:p>
    <w:p>
      <w:pPr>
        <w:pBdr>
          <w:top w:val="nil"/>
          <w:left w:val="nil"/>
          <w:bottom w:val="nil"/>
          <w:right w:val="nil"/>
          <w:between w:val="nil"/>
          <w:bar w:val="nil"/>
        </w:pBdr>
        <w:spacing w:before="0" w:after="240"/>
        <w:rPr>
          <w:noProof/>
        </w:rPr>
      </w:pPr>
      <w:r>
        <w:rPr>
          <w:noProof/>
        </w:rPr>
        <w:t>Не е приложимо.</w:t>
      </w:r>
    </w:p>
    <w:p>
      <w:pPr>
        <w:pStyle w:val="ManualHeading2"/>
        <w:rPr>
          <w:noProof/>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Комисията бе информирана от различни заинтересовани страни, и по-специално от европейския сектор на месото от домашни птици, за техните опасения във връзка с вноса в Съюза на тази нова разфасовка от домашни птици, състояща се главно от гърди от домашни птици от Украйна. Комисията следи отблизо вноса на месо от домашни птици от Украйна и внимателно анализира твърденията на заинтересованите страни конкретно по този въпрос.</w:t>
      </w:r>
    </w:p>
    <w:p>
      <w:pPr>
        <w:pStyle w:val="ManualHeading2"/>
        <w:rPr>
          <w:noProof/>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Комисията влезе във връзка с различни заинтересовани страни, които споделиха становището си по изразените конкретни опасения, отнасящи се до достъпа до пазара, във връзка с безмитния внос на месо от домашни птици от Украйна.</w:t>
      </w:r>
    </w:p>
    <w:p>
      <w:pPr>
        <w:pStyle w:val="ManualHeading2"/>
        <w:rPr>
          <w:noProof/>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Предложението не е подкрепено от оценка на въздействието. Както е обяснено в раздел „Основания и цели на предложението“, вносът на необлаганите с мита нови разфасовки нараства с бързи темпове. Тъй като вносът на тези продукти към настоящия момент не подлежи на количествени ограничения, ако приложимият за тях търговски режим остане непроменен, те потенциално могат да доведат до отслабване на предвидената по силата на Споразумението за асоцииране под формата на ТК защита по отношение на вноса на гърди от домашни птици, което от своя страна може да доведе до нарушаване на деликатното равновесие на пазара на месо от домашни птици в ЕС. Поради това е наложително да се намери спешно решение в създалата се ситуация. В Комисията постъпиха многобройни писмени запитвания от членове на Европейския парламент и от европейския сектор на месото от домашни птици, в които се призовава да бъдат предприети действия с цел намиране на решение.</w:t>
      </w:r>
    </w:p>
    <w:p>
      <w:pPr>
        <w:pBdr>
          <w:top w:val="nil"/>
          <w:left w:val="nil"/>
          <w:bottom w:val="nil"/>
          <w:right w:val="nil"/>
          <w:between w:val="nil"/>
          <w:bar w:val="nil"/>
        </w:pBdr>
        <w:spacing w:before="0" w:after="240"/>
        <w:rPr>
          <w:noProof/>
        </w:rPr>
      </w:pPr>
      <w:r>
        <w:rPr>
          <w:noProof/>
        </w:rPr>
        <w:t>Общата стойност на вноса в ЕС по двете тарифни линии КН 0207 13 70 и КН 0207 14 70 през последните пълни календарни години — 2016 и 2017, достигна 43,9 милиона евро. Това представлява 23,9 % от общия внос в ЕС на месо от домашни птици от Украйна през 2016 и 2017 г. и 1,1 % от съвкупния внос в ЕС на месо от домашни птици от всички трети държави през тези две календарни години. През 2018 г. стойността на вноса достигна 91,4 милиона евро.</w:t>
      </w:r>
    </w:p>
    <w:p>
      <w:pPr>
        <w:pBdr>
          <w:top w:val="nil"/>
          <w:left w:val="nil"/>
          <w:bottom w:val="nil"/>
          <w:right w:val="nil"/>
          <w:between w:val="nil"/>
          <w:bar w:val="nil"/>
        </w:pBdr>
        <w:spacing w:before="0" w:after="240"/>
        <w:rPr>
          <w:noProof/>
        </w:rPr>
      </w:pPr>
      <w:r>
        <w:rPr>
          <w:noProof/>
        </w:rPr>
        <w:t>С предложението се консолидира безмитният понастоящем внос по тарифни линии КН 0207 13 70 и КН 0207 14 70 „други разфасовки, пресни или замразени“ в съществуващата тарифна квота за внос на месо от домашни птици от Украйна и се въвежда отново митото за най-облагодетелствана нация за тези две тарифни линии. Това означава, че Споразумението за асоцииране ще доведе до стабилизиране на съществуващия внос в ЕС на месо от домашни птици от Украйна и че няма да има допълнителни последици за двустранната търговия.</w:t>
      </w:r>
    </w:p>
    <w:p>
      <w:pPr>
        <w:pStyle w:val="ManualHeading2"/>
        <w:rPr>
          <w:noProof/>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Не е приложимо.</w:t>
      </w:r>
    </w:p>
    <w:p>
      <w:pPr>
        <w:pStyle w:val="ManualHeading2"/>
        <w:rPr>
          <w:noProof/>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Предложението няма да има никакво отражение върху защитата на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Предложението няма да окаже въздействие върху бюджета на ЕС под формата на пропуснатите приходи от мита.</w:t>
      </w:r>
    </w:p>
    <w:p>
      <w:pPr>
        <w:pStyle w:val="ManualHeading1"/>
        <w:rPr>
          <w:noProof/>
        </w:rPr>
      </w:pPr>
      <w:r>
        <w:rPr>
          <w:noProof/>
        </w:rPr>
        <w:t>5.</w:t>
      </w:r>
      <w:r>
        <w:rPr>
          <w:noProof/>
        </w:rPr>
        <w:tab/>
        <w:t>ДРУГИ ЕЛЕМЕНТИ</w:t>
      </w:r>
    </w:p>
    <w:p>
      <w:pPr>
        <w:pStyle w:val="ManualHeading2"/>
        <w:rPr>
          <w:noProof/>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rPr>
      </w:pPr>
      <w:r>
        <w:rPr>
          <w:noProof/>
        </w:rPr>
        <w:t>Комисията ще продължи да следи отблизо вноса на месо от домашни птици от трети държави.</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2019/0131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Европейския съюз, и временно прилагане на Споразумението под формата на размяна на писма между Европейския съюз и Украйна за изменение на търговските преференции за месо от домашни птици и продукти от такова месо, предвидени в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член 207, параграф 3 и член 207, параграф 4, първата алинея във връзка с член 218, параграф 5 от него, </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w:t>
      </w:r>
      <w:r>
        <w:rPr>
          <w:rStyle w:val="FootnoteReference"/>
          <w:noProof/>
        </w:rPr>
        <w:footnoteReference w:id="1"/>
      </w:r>
      <w:r>
        <w:rPr>
          <w:noProof/>
        </w:rPr>
        <w:t xml:space="preserve"> („Споразумението за асоцииране“) влезе в сила на 1 септември 2017 г.</w:t>
      </w:r>
    </w:p>
    <w:p>
      <w:pPr>
        <w:pStyle w:val="ManualConsidrant"/>
        <w:rPr>
          <w:noProof/>
        </w:rPr>
      </w:pPr>
      <w:r>
        <w:t>(2)</w:t>
      </w:r>
      <w:r>
        <w:tab/>
      </w:r>
      <w:r>
        <w:rPr>
          <w:noProof/>
        </w:rPr>
        <w:t>Нов вид разфасовка от домашни птици, състояща се от традиционни гърди с прикачени към тях раменни кости на крилцата, може след минимална трансформация в Съюза да бъде предлагана на пазара на Съюза като гърди от домашни птици. Поради това съществува риск неограниченият внос на тези разфасовки, чийто обем от Украйна през 2018 г. достигна 55 500 тона, да подкопае условията, при които традиционните разфасовки от гърди от домашни птици могат да бъдат внасяни в Съюза съгласно Споразумението, и по-специално количествените ограничения под формата на тарифна квота.</w:t>
      </w:r>
    </w:p>
    <w:p>
      <w:pPr>
        <w:pStyle w:val="ManualConsidrant"/>
        <w:rPr>
          <w:noProof/>
        </w:rPr>
      </w:pPr>
      <w:r>
        <w:t>(3)</w:t>
      </w:r>
      <w:r>
        <w:tab/>
      </w:r>
      <w:r>
        <w:rPr>
          <w:noProof/>
        </w:rPr>
        <w:t>На 20 декември 2018 г. Съветът упълномощи Комисията да започне преговори с Украйна с цел изменение на предвидените в Споразумението за асоцииране търговски преференции за месо от домашни птици и продукти от такова месо. Преговорите приключиха успешно на 19 март 2019 г. Поради това Споразумението под формата на размяна на писма между Европейския съюз и Украйна за изменение на предвидените в Споразумението за асоцииране търговски преференции за месо от домашни птици и продукти от такова месо („Споразумението“) следва да бъде подписано от името на Съюза, при условие че бъде сключено на по-късна дата.</w:t>
      </w:r>
    </w:p>
    <w:p>
      <w:pPr>
        <w:pStyle w:val="ManualConsidrant"/>
        <w:rPr>
          <w:noProof/>
        </w:rPr>
      </w:pPr>
      <w:r>
        <w:t>(4)</w:t>
      </w:r>
      <w:r>
        <w:tab/>
      </w:r>
      <w:r>
        <w:rPr>
          <w:noProof/>
        </w:rPr>
        <w:t>С цел бързо да се премахне рискът от потенциално неограничен безмитен внос на тези разфасовки от домашни птици, Споразумението следва да се прилага временно,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Одобрява се подписването от името на Съюза на Споразумението под формата на размяна на писма между Европейския съюз и Украйна за изменение на предвидените в Споразумението за асоцииране търговски преференции за месо от домашни птици и продукти от такова месо („Споразумението“), при условие че Споразумението бъде сключено.</w:t>
      </w:r>
    </w:p>
    <w:p>
      <w:pPr>
        <w:rPr>
          <w:noProof/>
        </w:rPr>
      </w:pPr>
      <w:r>
        <w:rPr>
          <w:noProof/>
        </w:rPr>
        <w:t>Текстът на Споразумението, което трябва да се подпише, е приложен към настоящото решение.</w:t>
      </w:r>
    </w:p>
    <w:p>
      <w:pPr>
        <w:pStyle w:val="Titrearticle"/>
        <w:keepNext w:val="0"/>
        <w:rPr>
          <w:noProof/>
        </w:rPr>
      </w:pPr>
      <w:r>
        <w:rPr>
          <w:noProof/>
        </w:rPr>
        <w:t>Член 2</w:t>
      </w:r>
    </w:p>
    <w:p>
      <w:pPr>
        <w:keepLines/>
        <w:rPr>
          <w:noProof/>
        </w:rPr>
      </w:pPr>
      <w:r>
        <w:rPr>
          <w:noProof/>
        </w:rPr>
        <w:t>Генералният секретариат на Съвета изготвя акта за предоставяне на пълномощия на лицето или лицата, посочени от преговарящия по Споразумението, за подписване на Споразумението, при условие че то бъде сключено.</w:t>
      </w:r>
    </w:p>
    <w:p>
      <w:pPr>
        <w:pStyle w:val="Titrearticle"/>
        <w:keepNext w:val="0"/>
        <w:rPr>
          <w:noProof/>
        </w:rPr>
      </w:pPr>
      <w:r>
        <w:rPr>
          <w:noProof/>
        </w:rPr>
        <w:t>Член 3</w:t>
      </w:r>
    </w:p>
    <w:p>
      <w:pPr>
        <w:autoSpaceDE w:val="0"/>
        <w:autoSpaceDN w:val="0"/>
        <w:adjustRightInd w:val="0"/>
        <w:spacing w:before="0" w:after="0"/>
        <w:rPr>
          <w:noProof/>
          <w:color w:val="000000"/>
          <w:szCs w:val="24"/>
        </w:rPr>
      </w:pPr>
      <w:r>
        <w:rPr>
          <w:noProof/>
        </w:rPr>
        <w:t>Временното прилагане на Споразумението започва от първия ден на месеца след датата, на която депозитарят получи следното:</w:t>
      </w:r>
    </w:p>
    <w:p>
      <w:pPr>
        <w:autoSpaceDE w:val="0"/>
        <w:autoSpaceDN w:val="0"/>
        <w:adjustRightInd w:val="0"/>
        <w:spacing w:before="0" w:after="0"/>
        <w:rPr>
          <w:noProof/>
          <w:color w:val="000000"/>
          <w:szCs w:val="24"/>
        </w:rPr>
      </w:pPr>
      <w:r>
        <w:rPr>
          <w:noProof/>
          <w:color w:val="000000"/>
        </w:rPr>
        <w:t>–</w:t>
      </w:r>
      <w:r>
        <w:rPr>
          <w:noProof/>
        </w:rPr>
        <w:tab/>
      </w:r>
      <w:r>
        <w:rPr>
          <w:noProof/>
          <w:color w:val="000000"/>
        </w:rPr>
        <w:t>уведомлението от страна на Съюза относно приключването на необходимите за тази цел процедури; и</w:t>
      </w:r>
    </w:p>
    <w:p>
      <w:pPr>
        <w:autoSpaceDE w:val="0"/>
        <w:autoSpaceDN w:val="0"/>
        <w:adjustRightInd w:val="0"/>
        <w:spacing w:before="0" w:after="0"/>
        <w:rPr>
          <w:noProof/>
          <w:color w:val="000000"/>
          <w:szCs w:val="24"/>
        </w:rPr>
      </w:pPr>
      <w:r>
        <w:rPr>
          <w:noProof/>
          <w:color w:val="000000"/>
        </w:rPr>
        <w:t>–</w:t>
      </w:r>
      <w:r>
        <w:rPr>
          <w:noProof/>
        </w:rPr>
        <w:tab/>
        <w:t>уведомлението от страна на Украйна относно приключването на ратифицирането в съответствие с нейните процедури и приложимо законодателство,</w:t>
      </w:r>
      <w:r>
        <w:rPr>
          <w:noProof/>
          <w:color w:val="000000"/>
        </w:rPr>
        <w:t xml:space="preserve"> </w:t>
      </w:r>
    </w:p>
    <w:p>
      <w:pPr>
        <w:autoSpaceDE w:val="0"/>
        <w:autoSpaceDN w:val="0"/>
        <w:adjustRightInd w:val="0"/>
        <w:spacing w:before="0" w:after="0"/>
        <w:rPr>
          <w:noProof/>
          <w:color w:val="000000"/>
          <w:szCs w:val="24"/>
        </w:rPr>
      </w:pPr>
      <w:r>
        <w:rPr>
          <w:noProof/>
          <w:color w:val="000000"/>
        </w:rPr>
        <w:t>като важи датата на по-късно полученото от двете уведомления преди влизането в сила.</w:t>
      </w:r>
    </w:p>
    <w:p>
      <w:pPr>
        <w:autoSpaceDE w:val="0"/>
        <w:autoSpaceDN w:val="0"/>
        <w:adjustRightInd w:val="0"/>
        <w:spacing w:before="0" w:after="0"/>
        <w:jc w:val="center"/>
        <w:rPr>
          <w:i/>
          <w:iCs/>
          <w:noProof/>
          <w:color w:val="0000FF"/>
          <w:szCs w:val="24"/>
        </w:rPr>
      </w:pPr>
      <w:r>
        <w:rPr>
          <w:i/>
          <w:noProof/>
          <w:color w:val="000000"/>
        </w:rPr>
        <w:t>Член 4</w:t>
      </w:r>
    </w:p>
    <w:p>
      <w:pPr>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161, 29.5.2014 г., стр.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F041D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7439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C277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E2C9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7A6DC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43287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39C57D8"/>
    <w:lvl w:ilvl="0">
      <w:start w:val="1"/>
      <w:numFmt w:val="decimal"/>
      <w:pStyle w:val="ListNumber"/>
      <w:lvlText w:val="%1."/>
      <w:lvlJc w:val="left"/>
      <w:pPr>
        <w:tabs>
          <w:tab w:val="num" w:pos="360"/>
        </w:tabs>
        <w:ind w:left="360" w:hanging="360"/>
      </w:pPr>
    </w:lvl>
  </w:abstractNum>
  <w:abstractNum w:abstractNumId="7">
    <w:nsid w:val="FFFFFF89"/>
    <w:multiLevelType w:val="singleLevel"/>
    <w:tmpl w:val="F3FC9E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1:48: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A2A6314-DC42-4692-A589-8F22F04DF1F5"/>
    <w:docVar w:name="LW_COVERPAGE_TYPE" w:val="1"/>
    <w:docVar w:name="LW_CROSSREFERENCE" w:val="&lt;UNUSED&gt;"/>
    <w:docVar w:name="LW_DocType" w:val="COM"/>
    <w:docVar w:name="LW_EMISSION" w:val="12.6.2019"/>
    <w:docVar w:name="LW_EMISSION_ISODATE" w:val="2019-06-1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1"/>
    <w:docVar w:name="LW_REF.II.NEW.CP_YEAR" w:val="2019"/>
    <w:docVar w:name="LW_REF.INST.NEW" w:val="COM"/>
    <w:docVar w:name="LW_REF.INST.NEW_ADOPTED" w:val="final"/>
    <w:docVar w:name="LW_REF.INST.NEW_TEXT" w:val="(2019) 2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45?\u1074?\u1088?\u1086?\u1087?\u1077?\u1081?\u1089?\u1082?\u1080?\u1103? \u1089?\u1098?\u1102?\u1079?, \u1080? \u1074?\u1088?\u1077?\u1084?\u1077?\u1085?\u1085?\u1086? \u1087?\u1088?\u1080?\u1083?\u1072?\u1075?\u1072?\u1085?\u1077? \u1085?\u1072? \u1057?\u1087?\u1086?\u1088?\u1072?\u1079?\u1091?\u1084?\u1077?\u1085?\u1080?\u1077?\u1090?\u1086? \u1087?\u1086?\u1076? \u1092?\u1086?\u1088?\u1084?\u1072?\u1090?\u1072? \u1085?\u1072? \u1088?\u1072?\u1079?\u1084?\u1103?\u1085?\u1072? \u1085?\u1072? \u1087?\u1080?\u1089?\u1084?\u1072? \u1084?\u1077?\u1078?\u1076?\u1091? \u1045?\u1074?\u1088?\u1086?\u1087?\u1077?\u1081?\u1089?\u1082?\u1080?\u1103? \u1089?\u1098?\u1102?\u1079? \u1080? \u1059?\u1082?\u1088?\u1072?\u1081?\u1085?\u1072? \u1079?\u1072? \u1080?\u1079?\u1084?\u1077?\u1085?\u1077?\u1085?\u1080?\u1077? \u1085?\u1072? \u1090?\u1098?\u1088?\u1075?\u1086?\u1074?\u1089?\u1082?\u1080?\u1090?\u1077? \u1087?\u1088?\u1077?\u1092?\u1077?\u1088?\u1077?\u1085?\u1094?\u1080?\u1080? \u1079?\u1072? \u1084?\u1077?\u1089?\u1086? \u1086?\u1090? \u1076?\u1086?\u1084?\u1072?\u1096?\u1085?\u1080? \u1087?\u1090?\u1080?\u1094?\u1080? \u1080? \u1087?\u1088?\u1086?\u1076?\u1091?\u1082?\u1090?\u1080? \u1086?\u1090? \u1090?\u1072?\u1082?\u1086?\u1074?\u1072? \u1084?\u1077?\u1089?\u1086?, \u1087?\u1088?\u1077?\u1076?\u1074?\u1080?\u1076?\u1077?\u1085?\u1080? \u1074? \u1057?\u1087?\u1086?\u1088?\u1072?\u1079?\u1091?\u1084?\u1077?\u1085?\u1080?\u1077?\u1090?\u1086? \u1079?\u1072? \u1072?\u1089?\u1086?\u1094?\u1080?\u1080?\u1088?\u1072?\u1085?\u1077?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9?\u1082?\u1088?\u1072?\u1081?\u1085?\u1072?, \u1086?\u1090? \u1076?\u1088?\u1091?\u1075?\u1072? \u1089?\u1090?\u1088?\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75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F9763D3-D2B6-45FC-8EEE-10355D5D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1671</Words>
  <Characters>9193</Characters>
  <Application>Microsoft Office Word</Application>
  <DocSecurity>0</DocSecurity>
  <Lines>183</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2019-02-18T15:36:00Z</cp:lastPrinted>
  <dcterms:created xsi:type="dcterms:W3CDTF">2019-05-23T10:01:00Z</dcterms:created>
  <dcterms:modified xsi:type="dcterms:W3CDTF">2019-06-04T09:48:00Z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