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31190F60-4B0E-4C33-B8F6-ACD1E3DFBF19" style="width:450.4pt;height:437.8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t>Accord sous forme d’échange de lettres entre l’Union européenne et l’Ukraine modifiant les préférences commerciales applicables aux viandes de volaille et aux préparations à base de viandes de volaille prévues dans l’accord d’association entre l’Union européenne et la Communauté européenne de l’énergie atomique et leurs États membres, d’une part, et l’Ukraine, d’autre part</w:t>
      </w:r>
    </w:p>
    <w:p>
      <w:pPr>
        <w:pStyle w:val="ManualHeading3"/>
        <w:jc w:val="center"/>
        <w:rPr>
          <w:noProof/>
        </w:rPr>
      </w:pPr>
      <w:r>
        <w:rPr>
          <w:noProof/>
        </w:rPr>
        <w:t>Lettre de l’Union européenne</w:t>
      </w:r>
    </w:p>
    <w:p>
      <w:pPr>
        <w:rPr>
          <w:noProof/>
        </w:rPr>
      </w:pPr>
      <w:r>
        <w:rPr>
          <w:noProof/>
        </w:rPr>
        <w:t>Madame, Monsieur,</w:t>
      </w:r>
    </w:p>
    <w:p>
      <w:pPr>
        <w:rPr>
          <w:noProof/>
        </w:rPr>
      </w:pPr>
      <w:r>
        <w:rPr>
          <w:noProof/>
        </w:rPr>
        <w:t>J’ai l’honneur de me référer aux négociations menées entre l’Union européenne et l’Ukraine (ci-après les «parties») concernant les préférences commerciales applicables à certaines viandes de volaille et préparations à base de viandes de volaille, conclues le 19 mars 2019.</w:t>
      </w:r>
    </w:p>
    <w:p>
      <w:pPr>
        <w:rPr>
          <w:noProof/>
        </w:rPr>
      </w:pPr>
      <w:r>
        <w:rPr>
          <w:noProof/>
        </w:rPr>
        <w:t>Ces négociations ont abouti à l’accord suivant:</w:t>
      </w:r>
    </w:p>
    <w:p>
      <w:pPr>
        <w:pStyle w:val="Point0number"/>
        <w:numPr>
          <w:ilvl w:val="0"/>
          <w:numId w:val="6"/>
        </w:numPr>
        <w:rPr>
          <w:noProof/>
        </w:rPr>
      </w:pPr>
      <w:r>
        <w:rPr>
          <w:noProof/>
        </w:rPr>
        <w:t xml:space="preserve">Au point A de l’appendice de l’annexe I-A relative au chapitre 1 du titre IV de l’accord d’association entre l’Union européenne et la Communauté européenne de l’énergie atomique et leurs États membres, d’une part, et l’Ukraine, d’autre part (ci-après l’«accord»), l’entrée relative aux «viandes de volaille et préparations à base de viandes de volaille» est remplacée par le texte suivant: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816"/>
        <w:gridCol w:w="3096"/>
      </w:tblGrid>
      <w:tr>
        <w:tc>
          <w:tcPr>
            <w:tcW w:w="237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Viandes de volaille et préparations à base de viandes de volaille </w:t>
            </w:r>
          </w:p>
          <w:p>
            <w:pPr>
              <w:jc w:val="left"/>
              <w:rPr>
                <w:b/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</w:tc>
        <w:tc>
          <w:tcPr>
            <w:tcW w:w="381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11 (30-90)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12 (10-90)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13 (10-20-30-50-60-70-99)*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14 (10-20-30-50-60-70-99)*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24 (10-90)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25 (10-90)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26 (10-20-30-50-60-70-80-99)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27 (10-20-30-50-60-70-80-99)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32 (15-19-51-59-90)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33 (11-19-59-90)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35 (11-15-21-23-25-31-41-51-53-61-63-71-79-99)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36 (11-15-21-23-31-41-51-53-61-63-79-90)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0210 99 (39)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1602 31 (11-19-30-90)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1602 32 (11-19-30-90)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1602 39 (21) </w:t>
            </w:r>
          </w:p>
        </w:tc>
        <w:tc>
          <w:tcPr>
            <w:tcW w:w="309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50 000 tonnes/an exprimées en poids net + 18 400 tonnes/an exprimées en poids net avec une augmentation graduelle de 800 tonnes/an exprimées en poids net en 2020 et, à nouveau, en 2021 </w:t>
            </w: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+ 20 000 tonnes/an exprimées en poids net [uniquement pour le code NC 0207 12 (10-90)] </w:t>
            </w:r>
          </w:p>
          <w:p>
            <w:pPr>
              <w:jc w:val="left"/>
              <w:rPr>
                <w:noProof/>
                <w:szCs w:val="24"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t>*</w:t>
      </w:r>
      <w:r>
        <w:rPr>
          <w:noProof/>
        </w:rPr>
        <w:tab/>
        <w:t>Par souci de clarté, les lignes tarifaires 0207 13 70 et 0207 14 70 de la liste tarifaire de l’UE figurant dans l’annexe I-A relative au chapitre 1 du titre IV de l’accord seront soumises au contingent tarifaire indiqué dans la troisième colonne «Quantité».</w:t>
      </w:r>
    </w:p>
    <w:p>
      <w:pPr>
        <w:pStyle w:val="Point0number"/>
        <w:rPr>
          <w:noProof/>
        </w:rPr>
      </w:pPr>
      <w:r>
        <w:rPr>
          <w:noProof/>
        </w:rPr>
        <w:t>Dans la liste tarifaire de l’UE figurant dans l’annexe I-A relative au chapitre 1 du titre IV de l’accord, le texte de la quatrième colonne «Catégorie d’échelonnement» est remplacé, pour les lignes tarifaires NC 2008 énumérées ci-après, par le texte suivant: «50 000 tonnes/an exprimées en poids net + 18 400 tonnes/an exprimées en poids net avec une augmentation graduelle de 800 tonnes/an exprimées en poids net en 2020 et, à nouveau, en 2021»:</w:t>
      </w:r>
    </w:p>
    <w:p>
      <w:pPr>
        <w:pStyle w:val="Text1"/>
        <w:rPr>
          <w:noProof/>
        </w:rPr>
      </w:pPr>
      <w:r>
        <w:rPr>
          <w:noProof/>
        </w:rPr>
        <w:t xml:space="preserve">0207 11 (30-90) </w:t>
      </w:r>
    </w:p>
    <w:p>
      <w:pPr>
        <w:pStyle w:val="Text1"/>
        <w:rPr>
          <w:noProof/>
        </w:rPr>
      </w:pPr>
      <w:r>
        <w:rPr>
          <w:noProof/>
        </w:rPr>
        <w:t xml:space="preserve">0207 13 (10-20-30-50-60-70-99) </w:t>
      </w:r>
    </w:p>
    <w:p>
      <w:pPr>
        <w:pStyle w:val="Text1"/>
        <w:rPr>
          <w:noProof/>
        </w:rPr>
      </w:pPr>
      <w:r>
        <w:rPr>
          <w:noProof/>
        </w:rPr>
        <w:t xml:space="preserve">0207 14 (10-20-30-50-60-70-99) </w:t>
      </w:r>
    </w:p>
    <w:p>
      <w:pPr>
        <w:pStyle w:val="Text1"/>
        <w:rPr>
          <w:noProof/>
        </w:rPr>
      </w:pPr>
      <w:r>
        <w:rPr>
          <w:noProof/>
        </w:rPr>
        <w:t xml:space="preserve">0207 24 (10-90) </w:t>
      </w:r>
    </w:p>
    <w:p>
      <w:pPr>
        <w:pStyle w:val="Text1"/>
        <w:rPr>
          <w:noProof/>
        </w:rPr>
      </w:pPr>
      <w:r>
        <w:rPr>
          <w:noProof/>
        </w:rPr>
        <w:t>0207 25 (10-90)</w:t>
      </w:r>
    </w:p>
    <w:p>
      <w:pPr>
        <w:pStyle w:val="Text1"/>
        <w:rPr>
          <w:noProof/>
        </w:rPr>
      </w:pPr>
      <w:r>
        <w:rPr>
          <w:noProof/>
        </w:rPr>
        <w:t xml:space="preserve">0207 26 (10-20-30-50-60-70-80-99) </w:t>
      </w:r>
    </w:p>
    <w:p>
      <w:pPr>
        <w:pStyle w:val="Text1"/>
        <w:rPr>
          <w:noProof/>
        </w:rPr>
      </w:pPr>
      <w:r>
        <w:rPr>
          <w:noProof/>
        </w:rPr>
        <w:t>0207 27 (10-20-30-50-60-70-80-99)</w:t>
      </w:r>
    </w:p>
    <w:p>
      <w:pPr>
        <w:pStyle w:val="Text1"/>
        <w:rPr>
          <w:noProof/>
        </w:rPr>
      </w:pPr>
      <w:r>
        <w:rPr>
          <w:noProof/>
        </w:rPr>
        <w:t xml:space="preserve">0207 32 (15-19-51-59-90) </w:t>
      </w:r>
    </w:p>
    <w:p>
      <w:pPr>
        <w:pStyle w:val="Text1"/>
        <w:rPr>
          <w:noProof/>
        </w:rPr>
      </w:pPr>
      <w:r>
        <w:rPr>
          <w:noProof/>
        </w:rPr>
        <w:t xml:space="preserve">0207 33 (11-19-59-90) </w:t>
      </w:r>
    </w:p>
    <w:p>
      <w:pPr>
        <w:pStyle w:val="Text1"/>
        <w:rPr>
          <w:noProof/>
        </w:rPr>
      </w:pPr>
      <w:r>
        <w:rPr>
          <w:noProof/>
        </w:rPr>
        <w:t xml:space="preserve">0207 35 (11-15-21-23-25-31-41-51-53-61-63-71-79-99) </w:t>
      </w:r>
    </w:p>
    <w:p>
      <w:pPr>
        <w:pStyle w:val="Text1"/>
        <w:rPr>
          <w:noProof/>
        </w:rPr>
      </w:pPr>
      <w:r>
        <w:rPr>
          <w:noProof/>
        </w:rPr>
        <w:t xml:space="preserve">0207 36 (11-15-21-23-31-41-51-53-61-63-79-90) </w:t>
      </w:r>
    </w:p>
    <w:p>
      <w:pPr>
        <w:pStyle w:val="Text1"/>
        <w:rPr>
          <w:noProof/>
        </w:rPr>
      </w:pPr>
      <w:r>
        <w:rPr>
          <w:noProof/>
        </w:rPr>
        <w:t xml:space="preserve">0210 99 (39) </w:t>
      </w:r>
    </w:p>
    <w:p>
      <w:pPr>
        <w:pStyle w:val="Text1"/>
        <w:rPr>
          <w:noProof/>
        </w:rPr>
      </w:pPr>
      <w:r>
        <w:rPr>
          <w:noProof/>
        </w:rPr>
        <w:t xml:space="preserve">1602 31 (11-19-30-90) </w:t>
      </w:r>
    </w:p>
    <w:p>
      <w:pPr>
        <w:pStyle w:val="Text1"/>
        <w:rPr>
          <w:noProof/>
        </w:rPr>
      </w:pPr>
      <w:r>
        <w:rPr>
          <w:noProof/>
        </w:rPr>
        <w:t xml:space="preserve">1602 32 (11-19-30-90) </w:t>
      </w:r>
    </w:p>
    <w:p>
      <w:pPr>
        <w:pStyle w:val="Text1"/>
        <w:rPr>
          <w:noProof/>
        </w:rPr>
      </w:pPr>
      <w:r>
        <w:rPr>
          <w:noProof/>
        </w:rPr>
        <w:t xml:space="preserve">1602 39 (21) </w:t>
      </w:r>
    </w:p>
    <w:p>
      <w:pPr>
        <w:pStyle w:val="Point0number"/>
        <w:rPr>
          <w:noProof/>
        </w:rPr>
      </w:pPr>
      <w:r>
        <w:rPr>
          <w:noProof/>
        </w:rPr>
        <w:t>Dans la liste tarifaire de l’UE figurant dans l’annexe I-A relative au chapitre 1 du titre IV de l’accord, pour la ligne tarifaire NC 2008 0207 12 (10-90), le texte de la quatrième colonne «Catégorie d’échelonnement» est remplacé par le texte suivant: «50 000 tonnes/an exprimées en poids net + 18 400 tonnes/an exprimées en poids net avec une augmentation graduelle de 800 tonnes/an exprimées en poids net en 2020 et, à nouveau, en 2021 + 20 000 tonnes/an exprimées en poids net».</w:t>
      </w:r>
    </w:p>
    <w:p>
      <w:pPr>
        <w:pStyle w:val="Point0number"/>
        <w:rPr>
          <w:noProof/>
        </w:rPr>
      </w:pPr>
      <w:r>
        <w:rPr>
          <w:noProof/>
        </w:rPr>
        <w:t xml:space="preserve">Pour le reste de l’année civile au cours de laquelle le présent accord entre en vigueur, la quantité supplémentaire de 50 000 tonnes à ajouter au contingent existant applicable aux viandes de volaille et aux préparations à base de viandes de volaille indiqué dans l’accord sera calculée au prorata. </w:t>
      </w:r>
    </w:p>
    <w:p>
      <w:pPr>
        <w:pStyle w:val="Point0number"/>
        <w:rPr>
          <w:noProof/>
        </w:rPr>
      </w:pPr>
      <w:r>
        <w:rPr>
          <w:noProof/>
        </w:rPr>
        <w:t>Le droit de la nation la plus favorisée de 100,8 EUR/100 kg net fixé pour les lignes tarifaires 0207 13 70 et 0207 14 70 de la liste tarifaire de l’UE figurant dans l’annexe I-A relative au chapitre 1 du titre IV de l’accord s’applique aux importations excédant le contingent tarifaire global applicable aux viandes de volaille et préparations à base de viandes de volaille visées au point 1).</w:t>
      </w:r>
    </w:p>
    <w:p>
      <w:pPr>
        <w:rPr>
          <w:noProof/>
        </w:rPr>
      </w:pPr>
      <w:r>
        <w:rPr>
          <w:noProof/>
        </w:rPr>
        <w:t xml:space="preserve">Le présent accord entre en vigueur le premier jour du mois suivant la date de la dernière notification au dépositaire de l’instrument d’approbation ou de ratification échangée entre les parties. </w:t>
      </w:r>
    </w:p>
    <w:p>
      <w:pPr>
        <w:rPr>
          <w:noProof/>
        </w:rPr>
      </w:pPr>
      <w:r>
        <w:rPr>
          <w:noProof/>
        </w:rPr>
        <w:t>L’accord s’applique à titre provisoire à partir du premier jour du mois suivant la date de réception par le dépositaire de:</w:t>
      </w:r>
    </w:p>
    <w:p>
      <w:pPr>
        <w:pStyle w:val="Tiret0"/>
        <w:numPr>
          <w:ilvl w:val="0"/>
          <w:numId w:val="7"/>
        </w:numPr>
        <w:rPr>
          <w:noProof/>
        </w:rPr>
      </w:pPr>
      <w:r>
        <w:rPr>
          <w:noProof/>
        </w:rPr>
        <w:t>la notification par l’Union de l’accomplissement des procédures nécessaires à cet effet; et</w:t>
      </w:r>
    </w:p>
    <w:p>
      <w:pPr>
        <w:pStyle w:val="Tiret0"/>
        <w:rPr>
          <w:noProof/>
        </w:rPr>
      </w:pPr>
      <w:r>
        <w:rPr>
          <w:noProof/>
        </w:rPr>
        <w:t>la notification par l’Ukraine de l’achèvement de la procédure de ratification conformément à ses procédures et à sa législation applicable,</w:t>
      </w:r>
    </w:p>
    <w:p>
      <w:pPr>
        <w:spacing w:after="360"/>
        <w:rPr>
          <w:noProof/>
        </w:rPr>
      </w:pPr>
      <w:r>
        <w:rPr>
          <w:noProof/>
        </w:rPr>
        <w:t>la date la plus tardive étant retenue.</w:t>
      </w:r>
    </w:p>
    <w:p>
      <w:pPr>
        <w:rPr>
          <w:noProof/>
        </w:rPr>
      </w:pPr>
      <w:r>
        <w:rPr>
          <w:noProof/>
        </w:rPr>
        <w:t>Je vous serais reconnaissant de bien vouloir confirmer l’accord de l’Ukraine sur ce qui précède.</w:t>
      </w:r>
    </w:p>
    <w:p>
      <w:pPr>
        <w:spacing w:after="360"/>
        <w:rPr>
          <w:noProof/>
        </w:rPr>
      </w:pPr>
      <w:r>
        <w:rPr>
          <w:noProof/>
        </w:rPr>
        <w:t>Je vous prie d’agréer, Madame, Monsieur, l’assurance de ma plus haute considération.</w:t>
      </w:r>
    </w:p>
    <w:p>
      <w:pPr>
        <w:spacing w:after="360"/>
        <w:rPr>
          <w:noProof/>
        </w:rPr>
      </w:pPr>
      <w:r>
        <w:rPr>
          <w:noProof/>
        </w:rPr>
        <w:t>Fait à Bruxelles, le</w:t>
      </w:r>
    </w:p>
    <w:p>
      <w:pPr>
        <w:rPr>
          <w:i/>
          <w:noProof/>
        </w:rPr>
      </w:pPr>
      <w:r>
        <w:rPr>
          <w:i/>
          <w:noProof/>
        </w:rPr>
        <w:t>Pour l’Union européenne,</w:t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i/>
          <w:noProof/>
        </w:rPr>
      </w:pPr>
      <w:r>
        <w:rPr>
          <w:i/>
          <w:noProof/>
        </w:rPr>
        <w:t>B. Lettre de l’Ukraine</w:t>
      </w:r>
    </w:p>
    <w:p>
      <w:pPr>
        <w:rPr>
          <w:noProof/>
        </w:rPr>
      </w:pPr>
      <w:r>
        <w:rPr>
          <w:noProof/>
        </w:rPr>
        <w:t>Madame, Monsieur,</w:t>
      </w:r>
    </w:p>
    <w:p>
      <w:pPr>
        <w:rPr>
          <w:noProof/>
        </w:rPr>
      </w:pPr>
      <w:r>
        <w:rPr>
          <w:noProof/>
        </w:rPr>
        <w:t>J’ai l’honneur d’accuser réception de votre lettre du [</w:t>
      </w:r>
      <w:r>
        <w:rPr>
          <w:i/>
          <w:noProof/>
        </w:rPr>
        <w:t>date de la lettre</w:t>
      </w:r>
      <w:r>
        <w:rPr>
          <w:noProof/>
        </w:rPr>
        <w:t xml:space="preserve">], libellée comme suit: </w:t>
      </w:r>
    </w:p>
    <w:p>
      <w:pPr>
        <w:rPr>
          <w:noProof/>
        </w:rPr>
      </w:pPr>
      <w:r>
        <w:rPr>
          <w:noProof/>
        </w:rPr>
        <w:t>«J’ai l’honneur de me référer aux négociations menées entre l’Union européenne et l’Ukraine (ci-après les «parties») concernant les préférences commerciales applicables à certaines viandes de volaille et préparations à base de viandes de volaille, conclues le 19 mars 2019.</w:t>
      </w:r>
    </w:p>
    <w:p>
      <w:pPr>
        <w:rPr>
          <w:noProof/>
        </w:rPr>
      </w:pPr>
      <w:r>
        <w:rPr>
          <w:noProof/>
        </w:rPr>
        <w:t>Ces négociations ont abouti à l’accord suivant:</w:t>
      </w:r>
    </w:p>
    <w:p>
      <w:pPr>
        <w:pStyle w:val="Point0number"/>
        <w:numPr>
          <w:ilvl w:val="0"/>
          <w:numId w:val="5"/>
        </w:numPr>
        <w:rPr>
          <w:noProof/>
        </w:rPr>
      </w:pPr>
      <w:r>
        <w:rPr>
          <w:noProof/>
        </w:rPr>
        <w:t>Au point A de l’appendice de l’annexe I-A relative au chapitre 1 du titre IV de l’accord d’association entre l’Union européenne et la Communauté européenne de l’énergie atomique et leurs États membres, d’une part, et l’Ukraine, d’autre part (ci-après l’«accord»), l’entrée relative aux «viandes de volaille et préparations à base de viandes de volaille» est remplacée par le texte suivant: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816"/>
        <w:gridCol w:w="3096"/>
      </w:tblGrid>
      <w:tr>
        <w:tc>
          <w:tcPr>
            <w:tcW w:w="237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Viandes de volaille et préparations à base de viandes de volaille </w:t>
            </w:r>
          </w:p>
          <w:p>
            <w:pPr>
              <w:jc w:val="left"/>
              <w:rPr>
                <w:b/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</w:p>
        </w:tc>
        <w:tc>
          <w:tcPr>
            <w:tcW w:w="381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11 (30-90)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12 (10-90)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13 (10-20-30-50-60-70-99)*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14 (10-20-30-50-60-70-99)*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24 (10-90)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25 (10-90)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26 (10-20-30-50-60-70-80-99)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0207 27 (10-20-30-50-60-70-80-99)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32 (15-19-51-59-90)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33 (11-19-59-90)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35 (11-15-21-23-25-31-41-51-53-61-63-71-79-99)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0207 36 (11-15-21-23-31-41-51-53-61-63-79-90)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0210 99 (39)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1602 31 (11-19-30-90)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1602 32 (11-19-30-90) </w:t>
            </w: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1602 39 (21) </w:t>
            </w:r>
          </w:p>
        </w:tc>
        <w:tc>
          <w:tcPr>
            <w:tcW w:w="3096" w:type="dxa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50 000 tonnes/an exprimées en poids net + 18 400 tonnes/an exprimées en poids net avec une augmentation graduelle de 800 tonnes/an exprimées en poids net en 2020 et, à nouveau, en 2021 </w:t>
            </w:r>
          </w:p>
          <w:p>
            <w:pPr>
              <w:jc w:val="left"/>
              <w:rPr>
                <w:noProof/>
                <w:szCs w:val="24"/>
              </w:rPr>
            </w:pPr>
          </w:p>
          <w:p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+ 20 000 tonnes/an exprimées en poids net [uniquement pour le code NC 0207 12 (10-90)] </w:t>
            </w:r>
          </w:p>
          <w:p>
            <w:pPr>
              <w:jc w:val="left"/>
              <w:rPr>
                <w:noProof/>
                <w:szCs w:val="24"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t>*</w:t>
      </w:r>
      <w:r>
        <w:rPr>
          <w:noProof/>
        </w:rPr>
        <w:tab/>
        <w:t>Par souci de clarté, les lignes tarifaires 0207 13 70 et 0207 14 70 de la liste tarifaire de l’UE figurant dans l’annexe I-A relative au chapitre 1 du titre IV de l’accord seront soumises au contingent tarifaire indiqué dans la troisième colonne «Quantité».</w:t>
      </w:r>
    </w:p>
    <w:p>
      <w:pPr>
        <w:pStyle w:val="Point0number"/>
        <w:numPr>
          <w:ilvl w:val="0"/>
          <w:numId w:val="5"/>
        </w:numPr>
        <w:rPr>
          <w:noProof/>
        </w:rPr>
      </w:pPr>
      <w:r>
        <w:rPr>
          <w:noProof/>
        </w:rPr>
        <w:t>Dans la liste tarifaire de l’UE figurant dans l’annexe I-A relative au chapitre 1 du titre IV de l’accord, le texte de la quatrième colonne «Catégorie d’échelonnement» est remplacé, pour les lignes tarifaires NC 2008 énumérées ci-après, par le texte suivant: «50 000 tonnes/an exprimées en poids net + 18 400 tonnes/an exprimées en poids net avec une augmentation graduelle de 800 tonnes/an exprimées en poids net en 2020 et, à nouveau, en 2021»:</w:t>
      </w:r>
    </w:p>
    <w:p>
      <w:pPr>
        <w:pStyle w:val="Text1"/>
        <w:rPr>
          <w:noProof/>
        </w:rPr>
      </w:pPr>
      <w:r>
        <w:rPr>
          <w:noProof/>
        </w:rPr>
        <w:t xml:space="preserve">0207 11 (30-90) </w:t>
      </w:r>
    </w:p>
    <w:p>
      <w:pPr>
        <w:pStyle w:val="Text1"/>
        <w:rPr>
          <w:noProof/>
        </w:rPr>
      </w:pPr>
      <w:r>
        <w:rPr>
          <w:noProof/>
        </w:rPr>
        <w:t xml:space="preserve">0207 13 (10-20-30-50-60-70-99) </w:t>
      </w:r>
    </w:p>
    <w:p>
      <w:pPr>
        <w:pStyle w:val="Text1"/>
        <w:rPr>
          <w:noProof/>
        </w:rPr>
      </w:pPr>
      <w:r>
        <w:rPr>
          <w:noProof/>
        </w:rPr>
        <w:t xml:space="preserve">0207 14 (10-20-30-50-60-70-99) </w:t>
      </w:r>
    </w:p>
    <w:p>
      <w:pPr>
        <w:pStyle w:val="Text1"/>
        <w:rPr>
          <w:noProof/>
        </w:rPr>
      </w:pPr>
      <w:r>
        <w:rPr>
          <w:noProof/>
        </w:rPr>
        <w:t xml:space="preserve">0207 24 (10-90) </w:t>
      </w:r>
    </w:p>
    <w:p>
      <w:pPr>
        <w:pStyle w:val="Text1"/>
        <w:rPr>
          <w:noProof/>
        </w:rPr>
      </w:pPr>
      <w:r>
        <w:rPr>
          <w:noProof/>
        </w:rPr>
        <w:t>0207 25 (10-90)</w:t>
      </w:r>
    </w:p>
    <w:p>
      <w:pPr>
        <w:pStyle w:val="Text1"/>
        <w:rPr>
          <w:noProof/>
        </w:rPr>
      </w:pPr>
      <w:r>
        <w:rPr>
          <w:noProof/>
        </w:rPr>
        <w:t xml:space="preserve">0207 26 (10-20-30-50-60-70-80-99) </w:t>
      </w:r>
    </w:p>
    <w:p>
      <w:pPr>
        <w:pStyle w:val="Text1"/>
        <w:rPr>
          <w:noProof/>
        </w:rPr>
      </w:pPr>
      <w:r>
        <w:rPr>
          <w:noProof/>
        </w:rPr>
        <w:t>0207 27 (10-20-30-50-60-70-80-99)</w:t>
      </w:r>
    </w:p>
    <w:p>
      <w:pPr>
        <w:pStyle w:val="Text1"/>
        <w:rPr>
          <w:noProof/>
        </w:rPr>
      </w:pPr>
      <w:r>
        <w:rPr>
          <w:noProof/>
        </w:rPr>
        <w:t xml:space="preserve">0207 32 (15-19-51-59-90) </w:t>
      </w:r>
    </w:p>
    <w:p>
      <w:pPr>
        <w:pStyle w:val="Text1"/>
        <w:rPr>
          <w:noProof/>
        </w:rPr>
      </w:pPr>
      <w:r>
        <w:rPr>
          <w:noProof/>
        </w:rPr>
        <w:t xml:space="preserve">0207 33 (11-19-59-90) </w:t>
      </w:r>
    </w:p>
    <w:p>
      <w:pPr>
        <w:pStyle w:val="Text1"/>
        <w:rPr>
          <w:noProof/>
        </w:rPr>
      </w:pPr>
      <w:r>
        <w:rPr>
          <w:noProof/>
        </w:rPr>
        <w:t xml:space="preserve">0207 35 (11-15-21-23-25-31-41-51-53-61-63-71-79-99) </w:t>
      </w:r>
    </w:p>
    <w:p>
      <w:pPr>
        <w:pStyle w:val="Text1"/>
        <w:rPr>
          <w:noProof/>
        </w:rPr>
      </w:pPr>
      <w:r>
        <w:rPr>
          <w:noProof/>
        </w:rPr>
        <w:t xml:space="preserve">0207 36 (11-15-21-23-31-41-51-53-61-63-79-90) </w:t>
      </w:r>
    </w:p>
    <w:p>
      <w:pPr>
        <w:pStyle w:val="Text1"/>
        <w:rPr>
          <w:noProof/>
        </w:rPr>
      </w:pPr>
      <w:r>
        <w:rPr>
          <w:noProof/>
        </w:rPr>
        <w:t xml:space="preserve">0210 99 (39) </w:t>
      </w:r>
    </w:p>
    <w:p>
      <w:pPr>
        <w:pStyle w:val="Text1"/>
        <w:rPr>
          <w:noProof/>
        </w:rPr>
      </w:pPr>
      <w:r>
        <w:rPr>
          <w:noProof/>
        </w:rPr>
        <w:t xml:space="preserve">1602 31 (11-19-30-90) </w:t>
      </w:r>
    </w:p>
    <w:p>
      <w:pPr>
        <w:pStyle w:val="Text1"/>
        <w:rPr>
          <w:noProof/>
        </w:rPr>
      </w:pPr>
      <w:r>
        <w:rPr>
          <w:noProof/>
        </w:rPr>
        <w:t xml:space="preserve">1602 32 (11-19-30-90) </w:t>
      </w:r>
    </w:p>
    <w:p>
      <w:pPr>
        <w:pStyle w:val="Text1"/>
        <w:rPr>
          <w:noProof/>
        </w:rPr>
      </w:pPr>
      <w:r>
        <w:rPr>
          <w:noProof/>
        </w:rPr>
        <w:t xml:space="preserve">1602 39 (21) </w:t>
      </w:r>
    </w:p>
    <w:p>
      <w:pPr>
        <w:pStyle w:val="Point0number"/>
        <w:numPr>
          <w:ilvl w:val="0"/>
          <w:numId w:val="5"/>
        </w:numPr>
        <w:rPr>
          <w:noProof/>
        </w:rPr>
      </w:pPr>
      <w:r>
        <w:rPr>
          <w:noProof/>
        </w:rPr>
        <w:t>Dans la liste tarifaire de l’UE figurant dans l’annexe I-A relative au chapitre 1 du titre IV de l’accord, pour la ligne tarifaire NC 2008 0207 12 (10-90), le texte de la quatrième colonne «Catégorie d’échelonnement» est remplacé par le texte suivant: «50 000 tonnes/an exprimées en poids net + 18 400 tonnes/an exprimées en poids net avec une augmentation graduelle de 800 tonnes/an exprimées en poids net en 2020 et, à nouveau, en 2021 + 20 000 tonnes/an exprimées en poids net».</w:t>
      </w:r>
    </w:p>
    <w:p>
      <w:pPr>
        <w:pStyle w:val="Point0number"/>
        <w:numPr>
          <w:ilvl w:val="0"/>
          <w:numId w:val="5"/>
        </w:numPr>
        <w:rPr>
          <w:noProof/>
        </w:rPr>
      </w:pPr>
      <w:r>
        <w:rPr>
          <w:noProof/>
        </w:rPr>
        <w:t>Pour le reste de l’année civile au cours de laquelle le présent accord entre en vigueur, la quantité supplémentaire de 50 000 tonnes à ajouter au contingent existant applicable aux viandes de volaille et aux préparations à base de viandes de volaille indiqué dans l’accord sera calculée au prorata.</w:t>
      </w:r>
    </w:p>
    <w:p>
      <w:pPr>
        <w:pStyle w:val="Point0number"/>
        <w:numPr>
          <w:ilvl w:val="0"/>
          <w:numId w:val="5"/>
        </w:numPr>
        <w:rPr>
          <w:noProof/>
        </w:rPr>
      </w:pPr>
      <w:r>
        <w:rPr>
          <w:noProof/>
        </w:rPr>
        <w:t>Le droit de la nation la plus favorisée de 100,8 EUR/100 kg net fixé pour les lignes tarifaires 0207 13 70 et 0207 14 70 de la liste tarifaire de l’UE figurant dans l’annexe I-A relative au chapitre 1 du titre IV de l’accord s’applique aux importations excédant le contingent tarifaire global applicable aux viandes de volaille et préparations à base de viandes de volaille visées au point 1).</w:t>
      </w:r>
    </w:p>
    <w:p>
      <w:pPr>
        <w:rPr>
          <w:noProof/>
        </w:rPr>
      </w:pPr>
      <w:r>
        <w:rPr>
          <w:noProof/>
        </w:rPr>
        <w:t xml:space="preserve">Le présent accord entre en vigueur le premier jour du mois suivant la date de la dernière notification au dépositaire de l’instrument d’approbation ou de ratification échangée entre les parties. </w:t>
      </w:r>
    </w:p>
    <w:p>
      <w:pPr>
        <w:rPr>
          <w:noProof/>
        </w:rPr>
      </w:pPr>
      <w:r>
        <w:rPr>
          <w:noProof/>
        </w:rPr>
        <w:t>L’accord s’applique à titre provisoire à partir du premier jour du mois suivant la date de réception par le dépositaire de:</w:t>
      </w:r>
    </w:p>
    <w:p>
      <w:pPr>
        <w:pStyle w:val="Tiret0"/>
        <w:rPr>
          <w:noProof/>
        </w:rPr>
      </w:pPr>
      <w:r>
        <w:rPr>
          <w:noProof/>
        </w:rPr>
        <w:t>la notification par l’Union de l’accomplissement des procédures nécessaires à cet effet; et</w:t>
      </w:r>
    </w:p>
    <w:p>
      <w:pPr>
        <w:pStyle w:val="Tiret0"/>
        <w:rPr>
          <w:noProof/>
        </w:rPr>
      </w:pPr>
      <w:r>
        <w:rPr>
          <w:noProof/>
        </w:rPr>
        <w:t>la notification par l’Ukraine de l’achèvement de la procédure de ratification conformément à ses procédures et à sa législation applicable,</w:t>
      </w:r>
    </w:p>
    <w:p>
      <w:pPr>
        <w:spacing w:after="360"/>
        <w:rPr>
          <w:noProof/>
        </w:rPr>
      </w:pPr>
      <w:r>
        <w:rPr>
          <w:noProof/>
        </w:rPr>
        <w:t>la date la plus tardive étant retenue.»</w:t>
      </w:r>
    </w:p>
    <w:p>
      <w:pPr>
        <w:rPr>
          <w:noProof/>
        </w:rPr>
      </w:pPr>
      <w:r>
        <w:rPr>
          <w:noProof/>
        </w:rPr>
        <w:t>J’ai l’honneur de vous confirmer l’accord de l’Ukraine sur le contenu de cette lettre.</w:t>
      </w:r>
    </w:p>
    <w:p>
      <w:pPr>
        <w:spacing w:after="360"/>
        <w:rPr>
          <w:noProof/>
        </w:rPr>
      </w:pPr>
      <w:r>
        <w:rPr>
          <w:noProof/>
        </w:rPr>
        <w:t>Je vous prie d’agréer, Madame, Monsieur, l’assurance de ma plus haute considération.</w:t>
      </w:r>
    </w:p>
    <w:p>
      <w:pPr>
        <w:spacing w:after="480"/>
        <w:rPr>
          <w:noProof/>
        </w:rPr>
      </w:pPr>
      <w:r>
        <w:rPr>
          <w:noProof/>
        </w:rPr>
        <w:t>Fait à Kiev, le</w:t>
      </w:r>
    </w:p>
    <w:p>
      <w:pPr>
        <w:rPr>
          <w:i/>
          <w:noProof/>
        </w:rPr>
      </w:pPr>
      <w:r>
        <w:rPr>
          <w:i/>
          <w:noProof/>
        </w:rPr>
        <w:t>Pour l’Ukraine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C3880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954C8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B0028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A223F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A4CC7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5AE5C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48222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7E414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6-04 11:47:2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1190F60-4B0E-4C33-B8F6-ACD1E3DFBF19"/>
    <w:docVar w:name="LW_COVERPAGE_TYPE" w:val="1"/>
    <w:docVar w:name="LW_CROSSREFERENCE" w:val="&lt;UNUSED&gt;"/>
    <w:docVar w:name="LW_DocType" w:val="ANNEX"/>
    <w:docVar w:name="LW_EMISSION" w:val="12.6.2019"/>
    <w:docVar w:name="LW_EMISSION_ISODATE" w:val="2019-06-12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ve à la signature, au nom de l\u8217?Union européenne, et à l\u8217?application provisoire de l\u8217?accord sous forme d\u8217?échange de lettres entre l\u8217?Union européenne et l\u8217?Ukraine modifiant les préférences commerciales applicables aux viandes de volaille et aux préparations à base de viandes de volaille prévues dans l\u8217?accord d\u8217?association entre l\u8217?Union européenne et la Communauté européenne de l\u8217?énergie atomique et leurs États membres, d\u8217?une part, et l\u8217?Ukraine, d\u8217?autre part"/>
    <w:docVar w:name="LW_OBJETACTEPRINCIPAL.CP" w:val="relative à la signature, au nom de l\u8217?Union européenne, et à l\u8217?application provisoire de l\u8217?accord sous forme d\u8217?échange de lettres entre l\u8217?Union européenne et l\u8217?Ukraine modifiant les préférences commerciales applicables aux viandes de volaille et aux préparations à base de viandes de volaille prévues dans l\u8217?accord d\u8217?association entre l\u8217?Union européenne et la Communauté européenne de l\u8217?énergie atomique et leurs États membres, d\u8217?une part, et l\u8217?Ukraine, d\u8217?autre part"/>
    <w:docVar w:name="LW_PART_NBR" w:val="1"/>
    <w:docVar w:name="LW_PART_NBR_TOTAL" w:val="1"/>
    <w:docVar w:name="LW_REF.INST.NEW" w:val="COM"/>
    <w:docVar w:name="LW_REF.INST.NEW_ADOPTED" w:val="final"/>
    <w:docVar w:name="LW_REF.INST.NEW_TEXT" w:val="(2019) 26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décision du Conseil"/>
    <w:docVar w:name="LW_TYPEACTEPRINCIPAL.CP" w:val="proposition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7</Pages>
  <Words>1506</Words>
  <Characters>8240</Characters>
  <Application>Microsoft Office Word</Application>
  <DocSecurity>0</DocSecurity>
  <Lines>235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MOLLER Birgit (TRADE)</dc:creator>
  <cp:lastModifiedBy>DIGIT/C6</cp:lastModifiedBy>
  <cp:revision>8</cp:revision>
  <dcterms:created xsi:type="dcterms:W3CDTF">2019-05-23T08:28:00Z</dcterms:created>
  <dcterms:modified xsi:type="dcterms:W3CDTF">2019-06-04T09:47:00Z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