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2AFE6BE-E24A-49B4-946A-4990644B07B5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color w:val="FF0000"/>
          <w:u w:val="none"/>
        </w:rPr>
      </w:pPr>
      <w:bookmarkStart w:id="0" w:name="_GoBack"/>
      <w:bookmarkEnd w:id="0"/>
      <w:r>
        <w:rPr>
          <w:noProof/>
          <w:u w:val="none"/>
        </w:rPr>
        <w:t>Споразумение под формата на размяна на писма между Европейския съюз и Украйна за изменение на търговските преференции за месо от домашни птици и продукти от такова месо, предвидени в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</w:t>
      </w:r>
    </w:p>
    <w:p>
      <w:pPr>
        <w:jc w:val="center"/>
        <w:rPr>
          <w:i/>
          <w:noProof/>
        </w:rPr>
      </w:pPr>
      <w:r>
        <w:rPr>
          <w:i/>
          <w:noProof/>
        </w:rPr>
        <w:t>А. Писмо от Европейския съюз</w:t>
      </w:r>
    </w:p>
    <w:p>
      <w:pPr>
        <w:rPr>
          <w:noProof/>
        </w:rPr>
      </w:pPr>
      <w:r>
        <w:rPr>
          <w:noProof/>
        </w:rPr>
        <w:t>Уважаеми господине/Уважаема госпожо,</w:t>
      </w:r>
    </w:p>
    <w:p>
      <w:pPr>
        <w:rPr>
          <w:noProof/>
        </w:rPr>
      </w:pPr>
      <w:r>
        <w:rPr>
          <w:noProof/>
        </w:rPr>
        <w:t>Имам честта да се позова на приключилите на 19 март 2019 г. преговори между Европейския съюз и Украйна („страните“) относно търговските преференции за някои видове месо от домашни птици и продукти от такова месо.</w:t>
      </w:r>
    </w:p>
    <w:p>
      <w:pPr>
        <w:rPr>
          <w:noProof/>
        </w:rPr>
      </w:pPr>
      <w:r>
        <w:rPr>
          <w:noProof/>
        </w:rPr>
        <w:t>В резултат на тези преговори беше постигнато следното споразумение:</w:t>
      </w:r>
    </w:p>
    <w:p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>В буква А от допълнението към приложение I-A към глава 1 от дял IV на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 („Споразумението“) записът за „Месо от домашни птици и продукти от такова месо“ се заменя със следното: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>
        <w:tc>
          <w:tcPr>
            <w:tcW w:w="237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Месо от домашни птици и продукти от такова месо</w:t>
            </w:r>
          </w:p>
          <w:p>
            <w:pPr>
              <w:jc w:val="left"/>
              <w:rPr>
                <w:b/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81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11 (30-90)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12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13 (10-20-30-50-60-70-99)*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14 (10-20-30-50-60-70-99)*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24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25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26 (10-20-30-50-60-70-80-99)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27 (10-20-30-50-60-70-80-99)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32 (15-19-51-59-90)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33 (11-19-59-90)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35 (11-15-21-23-25-31-41-51-53-61-63-71-79-99)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36 (11-15-21-23-31-41-51-53-61-63-79-90)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0210 99 (39)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1602 31 (11-19-30-90)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1602 32 (11-19-30-90)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1602 39 (21)</w:t>
            </w:r>
          </w:p>
        </w:tc>
        <w:tc>
          <w:tcPr>
            <w:tcW w:w="309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</w:t>
            </w: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+ 20 000 тона/година, изразено като нетно тегло (само за код по КН 0207 12 (10-90))</w:t>
            </w:r>
          </w:p>
          <w:p>
            <w:pPr>
              <w:jc w:val="left"/>
              <w:rPr>
                <w:noProof/>
                <w:szCs w:val="24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*</w:t>
      </w:r>
      <w:r>
        <w:rPr>
          <w:noProof/>
        </w:rPr>
        <w:tab/>
        <w:t>За по-голяма яснота, за тарифни линии 0207 13 70 и 0207 14 70, посочени в графиците на ЕС за премахване на митата в приложение I-A към глава 1 от дял IV на Споразумението, се прилага тарифната квота, определена в третата колона „Количество“.</w:t>
      </w: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>В графиците на ЕС за премахване на митата в приложение I-A към глава 1 от дял IV на Споразумението текстът в четвъртата колона „Поетапна категория“ се заменя с „50 000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г.“ за следните тарифни линии по КН за 2008 г.:</w:t>
      </w:r>
    </w:p>
    <w:p>
      <w:pPr>
        <w:pStyle w:val="Text1"/>
        <w:rPr>
          <w:noProof/>
        </w:rPr>
      </w:pPr>
      <w:r>
        <w:rPr>
          <w:noProof/>
        </w:rPr>
        <w:t xml:space="preserve">0207 11 (30-90) </w:t>
      </w:r>
    </w:p>
    <w:p>
      <w:pPr>
        <w:pStyle w:val="Text1"/>
        <w:rPr>
          <w:noProof/>
        </w:rPr>
      </w:pPr>
      <w:r>
        <w:rPr>
          <w:noProof/>
        </w:rPr>
        <w:t xml:space="preserve">0207 13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14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24 (10-90) </w:t>
      </w:r>
    </w:p>
    <w:p>
      <w:pPr>
        <w:pStyle w:val="Text1"/>
        <w:rPr>
          <w:noProof/>
        </w:rPr>
      </w:pPr>
      <w:r>
        <w:rPr>
          <w:noProof/>
        </w:rPr>
        <w:t>0207 25 (10-90)</w:t>
      </w:r>
    </w:p>
    <w:p>
      <w:pPr>
        <w:pStyle w:val="Text1"/>
        <w:rPr>
          <w:noProof/>
        </w:rPr>
      </w:pPr>
      <w:r>
        <w:rPr>
          <w:noProof/>
        </w:rPr>
        <w:t xml:space="preserve">0207 26 (10-20-30-50-60-70-80-99) </w:t>
      </w:r>
    </w:p>
    <w:p>
      <w:pPr>
        <w:pStyle w:val="Text1"/>
        <w:rPr>
          <w:noProof/>
        </w:rPr>
      </w:pPr>
      <w:r>
        <w:rPr>
          <w:noProof/>
        </w:rPr>
        <w:t>0207 27 (10-20-30-50-60-70-80-99)</w:t>
      </w:r>
    </w:p>
    <w:p>
      <w:pPr>
        <w:pStyle w:val="Text1"/>
        <w:rPr>
          <w:noProof/>
        </w:rPr>
      </w:pPr>
      <w:r>
        <w:rPr>
          <w:noProof/>
        </w:rPr>
        <w:t xml:space="preserve">0207 32 (15-19-51-59-90) </w:t>
      </w:r>
    </w:p>
    <w:p>
      <w:pPr>
        <w:pStyle w:val="Text1"/>
        <w:rPr>
          <w:noProof/>
        </w:rPr>
      </w:pPr>
      <w:r>
        <w:rPr>
          <w:noProof/>
        </w:rPr>
        <w:t xml:space="preserve">0207 33 (11-19-59-90) </w:t>
      </w:r>
    </w:p>
    <w:p>
      <w:pPr>
        <w:pStyle w:val="Text1"/>
        <w:rPr>
          <w:noProof/>
        </w:rPr>
      </w:pPr>
      <w:r>
        <w:rPr>
          <w:noProof/>
        </w:rPr>
        <w:t xml:space="preserve">0207 35 (11-15-21-23-25-31-41-51-53-61-63-71-79-99) </w:t>
      </w:r>
    </w:p>
    <w:p>
      <w:pPr>
        <w:pStyle w:val="Text1"/>
        <w:rPr>
          <w:noProof/>
        </w:rPr>
      </w:pPr>
      <w:r>
        <w:rPr>
          <w:noProof/>
        </w:rPr>
        <w:t xml:space="preserve">0207 36 (11-15-21-23-31-41-51-53-61-63-79-90) </w:t>
      </w:r>
    </w:p>
    <w:p>
      <w:pPr>
        <w:pStyle w:val="Text1"/>
        <w:rPr>
          <w:noProof/>
        </w:rPr>
      </w:pPr>
      <w:r>
        <w:rPr>
          <w:noProof/>
        </w:rPr>
        <w:t xml:space="preserve">0210 99 (39) </w:t>
      </w:r>
    </w:p>
    <w:p>
      <w:pPr>
        <w:pStyle w:val="Text1"/>
        <w:rPr>
          <w:noProof/>
        </w:rPr>
      </w:pPr>
      <w:r>
        <w:rPr>
          <w:noProof/>
        </w:rPr>
        <w:t xml:space="preserve">1602 31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32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39 (21) </w:t>
      </w:r>
    </w:p>
    <w:p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 xml:space="preserve">В графиците на ЕС за премахване на митата в приложение I-A към глава 1 от дял IV на Споразумението, за тарифна линия 0207 12 (10-90) по КН за 2008 г., текстът в четвъртата колона „Поетапна категория“ се заменя с „50 000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 + 20 000 тона/година, изразено като нетно тегло“. </w:t>
      </w:r>
    </w:p>
    <w:p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 xml:space="preserve">За останалата част от календарната година, в която настоящото споразумение влиза в сила, допълнителното количество от 50 000 тона, което се добавя към съществуващата квота за месо от домашни птици и продукти от такова месо, се изчислява пропорционално. </w:t>
      </w:r>
    </w:p>
    <w:p>
      <w:pPr>
        <w:pStyle w:val="Point0"/>
        <w:rPr>
          <w:noProof/>
        </w:rPr>
      </w:pPr>
      <w:r>
        <w:rPr>
          <w:noProof/>
        </w:rPr>
        <w:t>5)</w:t>
      </w:r>
      <w:r>
        <w:rPr>
          <w:noProof/>
        </w:rPr>
        <w:tab/>
        <w:t>Митото за най-облагодетелствана нация от 100,8 EUR/100 kg/net, установено за тарифни линии 0207 13 70 и 0207 14 70 в графиците на ЕС за премахване на митата в приложение I-A към глава 1 от дял IV на Споразумението, се прилагат за вноса, който превишава посочената в точка 1 агрегирана тарифна квота за месо от домашни птици и продукти от такова месо.</w:t>
      </w:r>
    </w:p>
    <w:p>
      <w:pPr>
        <w:rPr>
          <w:noProof/>
        </w:rPr>
      </w:pPr>
      <w:r>
        <w:rPr>
          <w:noProof/>
        </w:rPr>
        <w:t xml:space="preserve">Настоящото споразумение влиза в сила на първия ден от месеца след датата на последно полученото от депозитаря уведомление относно разменените между страните инструменти за одобрение или ратификация. </w:t>
      </w:r>
    </w:p>
    <w:p>
      <w:pPr>
        <w:rPr>
          <w:noProof/>
        </w:rPr>
      </w:pPr>
      <w:r>
        <w:rPr>
          <w:noProof/>
        </w:rPr>
        <w:t>Временното прилагане на настоящото споразумение започва от първия ден на месеца след датата, на която депозитарят получи следното:</w:t>
      </w:r>
    </w:p>
    <w:p>
      <w:pPr>
        <w:pStyle w:val="Tiret0"/>
        <w:numPr>
          <w:ilvl w:val="0"/>
          <w:numId w:val="5"/>
        </w:numPr>
        <w:rPr>
          <w:noProof/>
        </w:rPr>
      </w:pPr>
      <w:r>
        <w:rPr>
          <w:noProof/>
        </w:rPr>
        <w:t>уведомлението от страна на Съюза относно приключването на необходимите за тази цел процедури; и</w:t>
      </w:r>
    </w:p>
    <w:p>
      <w:pPr>
        <w:pStyle w:val="Tiret0"/>
        <w:rPr>
          <w:noProof/>
        </w:rPr>
      </w:pPr>
      <w:r>
        <w:rPr>
          <w:noProof/>
        </w:rPr>
        <w:t>уведомлението от страна на Украйна относно приключването на ратифицирането в съответствие с нейните процедури и приложимо законодателство,</w:t>
      </w:r>
    </w:p>
    <w:p>
      <w:pPr>
        <w:spacing w:after="360"/>
        <w:rPr>
          <w:noProof/>
        </w:rPr>
      </w:pPr>
      <w:r>
        <w:rPr>
          <w:noProof/>
        </w:rPr>
        <w:t>като важи датата на по-късно полученото от двете уведомления.</w:t>
      </w:r>
    </w:p>
    <w:p>
      <w:pPr>
        <w:rPr>
          <w:noProof/>
        </w:rPr>
      </w:pPr>
      <w:r>
        <w:rPr>
          <w:noProof/>
        </w:rPr>
        <w:t>Ще ви бъда благодарен да потвърдите съгласието на Украйна с гореизложеното.</w:t>
      </w:r>
    </w:p>
    <w:p>
      <w:pPr>
        <w:spacing w:after="480"/>
        <w:rPr>
          <w:noProof/>
        </w:rPr>
      </w:pPr>
      <w:r>
        <w:rPr>
          <w:noProof/>
        </w:rPr>
        <w:t>Моля приемете, уважаеми господине/уважаема госпожо, моите най-дълбоки почитания.</w:t>
      </w:r>
    </w:p>
    <w:p>
      <w:pPr>
        <w:spacing w:after="480"/>
        <w:rPr>
          <w:noProof/>
        </w:rPr>
      </w:pPr>
      <w:r>
        <w:rPr>
          <w:noProof/>
        </w:rPr>
        <w:t>Съставено в Брюксел,</w:t>
      </w:r>
    </w:p>
    <w:p>
      <w:pPr>
        <w:rPr>
          <w:i/>
          <w:noProof/>
        </w:rPr>
      </w:pPr>
      <w:r>
        <w:rPr>
          <w:i/>
          <w:noProof/>
        </w:rPr>
        <w:t>За Европейския съюз,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i/>
          <w:noProof/>
        </w:rPr>
      </w:pPr>
      <w:r>
        <w:rPr>
          <w:i/>
          <w:noProof/>
        </w:rPr>
        <w:t>Б. Писмо от Украйна</w:t>
      </w:r>
    </w:p>
    <w:p>
      <w:pPr>
        <w:rPr>
          <w:noProof/>
        </w:rPr>
      </w:pPr>
      <w:r>
        <w:rPr>
          <w:noProof/>
        </w:rPr>
        <w:t>Уважаеми господине/Уважаема госпожо,</w:t>
      </w:r>
    </w:p>
    <w:p>
      <w:pPr>
        <w:rPr>
          <w:noProof/>
        </w:rPr>
      </w:pPr>
      <w:r>
        <w:rPr>
          <w:noProof/>
        </w:rPr>
        <w:t>Имам честта да потвърдя получаването на Вашето писмо от [</w:t>
      </w:r>
      <w:r>
        <w:rPr>
          <w:i/>
          <w:noProof/>
        </w:rPr>
        <w:t>да се впише датата на писмото</w:t>
      </w:r>
      <w:r>
        <w:rPr>
          <w:noProof/>
        </w:rPr>
        <w:t xml:space="preserve">], което гласи: </w:t>
      </w:r>
    </w:p>
    <w:p>
      <w:pPr>
        <w:rPr>
          <w:noProof/>
        </w:rPr>
      </w:pPr>
      <w:r>
        <w:rPr>
          <w:noProof/>
        </w:rPr>
        <w:t>„Имам честта да се позова на приключилите на 19 март 2019 г. преговори между Европейския съюз и Украйна („страните“) относно търговските преференции за някои видове месо от домашни птици и продукти от такова месо.</w:t>
      </w:r>
    </w:p>
    <w:p>
      <w:pPr>
        <w:rPr>
          <w:noProof/>
        </w:rPr>
      </w:pPr>
      <w:r>
        <w:rPr>
          <w:noProof/>
        </w:rPr>
        <w:t>В резултат на тези преговори беше постигнато следното споразумение:</w:t>
      </w:r>
    </w:p>
    <w:p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>В буква А от допълнението към приложение I-A към глава 1 от дял IV на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 („Споразумението“) записът за „Месо от домашни птици и продукти от такова месо“ се заменя със следното: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>
        <w:tc>
          <w:tcPr>
            <w:tcW w:w="237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Месо от домашни птици и продукти от такова месо </w:t>
            </w:r>
          </w:p>
          <w:p>
            <w:pPr>
              <w:jc w:val="left"/>
              <w:rPr>
                <w:b/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81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11 (30-90)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12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13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14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24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25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26 (10-20-30-50-60-70-80-99)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27 (10-20-30-50-60-70-80-99)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32 (15-19-51-59-90)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33 (11-19-59-90)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35 (11-15-21-23-25-31-41-51-53-61-63-71-79-99)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36 (11-15-21-23-31-41-51-53-61-63-79-90)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0210 99 (39)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31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32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39 (21) </w:t>
            </w:r>
          </w:p>
        </w:tc>
        <w:tc>
          <w:tcPr>
            <w:tcW w:w="309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 </w:t>
            </w: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+ 20 000 тона/година, изразено като нетно тегло (само за код по КН 0207 12 (10-90)) </w:t>
            </w:r>
          </w:p>
          <w:p>
            <w:pPr>
              <w:jc w:val="left"/>
              <w:rPr>
                <w:noProof/>
                <w:szCs w:val="24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*</w:t>
      </w:r>
      <w:r>
        <w:rPr>
          <w:noProof/>
        </w:rPr>
        <w:tab/>
        <w:t>За по-голяма яснота, за тарифни линии 0207 13 70 и 0207 14 70, посочени в графиците на ЕС за премахване на митата в приложение I-A към глава 1 от дял IV на Споразумението, се прилага тарифната квота, определена в третата колона „Количество“.</w:t>
      </w: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>В графиците на ЕС за премахване на митата в приложение I-A към глава 1 от дял IV на Споразумението текстът в четвъртата колона „Поетапна категория“ се заменя с „50 000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г.“ за следните тарифни линии по КН за 2008 г.:</w:t>
      </w:r>
    </w:p>
    <w:p>
      <w:pPr>
        <w:pStyle w:val="Text1"/>
        <w:rPr>
          <w:noProof/>
        </w:rPr>
      </w:pPr>
      <w:r>
        <w:rPr>
          <w:noProof/>
        </w:rPr>
        <w:t xml:space="preserve">0207 11 (30-90) </w:t>
      </w:r>
    </w:p>
    <w:p>
      <w:pPr>
        <w:pStyle w:val="Text1"/>
        <w:rPr>
          <w:noProof/>
        </w:rPr>
      </w:pPr>
      <w:r>
        <w:rPr>
          <w:noProof/>
        </w:rPr>
        <w:t xml:space="preserve">0207 13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14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24 (10-90) </w:t>
      </w:r>
    </w:p>
    <w:p>
      <w:pPr>
        <w:pStyle w:val="Text1"/>
        <w:rPr>
          <w:noProof/>
        </w:rPr>
      </w:pPr>
      <w:r>
        <w:rPr>
          <w:noProof/>
        </w:rPr>
        <w:t>0207 25 (10-90)</w:t>
      </w:r>
    </w:p>
    <w:p>
      <w:pPr>
        <w:pStyle w:val="Text1"/>
        <w:rPr>
          <w:noProof/>
        </w:rPr>
      </w:pPr>
      <w:r>
        <w:rPr>
          <w:noProof/>
        </w:rPr>
        <w:t xml:space="preserve">0207 26 (10-20-30-50-60-70-80-99) </w:t>
      </w:r>
    </w:p>
    <w:p>
      <w:pPr>
        <w:pStyle w:val="Text1"/>
        <w:rPr>
          <w:noProof/>
        </w:rPr>
      </w:pPr>
      <w:r>
        <w:rPr>
          <w:noProof/>
        </w:rPr>
        <w:t>0207 27 (10-20-30-50-60-70-80-99)</w:t>
      </w:r>
    </w:p>
    <w:p>
      <w:pPr>
        <w:pStyle w:val="Text1"/>
        <w:rPr>
          <w:noProof/>
        </w:rPr>
      </w:pPr>
      <w:r>
        <w:rPr>
          <w:noProof/>
        </w:rPr>
        <w:t xml:space="preserve">0207 32 (15-19-51-59-90) </w:t>
      </w:r>
    </w:p>
    <w:p>
      <w:pPr>
        <w:pStyle w:val="Text1"/>
        <w:rPr>
          <w:noProof/>
        </w:rPr>
      </w:pPr>
      <w:r>
        <w:rPr>
          <w:noProof/>
        </w:rPr>
        <w:t xml:space="preserve">0207 33 (11-19-59-90) </w:t>
      </w:r>
    </w:p>
    <w:p>
      <w:pPr>
        <w:pStyle w:val="Text1"/>
        <w:rPr>
          <w:noProof/>
        </w:rPr>
      </w:pPr>
      <w:r>
        <w:rPr>
          <w:noProof/>
        </w:rPr>
        <w:t xml:space="preserve">0207 35 (11-15-21-23-25-31-41-51-53-61-63-71-79-99) </w:t>
      </w:r>
    </w:p>
    <w:p>
      <w:pPr>
        <w:pStyle w:val="Text1"/>
        <w:rPr>
          <w:noProof/>
        </w:rPr>
      </w:pPr>
      <w:r>
        <w:rPr>
          <w:noProof/>
        </w:rPr>
        <w:t xml:space="preserve">0207 36 (11-15-21-23-31-41-51-53-61-63-79-90) </w:t>
      </w:r>
    </w:p>
    <w:p>
      <w:pPr>
        <w:pStyle w:val="Text1"/>
        <w:rPr>
          <w:noProof/>
        </w:rPr>
      </w:pPr>
      <w:r>
        <w:rPr>
          <w:noProof/>
        </w:rPr>
        <w:t xml:space="preserve">0210 99 (39) </w:t>
      </w:r>
    </w:p>
    <w:p>
      <w:pPr>
        <w:pStyle w:val="Text1"/>
        <w:rPr>
          <w:noProof/>
        </w:rPr>
      </w:pPr>
      <w:r>
        <w:rPr>
          <w:noProof/>
        </w:rPr>
        <w:t xml:space="preserve">1602 31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32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39 (21) </w:t>
      </w:r>
    </w:p>
    <w:p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>В графиците на ЕС за премахване на митата в приложение I-A към глава 1 от дял IV на Споразумението, за тарифна линия 0207 12 (10-90) по КН за 2008 г., текстът в четвъртата колона „Поетапна категория“ се заменя с „50 000 тона/година, изразено като нетно тегло + 18 400 тона/година, изразено като нетно тегло, с постепенно увеличаване от 800 тона/година, изразено като нетно тегло, през 2020 г. и през 2021 г. + 20 000 тона/година, изразено като нетно тегло“.</w:t>
      </w:r>
    </w:p>
    <w:p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 xml:space="preserve">За останалата част от календарната година, в която настоящото споразумение влиза в сила, допълнителното количество от 50 000 тона, което се добавя към съществуващата квота за месо от домашни птици и продукти от такова месо, се изчислява пропорционално. </w:t>
      </w:r>
    </w:p>
    <w:p>
      <w:pPr>
        <w:pStyle w:val="Point0"/>
        <w:rPr>
          <w:noProof/>
        </w:rPr>
      </w:pPr>
      <w:r>
        <w:rPr>
          <w:noProof/>
        </w:rPr>
        <w:t>5)</w:t>
      </w:r>
      <w:r>
        <w:rPr>
          <w:noProof/>
        </w:rPr>
        <w:tab/>
        <w:t>Митото за най-облагодетелствана нация от 100,8 EUR/100 kg/net, установено за тарифни линии 0207 13 70 и 0207 14 70 в графиците на ЕС за премахване на митата в приложение I-A към глава 1 от дял IV на Споразумението, се прилагат за вноса, който превишава посочената в точка 1 агрегирана тарифна квота за месо от домашни птици и продукти от такова месо.</w:t>
      </w:r>
    </w:p>
    <w:p>
      <w:pPr>
        <w:rPr>
          <w:noProof/>
        </w:rPr>
      </w:pPr>
      <w:r>
        <w:rPr>
          <w:noProof/>
        </w:rPr>
        <w:t xml:space="preserve">Настоящото споразумение влиза в сила на първия ден от месеца след датата на последно полученото от депозитаря уведомление относно разменените между страните инструменти за одобрение или ратификация. </w:t>
      </w:r>
    </w:p>
    <w:p>
      <w:pPr>
        <w:rPr>
          <w:noProof/>
        </w:rPr>
      </w:pPr>
      <w:r>
        <w:rPr>
          <w:noProof/>
        </w:rPr>
        <w:t>Временното прилагане на настоящото споразумение започва от първия ден на месеца след датата, на която депозитарят получи следното:</w:t>
      </w:r>
    </w:p>
    <w:p>
      <w:pPr>
        <w:pStyle w:val="Tiret0"/>
        <w:rPr>
          <w:noProof/>
        </w:rPr>
      </w:pPr>
      <w:r>
        <w:rPr>
          <w:noProof/>
        </w:rPr>
        <w:t>уведомлението от страна на Съюза относно приключването на необходимите за тази цел процедури; и</w:t>
      </w:r>
    </w:p>
    <w:p>
      <w:pPr>
        <w:pStyle w:val="Tiret0"/>
        <w:rPr>
          <w:noProof/>
        </w:rPr>
      </w:pPr>
      <w:r>
        <w:rPr>
          <w:noProof/>
        </w:rPr>
        <w:t>уведомлението от страна на Украйна относно приключването на ратифицирането в съответствие с нейните процедури и приложимо законодателство,</w:t>
      </w:r>
    </w:p>
    <w:p>
      <w:pPr>
        <w:spacing w:after="480"/>
        <w:rPr>
          <w:noProof/>
        </w:rPr>
      </w:pPr>
      <w:r>
        <w:rPr>
          <w:noProof/>
        </w:rPr>
        <w:t>като важи датата на по-късно полученото от двете уведомления.“.</w:t>
      </w:r>
    </w:p>
    <w:p>
      <w:pPr>
        <w:rPr>
          <w:noProof/>
        </w:rPr>
      </w:pPr>
      <w:r>
        <w:rPr>
          <w:noProof/>
        </w:rPr>
        <w:t>Имам честта да потвърдя, че Украйна е съгласна със съдържанието на това писмо.</w:t>
      </w:r>
    </w:p>
    <w:p>
      <w:pPr>
        <w:spacing w:after="480"/>
        <w:rPr>
          <w:noProof/>
        </w:rPr>
      </w:pPr>
      <w:r>
        <w:rPr>
          <w:noProof/>
        </w:rPr>
        <w:t>Моля приемете, уважаеми господине/уважаема госпожо, моите най-дълбоки почитания.</w:t>
      </w:r>
    </w:p>
    <w:p>
      <w:pPr>
        <w:spacing w:after="480"/>
        <w:rPr>
          <w:noProof/>
        </w:rPr>
      </w:pPr>
      <w:r>
        <w:rPr>
          <w:noProof/>
        </w:rPr>
        <w:t>Съставено в Киев,</w:t>
      </w:r>
    </w:p>
    <w:p>
      <w:pPr>
        <w:rPr>
          <w:i/>
          <w:noProof/>
        </w:rPr>
      </w:pPr>
      <w:r>
        <w:rPr>
          <w:i/>
          <w:noProof/>
        </w:rPr>
        <w:t>За Украйна,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6E486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22678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E10BC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A223F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A4CC7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5AE5C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73CD9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7E414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8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04 11:44:1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2AFE6BE-E24A-49B4-946A-4990644B07B5"/>
    <w:docVar w:name="LW_COVERPAGE_TYPE" w:val="1"/>
    <w:docVar w:name="LW_CROSSREFERENCE" w:val="&lt;UNUSED&gt;"/>
    <w:docVar w:name="LW_DocType" w:val="ANNEX"/>
    <w:docVar w:name="LW_EMISSION" w:val="12.6.2019"/>
    <w:docVar w:name="LW_EMISSION_ISODATE" w:val="2019-06-1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9?\u1082?\u1088?\u1072?\u1081?\u1085?\u1072? \u1079?\u1072? \u1080?\u1079?\u1084?\u1077?\u1085?\u1077?\u1085?\u1080?\u1077? \u1085?\u1072? \u1090?\u1098?\u1088?\u1075?\u1086?\u1074?\u1089?\u1082?\u1080?\u1090?\u1077? \u1087?\u1088?\u1077?\u1092?\u1077?\u1088?\u1077?\u1085?\u1094?\u1080?\u1080? \u1079?\u1072? \u1084?\u1077?\u1089?\u1086? \u1086?\u1090? \u1076?\u1086?\u1084?\u1072?\u1096?\u1085?\u1080? \u1087?\u1090?\u1080?\u1094?\u1080? \u1080? \u1087?\u1088?\u1086?\u1076?\u1091?\u1082?\u1090?\u1080? \u1086?\u1090? \u1090?\u1072?\u1082?\u1086?\u1074?\u1072? \u1084?\u1077?\u1089?\u1086?, \u1087?\u1088?\u1077?\u1076?\u1074?\u1080?\u1076?\u1077?\u1085?\u1080? \u1074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9?\u1082?\u1088?\u1072?\u1081?\u1085?\u1072?, \u1086?\u1090? \u1076?\u1088?\u1091?\u1075?\u1072? \u1089?\u1090?\u1088?\u1072?\u1085?\u1072?"/>
    <w:docVar w:name="LW_OBJETACTEPRINCIPAL.CP" w:val="\u1079?\u1072? \u1089?\u1082?\u1083?\u1102?\u1095?\u1074?\u1072?\u1085?\u1077? \u1085?\u1072? \u1057?\u1087?\u1086?\u1088?\u1072?\u1079?\u1091?\u1084?\u1077?\u1085?\u1080?\u1077?\u1090?\u1086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9?\u1082?\u1088?\u1072?\u1081?\u1085?\u1072? \u1079?\u1072? \u1080?\u1079?\u1084?\u1077?\u1085?\u1077?\u1085?\u1080?\u1077? \u1085?\u1072? \u1090?\u1098?\u1088?\u1075?\u1086?\u1074?\u1089?\u1082?\u1080?\u1090?\u1077? \u1087?\u1088?\u1077?\u1092?\u1077?\u1088?\u1077?\u1085?\u1094?\u1080?\u1080? \u1079?\u1072? \u1084?\u1077?\u1089?\u1086? \u1086?\u1090? \u1076?\u1086?\u1084?\u1072?\u1096?\u1085?\u1080? \u1087?\u1090?\u1080?\u1094?\u1080? \u1080? \u1087?\u1088?\u1086?\u1076?\u1091?\u1082?\u1090?\u1080? \u1086?\u1090? \u1090?\u1072?\u1082?\u1086?\u1074?\u1072? \u1084?\u1077?\u1089?\u1086?, \u1087?\u1088?\u1077?\u1076?\u1074?\u1080?\u1076?\u1077?\u1085?\u1080? \u1074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9?\u1082?\u1088?\u1072?\u1081?\u1085?\u1072?, \u1086?\u1090? \u1076?\u1088?\u1091?\u1075?\u1072? \u1089?\u1090?\u1088?\u1072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9) 2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1404</Words>
  <Characters>7839</Characters>
  <Application>Microsoft Office Word</Application>
  <DocSecurity>0</DocSecurity>
  <Lines>244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DIGIT/C6</cp:lastModifiedBy>
  <cp:revision>8</cp:revision>
  <dcterms:created xsi:type="dcterms:W3CDTF">2019-05-23T09:17:00Z</dcterms:created>
  <dcterms:modified xsi:type="dcterms:W3CDTF">2019-06-04T09:44:00Z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