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AF3FF1C-0DDD-4B50-B6CF-714E2397768C"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360"/>
        <w:rPr>
          <w:noProof/>
        </w:rPr>
      </w:pPr>
      <w:bookmarkStart w:id="0" w:name="_GoBack"/>
      <w:bookmarkEnd w:id="0"/>
      <w:r>
        <w:rPr>
          <w:noProof/>
        </w:rPr>
        <w:t>ПРИЛОЖЕНИЕ</w:t>
      </w:r>
    </w:p>
    <w:p>
      <w:pPr>
        <w:spacing w:line="360" w:lineRule="auto"/>
        <w:jc w:val="center"/>
        <w:rPr>
          <w:noProof/>
        </w:rPr>
      </w:pPr>
      <w:r>
        <w:rPr>
          <w:noProof/>
        </w:rPr>
        <w:t xml:space="preserve">РЕШЕНИЕ № 3 НА КОМИТЕТА ПО ТЪРГОВИЯТА КОРЕЯ—ЕС </w:t>
      </w:r>
    </w:p>
    <w:p>
      <w:pPr>
        <w:spacing w:line="360" w:lineRule="auto"/>
        <w:jc w:val="center"/>
        <w:rPr>
          <w:noProof/>
        </w:rPr>
      </w:pPr>
      <w:r>
        <w:rPr>
          <w:noProof/>
        </w:rPr>
        <w:t>от хх април 2019 г.</w:t>
      </w:r>
    </w:p>
    <w:p>
      <w:pPr>
        <w:spacing w:line="360" w:lineRule="auto"/>
        <w:jc w:val="center"/>
        <w:rPr>
          <w:noProof/>
        </w:rPr>
      </w:pPr>
      <w:r>
        <w:rPr>
          <w:noProof/>
        </w:rPr>
        <w:t xml:space="preserve">относно изменението на допълнения 2-В-2 и 2-В-3 от приложение 2 В от Споразумението за свободна търговия Корея—ЕС </w:t>
      </w:r>
    </w:p>
    <w:p>
      <w:pPr>
        <w:rPr>
          <w:noProof/>
        </w:rPr>
      </w:pPr>
      <w:r>
        <w:rPr>
          <w:noProof/>
        </w:rPr>
        <w:t>КОМИТЕТЪТ ПО ТЪРГОВИЯТА,</w:t>
      </w:r>
    </w:p>
    <w:p>
      <w:pPr>
        <w:rPr>
          <w:noProof/>
        </w:rPr>
      </w:pPr>
      <w:r>
        <w:rPr>
          <w:noProof/>
        </w:rPr>
        <w:t>Като взе предвид Споразумението за свободна търговия между Република Корея („Корея“), от една страна, и Европейския съюз („ЕС“) и неговите държави членки, от друга страна, (наричани по-долу съответно „споразумението“ и „страните“), и по-специално член 15.1.4, буква в) и член 15.5.2 от него и член 3, буква г) от приложение 2-В към него,</w:t>
      </w:r>
    </w:p>
    <w:p>
      <w:pPr>
        <w:rPr>
          <w:noProof/>
        </w:rPr>
      </w:pPr>
      <w:r>
        <w:rPr>
          <w:noProof/>
        </w:rPr>
        <w:t>като има предвид, че:</w:t>
      </w:r>
    </w:p>
    <w:p>
      <w:pPr>
        <w:pStyle w:val="Point0"/>
        <w:rPr>
          <w:noProof/>
        </w:rPr>
      </w:pPr>
      <w:r>
        <w:rPr>
          <w:noProof/>
        </w:rPr>
        <w:t>1)</w:t>
      </w:r>
      <w:r>
        <w:rPr>
          <w:noProof/>
        </w:rPr>
        <w:tab/>
        <w:t xml:space="preserve">Съгласно член 15.1.4, буква в) от споразумението Комитетът по търговията, създаден от страните, може да обсъжда изменения на споразумението или да изменя негови разпоредби в случаите, изрично предвидени в споразумението. </w:t>
      </w:r>
    </w:p>
    <w:p>
      <w:pPr>
        <w:pStyle w:val="Point0"/>
        <w:rPr>
          <w:noProof/>
        </w:rPr>
      </w:pPr>
      <w:r>
        <w:rPr>
          <w:noProof/>
        </w:rPr>
        <w:t>2)</w:t>
      </w:r>
      <w:r>
        <w:rPr>
          <w:noProof/>
        </w:rPr>
        <w:tab/>
        <w:t xml:space="preserve">В член 15.5.2 от споразумението е предвидено, че решенията на Комитета по търговията за изменение на приложенията, допълненията, протоколите и бележките към споразумението могат да бъдат приети от страните, при спазване на съответните им приложими законови изисквания и процедури. </w:t>
      </w:r>
    </w:p>
    <w:p>
      <w:pPr>
        <w:pStyle w:val="Point0"/>
        <w:rPr>
          <w:noProof/>
        </w:rPr>
      </w:pPr>
      <w:r>
        <w:rPr>
          <w:noProof/>
        </w:rPr>
        <w:t>3)</w:t>
      </w:r>
      <w:r>
        <w:rPr>
          <w:noProof/>
        </w:rPr>
        <w:tab/>
        <w:t>Член 3, буква г) от приложение 2-В към споразумението оправомощава страните да преразглеждат допълнения 2-В-2 и 2-В-3 към приложение 2-В най-малко веднъж на всеки три години от влизането в сила на споразумението с оглед разширяване на приемането на изделията съгласно посоченото в буква a) от същия член, като вземат под внимание развитието на нормативната уредба, което може да е настъпило в международен план или във всяка от страните. В него се посочва също така, че решение за всяко изменение на допълнения 2-В-2 и 2-В-3 се взема от Комитета по търговията.</w:t>
      </w:r>
    </w:p>
    <w:p>
      <w:pPr>
        <w:pStyle w:val="Point0"/>
        <w:rPr>
          <w:noProof/>
        </w:rPr>
      </w:pPr>
      <w:r>
        <w:rPr>
          <w:noProof/>
        </w:rPr>
        <w:t>4)</w:t>
      </w:r>
      <w:r>
        <w:rPr>
          <w:noProof/>
        </w:rPr>
        <w:tab/>
        <w:t>Корея и ЕС измениха техническите си регламенти с цел да се запази същото равнище на достъп до пазара, обхванато от член 1.2 от приложение 2-В към споразумението. Освен това след Спогодбата за приемане на хармонизирани технически правила на Организацията на обединените нации за колесни превозни средства, оборудване и части, които могат да бъдат монтирани и/или използвани на колесни превозни средства, и на условия за взаимно признаване на одобрения, издавани на основата на тези правила на Организацията на обединените нации (Преработка 3)</w:t>
      </w:r>
      <w:r>
        <w:rPr>
          <w:rStyle w:val="FootnoteReference"/>
          <w:noProof/>
        </w:rPr>
        <w:footnoteReference w:id="1"/>
      </w:r>
      <w:r>
        <w:rPr>
          <w:noProof/>
        </w:rPr>
        <w:t xml:space="preserve"> от 20 октомври 2017 г. препратката към „ИКЕ на ООН“ в допълнения 2-В-2 и 2-В-3 следва да се чете като препратка към „Правило на ООН“. </w:t>
      </w:r>
    </w:p>
    <w:p>
      <w:pPr>
        <w:pStyle w:val="Point0"/>
        <w:rPr>
          <w:noProof/>
        </w:rPr>
      </w:pPr>
      <w:r>
        <w:rPr>
          <w:noProof/>
        </w:rPr>
        <w:t>5)</w:t>
      </w:r>
      <w:r>
        <w:rPr>
          <w:noProof/>
        </w:rPr>
        <w:tab/>
        <w:t xml:space="preserve">Таблица 1 от допълнение 2-В-2 е изменена по следния начин: </w:t>
      </w:r>
    </w:p>
    <w:p>
      <w:pPr>
        <w:pStyle w:val="Point1"/>
        <w:rPr>
          <w:noProof/>
        </w:rPr>
      </w:pPr>
      <w:r>
        <w:rPr>
          <w:noProof/>
        </w:rPr>
        <w:t>а)</w:t>
      </w:r>
      <w:r>
        <w:rPr>
          <w:noProof/>
        </w:rPr>
        <w:tab/>
        <w:t xml:space="preserve">С оглед на това, че правилата на ООН се прилагат задължително в ЕС, от съображения за простота беше решено да се заличат позоваванията на регламенти (напр. Регламента за общата безопасност) и на директиви на ЕС в колоната „Съответстващ технически регламент на ЕС“, като колоната е оставена празна. </w:t>
      </w:r>
    </w:p>
    <w:p>
      <w:pPr>
        <w:pStyle w:val="Point1"/>
        <w:rPr>
          <w:noProof/>
        </w:rPr>
      </w:pPr>
      <w:r>
        <w:rPr>
          <w:noProof/>
        </w:rPr>
        <w:t>б)</w:t>
      </w:r>
      <w:r>
        <w:rPr>
          <w:noProof/>
        </w:rPr>
        <w:tab/>
        <w:t>Когато обаче няма приложими правила на ООН или когато обхватът на правилата на ООН е неподходящ, например в случая на „Допустимо ниво на шум“, регламентите или директивите на ЕС заместват или допълват правилата на ООН. Поради това в „Съответстващ технически регламент на ЕС“ е добавена и формулировката „ако има такъв“.</w:t>
      </w:r>
    </w:p>
    <w:p>
      <w:pPr>
        <w:pStyle w:val="Point1"/>
        <w:rPr>
          <w:noProof/>
        </w:rPr>
      </w:pPr>
      <w:r>
        <w:rPr>
          <w:noProof/>
        </w:rPr>
        <w:t>в) Относно „Допустимо ниво на шум“ и „Заменяеми шумозаглушителни системи“ Регламент (ЕС) № 540/2014 бе добавен в „Съответстващ технически регламент на ЕС“, тъй като той отменя Директива 70/157/ЕИО и се прилага поетапно във времето.</w:t>
      </w:r>
    </w:p>
    <w:p>
      <w:pPr>
        <w:pStyle w:val="Point1"/>
        <w:rPr>
          <w:noProof/>
        </w:rPr>
      </w:pPr>
      <w:r>
        <w:rPr>
          <w:noProof/>
        </w:rPr>
        <w:t>г)</w:t>
      </w:r>
      <w:r>
        <w:rPr>
          <w:noProof/>
        </w:rPr>
        <w:tab/>
        <w:t>„Емисии“ се заменя с „Емисии от лекотоварни превозни средства“, тъй като изискванията по Правило № 83 на ООН се прилагат само за категории M1 и N1. Освен това препратката към „Директива 70/220/ЕИО“ е заличена, защото тя беше отменена и заменена с регламенти (ЕО) № 715/2007, (ЕО) № 692/2008, (ЕС) № 459/2012, Регламент (ЕС) 2016/427, Регламент (ЕС) 2016/646, Регламент (ЕС) 2017/1151, Регламент (ЕС) 2017/1154 и Регламент (ЕС) 2018/1832, които са добавени в „Съответстващ технически регламент на ЕС“.</w:t>
      </w:r>
    </w:p>
    <w:p>
      <w:pPr>
        <w:pStyle w:val="Point1"/>
        <w:rPr>
          <w:noProof/>
        </w:rPr>
      </w:pPr>
      <w:r>
        <w:rPr>
          <w:noProof/>
        </w:rPr>
        <w:t>д)</w:t>
      </w:r>
      <w:r>
        <w:rPr>
          <w:noProof/>
        </w:rPr>
        <w:tab/>
        <w:t xml:space="preserve">Що се отнася до „Резервни каталитични преобразуватели“, препратката към „Директива 70/220/ЕИО“ е заличена, защото тя беше отменена и заменена от регламенти (ЕО) № 715/2007 и (ЕО) № 692/2008, които бяха добавени в „Съответстващ технически регламент на ЕС“. </w:t>
      </w:r>
    </w:p>
    <w:p>
      <w:pPr>
        <w:pStyle w:val="Point1"/>
        <w:rPr>
          <w:noProof/>
        </w:rPr>
      </w:pPr>
      <w:r>
        <w:rPr>
          <w:noProof/>
        </w:rPr>
        <w:t>е)</w:t>
      </w:r>
      <w:r>
        <w:rPr>
          <w:noProof/>
        </w:rPr>
        <w:tab/>
        <w:t xml:space="preserve">Освен това, за предметите, чиито заглавия са променени, като например при „Спирачни системи“, което е заменено със „Спирачни системи за тежкотоварни превозни средства“ и „Спирачни системи за лекотоварни превозни средства“, това беше извършено с оглед на по-голямата яснота. </w:t>
      </w:r>
    </w:p>
    <w:p>
      <w:pPr>
        <w:pStyle w:val="Point1"/>
        <w:rPr>
          <w:noProof/>
        </w:rPr>
      </w:pPr>
      <w:r>
        <w:rPr>
          <w:noProof/>
        </w:rPr>
        <w:t>ж)</w:t>
      </w:r>
      <w:r>
        <w:rPr>
          <w:noProof/>
        </w:rPr>
        <w:tab/>
        <w:t xml:space="preserve">При предмета „Дим от дизелови двигатели“ „Директива 72/306/ЕИО“ е заличена, тъй като тя беше заменена с „Регламент (ЕО) № 692/2008“, който е добавен в таблица 1 в „Съответстващ технически регламент на ЕС“. </w:t>
      </w:r>
    </w:p>
    <w:p>
      <w:pPr>
        <w:pStyle w:val="Point1"/>
        <w:rPr>
          <w:noProof/>
        </w:rPr>
      </w:pPr>
      <w:r>
        <w:rPr>
          <w:noProof/>
        </w:rPr>
        <w:t>з)</w:t>
      </w:r>
      <w:r>
        <w:rPr>
          <w:noProof/>
        </w:rPr>
        <w:tab/>
        <w:t xml:space="preserve">При „Емисии на СО2 — разход на гориво“ „Директива 80/1268/ЕИО“ беше заменена от Регламент (ЕО) № 692/2008, който е добавен в таблица 1 в „Съответстващ технически регламент на ЕС“, като предметът вече гласи „Емисии на СО2 — разход на гориво на леките автомобили с не повече от осем места в допълнение към мястото на водача“ с цел да се спази изцяло приложното поле на посочения регламент. </w:t>
      </w:r>
    </w:p>
    <w:p>
      <w:pPr>
        <w:pStyle w:val="Point1"/>
        <w:rPr>
          <w:noProof/>
        </w:rPr>
      </w:pPr>
      <w:r>
        <w:rPr>
          <w:noProof/>
        </w:rPr>
        <w:t>и)</w:t>
      </w:r>
      <w:r>
        <w:rPr>
          <w:noProof/>
        </w:rPr>
        <w:tab/>
        <w:t>При предмета „Мощност на двигателя“ „Директива 80/1269/ЕИО“ е заличена, тъй като тя беше заменена с „регламенти (ЕО) № 692/2008 и (ЕС) № 582/2011“, които са добавени в таблица 1 в „Съответстващ технически регламент на ЕС“.</w:t>
      </w:r>
    </w:p>
    <w:p>
      <w:pPr>
        <w:pStyle w:val="Point1"/>
        <w:rPr>
          <w:noProof/>
        </w:rPr>
      </w:pPr>
      <w:r>
        <w:rPr>
          <w:noProof/>
        </w:rPr>
        <w:t>й)</w:t>
      </w:r>
      <w:r>
        <w:rPr>
          <w:noProof/>
        </w:rPr>
        <w:tab/>
        <w:t>При предмета „Емисии от тежкотоварни превозни средства“ „Директива 2005/55/ЕИО“ е заменена с „Регламент (ЕО) № 595/2009, Регламент (ЕС) № 582/2011 и Регламент (ЕС) 2016/1718“, които са добавени в таблица 1 в „Съответстващ технически регламент на ЕС“. Предметът също така е преименуван на „Емисии от тежкотоварни превозни средства“, тъй като правило № 49 на ИКЕ на ООН се прилага за тежкотоварните превозни средства (т.е. превозни средства с еталонна маса над 2,610 kg).</w:t>
      </w:r>
    </w:p>
    <w:p>
      <w:pPr>
        <w:pStyle w:val="Point0"/>
        <w:rPr>
          <w:noProof/>
        </w:rPr>
      </w:pPr>
      <w:r>
        <w:rPr>
          <w:noProof/>
        </w:rPr>
        <w:t>6)</w:t>
      </w:r>
      <w:r>
        <w:rPr>
          <w:noProof/>
        </w:rPr>
        <w:tab/>
        <w:t xml:space="preserve">Таблица 2 от допълнение 2-В-2 се запазва непроменена. </w:t>
      </w:r>
    </w:p>
    <w:p>
      <w:pPr>
        <w:pStyle w:val="Point0"/>
        <w:rPr>
          <w:noProof/>
        </w:rPr>
      </w:pPr>
      <w:r>
        <w:rPr>
          <w:noProof/>
        </w:rPr>
        <w:t>7)</w:t>
      </w:r>
      <w:r>
        <w:rPr>
          <w:noProof/>
        </w:rPr>
        <w:tab/>
        <w:t>Таблица 1 от допълнение 2-В-3 е изменена по следния начин:</w:t>
      </w:r>
    </w:p>
    <w:p>
      <w:pPr>
        <w:pStyle w:val="Point1"/>
        <w:rPr>
          <w:noProof/>
        </w:rPr>
      </w:pPr>
      <w:r>
        <w:rPr>
          <w:noProof/>
        </w:rPr>
        <w:t>а) В предмета „Защита на пътниците при удар“, „Челен“ и „KMVSS, член 102, параграфи 1,3“ заменят позоваването на „KMVSS, член 102“ в „Съответстващ технически регламент на Корея“ в резултат на преразглеждане на KMVSS.</w:t>
      </w:r>
    </w:p>
    <w:p>
      <w:pPr>
        <w:pStyle w:val="Point1"/>
        <w:rPr>
          <w:noProof/>
        </w:rPr>
      </w:pPr>
      <w:r>
        <w:rPr>
          <w:noProof/>
        </w:rPr>
        <w:t>б)</w:t>
      </w:r>
      <w:r>
        <w:rPr>
          <w:noProof/>
        </w:rPr>
        <w:tab/>
        <w:t>В предмета „Защита на пътниците при удар“, „Страничен“ „KMVSS, член 102, параграф 1“ заменя позоваването на „KMVSS, член 102“ в „Съответстващ технически регламент на Корея“ в резултат на преразглеждане на KMVSS.</w:t>
      </w:r>
    </w:p>
    <w:p>
      <w:pPr>
        <w:pStyle w:val="Point1"/>
        <w:rPr>
          <w:noProof/>
        </w:rPr>
      </w:pPr>
      <w:r>
        <w:rPr>
          <w:noProof/>
        </w:rPr>
        <w:t>в)</w:t>
      </w:r>
      <w:r>
        <w:rPr>
          <w:noProof/>
        </w:rPr>
        <w:tab/>
        <w:t>Заменен е целият ред за „Теглително-прикачни устройства“. По-конкретно „Теглително-прикачни устройства“ е заменено с „Теглително-прикачни устройства“, тъй като това е официалното понятие, използвано в Регламент (ЕС) № 1005/2010. Освен това изискванията за „Теглително-прикачни устройства“ понастоящем са „Регламент (ЕС) № 1005/2010, вместо „77/389/ЕИО“. На последно място записът в „Съответстващ технически регламент на Корея“ вече гласи „KMVSS, член 20 параграф 1“, като с последния е заменено предишното позоваване на „KMVSS, член 20, точки 1, 2 и 4“.</w:t>
      </w:r>
    </w:p>
    <w:p>
      <w:pPr>
        <w:pStyle w:val="Point1"/>
        <w:rPr>
          <w:noProof/>
        </w:rPr>
      </w:pPr>
      <w:r>
        <w:rPr>
          <w:noProof/>
        </w:rPr>
        <w:t>г)</w:t>
      </w:r>
      <w:r>
        <w:rPr>
          <w:noProof/>
        </w:rPr>
        <w:tab/>
        <w:t>По отношение на предмета „Системи за осветление и сигнализация“ KMVSS, член 106, точки 1 — 10 е заличен от „Съответстващ технически регламент на Корея“ за „Фарове“, „Преден фар за мъгла“, „Фар за заден ход“, „Габаритен фар“, „Устройства за осветяване на регистрационната табела“, „Задна габаритна светлина“, „Стопсветлини“, „Монтирани централно в горната част стопсветлини“, „Пътепоказатели“, „Спомагателни пътепоказатели“ и „Задни фарове за мъгла“ поради преразглеждане на KMVSS.</w:t>
      </w:r>
    </w:p>
    <w:p>
      <w:pPr>
        <w:pStyle w:val="Point1"/>
        <w:rPr>
          <w:noProof/>
        </w:rPr>
      </w:pPr>
      <w:r>
        <w:rPr>
          <w:noProof/>
        </w:rPr>
        <w:t>д)</w:t>
      </w:r>
      <w:r>
        <w:rPr>
          <w:noProof/>
        </w:rPr>
        <w:tab/>
        <w:t>По отношение на предмета „Системи за осветление и сигнализация“, „Инсталиране“ записът в „Съответстващ технически регламент на Корея“ вече гласи „KMVSS, членове 38, 38—2, 38—3, 38—4, 38—5, 39, 40, 41, 42, 43, 44, 44—2, 45, 45—2, 47 и 49“, като с последния е заменено позоваването на „KMVSS, членове 38, 39, 40, 41, 42, 43, 44, 45 и 47“. Това се дължи на преразглеждане на KMVSS.</w:t>
      </w:r>
    </w:p>
    <w:p>
      <w:pPr>
        <w:pStyle w:val="Point1"/>
        <w:rPr>
          <w:noProof/>
        </w:rPr>
      </w:pPr>
      <w:r>
        <w:rPr>
          <w:noProof/>
        </w:rPr>
        <w:t>е)</w:t>
      </w:r>
      <w:r>
        <w:rPr>
          <w:noProof/>
        </w:rPr>
        <w:tab/>
        <w:t>В таблицата са добавени предметите „Системи за осветление и сигнализация“, „Светлини за движение през деня“ и „Светлина за завой“ в резултат на преразглеждане на KMVSS и с цел да бъдат отразени актуализираните изисквания за монтаж в областта „Системи за осветление и сигнализация“.</w:t>
      </w:r>
    </w:p>
    <w:p>
      <w:pPr>
        <w:pStyle w:val="Point1"/>
        <w:rPr>
          <w:noProof/>
        </w:rPr>
      </w:pPr>
      <w:r>
        <w:rPr>
          <w:noProof/>
        </w:rPr>
        <w:t>ж)</w:t>
      </w:r>
      <w:r>
        <w:rPr>
          <w:noProof/>
        </w:rPr>
        <w:tab/>
        <w:t>По отношение на предмета „Системи за осветление и сигнализация“, „Монтирани централно в горната част стопсветлини“ в допълнение към заличаването на „KMVSS, член 106, точка 8, точка 3 от KMVSS“ член 43 също е заличен, тъй като той е заменен от съответстващите технически регламенти на Корея — „KMVSS, член 43, параграф 2“.</w:t>
      </w:r>
    </w:p>
    <w:p>
      <w:pPr>
        <w:pStyle w:val="Point1"/>
        <w:rPr>
          <w:noProof/>
        </w:rPr>
      </w:pPr>
      <w:r>
        <w:rPr>
          <w:noProof/>
        </w:rPr>
        <w:t>з)</w:t>
      </w:r>
      <w:r>
        <w:rPr>
          <w:noProof/>
        </w:rPr>
        <w:tab/>
        <w:t>В таблицата са добавени предметите „Системи за осветление и сигнализация“, „Странични габаритни светлини“ в резултат на преразглеждане на KMVSS и с цел да бъдат отразени актуализираните изисквания за монтаж в областта „Системи за осветление и сигнализация“.</w:t>
      </w:r>
    </w:p>
    <w:p>
      <w:pPr>
        <w:pStyle w:val="Point1"/>
        <w:rPr>
          <w:noProof/>
        </w:rPr>
      </w:pPr>
      <w:r>
        <w:rPr>
          <w:noProof/>
        </w:rPr>
        <w:t>и)</w:t>
      </w:r>
      <w:r>
        <w:rPr>
          <w:noProof/>
        </w:rPr>
        <w:tab/>
        <w:t xml:space="preserve">На последно място, в предмета „Системи за осветление и сигнализация“, „Светлоотражатели“ записът в „Съответстващ технически регламент на Корея“ вече гласи „KMVSS, член 49“, като с последния е заменено предишното позоваване на „KMVSS, член 49, параграфи 1, 2 и член 107“. Това се дължи на преразглеждане на KMVSS. </w:t>
      </w:r>
    </w:p>
    <w:p>
      <w:pPr>
        <w:pStyle w:val="Point1"/>
        <w:rPr>
          <w:noProof/>
        </w:rPr>
      </w:pPr>
      <w:r>
        <w:rPr>
          <w:noProof/>
        </w:rPr>
        <w:t>й)</w:t>
      </w:r>
      <w:r>
        <w:rPr>
          <w:noProof/>
        </w:rPr>
        <w:tab/>
        <w:t>В предмета „Мощност на двигателя“ записът в „Съответстващ технически регламент на Корея“ вече гласи „KMVSS, член 111“, като с последния е заменено предишното позоваване на „KMVSS, член 11, параграфи 1, 2 и член 111“. Това се дължи на преразглеждане на KMVSS.</w:t>
      </w:r>
    </w:p>
    <w:p>
      <w:pPr>
        <w:pStyle w:val="Point1"/>
        <w:rPr>
          <w:noProof/>
        </w:rPr>
      </w:pPr>
      <w:r>
        <w:rPr>
          <w:noProof/>
        </w:rPr>
        <w:t>к)</w:t>
      </w:r>
      <w:r>
        <w:rPr>
          <w:noProof/>
        </w:rPr>
        <w:tab/>
        <w:t>В предмета „Устройства за осигуряване на видимост на водача“ препратките в „Изисквания“ към „78/318/ЕИО“ и „Директива 78/317/ЕИО“ са заличени, тъй като те бяха отменени и заменени с „Регламент (ЕС) № 1008/2010“ или „Регламент (ЕС) № 672/2010“. Съответстващите технически регламенти на Корея остават непроменени.</w:t>
      </w:r>
    </w:p>
    <w:p>
      <w:pPr>
        <w:pStyle w:val="Point1"/>
        <w:rPr>
          <w:noProof/>
        </w:rPr>
      </w:pPr>
      <w:r>
        <w:rPr>
          <w:noProof/>
        </w:rPr>
        <w:t>л)</w:t>
      </w:r>
      <w:r>
        <w:rPr>
          <w:noProof/>
        </w:rPr>
        <w:tab/>
        <w:t xml:space="preserve">В предмета „Сглобяеми анкерни закрепвания на обезопасителните колани“ записът в „Съответстващите технически регламенти на Корея“ вече гласи „KMVSS, член 27, параграфи 1, 2, 3, 4; член 103“, като с тях се заменят предишните позовавания „KMVSS, член 27, параграфи 1, 2, 3, 4, 5; член 103, параграфи 1, 2, 3“. Това се дължи на преразглеждане на KMVSS. </w:t>
      </w:r>
    </w:p>
    <w:p>
      <w:pPr>
        <w:pStyle w:val="Point1"/>
        <w:rPr>
          <w:noProof/>
        </w:rPr>
      </w:pPr>
      <w:r>
        <w:rPr>
          <w:noProof/>
        </w:rPr>
        <w:t>м)</w:t>
      </w:r>
      <w:r>
        <w:rPr>
          <w:noProof/>
        </w:rPr>
        <w:tab/>
        <w:t>В предмета „Емисии и шум (с изключение на шум при преминаване за 3- или 4-колесни превозни средства) за мотоциклети“ препратките в „Изисквания“ към „Директиви 2002/51/ЕО, 2003/77/ЕО, 97/24/ЕО, глави 5 и 9“ са заличени, тъй като са отменени и заменени с „регламенти (ЕС) № 168/2013, (ЕС) № 134/2014“. Съответстващите технически регламенти на Корея остават непроменени.</w:t>
      </w:r>
    </w:p>
    <w:p>
      <w:pPr>
        <w:pStyle w:val="Point1"/>
        <w:rPr>
          <w:noProof/>
        </w:rPr>
      </w:pPr>
      <w:r>
        <w:rPr>
          <w:noProof/>
        </w:rPr>
        <w:t>н)</w:t>
      </w:r>
      <w:r>
        <w:rPr>
          <w:noProof/>
        </w:rPr>
        <w:tab/>
        <w:t>В предмета „Система за дизелови двигатели (вкл. СБД)“, „Под 3,5 t“ в „Изисквания“ са добавени следните препратки: „Регламенти (ЕО) № 715/2007“ и „(ЕС) № 459/2012“, тъй като това са приложимите регламенти, които съответстват на KMVSS. Съответстващите технически регламенти на Корея остават непроменени.</w:t>
      </w:r>
    </w:p>
    <w:p>
      <w:pPr>
        <w:pStyle w:val="Point1"/>
        <w:rPr>
          <w:noProof/>
        </w:rPr>
      </w:pPr>
      <w:r>
        <w:rPr>
          <w:noProof/>
        </w:rPr>
        <w:t>о)</w:t>
      </w:r>
      <w:r>
        <w:rPr>
          <w:noProof/>
        </w:rPr>
        <w:tab/>
        <w:t>В предмета „Система за дизелови двигатели (вкл. СБД)“, „Над 3,5 t“ препратката в „Изисквания“ към „Регламент (ЕО) № 692/2008“ е заличена и се заменя с „регламенти (ЕО) № 595/2009, (ЕС) № 582/2011“, тъй като „Регламент (ЕО) № 692/2008“ не се отнася до тежкотоварни превозни средства. Съответстващите технически регламенти на Корея остават непроменени.</w:t>
      </w:r>
    </w:p>
    <w:p>
      <w:pPr>
        <w:pStyle w:val="Point1"/>
        <w:rPr>
          <w:noProof/>
        </w:rPr>
      </w:pPr>
      <w:r>
        <w:rPr>
          <w:noProof/>
        </w:rPr>
        <w:t>п)</w:t>
      </w:r>
      <w:r>
        <w:rPr>
          <w:noProof/>
        </w:rPr>
        <w:tab/>
        <w:t>В предмета „Гуми“ записът в „Съответстващите технически регламенти на Корея“ вече гласи „Закон за контрола на безопасността на електрическите уреди и потребителските продукти“, членове 15, 18 и 19; Правилник за прилагане на Закона за контрола на безопасността на електрическите уреди и потребителските продукти, член 3, параграф 4 и член 26; KMVSS, член 12, параграф 1, който замени позоваването на Закона за управление на качеството, безопасност и контрол върху промишлените изделия — QMSCIPA) (членове 19, 20, 21); Правила за прилагане на QMSCIPA, член 2, параграф 2, член 19. Изменението се дължи на това, че QMSCIPA е заменен от Закона за контрола на безопасността на електрическите уреди и потребителските продукти.</w:t>
      </w:r>
    </w:p>
    <w:p>
      <w:pPr>
        <w:pStyle w:val="Point0"/>
        <w:rPr>
          <w:noProof/>
        </w:rPr>
      </w:pPr>
      <w:r>
        <w:rPr>
          <w:noProof/>
        </w:rPr>
        <w:t>8)</w:t>
      </w:r>
      <w:r>
        <w:rPr>
          <w:noProof/>
        </w:rPr>
        <w:tab/>
        <w:t xml:space="preserve">Таблица 2 от допълнение 2-В-3 се запазва непроменена. </w:t>
      </w:r>
    </w:p>
    <w:p>
      <w:pPr>
        <w:pStyle w:val="Point0"/>
        <w:rPr>
          <w:noProof/>
        </w:rPr>
      </w:pPr>
      <w:r>
        <w:rPr>
          <w:noProof/>
        </w:rPr>
        <w:t>9)</w:t>
      </w:r>
      <w:r>
        <w:rPr>
          <w:noProof/>
        </w:rPr>
        <w:tab/>
        <w:t>Съгласно член 12.2 от приложението към Решение № 1 на Комитета по търговията Корея—ЕС от 23 декември 2011 г. относно приемането на процедурния правилник на Комитета по търговията в периода между заседанията на Комитета по търговията той може да приема решения по писмена процедура, ако и двете страни се съгласни. Писмената процедура се състои в размяна на ноти между председателите на Комитета по търговията,</w:t>
      </w:r>
    </w:p>
    <w:p>
      <w:pPr>
        <w:spacing w:line="276" w:lineRule="auto"/>
        <w:rPr>
          <w:noProof/>
        </w:rPr>
      </w:pPr>
      <w:r>
        <w:rPr>
          <w:noProof/>
        </w:rPr>
        <w:t>ПРИЕ НАСТОЯЩОТО РЕШЕНИЕ:</w:t>
      </w:r>
    </w:p>
    <w:p>
      <w:pPr>
        <w:spacing w:line="276" w:lineRule="auto"/>
        <w:jc w:val="center"/>
        <w:rPr>
          <w:i/>
          <w:noProof/>
        </w:rPr>
      </w:pPr>
      <w:r>
        <w:rPr>
          <w:i/>
          <w:noProof/>
        </w:rPr>
        <w:t>Член 1</w:t>
      </w:r>
    </w:p>
    <w:p>
      <w:pPr>
        <w:rPr>
          <w:noProof/>
        </w:rPr>
      </w:pPr>
      <w:r>
        <w:rPr>
          <w:noProof/>
        </w:rPr>
        <w:t>Таблица 1 от допълнение 2-В-2 от приложение 2-В към споразумението се заменя с таблица 1 от приложение 1 към настоящото решение.</w:t>
      </w:r>
    </w:p>
    <w:p>
      <w:pPr>
        <w:spacing w:line="276" w:lineRule="auto"/>
        <w:jc w:val="center"/>
        <w:rPr>
          <w:i/>
          <w:noProof/>
        </w:rPr>
      </w:pPr>
      <w:r>
        <w:rPr>
          <w:i/>
          <w:noProof/>
        </w:rPr>
        <w:t>Член 2</w:t>
      </w:r>
    </w:p>
    <w:p>
      <w:pPr>
        <w:rPr>
          <w:noProof/>
        </w:rPr>
      </w:pPr>
      <w:r>
        <w:rPr>
          <w:noProof/>
        </w:rPr>
        <w:t xml:space="preserve">Таблица 1 от допълнение 2-В-3 от приложение 2-В към споразумението се заменя с таблица 1 от приложение 2 към настоящото решение. </w:t>
      </w:r>
    </w:p>
    <w:p>
      <w:pPr>
        <w:spacing w:line="276" w:lineRule="auto"/>
        <w:jc w:val="center"/>
        <w:rPr>
          <w:i/>
          <w:noProof/>
        </w:rPr>
      </w:pPr>
      <w:r>
        <w:rPr>
          <w:i/>
          <w:noProof/>
        </w:rPr>
        <w:t>Член 3</w:t>
      </w:r>
    </w:p>
    <w:p>
      <w:pPr>
        <w:spacing w:after="480"/>
        <w:rPr>
          <w:noProof/>
        </w:rPr>
      </w:pPr>
      <w:r>
        <w:rPr>
          <w:noProof/>
        </w:rPr>
        <w:t>Настоящото решение влиза в сила на първия ден от месеца, следващ датата, на която страните си разменят писмени уведомления по дипломатически канали, удостоверяващи, че са изпълнили съответните приложими законови изисквания и процедури, необходими за влизането му в сила.</w:t>
      </w:r>
    </w:p>
    <w:tbl>
      <w:tblPr>
        <w:tblW w:w="0" w:type="auto"/>
        <w:tblLook w:val="04A0" w:firstRow="1" w:lastRow="0" w:firstColumn="1" w:lastColumn="0" w:noHBand="0" w:noVBand="1"/>
      </w:tblPr>
      <w:tblGrid>
        <w:gridCol w:w="4379"/>
        <w:gridCol w:w="38"/>
        <w:gridCol w:w="4341"/>
        <w:gridCol w:w="76"/>
      </w:tblGrid>
      <w:tr>
        <w:trPr>
          <w:gridAfter w:val="1"/>
          <w:wAfter w:w="76" w:type="dxa"/>
        </w:trPr>
        <w:tc>
          <w:tcPr>
            <w:tcW w:w="4379" w:type="dxa"/>
          </w:tcPr>
          <w:p>
            <w:pPr>
              <w:rPr>
                <w:noProof/>
              </w:rPr>
            </w:pPr>
            <w:r>
              <w:rPr>
                <w:noProof/>
              </w:rPr>
              <w:t xml:space="preserve">За Комитета по търговията </w:t>
            </w:r>
          </w:p>
        </w:tc>
        <w:tc>
          <w:tcPr>
            <w:tcW w:w="4379" w:type="dxa"/>
            <w:gridSpan w:val="2"/>
          </w:tcPr>
          <w:p>
            <w:pPr>
              <w:rPr>
                <w:noProof/>
              </w:rPr>
            </w:pPr>
          </w:p>
        </w:tc>
      </w:tr>
      <w:tr>
        <w:trPr>
          <w:gridAfter w:val="1"/>
          <w:wAfter w:w="76" w:type="dxa"/>
        </w:trPr>
        <w:tc>
          <w:tcPr>
            <w:tcW w:w="4379" w:type="dxa"/>
          </w:tcPr>
          <w:p>
            <w:pPr>
              <w:jc w:val="left"/>
              <w:rPr>
                <w:noProof/>
              </w:rPr>
            </w:pPr>
            <w:r>
              <w:rPr>
                <w:noProof/>
              </w:rPr>
              <w:t>Yoo Myung-hee</w:t>
            </w:r>
          </w:p>
          <w:p>
            <w:pPr>
              <w:jc w:val="left"/>
              <w:rPr>
                <w:noProof/>
              </w:rPr>
            </w:pPr>
            <w:r>
              <w:rPr>
                <w:noProof/>
              </w:rPr>
              <w:t>Министър на търговията,</w:t>
            </w:r>
          </w:p>
          <w:p>
            <w:pPr>
              <w:rPr>
                <w:noProof/>
              </w:rPr>
            </w:pPr>
            <w:r>
              <w:rPr>
                <w:noProof/>
              </w:rPr>
              <w:t>Министерство на търговията, промишлеността и енергетиката на Република Корея</w:t>
            </w:r>
          </w:p>
        </w:tc>
        <w:tc>
          <w:tcPr>
            <w:tcW w:w="4379" w:type="dxa"/>
            <w:gridSpan w:val="2"/>
          </w:tcPr>
          <w:p>
            <w:pPr>
              <w:jc w:val="left"/>
              <w:rPr>
                <w:noProof/>
              </w:rPr>
            </w:pPr>
            <w:r>
              <w:rPr>
                <w:noProof/>
              </w:rPr>
              <w:t>Cecilia MALMSTRÖM</w:t>
            </w:r>
          </w:p>
          <w:p>
            <w:pPr>
              <w:jc w:val="left"/>
              <w:rPr>
                <w:noProof/>
              </w:rPr>
            </w:pPr>
            <w:r>
              <w:rPr>
                <w:noProof/>
              </w:rPr>
              <w:t>Член на Европейската комисия, отговарящ за търговията</w:t>
            </w:r>
          </w:p>
          <w:p>
            <w:pPr>
              <w:rPr>
                <w:noProof/>
              </w:rPr>
            </w:pPr>
          </w:p>
        </w:tc>
      </w:tr>
      <w:tr>
        <w:tblPrEx>
          <w:tblLook w:val="01E0" w:firstRow="1" w:lastRow="1" w:firstColumn="1" w:lastColumn="1" w:noHBand="0" w:noVBand="0"/>
        </w:tblPrEx>
        <w:tc>
          <w:tcPr>
            <w:tcW w:w="4417" w:type="dxa"/>
            <w:gridSpan w:val="2"/>
            <w:shd w:val="clear" w:color="auto" w:fill="auto"/>
          </w:tcPr>
          <w:p>
            <w:pPr>
              <w:spacing w:before="0" w:after="0" w:line="276" w:lineRule="auto"/>
              <w:rPr>
                <w:noProof/>
              </w:rPr>
            </w:pPr>
          </w:p>
        </w:tc>
        <w:tc>
          <w:tcPr>
            <w:tcW w:w="4417" w:type="dxa"/>
            <w:gridSpan w:val="2"/>
            <w:shd w:val="clear" w:color="auto" w:fill="auto"/>
          </w:tcPr>
          <w:p>
            <w:pPr>
              <w:spacing w:before="0" w:after="0" w:line="276" w:lineRule="auto"/>
              <w:rPr>
                <w:noProof/>
              </w:rPr>
            </w:pPr>
          </w:p>
        </w:tc>
      </w:tr>
    </w:tbl>
    <w:p>
      <w:pPr>
        <w:spacing w:before="0" w:after="200" w:line="276" w:lineRule="auto"/>
        <w:jc w:val="left"/>
        <w:rPr>
          <w:noProof/>
        </w:rPr>
        <w:sectPr>
          <w:footerReference w:type="default" r:id="rId16"/>
          <w:footerReference w:type="first" r:id="rId17"/>
          <w:pgSz w:w="11906" w:h="16838"/>
          <w:pgMar w:top="1020" w:right="1701" w:bottom="1020" w:left="1587" w:header="601" w:footer="1077" w:gutter="0"/>
          <w:cols w:space="720"/>
          <w:docGrid w:linePitch="326"/>
        </w:sectPr>
      </w:pPr>
    </w:p>
    <w:p>
      <w:pPr>
        <w:jc w:val="right"/>
        <w:rPr>
          <w:noProof/>
        </w:rPr>
      </w:pPr>
      <w:r>
        <w:rPr>
          <w:noProof/>
        </w:rPr>
        <w:t>Приложение 1</w:t>
      </w:r>
    </w:p>
    <w:p>
      <w:pPr>
        <w:jc w:val="center"/>
        <w:rPr>
          <w:noProof/>
        </w:rPr>
      </w:pPr>
      <w:r>
        <w:rPr>
          <w:noProof/>
        </w:rPr>
        <w:t>Допълнение 2-В-2</w:t>
      </w:r>
    </w:p>
    <w:p>
      <w:pPr>
        <w:jc w:val="center"/>
        <w:rPr>
          <w:noProof/>
        </w:rPr>
      </w:pPr>
      <w:r>
        <w:rPr>
          <w:noProof/>
        </w:rPr>
        <w:t>Таблица 1</w:t>
      </w:r>
    </w:p>
    <w:p>
      <w:pPr>
        <w:jc w:val="center"/>
        <w:rPr>
          <w:b/>
          <w:noProof/>
        </w:rPr>
      </w:pPr>
      <w:r>
        <w:rPr>
          <w:b/>
          <w:noProof/>
        </w:rPr>
        <w:t>Списък, посочен в член 3, буква a), точка i) от приложение 2-В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867"/>
        <w:gridCol w:w="3018"/>
      </w:tblGrid>
      <w:tr>
        <w:trPr>
          <w:tblHeader/>
        </w:trPr>
        <w:tc>
          <w:tcPr>
            <w:tcW w:w="3080" w:type="dxa"/>
            <w:shd w:val="clear" w:color="auto" w:fill="auto"/>
            <w:vAlign w:val="center"/>
          </w:tcPr>
          <w:p>
            <w:pPr>
              <w:shd w:val="clear" w:color="auto" w:fill="FFFFFF"/>
              <w:spacing w:line="220" w:lineRule="exact"/>
              <w:jc w:val="left"/>
              <w:rPr>
                <w:noProof/>
              </w:rPr>
            </w:pPr>
            <w:r>
              <w:rPr>
                <w:noProof/>
              </w:rPr>
              <w:t>Предмет</w:t>
            </w:r>
          </w:p>
        </w:tc>
        <w:tc>
          <w:tcPr>
            <w:tcW w:w="3081" w:type="dxa"/>
            <w:shd w:val="clear" w:color="auto" w:fill="auto"/>
            <w:vAlign w:val="center"/>
          </w:tcPr>
          <w:p>
            <w:pPr>
              <w:shd w:val="clear" w:color="auto" w:fill="FFFFFF"/>
              <w:spacing w:line="220" w:lineRule="exact"/>
              <w:ind w:left="280"/>
              <w:jc w:val="left"/>
              <w:rPr>
                <w:noProof/>
              </w:rPr>
            </w:pPr>
            <w:r>
              <w:rPr>
                <w:noProof/>
              </w:rPr>
              <w:t>Изисквания</w:t>
            </w:r>
          </w:p>
        </w:tc>
        <w:tc>
          <w:tcPr>
            <w:tcW w:w="3081" w:type="dxa"/>
            <w:shd w:val="clear" w:color="auto" w:fill="auto"/>
            <w:vAlign w:val="bottom"/>
          </w:tcPr>
          <w:p>
            <w:pPr>
              <w:shd w:val="clear" w:color="auto" w:fill="FFFFFF"/>
              <w:spacing w:line="274" w:lineRule="exact"/>
              <w:jc w:val="left"/>
              <w:rPr>
                <w:noProof/>
              </w:rPr>
            </w:pPr>
            <w:r>
              <w:rPr>
                <w:noProof/>
              </w:rPr>
              <w:t>Съответстващ технически регламент на ЕС (ако има такъв)</w:t>
            </w:r>
            <w:r>
              <w:rPr>
                <w:rStyle w:val="FootnoteReference"/>
                <w:noProof/>
              </w:rPr>
              <w:footnoteReference w:id="2"/>
            </w:r>
          </w:p>
        </w:tc>
      </w:tr>
      <w:tr>
        <w:tc>
          <w:tcPr>
            <w:tcW w:w="3080" w:type="dxa"/>
            <w:shd w:val="clear" w:color="auto" w:fill="auto"/>
            <w:vAlign w:val="center"/>
          </w:tcPr>
          <w:p>
            <w:pPr>
              <w:shd w:val="clear" w:color="auto" w:fill="FFFFFF"/>
              <w:spacing w:line="240" w:lineRule="atLeast"/>
              <w:jc w:val="left"/>
              <w:rPr>
                <w:noProof/>
              </w:rPr>
            </w:pPr>
            <w:r>
              <w:rPr>
                <w:noProof/>
              </w:rPr>
              <w:t>Допустимо ниво на шума</w:t>
            </w:r>
          </w:p>
        </w:tc>
        <w:tc>
          <w:tcPr>
            <w:tcW w:w="3081" w:type="dxa"/>
            <w:shd w:val="clear" w:color="auto" w:fill="auto"/>
            <w:vAlign w:val="center"/>
          </w:tcPr>
          <w:p>
            <w:pPr>
              <w:shd w:val="clear" w:color="auto" w:fill="FFFFFF"/>
              <w:spacing w:line="240" w:lineRule="atLeast"/>
              <w:ind w:left="20"/>
              <w:jc w:val="left"/>
              <w:rPr>
                <w:noProof/>
              </w:rPr>
            </w:pPr>
            <w:r>
              <w:rPr>
                <w:noProof/>
              </w:rPr>
              <w:t>Пр. на ООН</w:t>
            </w:r>
            <w:r>
              <w:rPr>
                <w:rStyle w:val="FootnoteReference"/>
                <w:noProof/>
              </w:rPr>
              <w:footnoteReference w:id="3"/>
            </w:r>
            <w:r>
              <w:rPr>
                <w:noProof/>
              </w:rPr>
              <w:t>. 51</w:t>
            </w:r>
          </w:p>
        </w:tc>
        <w:tc>
          <w:tcPr>
            <w:tcW w:w="3081" w:type="dxa"/>
            <w:shd w:val="clear" w:color="auto" w:fill="auto"/>
            <w:vAlign w:val="center"/>
          </w:tcPr>
          <w:p>
            <w:pPr>
              <w:shd w:val="clear" w:color="auto" w:fill="FFFFFF"/>
              <w:spacing w:line="240" w:lineRule="atLeast"/>
              <w:ind w:left="20"/>
              <w:jc w:val="left"/>
              <w:rPr>
                <w:noProof/>
              </w:rPr>
            </w:pPr>
            <w:r>
              <w:rPr>
                <w:noProof/>
              </w:rPr>
              <w:t>Директива 70/157/ЕИО, Регламент (ЕС) № 540/2014</w:t>
            </w:r>
          </w:p>
        </w:tc>
      </w:tr>
      <w:tr>
        <w:tc>
          <w:tcPr>
            <w:tcW w:w="3080" w:type="dxa"/>
            <w:shd w:val="clear" w:color="auto" w:fill="auto"/>
            <w:vAlign w:val="center"/>
          </w:tcPr>
          <w:p>
            <w:pPr>
              <w:shd w:val="clear" w:color="auto" w:fill="FFFFFF"/>
              <w:spacing w:line="240" w:lineRule="atLeast"/>
              <w:jc w:val="left"/>
              <w:rPr>
                <w:noProof/>
              </w:rPr>
            </w:pPr>
            <w:r>
              <w:rPr>
                <w:noProof/>
              </w:rPr>
              <w:t>Заменяеми шумозаглушителни системи</w:t>
            </w:r>
          </w:p>
        </w:tc>
        <w:tc>
          <w:tcPr>
            <w:tcW w:w="3081" w:type="dxa"/>
            <w:shd w:val="clear" w:color="auto" w:fill="auto"/>
            <w:vAlign w:val="bottom"/>
          </w:tcPr>
          <w:p>
            <w:pPr>
              <w:shd w:val="clear" w:color="auto" w:fill="FFFFFF"/>
              <w:spacing w:line="240" w:lineRule="atLeast"/>
              <w:jc w:val="left"/>
              <w:rPr>
                <w:noProof/>
              </w:rPr>
            </w:pPr>
            <w:r>
              <w:rPr>
                <w:noProof/>
              </w:rPr>
              <w:t>Пр. № 59 на ООН</w:t>
            </w:r>
          </w:p>
        </w:tc>
        <w:tc>
          <w:tcPr>
            <w:tcW w:w="3081" w:type="dxa"/>
            <w:shd w:val="clear" w:color="auto" w:fill="auto"/>
            <w:vAlign w:val="bottom"/>
          </w:tcPr>
          <w:p>
            <w:pPr>
              <w:shd w:val="clear" w:color="auto" w:fill="FFFFFF"/>
              <w:spacing w:line="240" w:lineRule="atLeast"/>
              <w:jc w:val="left"/>
              <w:rPr>
                <w:noProof/>
              </w:rPr>
            </w:pPr>
            <w:r>
              <w:rPr>
                <w:noProof/>
              </w:rPr>
              <w:t>Директива 70/157/ЕИО, Регламент (ЕС) № 540/2014</w:t>
            </w:r>
          </w:p>
        </w:tc>
      </w:tr>
      <w:tr>
        <w:tc>
          <w:tcPr>
            <w:tcW w:w="3080" w:type="dxa"/>
            <w:shd w:val="clear" w:color="auto" w:fill="auto"/>
          </w:tcPr>
          <w:p>
            <w:pPr>
              <w:shd w:val="clear" w:color="auto" w:fill="FFFFFF"/>
              <w:spacing w:line="240" w:lineRule="atLeast"/>
              <w:jc w:val="left"/>
              <w:rPr>
                <w:noProof/>
              </w:rPr>
            </w:pPr>
            <w:r>
              <w:rPr>
                <w:noProof/>
              </w:rPr>
              <w:t xml:space="preserve">Емисии от леки превозни средства </w:t>
            </w:r>
          </w:p>
        </w:tc>
        <w:tc>
          <w:tcPr>
            <w:tcW w:w="3081" w:type="dxa"/>
            <w:shd w:val="clear" w:color="auto" w:fill="auto"/>
          </w:tcPr>
          <w:p>
            <w:pPr>
              <w:shd w:val="clear" w:color="auto" w:fill="FFFFFF"/>
              <w:spacing w:line="240" w:lineRule="atLeast"/>
              <w:jc w:val="left"/>
              <w:rPr>
                <w:noProof/>
              </w:rPr>
            </w:pPr>
            <w:r>
              <w:rPr>
                <w:noProof/>
              </w:rPr>
              <w:t>Пр. № 83 на ООН</w:t>
            </w:r>
          </w:p>
        </w:tc>
        <w:tc>
          <w:tcPr>
            <w:tcW w:w="3081" w:type="dxa"/>
            <w:shd w:val="clear" w:color="auto" w:fill="auto"/>
          </w:tcPr>
          <w:p>
            <w:pPr>
              <w:shd w:val="clear" w:color="auto" w:fill="FFFFFF"/>
              <w:spacing w:line="240" w:lineRule="atLeast"/>
              <w:jc w:val="left"/>
              <w:rPr>
                <w:noProof/>
              </w:rPr>
            </w:pPr>
            <w:r>
              <w:rPr>
                <w:noProof/>
              </w:rPr>
              <w:t>Регламенти (ЕО) № 715/2007, (ЕО) № 692/2008, (ЕС) № 459/2012</w:t>
            </w:r>
          </w:p>
          <w:p>
            <w:pPr>
              <w:shd w:val="clear" w:color="auto" w:fill="FFFFFF"/>
              <w:spacing w:line="240" w:lineRule="atLeast"/>
              <w:jc w:val="left"/>
              <w:rPr>
                <w:noProof/>
              </w:rPr>
            </w:pPr>
            <w:r>
              <w:rPr>
                <w:noProof/>
              </w:rPr>
              <w:t xml:space="preserve">Регламенти (ЕС) 2016/427, (ЕС) 2016/646, (ЕС) 2017/1151, (ЕС) 2017/1154 и (ЕС) 2018/1832 </w:t>
            </w:r>
          </w:p>
        </w:tc>
      </w:tr>
      <w:tr>
        <w:tc>
          <w:tcPr>
            <w:tcW w:w="3080" w:type="dxa"/>
            <w:shd w:val="clear" w:color="auto" w:fill="auto"/>
          </w:tcPr>
          <w:p>
            <w:pPr>
              <w:shd w:val="clear" w:color="auto" w:fill="FFFFFF"/>
              <w:spacing w:line="240" w:lineRule="atLeast"/>
              <w:jc w:val="left"/>
              <w:rPr>
                <w:noProof/>
              </w:rPr>
            </w:pPr>
            <w:r>
              <w:rPr>
                <w:noProof/>
              </w:rPr>
              <w:t>Резервни каталитични преобразуватели</w:t>
            </w:r>
          </w:p>
        </w:tc>
        <w:tc>
          <w:tcPr>
            <w:tcW w:w="3081" w:type="dxa"/>
            <w:shd w:val="clear" w:color="auto" w:fill="auto"/>
          </w:tcPr>
          <w:p>
            <w:pPr>
              <w:shd w:val="clear" w:color="auto" w:fill="FFFFFF"/>
              <w:spacing w:line="240" w:lineRule="atLeast"/>
              <w:jc w:val="left"/>
              <w:rPr>
                <w:noProof/>
              </w:rPr>
            </w:pPr>
            <w:r>
              <w:rPr>
                <w:noProof/>
              </w:rPr>
              <w:t>Пр. № 103 на ООН</w:t>
            </w:r>
          </w:p>
        </w:tc>
        <w:tc>
          <w:tcPr>
            <w:tcW w:w="3081" w:type="dxa"/>
            <w:shd w:val="clear" w:color="auto" w:fill="auto"/>
          </w:tcPr>
          <w:p>
            <w:pPr>
              <w:shd w:val="clear" w:color="auto" w:fill="FFFFFF"/>
              <w:spacing w:line="240" w:lineRule="atLeast"/>
              <w:jc w:val="left"/>
              <w:rPr>
                <w:noProof/>
              </w:rPr>
            </w:pPr>
            <w:r>
              <w:rPr>
                <w:noProof/>
              </w:rPr>
              <w:t>Регламенти (ЕО) № 715/2007 и (ЕО) № 692/2008</w:t>
            </w:r>
          </w:p>
        </w:tc>
      </w:tr>
      <w:tr>
        <w:tc>
          <w:tcPr>
            <w:tcW w:w="3080" w:type="dxa"/>
            <w:shd w:val="clear" w:color="auto" w:fill="auto"/>
          </w:tcPr>
          <w:p>
            <w:pPr>
              <w:shd w:val="clear" w:color="auto" w:fill="FFFFFF"/>
              <w:spacing w:line="240" w:lineRule="atLeast"/>
              <w:jc w:val="left"/>
              <w:rPr>
                <w:noProof/>
              </w:rPr>
            </w:pPr>
            <w:r>
              <w:rPr>
                <w:noProof/>
              </w:rPr>
              <w:t>Резервоари за течно гориво</w:t>
            </w:r>
          </w:p>
        </w:tc>
        <w:tc>
          <w:tcPr>
            <w:tcW w:w="3081" w:type="dxa"/>
            <w:shd w:val="clear" w:color="auto" w:fill="auto"/>
          </w:tcPr>
          <w:p>
            <w:pPr>
              <w:shd w:val="clear" w:color="auto" w:fill="FFFFFF"/>
              <w:spacing w:line="240" w:lineRule="atLeast"/>
              <w:jc w:val="left"/>
              <w:rPr>
                <w:noProof/>
              </w:rPr>
            </w:pPr>
            <w:r>
              <w:rPr>
                <w:noProof/>
              </w:rPr>
              <w:t>Пр. № 34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Резервоари за втечнен нефтен газ (LPG)</w:t>
            </w:r>
          </w:p>
        </w:tc>
        <w:tc>
          <w:tcPr>
            <w:tcW w:w="3081" w:type="dxa"/>
            <w:shd w:val="clear" w:color="auto" w:fill="auto"/>
          </w:tcPr>
          <w:p>
            <w:pPr>
              <w:shd w:val="clear" w:color="auto" w:fill="FFFFFF"/>
              <w:spacing w:line="240" w:lineRule="atLeast"/>
              <w:jc w:val="left"/>
              <w:rPr>
                <w:noProof/>
              </w:rPr>
            </w:pPr>
            <w:r>
              <w:rPr>
                <w:noProof/>
              </w:rPr>
              <w:t>Пр. № 67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Резервоари за сгъстен природен газ (CNG)</w:t>
            </w:r>
          </w:p>
        </w:tc>
        <w:tc>
          <w:tcPr>
            <w:tcW w:w="3081" w:type="dxa"/>
            <w:shd w:val="clear" w:color="auto" w:fill="auto"/>
          </w:tcPr>
          <w:p>
            <w:pPr>
              <w:shd w:val="clear" w:color="auto" w:fill="FFFFFF"/>
              <w:spacing w:line="240" w:lineRule="atLeast"/>
              <w:jc w:val="left"/>
              <w:rPr>
                <w:noProof/>
              </w:rPr>
            </w:pPr>
            <w:r>
              <w:rPr>
                <w:noProof/>
              </w:rPr>
              <w:t>Пр. № 110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Задни защитни устройства</w:t>
            </w:r>
          </w:p>
        </w:tc>
        <w:tc>
          <w:tcPr>
            <w:tcW w:w="3081" w:type="dxa"/>
            <w:shd w:val="clear" w:color="auto" w:fill="auto"/>
          </w:tcPr>
          <w:p>
            <w:pPr>
              <w:shd w:val="clear" w:color="auto" w:fill="FFFFFF"/>
              <w:spacing w:line="240" w:lineRule="atLeast"/>
              <w:jc w:val="left"/>
              <w:rPr>
                <w:noProof/>
              </w:rPr>
            </w:pPr>
            <w:r>
              <w:rPr>
                <w:noProof/>
              </w:rPr>
              <w:t>Пр. № 58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Усилие, прилагано върху устройството за управление на кормилната уредба</w:t>
            </w:r>
          </w:p>
        </w:tc>
        <w:tc>
          <w:tcPr>
            <w:tcW w:w="3081" w:type="dxa"/>
            <w:shd w:val="clear" w:color="auto" w:fill="auto"/>
            <w:vAlign w:val="bottom"/>
          </w:tcPr>
          <w:p>
            <w:pPr>
              <w:shd w:val="clear" w:color="auto" w:fill="FFFFFF"/>
              <w:spacing w:line="240" w:lineRule="atLeast"/>
              <w:jc w:val="left"/>
              <w:rPr>
                <w:noProof/>
              </w:rPr>
            </w:pPr>
            <w:r>
              <w:rPr>
                <w:noProof/>
              </w:rPr>
              <w:t>Пр. № 79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Ключалки и панти за врати</w:t>
            </w:r>
          </w:p>
        </w:tc>
        <w:tc>
          <w:tcPr>
            <w:tcW w:w="3081" w:type="dxa"/>
            <w:shd w:val="clear" w:color="auto" w:fill="auto"/>
            <w:vAlign w:val="bottom"/>
          </w:tcPr>
          <w:p>
            <w:pPr>
              <w:shd w:val="clear" w:color="auto" w:fill="FFFFFF"/>
              <w:spacing w:line="240" w:lineRule="atLeast"/>
              <w:jc w:val="left"/>
              <w:rPr>
                <w:noProof/>
              </w:rPr>
            </w:pPr>
            <w:r>
              <w:rPr>
                <w:noProof/>
              </w:rPr>
              <w:t>Пр. № 11 на ООН</w:t>
            </w:r>
          </w:p>
        </w:tc>
        <w:tc>
          <w:tcPr>
            <w:tcW w:w="3081" w:type="dxa"/>
            <w:shd w:val="clear" w:color="auto" w:fill="auto"/>
            <w:vAlign w:val="bottom"/>
          </w:tcPr>
          <w:p>
            <w:pPr>
              <w:shd w:val="clear" w:color="auto" w:fill="FFFFFF"/>
              <w:spacing w:line="240" w:lineRule="atLeast"/>
              <w:jc w:val="left"/>
              <w:rPr>
                <w:noProof/>
              </w:rPr>
            </w:pPr>
            <w:r>
              <w:rPr>
                <w:noProof/>
              </w:rPr>
              <w:t xml:space="preserve"> </w:t>
            </w:r>
          </w:p>
        </w:tc>
      </w:tr>
      <w:tr>
        <w:tc>
          <w:tcPr>
            <w:tcW w:w="3080" w:type="dxa"/>
            <w:shd w:val="clear" w:color="auto" w:fill="auto"/>
            <w:vAlign w:val="bottom"/>
          </w:tcPr>
          <w:p>
            <w:pPr>
              <w:shd w:val="clear" w:color="auto" w:fill="FFFFFF"/>
              <w:spacing w:line="240" w:lineRule="atLeast"/>
              <w:jc w:val="left"/>
              <w:rPr>
                <w:noProof/>
              </w:rPr>
            </w:pPr>
            <w:r>
              <w:rPr>
                <w:noProof/>
              </w:rPr>
              <w:t>Звуково предупреждение</w:t>
            </w:r>
          </w:p>
        </w:tc>
        <w:tc>
          <w:tcPr>
            <w:tcW w:w="3081" w:type="dxa"/>
            <w:shd w:val="clear" w:color="auto" w:fill="auto"/>
            <w:vAlign w:val="bottom"/>
          </w:tcPr>
          <w:p>
            <w:pPr>
              <w:shd w:val="clear" w:color="auto" w:fill="FFFFFF"/>
              <w:spacing w:line="240" w:lineRule="atLeast"/>
              <w:jc w:val="left"/>
              <w:rPr>
                <w:noProof/>
              </w:rPr>
            </w:pPr>
            <w:r>
              <w:rPr>
                <w:noProof/>
              </w:rPr>
              <w:t>Пр. № 28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Устройства за непряко виждане</w:t>
            </w:r>
          </w:p>
        </w:tc>
        <w:tc>
          <w:tcPr>
            <w:tcW w:w="3081" w:type="dxa"/>
            <w:shd w:val="clear" w:color="auto" w:fill="auto"/>
            <w:vAlign w:val="bottom"/>
          </w:tcPr>
          <w:p>
            <w:pPr>
              <w:shd w:val="clear" w:color="auto" w:fill="FFFFFF"/>
              <w:spacing w:line="240" w:lineRule="atLeast"/>
              <w:jc w:val="left"/>
              <w:rPr>
                <w:noProof/>
              </w:rPr>
            </w:pPr>
            <w:r>
              <w:rPr>
                <w:noProof/>
              </w:rPr>
              <w:t>Пр. № 46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Спирачни системи на тежкотоварни превозни средства</w:t>
            </w:r>
          </w:p>
        </w:tc>
        <w:tc>
          <w:tcPr>
            <w:tcW w:w="3081" w:type="dxa"/>
            <w:shd w:val="clear" w:color="auto" w:fill="auto"/>
            <w:vAlign w:val="bottom"/>
          </w:tcPr>
          <w:p>
            <w:pPr>
              <w:shd w:val="clear" w:color="auto" w:fill="FFFFFF"/>
              <w:spacing w:line="240" w:lineRule="atLeast"/>
              <w:jc w:val="left"/>
              <w:rPr>
                <w:noProof/>
              </w:rPr>
            </w:pPr>
            <w:r>
              <w:rPr>
                <w:noProof/>
              </w:rPr>
              <w:t>Пр. № 13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Спиране на леки автомобили</w:t>
            </w:r>
          </w:p>
        </w:tc>
        <w:tc>
          <w:tcPr>
            <w:tcW w:w="3081" w:type="dxa"/>
            <w:shd w:val="clear" w:color="auto" w:fill="auto"/>
            <w:vAlign w:val="bottom"/>
          </w:tcPr>
          <w:p>
            <w:pPr>
              <w:shd w:val="clear" w:color="auto" w:fill="FFFFFF"/>
              <w:spacing w:line="240" w:lineRule="atLeast"/>
              <w:jc w:val="left"/>
              <w:rPr>
                <w:noProof/>
              </w:rPr>
            </w:pPr>
            <w:r>
              <w:rPr>
                <w:noProof/>
              </w:rPr>
              <w:t>Пр. № 13H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Спирачни накладки</w:t>
            </w:r>
          </w:p>
        </w:tc>
        <w:tc>
          <w:tcPr>
            <w:tcW w:w="3081" w:type="dxa"/>
            <w:shd w:val="clear" w:color="auto" w:fill="auto"/>
            <w:vAlign w:val="bottom"/>
          </w:tcPr>
          <w:p>
            <w:pPr>
              <w:shd w:val="clear" w:color="auto" w:fill="FFFFFF"/>
              <w:spacing w:line="240" w:lineRule="atLeast"/>
              <w:jc w:val="left"/>
              <w:rPr>
                <w:noProof/>
              </w:rPr>
            </w:pPr>
            <w:r>
              <w:rPr>
                <w:noProof/>
              </w:rPr>
              <w:t>Пр. № 90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Радиосмущения (електромагнитна съвместимост)</w:t>
            </w:r>
          </w:p>
        </w:tc>
        <w:tc>
          <w:tcPr>
            <w:tcW w:w="3081" w:type="dxa"/>
            <w:shd w:val="clear" w:color="auto" w:fill="auto"/>
          </w:tcPr>
          <w:p>
            <w:pPr>
              <w:shd w:val="clear" w:color="auto" w:fill="FFFFFF"/>
              <w:spacing w:line="240" w:lineRule="atLeast"/>
              <w:jc w:val="left"/>
              <w:rPr>
                <w:noProof/>
              </w:rPr>
            </w:pPr>
            <w:r>
              <w:rPr>
                <w:noProof/>
              </w:rPr>
              <w:t>Пр. № 10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Дим от дизелови двигатели</w:t>
            </w:r>
          </w:p>
        </w:tc>
        <w:tc>
          <w:tcPr>
            <w:tcW w:w="3081" w:type="dxa"/>
            <w:shd w:val="clear" w:color="auto" w:fill="auto"/>
            <w:vAlign w:val="bottom"/>
          </w:tcPr>
          <w:p>
            <w:pPr>
              <w:shd w:val="clear" w:color="auto" w:fill="FFFFFF"/>
              <w:spacing w:line="240" w:lineRule="atLeast"/>
              <w:jc w:val="left"/>
              <w:rPr>
                <w:noProof/>
              </w:rPr>
            </w:pPr>
            <w:r>
              <w:rPr>
                <w:noProof/>
              </w:rPr>
              <w:t>Пр. № 24 на ООН</w:t>
            </w:r>
          </w:p>
        </w:tc>
        <w:tc>
          <w:tcPr>
            <w:tcW w:w="3081" w:type="dxa"/>
            <w:shd w:val="clear" w:color="auto" w:fill="auto"/>
            <w:vAlign w:val="bottom"/>
          </w:tcPr>
          <w:p>
            <w:pPr>
              <w:shd w:val="clear" w:color="auto" w:fill="FFFFFF"/>
              <w:spacing w:line="240" w:lineRule="atLeast"/>
              <w:jc w:val="left"/>
              <w:rPr>
                <w:noProof/>
              </w:rPr>
            </w:pPr>
            <w:r>
              <w:rPr>
                <w:noProof/>
              </w:rPr>
              <w:t>Регламент (ЕО) № 692/2008</w:t>
            </w:r>
          </w:p>
        </w:tc>
      </w:tr>
      <w:tr>
        <w:tc>
          <w:tcPr>
            <w:tcW w:w="3080" w:type="dxa"/>
            <w:shd w:val="clear" w:color="auto" w:fill="auto"/>
            <w:vAlign w:val="bottom"/>
          </w:tcPr>
          <w:p>
            <w:pPr>
              <w:shd w:val="clear" w:color="auto" w:fill="FFFFFF"/>
              <w:spacing w:line="240" w:lineRule="atLeast"/>
              <w:jc w:val="left"/>
              <w:rPr>
                <w:noProof/>
              </w:rPr>
            </w:pPr>
            <w:r>
              <w:rPr>
                <w:noProof/>
              </w:rPr>
              <w:t>Вътрешно оборудване</w:t>
            </w:r>
          </w:p>
        </w:tc>
        <w:tc>
          <w:tcPr>
            <w:tcW w:w="3081" w:type="dxa"/>
            <w:shd w:val="clear" w:color="auto" w:fill="auto"/>
            <w:vAlign w:val="bottom"/>
          </w:tcPr>
          <w:p>
            <w:pPr>
              <w:shd w:val="clear" w:color="auto" w:fill="FFFFFF"/>
              <w:spacing w:line="240" w:lineRule="atLeast"/>
              <w:jc w:val="left"/>
              <w:rPr>
                <w:noProof/>
              </w:rPr>
            </w:pPr>
            <w:r>
              <w:rPr>
                <w:noProof/>
              </w:rPr>
              <w:t>Пр. № 21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Устройства за предотвратяване на кражба</w:t>
            </w:r>
          </w:p>
        </w:tc>
        <w:tc>
          <w:tcPr>
            <w:tcW w:w="3081" w:type="dxa"/>
            <w:shd w:val="clear" w:color="auto" w:fill="auto"/>
            <w:vAlign w:val="bottom"/>
          </w:tcPr>
          <w:p>
            <w:pPr>
              <w:shd w:val="clear" w:color="auto" w:fill="FFFFFF"/>
              <w:spacing w:line="240" w:lineRule="atLeast"/>
              <w:jc w:val="left"/>
              <w:rPr>
                <w:noProof/>
              </w:rPr>
            </w:pPr>
            <w:r>
              <w:rPr>
                <w:noProof/>
              </w:rPr>
              <w:t>Пр. № 18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Устройства за предотвратяване на кражба и за блокиране</w:t>
            </w:r>
          </w:p>
        </w:tc>
        <w:tc>
          <w:tcPr>
            <w:tcW w:w="3081" w:type="dxa"/>
            <w:shd w:val="clear" w:color="auto" w:fill="auto"/>
            <w:vAlign w:val="bottom"/>
          </w:tcPr>
          <w:p>
            <w:pPr>
              <w:shd w:val="clear" w:color="auto" w:fill="FFFFFF"/>
              <w:spacing w:line="240" w:lineRule="atLeast"/>
              <w:jc w:val="left"/>
              <w:rPr>
                <w:noProof/>
              </w:rPr>
            </w:pPr>
            <w:r>
              <w:rPr>
                <w:noProof/>
              </w:rPr>
              <w:t>Пр. № 116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tcBorders>
              <w:bottom w:val="single" w:sz="4" w:space="0" w:color="auto"/>
            </w:tcBorders>
            <w:shd w:val="clear" w:color="auto" w:fill="auto"/>
          </w:tcPr>
          <w:p>
            <w:pPr>
              <w:shd w:val="clear" w:color="auto" w:fill="FFFFFF"/>
              <w:spacing w:line="240" w:lineRule="atLeast"/>
              <w:jc w:val="left"/>
              <w:rPr>
                <w:noProof/>
              </w:rPr>
            </w:pPr>
            <w:r>
              <w:rPr>
                <w:noProof/>
              </w:rPr>
              <w:t>Алармени системи за моторни превозни средства</w:t>
            </w:r>
          </w:p>
        </w:tc>
        <w:tc>
          <w:tcPr>
            <w:tcW w:w="3081" w:type="dxa"/>
            <w:tcBorders>
              <w:bottom w:val="single" w:sz="4" w:space="0" w:color="auto"/>
            </w:tcBorders>
            <w:shd w:val="clear" w:color="auto" w:fill="auto"/>
            <w:vAlign w:val="bottom"/>
          </w:tcPr>
          <w:p>
            <w:pPr>
              <w:shd w:val="clear" w:color="auto" w:fill="FFFFFF"/>
              <w:spacing w:line="240" w:lineRule="atLeast"/>
              <w:jc w:val="left"/>
              <w:rPr>
                <w:noProof/>
              </w:rPr>
            </w:pPr>
            <w:r>
              <w:rPr>
                <w:noProof/>
              </w:rPr>
              <w:t xml:space="preserve">Пр. № 97 на ООН </w:t>
            </w:r>
          </w:p>
          <w:p>
            <w:pPr>
              <w:shd w:val="clear" w:color="auto" w:fill="FFFFFF"/>
              <w:spacing w:line="240" w:lineRule="atLeast"/>
              <w:jc w:val="left"/>
              <w:rPr>
                <w:noProof/>
              </w:rPr>
            </w:pPr>
            <w:r>
              <w:rPr>
                <w:noProof/>
              </w:rPr>
              <w:t>Пр. № 116 на ООН</w:t>
            </w:r>
          </w:p>
        </w:tc>
        <w:tc>
          <w:tcPr>
            <w:tcW w:w="3081" w:type="dxa"/>
            <w:tcBorders>
              <w:bottom w:val="single" w:sz="4" w:space="0" w:color="auto"/>
            </w:tcBorders>
            <w:shd w:val="clear" w:color="auto" w:fill="auto"/>
          </w:tcPr>
          <w:p>
            <w:pPr>
              <w:shd w:val="clear" w:color="auto" w:fill="FFFFFF"/>
              <w:spacing w:line="240" w:lineRule="atLeast"/>
              <w:jc w:val="left"/>
              <w:rPr>
                <w:noProof/>
              </w:rPr>
            </w:pPr>
          </w:p>
        </w:tc>
      </w:tr>
      <w:tr>
        <w:tc>
          <w:tcPr>
            <w:tcW w:w="3080" w:type="dxa"/>
            <w:tcBorders>
              <w:bottom w:val="single" w:sz="4" w:space="0" w:color="auto"/>
            </w:tcBorders>
            <w:shd w:val="clear" w:color="auto" w:fill="auto"/>
            <w:vAlign w:val="bottom"/>
          </w:tcPr>
          <w:p>
            <w:pPr>
              <w:keepNext/>
              <w:keepLines/>
              <w:shd w:val="clear" w:color="auto" w:fill="FFFFFF"/>
              <w:spacing w:line="240" w:lineRule="atLeast"/>
              <w:jc w:val="left"/>
              <w:rPr>
                <w:noProof/>
              </w:rPr>
            </w:pPr>
            <w:r>
              <w:rPr>
                <w:noProof/>
              </w:rPr>
              <w:t>Поведение на кормилния механизъм в случай на удар</w:t>
            </w:r>
          </w:p>
        </w:tc>
        <w:tc>
          <w:tcPr>
            <w:tcW w:w="3081" w:type="dxa"/>
            <w:tcBorders>
              <w:bottom w:val="single" w:sz="4" w:space="0" w:color="auto"/>
            </w:tcBorders>
            <w:shd w:val="clear" w:color="auto" w:fill="auto"/>
            <w:vAlign w:val="bottom"/>
          </w:tcPr>
          <w:p>
            <w:pPr>
              <w:keepNext/>
              <w:keepLines/>
              <w:shd w:val="clear" w:color="auto" w:fill="FFFFFF"/>
              <w:spacing w:line="240" w:lineRule="atLeast"/>
              <w:jc w:val="left"/>
              <w:rPr>
                <w:noProof/>
              </w:rPr>
            </w:pPr>
            <w:r>
              <w:rPr>
                <w:noProof/>
              </w:rPr>
              <w:t>Пр. № 12 на ООН</w:t>
            </w:r>
          </w:p>
        </w:tc>
        <w:tc>
          <w:tcPr>
            <w:tcW w:w="3081" w:type="dxa"/>
            <w:tcBorders>
              <w:bottom w:val="single" w:sz="4" w:space="0" w:color="auto"/>
            </w:tcBorders>
            <w:shd w:val="clear" w:color="auto" w:fill="auto"/>
            <w:vAlign w:val="bottom"/>
          </w:tcPr>
          <w:p>
            <w:pPr>
              <w:keepNext/>
              <w:keepLines/>
              <w:shd w:val="clear" w:color="auto" w:fill="FFFFFF"/>
              <w:spacing w:line="240" w:lineRule="atLeast"/>
              <w:jc w:val="left"/>
              <w:rPr>
                <w:noProof/>
              </w:rPr>
            </w:pPr>
          </w:p>
        </w:tc>
      </w:tr>
      <w:tr>
        <w:tc>
          <w:tcPr>
            <w:tcW w:w="3080" w:type="dxa"/>
            <w:tcBorders>
              <w:top w:val="single" w:sz="4" w:space="0" w:color="auto"/>
            </w:tcBorders>
            <w:shd w:val="clear" w:color="auto" w:fill="auto"/>
            <w:vAlign w:val="bottom"/>
          </w:tcPr>
          <w:p>
            <w:pPr>
              <w:shd w:val="clear" w:color="auto" w:fill="FFFFFF"/>
              <w:spacing w:line="240" w:lineRule="atLeast"/>
              <w:jc w:val="left"/>
              <w:rPr>
                <w:noProof/>
              </w:rPr>
            </w:pPr>
            <w:r>
              <w:rPr>
                <w:noProof/>
              </w:rPr>
              <w:t>Здравина на седалките</w:t>
            </w:r>
          </w:p>
        </w:tc>
        <w:tc>
          <w:tcPr>
            <w:tcW w:w="3081" w:type="dxa"/>
            <w:tcBorders>
              <w:top w:val="single" w:sz="4" w:space="0" w:color="auto"/>
            </w:tcBorders>
            <w:shd w:val="clear" w:color="auto" w:fill="auto"/>
            <w:vAlign w:val="bottom"/>
          </w:tcPr>
          <w:p>
            <w:pPr>
              <w:shd w:val="clear" w:color="auto" w:fill="FFFFFF"/>
              <w:spacing w:line="240" w:lineRule="atLeast"/>
              <w:jc w:val="left"/>
              <w:rPr>
                <w:noProof/>
              </w:rPr>
            </w:pPr>
            <w:r>
              <w:rPr>
                <w:noProof/>
              </w:rPr>
              <w:t>Пр. № 17 на ООН</w:t>
            </w:r>
          </w:p>
        </w:tc>
        <w:tc>
          <w:tcPr>
            <w:tcW w:w="3081" w:type="dxa"/>
            <w:tcBorders>
              <w:top w:val="single" w:sz="4" w:space="0" w:color="auto"/>
            </w:tcBorders>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Здравина на седалките (всички видове автобуси)</w:t>
            </w:r>
          </w:p>
        </w:tc>
        <w:tc>
          <w:tcPr>
            <w:tcW w:w="3081" w:type="dxa"/>
            <w:shd w:val="clear" w:color="auto" w:fill="auto"/>
            <w:vAlign w:val="bottom"/>
          </w:tcPr>
          <w:p>
            <w:pPr>
              <w:shd w:val="clear" w:color="auto" w:fill="FFFFFF"/>
              <w:spacing w:line="240" w:lineRule="atLeast"/>
              <w:jc w:val="left"/>
              <w:rPr>
                <w:noProof/>
              </w:rPr>
            </w:pPr>
            <w:r>
              <w:rPr>
                <w:noProof/>
              </w:rPr>
              <w:t>Пр. № 80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Външни изпъкналости</w:t>
            </w:r>
          </w:p>
        </w:tc>
        <w:tc>
          <w:tcPr>
            <w:tcW w:w="3081" w:type="dxa"/>
            <w:shd w:val="clear" w:color="auto" w:fill="auto"/>
            <w:vAlign w:val="bottom"/>
          </w:tcPr>
          <w:p>
            <w:pPr>
              <w:shd w:val="clear" w:color="auto" w:fill="FFFFFF"/>
              <w:spacing w:line="240" w:lineRule="atLeast"/>
              <w:jc w:val="left"/>
              <w:rPr>
                <w:noProof/>
              </w:rPr>
            </w:pPr>
            <w:r>
              <w:rPr>
                <w:noProof/>
              </w:rPr>
              <w:t>Пр. № 26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Оборудване за измерване на скоростта</w:t>
            </w:r>
          </w:p>
        </w:tc>
        <w:tc>
          <w:tcPr>
            <w:tcW w:w="3081" w:type="dxa"/>
            <w:shd w:val="clear" w:color="auto" w:fill="auto"/>
            <w:vAlign w:val="bottom"/>
          </w:tcPr>
          <w:p>
            <w:pPr>
              <w:shd w:val="clear" w:color="auto" w:fill="FFFFFF"/>
              <w:spacing w:line="240" w:lineRule="atLeast"/>
              <w:jc w:val="left"/>
              <w:rPr>
                <w:noProof/>
              </w:rPr>
            </w:pPr>
            <w:r>
              <w:rPr>
                <w:noProof/>
              </w:rPr>
              <w:t>Пр. № 39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Анкерни закрепвания на обезопасителните колани</w:t>
            </w:r>
          </w:p>
        </w:tc>
        <w:tc>
          <w:tcPr>
            <w:tcW w:w="3081" w:type="dxa"/>
            <w:shd w:val="clear" w:color="auto" w:fill="auto"/>
            <w:vAlign w:val="bottom"/>
          </w:tcPr>
          <w:p>
            <w:pPr>
              <w:shd w:val="clear" w:color="auto" w:fill="FFFFFF"/>
              <w:spacing w:line="240" w:lineRule="atLeast"/>
              <w:jc w:val="left"/>
              <w:rPr>
                <w:noProof/>
              </w:rPr>
            </w:pPr>
            <w:r>
              <w:rPr>
                <w:noProof/>
              </w:rPr>
              <w:t>Пр. № 14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Инсталиране на светлинни и светлинносигнални устройства</w:t>
            </w:r>
          </w:p>
        </w:tc>
        <w:tc>
          <w:tcPr>
            <w:tcW w:w="3081" w:type="dxa"/>
            <w:shd w:val="clear" w:color="auto" w:fill="auto"/>
          </w:tcPr>
          <w:p>
            <w:pPr>
              <w:shd w:val="clear" w:color="auto" w:fill="FFFFFF"/>
              <w:spacing w:line="240" w:lineRule="atLeast"/>
              <w:jc w:val="left"/>
              <w:rPr>
                <w:noProof/>
              </w:rPr>
            </w:pPr>
            <w:r>
              <w:rPr>
                <w:noProof/>
              </w:rPr>
              <w:t>Пр. № 48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Светлоотражатели</w:t>
            </w:r>
          </w:p>
        </w:tc>
        <w:tc>
          <w:tcPr>
            <w:tcW w:w="3081" w:type="dxa"/>
            <w:shd w:val="clear" w:color="auto" w:fill="auto"/>
            <w:vAlign w:val="bottom"/>
          </w:tcPr>
          <w:p>
            <w:pPr>
              <w:shd w:val="clear" w:color="auto" w:fill="FFFFFF"/>
              <w:spacing w:line="240" w:lineRule="atLeast"/>
              <w:jc w:val="left"/>
              <w:rPr>
                <w:noProof/>
              </w:rPr>
            </w:pPr>
            <w:r>
              <w:rPr>
                <w:noProof/>
              </w:rPr>
              <w:t>Пр. № 3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Габаритни светлини, предни габаритни светлини, задни габаритни светлини и стопсветлини</w:t>
            </w:r>
          </w:p>
        </w:tc>
        <w:tc>
          <w:tcPr>
            <w:tcW w:w="3081" w:type="dxa"/>
            <w:shd w:val="clear" w:color="auto" w:fill="auto"/>
          </w:tcPr>
          <w:p>
            <w:pPr>
              <w:shd w:val="clear" w:color="auto" w:fill="FFFFFF"/>
              <w:spacing w:line="240" w:lineRule="atLeast"/>
              <w:jc w:val="left"/>
              <w:rPr>
                <w:noProof/>
              </w:rPr>
            </w:pPr>
            <w:r>
              <w:rPr>
                <w:noProof/>
              </w:rPr>
              <w:t>Пр. № 7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Светлини за движение през деня</w:t>
            </w:r>
          </w:p>
        </w:tc>
        <w:tc>
          <w:tcPr>
            <w:tcW w:w="3081" w:type="dxa"/>
            <w:shd w:val="clear" w:color="auto" w:fill="auto"/>
            <w:vAlign w:val="bottom"/>
          </w:tcPr>
          <w:p>
            <w:pPr>
              <w:shd w:val="clear" w:color="auto" w:fill="FFFFFF"/>
              <w:spacing w:line="240" w:lineRule="atLeast"/>
              <w:jc w:val="left"/>
              <w:rPr>
                <w:noProof/>
              </w:rPr>
            </w:pPr>
            <w:r>
              <w:rPr>
                <w:noProof/>
              </w:rPr>
              <w:t>Пр. № 87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Странични габаритни светлини</w:t>
            </w:r>
          </w:p>
        </w:tc>
        <w:tc>
          <w:tcPr>
            <w:tcW w:w="3081" w:type="dxa"/>
            <w:shd w:val="clear" w:color="auto" w:fill="auto"/>
          </w:tcPr>
          <w:p>
            <w:pPr>
              <w:shd w:val="clear" w:color="auto" w:fill="FFFFFF"/>
              <w:spacing w:line="240" w:lineRule="atLeast"/>
              <w:jc w:val="left"/>
              <w:rPr>
                <w:noProof/>
              </w:rPr>
            </w:pPr>
            <w:r>
              <w:rPr>
                <w:noProof/>
              </w:rPr>
              <w:t>Пр. № 91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Пътепоказателни лампи</w:t>
            </w:r>
          </w:p>
        </w:tc>
        <w:tc>
          <w:tcPr>
            <w:tcW w:w="3081" w:type="dxa"/>
            <w:shd w:val="clear" w:color="auto" w:fill="auto"/>
            <w:vAlign w:val="bottom"/>
          </w:tcPr>
          <w:p>
            <w:pPr>
              <w:shd w:val="clear" w:color="auto" w:fill="FFFFFF"/>
              <w:spacing w:line="240" w:lineRule="atLeast"/>
              <w:jc w:val="left"/>
              <w:rPr>
                <w:noProof/>
              </w:rPr>
            </w:pPr>
            <w:r>
              <w:rPr>
                <w:noProof/>
              </w:rPr>
              <w:t>Пр. № 6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Устройства за осветяване на задната регистрационна табела</w:t>
            </w:r>
          </w:p>
        </w:tc>
        <w:tc>
          <w:tcPr>
            <w:tcW w:w="3081" w:type="dxa"/>
            <w:shd w:val="clear" w:color="auto" w:fill="auto"/>
            <w:vAlign w:val="bottom"/>
          </w:tcPr>
          <w:p>
            <w:pPr>
              <w:shd w:val="clear" w:color="auto" w:fill="FFFFFF"/>
              <w:spacing w:line="240" w:lineRule="atLeast"/>
              <w:jc w:val="left"/>
              <w:rPr>
                <w:noProof/>
              </w:rPr>
            </w:pPr>
            <w:r>
              <w:rPr>
                <w:noProof/>
              </w:rPr>
              <w:t>Пр. № 4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Фарове (R2 и HS1)</w:t>
            </w:r>
          </w:p>
        </w:tc>
        <w:tc>
          <w:tcPr>
            <w:tcW w:w="3081" w:type="dxa"/>
            <w:shd w:val="clear" w:color="auto" w:fill="auto"/>
            <w:vAlign w:val="bottom"/>
          </w:tcPr>
          <w:p>
            <w:pPr>
              <w:shd w:val="clear" w:color="auto" w:fill="FFFFFF"/>
              <w:spacing w:line="240" w:lineRule="atLeast"/>
              <w:jc w:val="left"/>
              <w:rPr>
                <w:noProof/>
              </w:rPr>
            </w:pPr>
            <w:r>
              <w:rPr>
                <w:noProof/>
              </w:rPr>
              <w:t>Пр. № 1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Фарове (херметизирани)</w:t>
            </w:r>
          </w:p>
        </w:tc>
        <w:tc>
          <w:tcPr>
            <w:tcW w:w="3081" w:type="dxa"/>
            <w:shd w:val="clear" w:color="auto" w:fill="auto"/>
            <w:vAlign w:val="bottom"/>
          </w:tcPr>
          <w:p>
            <w:pPr>
              <w:shd w:val="clear" w:color="auto" w:fill="FFFFFF"/>
              <w:spacing w:line="240" w:lineRule="atLeast"/>
              <w:jc w:val="left"/>
              <w:rPr>
                <w:noProof/>
              </w:rPr>
            </w:pPr>
            <w:r>
              <w:rPr>
                <w:noProof/>
              </w:rPr>
              <w:t>Пр. № 5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Фарове (H1, H2, H3, HB3, HB4, H7, и/или H8. H9 ,HIR1, HIR2 и/или H11)</w:t>
            </w:r>
          </w:p>
        </w:tc>
        <w:tc>
          <w:tcPr>
            <w:tcW w:w="3081" w:type="dxa"/>
            <w:shd w:val="clear" w:color="auto" w:fill="auto"/>
          </w:tcPr>
          <w:p>
            <w:pPr>
              <w:shd w:val="clear" w:color="auto" w:fill="FFFFFF"/>
              <w:spacing w:line="240" w:lineRule="atLeast"/>
              <w:jc w:val="left"/>
              <w:rPr>
                <w:noProof/>
              </w:rPr>
            </w:pPr>
            <w:r>
              <w:rPr>
                <w:noProof/>
              </w:rPr>
              <w:t>Пр. № 8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Фарове (H4)</w:t>
            </w:r>
          </w:p>
        </w:tc>
        <w:tc>
          <w:tcPr>
            <w:tcW w:w="3081" w:type="dxa"/>
            <w:shd w:val="clear" w:color="auto" w:fill="auto"/>
            <w:vAlign w:val="bottom"/>
          </w:tcPr>
          <w:p>
            <w:pPr>
              <w:shd w:val="clear" w:color="auto" w:fill="FFFFFF"/>
              <w:spacing w:line="240" w:lineRule="atLeast"/>
              <w:jc w:val="left"/>
              <w:rPr>
                <w:noProof/>
              </w:rPr>
            </w:pPr>
            <w:r>
              <w:rPr>
                <w:noProof/>
              </w:rPr>
              <w:t>Пр. № 20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Фарове (халогенни херметизирани)</w:t>
            </w:r>
          </w:p>
        </w:tc>
        <w:tc>
          <w:tcPr>
            <w:tcW w:w="3081" w:type="dxa"/>
            <w:shd w:val="clear" w:color="auto" w:fill="auto"/>
          </w:tcPr>
          <w:p>
            <w:pPr>
              <w:shd w:val="clear" w:color="auto" w:fill="FFFFFF"/>
              <w:spacing w:line="240" w:lineRule="atLeast"/>
              <w:jc w:val="left"/>
              <w:rPr>
                <w:noProof/>
              </w:rPr>
            </w:pPr>
            <w:r>
              <w:rPr>
                <w:noProof/>
              </w:rPr>
              <w:t>Пр. № 31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Лампи с нажежаема жичка, предназначени за използване в одобрените фарове</w:t>
            </w:r>
          </w:p>
        </w:tc>
        <w:tc>
          <w:tcPr>
            <w:tcW w:w="3081" w:type="dxa"/>
            <w:shd w:val="clear" w:color="auto" w:fill="auto"/>
          </w:tcPr>
          <w:p>
            <w:pPr>
              <w:shd w:val="clear" w:color="auto" w:fill="FFFFFF"/>
              <w:spacing w:line="240" w:lineRule="atLeast"/>
              <w:jc w:val="left"/>
              <w:rPr>
                <w:noProof/>
              </w:rPr>
            </w:pPr>
            <w:r>
              <w:rPr>
                <w:noProof/>
              </w:rPr>
              <w:t>Пр. № 37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Фарове с газоразрядни светлинни източници</w:t>
            </w:r>
          </w:p>
        </w:tc>
        <w:tc>
          <w:tcPr>
            <w:tcW w:w="3081" w:type="dxa"/>
            <w:shd w:val="clear" w:color="auto" w:fill="auto"/>
          </w:tcPr>
          <w:p>
            <w:pPr>
              <w:shd w:val="clear" w:color="auto" w:fill="FFFFFF"/>
              <w:spacing w:line="240" w:lineRule="atLeast"/>
              <w:jc w:val="left"/>
              <w:rPr>
                <w:noProof/>
              </w:rPr>
            </w:pPr>
            <w:r>
              <w:rPr>
                <w:noProof/>
              </w:rPr>
              <w:t>Пр. № 98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Газоразрядни светлинни източници, използвани в одобрените фарове</w:t>
            </w:r>
          </w:p>
        </w:tc>
        <w:tc>
          <w:tcPr>
            <w:tcW w:w="3081" w:type="dxa"/>
            <w:shd w:val="clear" w:color="auto" w:fill="auto"/>
          </w:tcPr>
          <w:p>
            <w:pPr>
              <w:shd w:val="clear" w:color="auto" w:fill="FFFFFF"/>
              <w:spacing w:line="240" w:lineRule="atLeast"/>
              <w:jc w:val="left"/>
              <w:rPr>
                <w:noProof/>
              </w:rPr>
            </w:pPr>
            <w:r>
              <w:rPr>
                <w:noProof/>
              </w:rPr>
              <w:t>Пр. № 99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Фарове (излъчващи асиметрична светлина при разминаване)</w:t>
            </w:r>
          </w:p>
        </w:tc>
        <w:tc>
          <w:tcPr>
            <w:tcW w:w="3081" w:type="dxa"/>
            <w:shd w:val="clear" w:color="auto" w:fill="auto"/>
            <w:vAlign w:val="bottom"/>
          </w:tcPr>
          <w:p>
            <w:pPr>
              <w:shd w:val="clear" w:color="auto" w:fill="FFFFFF"/>
              <w:spacing w:line="240" w:lineRule="atLeast"/>
              <w:jc w:val="left"/>
              <w:rPr>
                <w:noProof/>
              </w:rPr>
            </w:pPr>
            <w:r>
              <w:rPr>
                <w:noProof/>
              </w:rPr>
              <w:t>Пр. № 112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Адаптивни предни осветителни системи</w:t>
            </w:r>
          </w:p>
        </w:tc>
        <w:tc>
          <w:tcPr>
            <w:tcW w:w="3081" w:type="dxa"/>
            <w:shd w:val="clear" w:color="auto" w:fill="auto"/>
            <w:vAlign w:val="bottom"/>
          </w:tcPr>
          <w:p>
            <w:pPr>
              <w:shd w:val="clear" w:color="auto" w:fill="FFFFFF"/>
              <w:spacing w:line="240" w:lineRule="atLeast"/>
              <w:jc w:val="left"/>
              <w:rPr>
                <w:noProof/>
              </w:rPr>
            </w:pPr>
            <w:r>
              <w:rPr>
                <w:noProof/>
              </w:rPr>
              <w:t>Пр. № 123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Предни фарове за мъгла</w:t>
            </w:r>
          </w:p>
        </w:tc>
        <w:tc>
          <w:tcPr>
            <w:tcW w:w="3081" w:type="dxa"/>
            <w:shd w:val="clear" w:color="auto" w:fill="auto"/>
            <w:vAlign w:val="bottom"/>
          </w:tcPr>
          <w:p>
            <w:pPr>
              <w:shd w:val="clear" w:color="auto" w:fill="FFFFFF"/>
              <w:spacing w:line="240" w:lineRule="atLeast"/>
              <w:jc w:val="left"/>
              <w:rPr>
                <w:noProof/>
              </w:rPr>
            </w:pPr>
            <w:r>
              <w:rPr>
                <w:noProof/>
              </w:rPr>
              <w:t>Пр. № 19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Задни фарове за мъгла</w:t>
            </w:r>
          </w:p>
        </w:tc>
        <w:tc>
          <w:tcPr>
            <w:tcW w:w="3081" w:type="dxa"/>
            <w:shd w:val="clear" w:color="auto" w:fill="auto"/>
            <w:vAlign w:val="bottom"/>
          </w:tcPr>
          <w:p>
            <w:pPr>
              <w:shd w:val="clear" w:color="auto" w:fill="FFFFFF"/>
              <w:spacing w:line="240" w:lineRule="atLeast"/>
              <w:jc w:val="left"/>
              <w:rPr>
                <w:noProof/>
              </w:rPr>
            </w:pPr>
            <w:r>
              <w:rPr>
                <w:noProof/>
              </w:rPr>
              <w:t>Пр. № 38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Фарове за заден ход</w:t>
            </w:r>
          </w:p>
        </w:tc>
        <w:tc>
          <w:tcPr>
            <w:tcW w:w="3081" w:type="dxa"/>
            <w:shd w:val="clear" w:color="auto" w:fill="auto"/>
            <w:vAlign w:val="bottom"/>
          </w:tcPr>
          <w:p>
            <w:pPr>
              <w:shd w:val="clear" w:color="auto" w:fill="FFFFFF"/>
              <w:spacing w:line="240" w:lineRule="atLeast"/>
              <w:jc w:val="left"/>
              <w:rPr>
                <w:noProof/>
              </w:rPr>
            </w:pPr>
            <w:r>
              <w:rPr>
                <w:noProof/>
              </w:rPr>
              <w:t>Пр. № 23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Светлинни устройства за паркиране</w:t>
            </w:r>
          </w:p>
        </w:tc>
        <w:tc>
          <w:tcPr>
            <w:tcW w:w="3081" w:type="dxa"/>
            <w:shd w:val="clear" w:color="auto" w:fill="auto"/>
            <w:vAlign w:val="bottom"/>
          </w:tcPr>
          <w:p>
            <w:pPr>
              <w:shd w:val="clear" w:color="auto" w:fill="FFFFFF"/>
              <w:spacing w:line="240" w:lineRule="atLeast"/>
              <w:jc w:val="left"/>
              <w:rPr>
                <w:noProof/>
              </w:rPr>
            </w:pPr>
            <w:r>
              <w:rPr>
                <w:noProof/>
              </w:rPr>
              <w:t>Пр. № 77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Обезопасителни колани и системи за задържане</w:t>
            </w:r>
          </w:p>
        </w:tc>
        <w:tc>
          <w:tcPr>
            <w:tcW w:w="3081" w:type="dxa"/>
            <w:shd w:val="clear" w:color="auto" w:fill="auto"/>
            <w:vAlign w:val="bottom"/>
          </w:tcPr>
          <w:p>
            <w:pPr>
              <w:shd w:val="clear" w:color="auto" w:fill="FFFFFF"/>
              <w:spacing w:line="240" w:lineRule="atLeast"/>
              <w:jc w:val="left"/>
              <w:rPr>
                <w:noProof/>
              </w:rPr>
            </w:pPr>
            <w:r>
              <w:rPr>
                <w:noProof/>
              </w:rPr>
              <w:t>Пр. № 16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Системи за задържане на деца</w:t>
            </w:r>
          </w:p>
        </w:tc>
        <w:tc>
          <w:tcPr>
            <w:tcW w:w="3081" w:type="dxa"/>
            <w:shd w:val="clear" w:color="auto" w:fill="auto"/>
            <w:vAlign w:val="bottom"/>
          </w:tcPr>
          <w:p>
            <w:pPr>
              <w:shd w:val="clear" w:color="auto" w:fill="FFFFFF"/>
              <w:spacing w:line="240" w:lineRule="atLeast"/>
              <w:jc w:val="left"/>
              <w:rPr>
                <w:noProof/>
              </w:rPr>
            </w:pPr>
            <w:r>
              <w:rPr>
                <w:noProof/>
              </w:rPr>
              <w:t xml:space="preserve">Пр. № 44 на ООН </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Предно зрително поле</w:t>
            </w:r>
          </w:p>
        </w:tc>
        <w:tc>
          <w:tcPr>
            <w:tcW w:w="3081" w:type="dxa"/>
            <w:shd w:val="clear" w:color="auto" w:fill="auto"/>
            <w:vAlign w:val="bottom"/>
          </w:tcPr>
          <w:p>
            <w:pPr>
              <w:shd w:val="clear" w:color="auto" w:fill="FFFFFF"/>
              <w:spacing w:line="240" w:lineRule="atLeast"/>
              <w:jc w:val="left"/>
              <w:rPr>
                <w:noProof/>
              </w:rPr>
            </w:pPr>
            <w:r>
              <w:rPr>
                <w:noProof/>
              </w:rPr>
              <w:t>Пр. № 125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keepNext/>
              <w:keepLines/>
              <w:shd w:val="clear" w:color="auto" w:fill="FFFFFF"/>
              <w:spacing w:line="240" w:lineRule="atLeast"/>
              <w:jc w:val="left"/>
              <w:rPr>
                <w:noProof/>
              </w:rPr>
            </w:pPr>
            <w:r>
              <w:rPr>
                <w:noProof/>
              </w:rPr>
              <w:t>Разпознаване на устройствата за управление, на контролните сигнални устройства и индикаторите</w:t>
            </w:r>
          </w:p>
        </w:tc>
        <w:tc>
          <w:tcPr>
            <w:tcW w:w="3081" w:type="dxa"/>
            <w:shd w:val="clear" w:color="auto" w:fill="auto"/>
          </w:tcPr>
          <w:p>
            <w:pPr>
              <w:keepNext/>
              <w:keepLines/>
              <w:shd w:val="clear" w:color="auto" w:fill="FFFFFF"/>
              <w:spacing w:line="240" w:lineRule="atLeast"/>
              <w:jc w:val="left"/>
              <w:rPr>
                <w:noProof/>
              </w:rPr>
            </w:pPr>
            <w:r>
              <w:rPr>
                <w:noProof/>
              </w:rPr>
              <w:t>Пр. № 121 на ООН</w:t>
            </w:r>
          </w:p>
        </w:tc>
        <w:tc>
          <w:tcPr>
            <w:tcW w:w="3081" w:type="dxa"/>
            <w:shd w:val="clear" w:color="auto" w:fill="auto"/>
          </w:tcPr>
          <w:p>
            <w:pPr>
              <w:keepNext/>
              <w:keepLines/>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Отопление на купето</w:t>
            </w:r>
          </w:p>
        </w:tc>
        <w:tc>
          <w:tcPr>
            <w:tcW w:w="3081" w:type="dxa"/>
            <w:shd w:val="clear" w:color="auto" w:fill="auto"/>
            <w:vAlign w:val="bottom"/>
          </w:tcPr>
          <w:p>
            <w:pPr>
              <w:shd w:val="clear" w:color="auto" w:fill="FFFFFF"/>
              <w:spacing w:line="240" w:lineRule="atLeast"/>
              <w:jc w:val="left"/>
              <w:rPr>
                <w:noProof/>
              </w:rPr>
            </w:pPr>
            <w:r>
              <w:rPr>
                <w:noProof/>
              </w:rPr>
              <w:t>Пр. № 122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Облегалки за глава (комплектовани със седалки)</w:t>
            </w:r>
          </w:p>
        </w:tc>
        <w:tc>
          <w:tcPr>
            <w:tcW w:w="3081" w:type="dxa"/>
            <w:shd w:val="clear" w:color="auto" w:fill="auto"/>
            <w:vAlign w:val="bottom"/>
          </w:tcPr>
          <w:p>
            <w:pPr>
              <w:shd w:val="clear" w:color="auto" w:fill="FFFFFF"/>
              <w:spacing w:line="240" w:lineRule="atLeast"/>
              <w:jc w:val="left"/>
              <w:rPr>
                <w:noProof/>
              </w:rPr>
            </w:pPr>
            <w:r>
              <w:rPr>
                <w:noProof/>
              </w:rPr>
              <w:t>Пр. № 17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Облегалки за глава</w:t>
            </w:r>
          </w:p>
        </w:tc>
        <w:tc>
          <w:tcPr>
            <w:tcW w:w="3081" w:type="dxa"/>
            <w:shd w:val="clear" w:color="auto" w:fill="auto"/>
          </w:tcPr>
          <w:p>
            <w:pPr>
              <w:shd w:val="clear" w:color="auto" w:fill="FFFFFF"/>
              <w:spacing w:line="240" w:lineRule="atLeast"/>
              <w:jc w:val="left"/>
              <w:rPr>
                <w:noProof/>
              </w:rPr>
            </w:pPr>
            <w:r>
              <w:rPr>
                <w:noProof/>
              </w:rPr>
              <w:t>Пр. № 25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Емисии на СО2 — разход на гориво на леките автомобили с не повече от осем места в допълнение към мястото на водача</w:t>
            </w:r>
          </w:p>
        </w:tc>
        <w:tc>
          <w:tcPr>
            <w:tcW w:w="3081" w:type="dxa"/>
            <w:shd w:val="clear" w:color="auto" w:fill="auto"/>
          </w:tcPr>
          <w:p>
            <w:pPr>
              <w:shd w:val="clear" w:color="auto" w:fill="FFFFFF"/>
              <w:spacing w:line="240" w:lineRule="atLeast"/>
              <w:jc w:val="left"/>
              <w:rPr>
                <w:noProof/>
              </w:rPr>
            </w:pPr>
            <w:r>
              <w:rPr>
                <w:noProof/>
              </w:rPr>
              <w:t>Пр. № 101 на ООН</w:t>
            </w:r>
          </w:p>
        </w:tc>
        <w:tc>
          <w:tcPr>
            <w:tcW w:w="3081" w:type="dxa"/>
            <w:shd w:val="clear" w:color="auto" w:fill="auto"/>
          </w:tcPr>
          <w:p>
            <w:pPr>
              <w:shd w:val="clear" w:color="auto" w:fill="FFFFFF"/>
              <w:spacing w:line="240" w:lineRule="atLeast"/>
              <w:jc w:val="left"/>
              <w:rPr>
                <w:noProof/>
              </w:rPr>
            </w:pPr>
            <w:r>
              <w:rPr>
                <w:noProof/>
              </w:rPr>
              <w:t xml:space="preserve">Регламент (ЕО) № 692/2008 </w:t>
            </w:r>
          </w:p>
        </w:tc>
      </w:tr>
      <w:tr>
        <w:tc>
          <w:tcPr>
            <w:tcW w:w="3080" w:type="dxa"/>
            <w:shd w:val="clear" w:color="auto" w:fill="auto"/>
            <w:vAlign w:val="bottom"/>
          </w:tcPr>
          <w:p>
            <w:pPr>
              <w:shd w:val="clear" w:color="auto" w:fill="FFFFFF"/>
              <w:spacing w:line="240" w:lineRule="atLeast"/>
              <w:jc w:val="left"/>
              <w:rPr>
                <w:noProof/>
              </w:rPr>
            </w:pPr>
            <w:r>
              <w:rPr>
                <w:noProof/>
              </w:rPr>
              <w:t xml:space="preserve">Мощност на двигателя </w:t>
            </w:r>
          </w:p>
        </w:tc>
        <w:tc>
          <w:tcPr>
            <w:tcW w:w="3081" w:type="dxa"/>
            <w:shd w:val="clear" w:color="auto" w:fill="auto"/>
            <w:vAlign w:val="bottom"/>
          </w:tcPr>
          <w:p>
            <w:pPr>
              <w:shd w:val="clear" w:color="auto" w:fill="FFFFFF"/>
              <w:spacing w:line="240" w:lineRule="atLeast"/>
              <w:jc w:val="left"/>
              <w:rPr>
                <w:noProof/>
              </w:rPr>
            </w:pPr>
            <w:r>
              <w:rPr>
                <w:noProof/>
              </w:rPr>
              <w:t>Пр. № 85 на ООН</w:t>
            </w:r>
          </w:p>
        </w:tc>
        <w:tc>
          <w:tcPr>
            <w:tcW w:w="3081" w:type="dxa"/>
            <w:shd w:val="clear" w:color="auto" w:fill="auto"/>
            <w:vAlign w:val="bottom"/>
          </w:tcPr>
          <w:p>
            <w:pPr>
              <w:shd w:val="clear" w:color="auto" w:fill="FFFFFF"/>
              <w:spacing w:line="240" w:lineRule="atLeast"/>
              <w:jc w:val="left"/>
              <w:rPr>
                <w:noProof/>
              </w:rPr>
            </w:pPr>
            <w:r>
              <w:rPr>
                <w:noProof/>
              </w:rPr>
              <w:t xml:space="preserve">Регламенти (ЕО) № 692/2008 и (ЕС) № 582/2011. </w:t>
            </w:r>
          </w:p>
        </w:tc>
      </w:tr>
      <w:tr>
        <w:tc>
          <w:tcPr>
            <w:tcW w:w="3080" w:type="dxa"/>
            <w:shd w:val="clear" w:color="auto" w:fill="auto"/>
          </w:tcPr>
          <w:p>
            <w:pPr>
              <w:shd w:val="clear" w:color="auto" w:fill="FFFFFF"/>
              <w:spacing w:line="240" w:lineRule="atLeast"/>
              <w:jc w:val="left"/>
              <w:rPr>
                <w:noProof/>
              </w:rPr>
            </w:pPr>
            <w:r>
              <w:rPr>
                <w:noProof/>
              </w:rPr>
              <w:t>Емисии от тежкотоварни превозни средства</w:t>
            </w:r>
          </w:p>
        </w:tc>
        <w:tc>
          <w:tcPr>
            <w:tcW w:w="3081" w:type="dxa"/>
            <w:shd w:val="clear" w:color="auto" w:fill="auto"/>
          </w:tcPr>
          <w:p>
            <w:pPr>
              <w:shd w:val="clear" w:color="auto" w:fill="FFFFFF"/>
              <w:spacing w:line="240" w:lineRule="atLeast"/>
              <w:jc w:val="left"/>
              <w:rPr>
                <w:noProof/>
              </w:rPr>
            </w:pPr>
            <w:r>
              <w:rPr>
                <w:noProof/>
              </w:rPr>
              <w:t>Пр. № 49 на ООН</w:t>
            </w:r>
          </w:p>
        </w:tc>
        <w:tc>
          <w:tcPr>
            <w:tcW w:w="3081" w:type="dxa"/>
            <w:shd w:val="clear" w:color="auto" w:fill="auto"/>
          </w:tcPr>
          <w:p>
            <w:pPr>
              <w:shd w:val="clear" w:color="auto" w:fill="FFFFFF"/>
              <w:spacing w:line="240" w:lineRule="atLeast"/>
              <w:jc w:val="left"/>
              <w:rPr>
                <w:noProof/>
              </w:rPr>
            </w:pPr>
            <w:r>
              <w:rPr>
                <w:noProof/>
              </w:rPr>
              <w:t xml:space="preserve">Регламент (ЕО) № 595/2009, Регламент (ЕС) № 582/2011 </w:t>
            </w:r>
          </w:p>
          <w:p>
            <w:pPr>
              <w:shd w:val="clear" w:color="auto" w:fill="FFFFFF"/>
              <w:spacing w:line="240" w:lineRule="atLeast"/>
              <w:jc w:val="left"/>
              <w:rPr>
                <w:noProof/>
              </w:rPr>
            </w:pPr>
            <w:r>
              <w:rPr>
                <w:noProof/>
              </w:rPr>
              <w:t>Регламент (ЕС) № 2016/1718</w:t>
            </w:r>
          </w:p>
        </w:tc>
      </w:tr>
      <w:tr>
        <w:tc>
          <w:tcPr>
            <w:tcW w:w="3080" w:type="dxa"/>
            <w:shd w:val="clear" w:color="auto" w:fill="auto"/>
            <w:vAlign w:val="bottom"/>
          </w:tcPr>
          <w:p>
            <w:pPr>
              <w:shd w:val="clear" w:color="auto" w:fill="FFFFFF"/>
              <w:spacing w:line="240" w:lineRule="atLeast"/>
              <w:jc w:val="left"/>
              <w:rPr>
                <w:noProof/>
              </w:rPr>
            </w:pPr>
            <w:r>
              <w:rPr>
                <w:noProof/>
              </w:rPr>
              <w:t>Странична защита</w:t>
            </w:r>
          </w:p>
        </w:tc>
        <w:tc>
          <w:tcPr>
            <w:tcW w:w="3081" w:type="dxa"/>
            <w:shd w:val="clear" w:color="auto" w:fill="auto"/>
            <w:vAlign w:val="bottom"/>
          </w:tcPr>
          <w:p>
            <w:pPr>
              <w:shd w:val="clear" w:color="auto" w:fill="FFFFFF"/>
              <w:spacing w:line="240" w:lineRule="atLeast"/>
              <w:jc w:val="left"/>
              <w:rPr>
                <w:noProof/>
              </w:rPr>
            </w:pPr>
            <w:r>
              <w:rPr>
                <w:noProof/>
              </w:rPr>
              <w:t>Пр. № 73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Безопасни стъкла</w:t>
            </w:r>
          </w:p>
        </w:tc>
        <w:tc>
          <w:tcPr>
            <w:tcW w:w="3081" w:type="dxa"/>
            <w:shd w:val="clear" w:color="auto" w:fill="auto"/>
          </w:tcPr>
          <w:p>
            <w:pPr>
              <w:shd w:val="clear" w:color="auto" w:fill="FFFFFF"/>
              <w:spacing w:line="240" w:lineRule="atLeast"/>
              <w:jc w:val="left"/>
              <w:rPr>
                <w:noProof/>
              </w:rPr>
            </w:pPr>
            <w:r>
              <w:rPr>
                <w:noProof/>
              </w:rPr>
              <w:t>Пр. № 43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Гуми за моторни превозни средства и техните ремаркета</w:t>
            </w:r>
          </w:p>
        </w:tc>
        <w:tc>
          <w:tcPr>
            <w:tcW w:w="3081" w:type="dxa"/>
            <w:shd w:val="clear" w:color="auto" w:fill="auto"/>
            <w:vAlign w:val="bottom"/>
          </w:tcPr>
          <w:p>
            <w:pPr>
              <w:shd w:val="clear" w:color="auto" w:fill="FFFFFF"/>
              <w:spacing w:line="240" w:lineRule="atLeast"/>
              <w:jc w:val="left"/>
              <w:rPr>
                <w:noProof/>
              </w:rPr>
            </w:pPr>
            <w:r>
              <w:rPr>
                <w:noProof/>
              </w:rPr>
              <w:t>Пр. № 30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Гуми за търговски превозни средства и техните ремаркета</w:t>
            </w:r>
          </w:p>
        </w:tc>
        <w:tc>
          <w:tcPr>
            <w:tcW w:w="3081" w:type="dxa"/>
            <w:shd w:val="clear" w:color="auto" w:fill="auto"/>
          </w:tcPr>
          <w:p>
            <w:pPr>
              <w:shd w:val="clear" w:color="auto" w:fill="FFFFFF"/>
              <w:spacing w:line="240" w:lineRule="atLeast"/>
              <w:jc w:val="left"/>
              <w:rPr>
                <w:noProof/>
              </w:rPr>
            </w:pPr>
            <w:r>
              <w:rPr>
                <w:noProof/>
              </w:rPr>
              <w:t>Пр. № 54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Временни (аварийни) колела и резервни колела/гуми</w:t>
            </w:r>
          </w:p>
        </w:tc>
        <w:tc>
          <w:tcPr>
            <w:tcW w:w="3081" w:type="dxa"/>
            <w:shd w:val="clear" w:color="auto" w:fill="auto"/>
            <w:vAlign w:val="bottom"/>
          </w:tcPr>
          <w:p>
            <w:pPr>
              <w:shd w:val="clear" w:color="auto" w:fill="FFFFFF"/>
              <w:spacing w:line="240" w:lineRule="atLeast"/>
              <w:jc w:val="left"/>
              <w:rPr>
                <w:noProof/>
              </w:rPr>
            </w:pPr>
            <w:r>
              <w:rPr>
                <w:noProof/>
              </w:rPr>
              <w:t>Пр. № 64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Шум, излъчван при търкаляне</w:t>
            </w:r>
          </w:p>
        </w:tc>
        <w:tc>
          <w:tcPr>
            <w:tcW w:w="3081" w:type="dxa"/>
            <w:shd w:val="clear" w:color="auto" w:fill="auto"/>
          </w:tcPr>
          <w:p>
            <w:pPr>
              <w:shd w:val="clear" w:color="auto" w:fill="FFFFFF"/>
              <w:spacing w:line="240" w:lineRule="atLeast"/>
              <w:jc w:val="left"/>
              <w:rPr>
                <w:noProof/>
              </w:rPr>
            </w:pPr>
            <w:r>
              <w:rPr>
                <w:noProof/>
              </w:rPr>
              <w:t>Пр. № 117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Устройства за ограничаване на скоростта</w:t>
            </w:r>
          </w:p>
        </w:tc>
        <w:tc>
          <w:tcPr>
            <w:tcW w:w="3081" w:type="dxa"/>
            <w:shd w:val="clear" w:color="auto" w:fill="auto"/>
            <w:vAlign w:val="bottom"/>
          </w:tcPr>
          <w:p>
            <w:pPr>
              <w:shd w:val="clear" w:color="auto" w:fill="FFFFFF"/>
              <w:spacing w:line="240" w:lineRule="atLeast"/>
              <w:jc w:val="left"/>
              <w:rPr>
                <w:noProof/>
              </w:rPr>
            </w:pPr>
            <w:r>
              <w:rPr>
                <w:noProof/>
              </w:rPr>
              <w:t>Пр. № 89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Теглително-прикачни устройства</w:t>
            </w:r>
          </w:p>
        </w:tc>
        <w:tc>
          <w:tcPr>
            <w:tcW w:w="3081" w:type="dxa"/>
            <w:shd w:val="clear" w:color="auto" w:fill="auto"/>
            <w:vAlign w:val="bottom"/>
          </w:tcPr>
          <w:p>
            <w:pPr>
              <w:shd w:val="clear" w:color="auto" w:fill="FFFFFF"/>
              <w:spacing w:line="240" w:lineRule="atLeast"/>
              <w:jc w:val="left"/>
              <w:rPr>
                <w:noProof/>
              </w:rPr>
            </w:pPr>
            <w:r>
              <w:rPr>
                <w:noProof/>
              </w:rPr>
              <w:t>Пр. № 55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Късо теглително-прикачно устройство</w:t>
            </w:r>
          </w:p>
        </w:tc>
        <w:tc>
          <w:tcPr>
            <w:tcW w:w="3081" w:type="dxa"/>
            <w:shd w:val="clear" w:color="auto" w:fill="auto"/>
          </w:tcPr>
          <w:p>
            <w:pPr>
              <w:shd w:val="clear" w:color="auto" w:fill="FFFFFF"/>
              <w:spacing w:line="240" w:lineRule="atLeast"/>
              <w:jc w:val="left"/>
              <w:rPr>
                <w:noProof/>
              </w:rPr>
            </w:pPr>
            <w:r>
              <w:rPr>
                <w:noProof/>
              </w:rPr>
              <w:t>Пр. № 102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Запалимост</w:t>
            </w:r>
          </w:p>
        </w:tc>
        <w:tc>
          <w:tcPr>
            <w:tcW w:w="3081" w:type="dxa"/>
            <w:shd w:val="clear" w:color="auto" w:fill="auto"/>
            <w:vAlign w:val="bottom"/>
          </w:tcPr>
          <w:p>
            <w:pPr>
              <w:shd w:val="clear" w:color="auto" w:fill="FFFFFF"/>
              <w:spacing w:line="240" w:lineRule="atLeast"/>
              <w:jc w:val="left"/>
              <w:rPr>
                <w:noProof/>
              </w:rPr>
            </w:pPr>
            <w:r>
              <w:rPr>
                <w:noProof/>
              </w:rPr>
              <w:t>Пр. № 118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Градски и междуградски автобуси</w:t>
            </w:r>
          </w:p>
        </w:tc>
        <w:tc>
          <w:tcPr>
            <w:tcW w:w="3081" w:type="dxa"/>
            <w:shd w:val="clear" w:color="auto" w:fill="auto"/>
          </w:tcPr>
          <w:p>
            <w:pPr>
              <w:shd w:val="clear" w:color="auto" w:fill="FFFFFF"/>
              <w:spacing w:line="240" w:lineRule="atLeast"/>
              <w:jc w:val="left"/>
              <w:rPr>
                <w:noProof/>
              </w:rPr>
            </w:pPr>
            <w:r>
              <w:rPr>
                <w:noProof/>
              </w:rPr>
              <w:t>Пр. № 107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Якост на горната част на конструкцията (градски и междуградски автобуси)</w:t>
            </w:r>
          </w:p>
        </w:tc>
        <w:tc>
          <w:tcPr>
            <w:tcW w:w="3081" w:type="dxa"/>
            <w:shd w:val="clear" w:color="auto" w:fill="auto"/>
          </w:tcPr>
          <w:p>
            <w:pPr>
              <w:shd w:val="clear" w:color="auto" w:fill="FFFFFF"/>
              <w:spacing w:line="240" w:lineRule="atLeast"/>
              <w:jc w:val="left"/>
              <w:rPr>
                <w:noProof/>
              </w:rPr>
            </w:pPr>
            <w:r>
              <w:rPr>
                <w:noProof/>
              </w:rPr>
              <w:t>Пр. № 66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Челен удар</w:t>
            </w:r>
          </w:p>
        </w:tc>
        <w:tc>
          <w:tcPr>
            <w:tcW w:w="3081" w:type="dxa"/>
            <w:shd w:val="clear" w:color="auto" w:fill="auto"/>
          </w:tcPr>
          <w:p>
            <w:pPr>
              <w:shd w:val="clear" w:color="auto" w:fill="FFFFFF"/>
              <w:spacing w:line="240" w:lineRule="atLeast"/>
              <w:jc w:val="left"/>
              <w:rPr>
                <w:noProof/>
              </w:rPr>
            </w:pPr>
            <w:r>
              <w:rPr>
                <w:noProof/>
              </w:rPr>
              <w:t>Пр. № 94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vAlign w:val="bottom"/>
          </w:tcPr>
          <w:p>
            <w:pPr>
              <w:shd w:val="clear" w:color="auto" w:fill="FFFFFF"/>
              <w:spacing w:line="240" w:lineRule="atLeast"/>
              <w:jc w:val="left"/>
              <w:rPr>
                <w:noProof/>
              </w:rPr>
            </w:pPr>
            <w:r>
              <w:rPr>
                <w:noProof/>
              </w:rPr>
              <w:t>Страничен удар</w:t>
            </w:r>
          </w:p>
        </w:tc>
        <w:tc>
          <w:tcPr>
            <w:tcW w:w="3081" w:type="dxa"/>
            <w:shd w:val="clear" w:color="auto" w:fill="auto"/>
            <w:vAlign w:val="bottom"/>
          </w:tcPr>
          <w:p>
            <w:pPr>
              <w:shd w:val="clear" w:color="auto" w:fill="FFFFFF"/>
              <w:spacing w:line="240" w:lineRule="atLeast"/>
              <w:jc w:val="left"/>
              <w:rPr>
                <w:noProof/>
              </w:rPr>
            </w:pPr>
            <w:r>
              <w:rPr>
                <w:noProof/>
              </w:rPr>
              <w:t>Пр. № 95 на ООН</w:t>
            </w:r>
          </w:p>
        </w:tc>
        <w:tc>
          <w:tcPr>
            <w:tcW w:w="3081" w:type="dxa"/>
            <w:shd w:val="clear" w:color="auto" w:fill="auto"/>
            <w:vAlign w:val="bottom"/>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Превозни средства, предназначени за превоз на опасни товари</w:t>
            </w:r>
          </w:p>
        </w:tc>
        <w:tc>
          <w:tcPr>
            <w:tcW w:w="3081" w:type="dxa"/>
            <w:shd w:val="clear" w:color="auto" w:fill="auto"/>
          </w:tcPr>
          <w:p>
            <w:pPr>
              <w:shd w:val="clear" w:color="auto" w:fill="FFFFFF"/>
              <w:spacing w:line="240" w:lineRule="atLeast"/>
              <w:jc w:val="left"/>
              <w:rPr>
                <w:noProof/>
              </w:rPr>
            </w:pPr>
            <w:r>
              <w:rPr>
                <w:noProof/>
              </w:rPr>
              <w:t>Пр. № 105 на ООН</w:t>
            </w:r>
          </w:p>
        </w:tc>
        <w:tc>
          <w:tcPr>
            <w:tcW w:w="3081" w:type="dxa"/>
            <w:shd w:val="clear" w:color="auto" w:fill="auto"/>
          </w:tcPr>
          <w:p>
            <w:pPr>
              <w:shd w:val="clear" w:color="auto" w:fill="FFFFFF"/>
              <w:spacing w:line="240" w:lineRule="atLeast"/>
              <w:jc w:val="left"/>
              <w:rPr>
                <w:noProof/>
              </w:rPr>
            </w:pPr>
          </w:p>
        </w:tc>
      </w:tr>
      <w:tr>
        <w:tc>
          <w:tcPr>
            <w:tcW w:w="3080" w:type="dxa"/>
            <w:shd w:val="clear" w:color="auto" w:fill="auto"/>
          </w:tcPr>
          <w:p>
            <w:pPr>
              <w:shd w:val="clear" w:color="auto" w:fill="FFFFFF"/>
              <w:spacing w:line="240" w:lineRule="atLeast"/>
              <w:jc w:val="left"/>
              <w:rPr>
                <w:noProof/>
              </w:rPr>
            </w:pPr>
            <w:r>
              <w:rPr>
                <w:noProof/>
              </w:rPr>
              <w:t>Предна защита срещу вклиняване</w:t>
            </w:r>
          </w:p>
        </w:tc>
        <w:tc>
          <w:tcPr>
            <w:tcW w:w="3081" w:type="dxa"/>
            <w:shd w:val="clear" w:color="auto" w:fill="auto"/>
          </w:tcPr>
          <w:p>
            <w:pPr>
              <w:shd w:val="clear" w:color="auto" w:fill="FFFFFF"/>
              <w:spacing w:line="240" w:lineRule="atLeast"/>
              <w:jc w:val="left"/>
              <w:rPr>
                <w:noProof/>
              </w:rPr>
            </w:pPr>
            <w:r>
              <w:rPr>
                <w:noProof/>
              </w:rPr>
              <w:t>Пр. № 93 на ООН</w:t>
            </w:r>
          </w:p>
        </w:tc>
        <w:tc>
          <w:tcPr>
            <w:tcW w:w="3081" w:type="dxa"/>
            <w:shd w:val="clear" w:color="auto" w:fill="auto"/>
          </w:tcPr>
          <w:p>
            <w:pPr>
              <w:shd w:val="clear" w:color="auto" w:fill="FFFFFF"/>
              <w:spacing w:line="240" w:lineRule="atLeast"/>
              <w:jc w:val="left"/>
              <w:rPr>
                <w:noProof/>
              </w:rPr>
            </w:pPr>
          </w:p>
        </w:tc>
      </w:tr>
    </w:tbl>
    <w:p>
      <w:pPr>
        <w:widowControl w:val="0"/>
        <w:spacing w:after="0" w:line="360" w:lineRule="auto"/>
        <w:jc w:val="left"/>
        <w:outlineLvl w:val="0"/>
        <w:rPr>
          <w:noProof/>
        </w:rPr>
        <w:sectPr>
          <w:pgSz w:w="11906" w:h="16838"/>
          <w:pgMar w:top="1020" w:right="1701" w:bottom="1020" w:left="1587" w:header="601" w:footer="1077" w:gutter="0"/>
          <w:cols w:space="720"/>
          <w:docGrid w:linePitch="326"/>
        </w:sectPr>
      </w:pPr>
    </w:p>
    <w:p>
      <w:pPr>
        <w:widowControl w:val="0"/>
        <w:spacing w:after="0" w:line="360" w:lineRule="auto"/>
        <w:jc w:val="right"/>
        <w:outlineLvl w:val="0"/>
        <w:rPr>
          <w:noProof/>
        </w:rPr>
      </w:pPr>
      <w:r>
        <w:rPr>
          <w:noProof/>
        </w:rPr>
        <w:t>Приложение 2</w:t>
      </w:r>
    </w:p>
    <w:p>
      <w:pPr>
        <w:widowControl w:val="0"/>
        <w:spacing w:after="0" w:line="360" w:lineRule="auto"/>
        <w:jc w:val="center"/>
        <w:outlineLvl w:val="0"/>
        <w:rPr>
          <w:noProof/>
        </w:rPr>
      </w:pPr>
      <w:r>
        <w:rPr>
          <w:noProof/>
        </w:rPr>
        <w:t>Допълнение 2-В-3</w:t>
      </w:r>
    </w:p>
    <w:p>
      <w:pPr>
        <w:widowControl w:val="0"/>
        <w:spacing w:after="0" w:line="360" w:lineRule="auto"/>
        <w:jc w:val="center"/>
        <w:outlineLvl w:val="0"/>
        <w:rPr>
          <w:noProof/>
        </w:rPr>
      </w:pPr>
      <w:r>
        <w:rPr>
          <w:noProof/>
        </w:rPr>
        <w:t>Таблица 1</w:t>
      </w:r>
    </w:p>
    <w:p>
      <w:pPr>
        <w:widowControl w:val="0"/>
        <w:spacing w:after="0" w:line="360" w:lineRule="auto"/>
        <w:jc w:val="center"/>
        <w:outlineLvl w:val="0"/>
        <w:rPr>
          <w:b/>
          <w:noProof/>
        </w:rPr>
      </w:pPr>
      <w:r>
        <w:rPr>
          <w:b/>
          <w:noProof/>
        </w:rPr>
        <w:t>Списък, посочен в член 3, буква a), точка ii) от приложение 2-В</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9"/>
        <w:gridCol w:w="1800"/>
        <w:gridCol w:w="270"/>
        <w:gridCol w:w="127"/>
        <w:gridCol w:w="1917"/>
        <w:gridCol w:w="6"/>
        <w:gridCol w:w="23"/>
        <w:gridCol w:w="1951"/>
        <w:gridCol w:w="8"/>
        <w:gridCol w:w="22"/>
        <w:gridCol w:w="2850"/>
        <w:gridCol w:w="11"/>
        <w:gridCol w:w="20"/>
      </w:tblGrid>
      <w:tr>
        <w:trPr>
          <w:gridAfter w:val="1"/>
          <w:wAfter w:w="20" w:type="dxa"/>
          <w:tblHeader/>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Предмет</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Изисквания</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Съответстващ технически</w:t>
            </w:r>
            <w:r>
              <w:rPr>
                <w:noProof/>
              </w:rPr>
              <w:br/>
              <w:t>регламент на Корея</w:t>
            </w:r>
          </w:p>
        </w:tc>
      </w:tr>
      <w:tr>
        <w:trPr>
          <w:gridAfter w:val="1"/>
          <w:wAfter w:w="20" w:type="dxa"/>
          <w:jc w:val="center"/>
        </w:trPr>
        <w:tc>
          <w:tcPr>
            <w:tcW w:w="2226" w:type="dxa"/>
            <w:gridSpan w:val="4"/>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Защита на</w:t>
            </w:r>
          </w:p>
          <w:p>
            <w:pPr>
              <w:widowControl w:val="0"/>
              <w:spacing w:after="0" w:line="276" w:lineRule="auto"/>
              <w:jc w:val="left"/>
              <w:rPr>
                <w:noProof/>
              </w:rPr>
            </w:pPr>
            <w:r>
              <w:rPr>
                <w:noProof/>
              </w:rPr>
              <w:t>пътниците при удар</w:t>
            </w:r>
          </w:p>
        </w:tc>
        <w:tc>
          <w:tcPr>
            <w:tcW w:w="192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Челен</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Пр. № 94 на ООН </w:t>
            </w:r>
          </w:p>
        </w:tc>
        <w:tc>
          <w:tcPr>
            <w:tcW w:w="2883"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w:t>
            </w:r>
            <w:r>
              <w:rPr>
                <w:rStyle w:val="FootnoteReference"/>
                <w:noProof/>
              </w:rPr>
              <w:footnoteReference w:id="4"/>
            </w:r>
            <w:r>
              <w:rPr>
                <w:noProof/>
              </w:rPr>
              <w:t>, член 102</w:t>
            </w:r>
          </w:p>
          <w:p>
            <w:pPr>
              <w:widowControl w:val="0"/>
              <w:spacing w:after="0" w:line="276" w:lineRule="auto"/>
              <w:jc w:val="left"/>
              <w:rPr>
                <w:noProof/>
              </w:rPr>
            </w:pPr>
            <w:r>
              <w:rPr>
                <w:noProof/>
              </w:rPr>
              <w:t>Параграфи 1, 3</w:t>
            </w:r>
          </w:p>
        </w:tc>
      </w:tr>
      <w:tr>
        <w:trPr>
          <w:gridAfter w:val="1"/>
          <w:wAfter w:w="20" w:type="dxa"/>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192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Страничен</w:t>
            </w:r>
          </w:p>
        </w:tc>
        <w:tc>
          <w:tcPr>
            <w:tcW w:w="1982"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Пр. № 95 на ООН</w:t>
            </w:r>
          </w:p>
        </w:tc>
        <w:tc>
          <w:tcPr>
            <w:tcW w:w="2883"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102</w:t>
            </w:r>
          </w:p>
          <w:p>
            <w:pPr>
              <w:widowControl w:val="0"/>
              <w:spacing w:after="0" w:line="276" w:lineRule="auto"/>
              <w:jc w:val="left"/>
              <w:rPr>
                <w:noProof/>
              </w:rPr>
            </w:pPr>
            <w:r>
              <w:rPr>
                <w:noProof/>
              </w:rPr>
              <w:t>Параграф 1</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Изместване назад на кормилното управление</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12 на ООН</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89, параграф 1, точка 2</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Защита на водача от системата за кормилно управление при удар</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12 на ООН</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89, параграф 1, точка 1</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Системи за сядане</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17 на ООН</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97</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Облегалки за глава</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Пр. № 17 на ООН </w:t>
            </w:r>
            <w:r>
              <w:rPr>
                <w:noProof/>
              </w:rPr>
              <w:br/>
              <w:t>Пр. № 25 на ООН</w:t>
            </w:r>
            <w:r>
              <w:rPr>
                <w:noProof/>
              </w:rPr>
              <w:br/>
              <w:t>ГТР 7</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членове 26 и 99</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Ключалки за врати и закрепващи компоненти за врати</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11 на ООН</w:t>
            </w:r>
            <w:r>
              <w:rPr>
                <w:noProof/>
              </w:rPr>
              <w:br/>
              <w:t>ГТР 1</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104, параграф 2</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Удар от арматурното табло</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21 на ООН</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88</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Удар от облегалките</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21 на ООН</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98</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Удар от подлакътниците</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21 на ООН</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100</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Удар от сенниците</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21 на ООН</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101</w:t>
            </w:r>
          </w:p>
        </w:tc>
      </w:tr>
      <w:tr>
        <w:trPr>
          <w:gridAfter w:val="1"/>
          <w:wAfter w:w="20" w:type="dxa"/>
          <w:jc w:val="center"/>
        </w:trPr>
        <w:tc>
          <w:tcPr>
            <w:tcW w:w="4149"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Удар от вътрешното огледало за обратно виждане</w:t>
            </w:r>
          </w:p>
        </w:tc>
        <w:tc>
          <w:tcPr>
            <w:tcW w:w="198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46 на ООН</w:t>
            </w:r>
          </w:p>
        </w:tc>
        <w:tc>
          <w:tcPr>
            <w:tcW w:w="28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108</w:t>
            </w:r>
          </w:p>
        </w:tc>
      </w:tr>
      <w:tr>
        <w:trPr>
          <w:gridAfter w:val="2"/>
          <w:wAfter w:w="31" w:type="dxa"/>
          <w:jc w:val="center"/>
        </w:trPr>
        <w:tc>
          <w:tcPr>
            <w:tcW w:w="4143" w:type="dxa"/>
            <w:gridSpan w:val="5"/>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Теглително-прикачни устройства</w:t>
            </w:r>
          </w:p>
        </w:tc>
        <w:tc>
          <w:tcPr>
            <w:tcW w:w="19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Регламент (ЕС) № 1005/2010</w:t>
            </w:r>
          </w:p>
        </w:tc>
        <w:tc>
          <w:tcPr>
            <w:tcW w:w="28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KMVSS, член 20, параграф 1 </w:t>
            </w:r>
          </w:p>
        </w:tc>
      </w:tr>
      <w:tr>
        <w:trPr>
          <w:gridAfter w:val="2"/>
          <w:wAfter w:w="31" w:type="dxa"/>
          <w:jc w:val="center"/>
        </w:trPr>
        <w:tc>
          <w:tcPr>
            <w:tcW w:w="4143" w:type="dxa"/>
            <w:gridSpan w:val="5"/>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Задно разположена защита срещу вклиняване</w:t>
            </w:r>
          </w:p>
        </w:tc>
        <w:tc>
          <w:tcPr>
            <w:tcW w:w="19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58 на ООН</w:t>
            </w:r>
          </w:p>
        </w:tc>
        <w:tc>
          <w:tcPr>
            <w:tcW w:w="28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KMVSS, член 19, параграф 4 и член 96 </w:t>
            </w:r>
          </w:p>
        </w:tc>
      </w:tr>
      <w:tr>
        <w:trPr>
          <w:gridBefore w:val="1"/>
          <w:wBefore w:w="29" w:type="dxa"/>
          <w:jc w:val="center"/>
        </w:trPr>
        <w:tc>
          <w:tcPr>
            <w:tcW w:w="180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pageBreakBefore/>
              <w:widowControl w:val="0"/>
              <w:spacing w:after="0" w:line="276" w:lineRule="auto"/>
              <w:jc w:val="left"/>
              <w:rPr>
                <w:noProof/>
              </w:rPr>
            </w:pPr>
            <w:r>
              <w:rPr>
                <w:noProof/>
              </w:rPr>
              <w:t xml:space="preserve">Системи за </w:t>
            </w:r>
            <w:r>
              <w:rPr>
                <w:noProof/>
              </w:rPr>
              <w:br w:type="page"/>
              <w:t>осветление и сигнализация</w:t>
            </w: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Инсталиране</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48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членове 38, 38—2, 38—3, 38—4, 38—5, 39, 40, 41, 42, 43, 44, 44—2, 45, 45—2, 47 и 49</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Фарове</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Пр. № 1, 2, 5, 8, 20, 31, 37 на ООН </w:t>
            </w:r>
          </w:p>
          <w:p>
            <w:pPr>
              <w:widowControl w:val="0"/>
              <w:spacing w:after="0" w:line="276" w:lineRule="auto"/>
              <w:jc w:val="left"/>
              <w:rPr>
                <w:noProof/>
              </w:rPr>
            </w:pPr>
            <w:r>
              <w:rPr>
                <w:noProof/>
              </w:rPr>
              <w:t xml:space="preserve">Пр. № 98, 99, 112, 113, 123 на ООН </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38, член 48, параграф 3</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Предни фарове за мъгла</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19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tcPr>
          <w:p>
            <w:pPr>
              <w:widowControl w:val="0"/>
              <w:spacing w:after="0" w:line="276" w:lineRule="auto"/>
              <w:jc w:val="left"/>
              <w:rPr>
                <w:noProof/>
              </w:rPr>
            </w:pPr>
            <w:r>
              <w:rPr>
                <w:noProof/>
              </w:rPr>
              <w:t>KMVSS, член 38-2, параграф 1</w:t>
            </w:r>
          </w:p>
          <w:p>
            <w:pPr>
              <w:widowControl w:val="0"/>
              <w:spacing w:after="0" w:line="276" w:lineRule="auto"/>
              <w:jc w:val="left"/>
              <w:rPr>
                <w:noProof/>
              </w:rPr>
            </w:pP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Светлини за движение през деня</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87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38-4</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Светлина за завой</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119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38-5</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Фар за заден ход</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23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39</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Габаритен фар</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7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40</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Устройства за осветяване на регистрационната табела</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4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41</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Задна габаритна светлина</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7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42</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Стопсветлини</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7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43, параграф 1</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Монтирани централно в горната част</w:t>
            </w:r>
          </w:p>
          <w:p>
            <w:pPr>
              <w:widowControl w:val="0"/>
              <w:spacing w:after="0" w:line="276" w:lineRule="auto"/>
              <w:jc w:val="left"/>
              <w:rPr>
                <w:noProof/>
              </w:rPr>
            </w:pPr>
            <w:r>
              <w:rPr>
                <w:noProof/>
              </w:rPr>
              <w:t>стопсветлини</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7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43, параграф 2</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Пътепоказатели</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6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44</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Спомагателни пътепоказатели</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7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44</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Странични габаритни светлини</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91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44-2</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Задни фарове за мъгла </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38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38-2</w:t>
            </w:r>
          </w:p>
          <w:p>
            <w:pPr>
              <w:widowControl w:val="0"/>
              <w:spacing w:after="0" w:line="276" w:lineRule="auto"/>
              <w:jc w:val="left"/>
              <w:rPr>
                <w:noProof/>
              </w:rPr>
            </w:pPr>
            <w:r>
              <w:rPr>
                <w:noProof/>
              </w:rPr>
              <w:t>Параграф 2</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Светлоотражатели</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70 на ООН</w:t>
            </w:r>
            <w:r>
              <w:rPr>
                <w:noProof/>
              </w:rPr>
              <w:br/>
              <w:t>Пр. № 3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 xml:space="preserve">KMVSS, член 49 </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pageBreakBefore/>
              <w:widowControl w:val="0"/>
              <w:spacing w:after="0" w:line="276" w:lineRule="auto"/>
              <w:jc w:val="left"/>
              <w:rPr>
                <w:noProof/>
              </w:rPr>
            </w:pPr>
            <w:r>
              <w:rPr>
                <w:noProof/>
              </w:rPr>
              <w:t>Видимост на водача</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46 на ООН</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50</w:t>
            </w:r>
          </w:p>
          <w:p>
            <w:pPr>
              <w:widowControl w:val="0"/>
              <w:spacing w:after="0" w:line="276" w:lineRule="auto"/>
              <w:jc w:val="left"/>
              <w:rPr>
                <w:noProof/>
              </w:rPr>
            </w:pPr>
            <w:r>
              <w:rPr>
                <w:noProof/>
              </w:rPr>
              <w:t>Член 94</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Мощност на двигателя</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85 на ООН</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111</w:t>
            </w:r>
          </w:p>
        </w:tc>
      </w:tr>
      <w:tr>
        <w:trPr>
          <w:gridBefore w:val="1"/>
          <w:wBefore w:w="29" w:type="dxa"/>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 xml:space="preserve">Устройства </w:t>
            </w:r>
            <w:r>
              <w:rPr>
                <w:noProof/>
              </w:rPr>
              <w:br/>
              <w:t xml:space="preserve">за осигуряване на </w:t>
            </w:r>
            <w:r>
              <w:rPr>
                <w:noProof/>
              </w:rPr>
              <w:br/>
              <w:t xml:space="preserve">видимост </w:t>
            </w:r>
            <w:r>
              <w:rPr>
                <w:noProof/>
              </w:rPr>
              <w:br/>
              <w:t>на водача</w:t>
            </w: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Система за почистване на предното стъкло</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Регламент </w:t>
            </w:r>
          </w:p>
          <w:p>
            <w:pPr>
              <w:widowControl w:val="0"/>
              <w:spacing w:after="0" w:line="276" w:lineRule="auto"/>
              <w:jc w:val="left"/>
              <w:rPr>
                <w:noProof/>
              </w:rPr>
            </w:pPr>
            <w:r>
              <w:rPr>
                <w:noProof/>
              </w:rPr>
              <w:t>(ЕС) № 1008/2010</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 xml:space="preserve">KMVSS, член 51, параграф 2, член 109, точка 1 </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Система срещу обледяване на стъклата</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Регламент (ЕС) № 672/2010</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109, точка 2</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Система срещу запотяване на стъклата </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Регламент (ЕС) № 672/2010</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109, точка 3</w:t>
            </w:r>
          </w:p>
        </w:tc>
      </w:tr>
      <w:tr>
        <w:trPr>
          <w:gridBefore w:val="1"/>
          <w:wBefore w:w="2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c>
          <w:tcPr>
            <w:tcW w:w="2343"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Система за измиване на предното стъкло</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Регламент (ЕС) № 1008/2010</w:t>
            </w:r>
          </w:p>
        </w:tc>
        <w:tc>
          <w:tcPr>
            <w:tcW w:w="28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KMVSS, член 109, точка 4</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Спирачки за леки автомобили</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13H на ООН</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KMVSS, член 15, член 90, точка 1 </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Спирачни системи с изключение на тези за леки автомобили и ремаркета</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13 на ООН</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15, член 90, точка 2</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Спирачни системи за ремаркета</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13 на ООН</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15, член 90, точка 3</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Антиблокиращи спирачни системи (ABS), с изключение на тези за ремаркета</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Пр. № 13 на ООН </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15, член 90, точка 4</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Антиблокиращи спирачни системи (ABS) за ремаркета</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13 на ООН</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15, член 90, точка 5</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br w:type="page"/>
              <w:t>Усилие, прилагано върху устройството за управление на кормилната уредба</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79 на ООН</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14</w:t>
            </w:r>
          </w:p>
          <w:p>
            <w:pPr>
              <w:widowControl w:val="0"/>
              <w:spacing w:after="0" w:line="276" w:lineRule="auto"/>
              <w:jc w:val="left"/>
              <w:rPr>
                <w:noProof/>
              </w:rPr>
            </w:pPr>
            <w:r>
              <w:rPr>
                <w:noProof/>
              </w:rPr>
              <w:t xml:space="preserve">Член 89, параграф 2 </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Ограничител на скоростта</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89 на ООН</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110-2</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Оборудване за измерване на скоростта</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39 на ООН</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KMVSS, член 110 </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Електромагнитна съвместимост</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10 на ООН</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111-2</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Изтичане на гориво при сблъсък</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34 на ООН</w:t>
            </w:r>
            <w:r>
              <w:rPr>
                <w:noProof/>
              </w:rPr>
              <w:br/>
              <w:t>Пр. № 94 на ООН</w:t>
            </w:r>
            <w:r>
              <w:rPr>
                <w:noProof/>
              </w:rPr>
              <w:br/>
              <w:t>Пр. № 95 на ООН</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91</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pageBreakBefore/>
              <w:widowControl w:val="0"/>
              <w:spacing w:after="0" w:line="276" w:lineRule="auto"/>
              <w:jc w:val="left"/>
              <w:rPr>
                <w:noProof/>
              </w:rPr>
            </w:pPr>
            <w:r>
              <w:rPr>
                <w:noProof/>
              </w:rPr>
              <w:t>Удар на бронята</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42 на ООН</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93</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Сглобяеми анкерни закрепвания на обезопасителните колани</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Пр. № 14 на ООН </w:t>
            </w:r>
          </w:p>
          <w:p>
            <w:pPr>
              <w:widowControl w:val="0"/>
              <w:spacing w:after="0" w:line="276" w:lineRule="auto"/>
              <w:jc w:val="left"/>
              <w:rPr>
                <w:noProof/>
              </w:rPr>
            </w:pPr>
            <w:r>
              <w:rPr>
                <w:noProof/>
              </w:rPr>
              <w:t>Пр. № 16 на ООН</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KMVSS, член 27, параграфи 1, 2, 3, 4; Член 103 </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Анкерни закрепвания на детски седалки</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Пр. № 14 на ООН </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 27-2, член 103-2</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Звук на клаксона, шум при неподвижно превозно средство и  шум при преминаване за превозни средства (4-колесни)</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28 на ООН</w:t>
            </w:r>
          </w:p>
          <w:p>
            <w:pPr>
              <w:widowControl w:val="0"/>
              <w:spacing w:after="0" w:line="276" w:lineRule="auto"/>
              <w:jc w:val="left"/>
              <w:rPr>
                <w:noProof/>
              </w:rPr>
            </w:pPr>
            <w:r>
              <w:rPr>
                <w:noProof/>
              </w:rPr>
              <w:t>Пр. № 51 на ООН</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KMVSS, членове 35, 53, NVCA, член 30, и член 29 от Наредбата на Министерството на околната среда (MOE)</w:t>
            </w:r>
            <w:r>
              <w:rPr>
                <w:rStyle w:val="FootnoteReference"/>
                <w:noProof/>
              </w:rPr>
              <w:footnoteReference w:id="5"/>
            </w:r>
            <w:r>
              <w:rPr>
                <w:noProof/>
              </w:rPr>
              <w:t xml:space="preserve"> към него</w:t>
            </w: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Емисии и шум (с изключение на шум при преминаване за 3- или 4-колесни превозни средства) за мотоциклети</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Пр. № 40 на ООН </w:t>
            </w:r>
            <w:r>
              <w:rPr>
                <w:noProof/>
              </w:rPr>
              <w:br/>
              <w:t xml:space="preserve">Пр. № 41 на ООН </w:t>
            </w:r>
            <w:r>
              <w:rPr>
                <w:noProof/>
              </w:rPr>
              <w:br/>
              <w:t xml:space="preserve">Пр. № 47 на ООН </w:t>
            </w:r>
          </w:p>
          <w:p>
            <w:pPr>
              <w:widowControl w:val="0"/>
              <w:spacing w:after="0" w:line="276" w:lineRule="auto"/>
              <w:jc w:val="left"/>
              <w:rPr>
                <w:noProof/>
              </w:rPr>
            </w:pPr>
            <w:r>
              <w:rPr>
                <w:noProof/>
              </w:rPr>
              <w:t>Регламенти (ЕС) № 168/2013 и (ЕС) № 134/2014.</w:t>
            </w:r>
          </w:p>
        </w:tc>
        <w:tc>
          <w:tcPr>
            <w:tcW w:w="28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CACA</w:t>
            </w:r>
            <w:r>
              <w:rPr>
                <w:rStyle w:val="FootnoteReference"/>
                <w:noProof/>
              </w:rPr>
              <w:footnoteReference w:id="6"/>
            </w:r>
            <w:r>
              <w:rPr>
                <w:noProof/>
              </w:rPr>
              <w:t>, член 46, и член 62 от Наредбата на Министерството на околната среда (MOE) към него, NVCA, член 30, и член 29 от Наредбата на министерството на околната среда към него</w:t>
            </w:r>
          </w:p>
        </w:tc>
      </w:tr>
      <w:tr>
        <w:trPr>
          <w:gridBefore w:val="1"/>
          <w:wBefore w:w="29" w:type="dxa"/>
          <w:jc w:val="center"/>
        </w:trPr>
        <w:tc>
          <w:tcPr>
            <w:tcW w:w="2070" w:type="dxa"/>
            <w:gridSpan w:val="2"/>
            <w:vMerge w:val="restart"/>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 xml:space="preserve">Емисии на дизелови двигатели </w:t>
            </w:r>
            <w:r>
              <w:rPr>
                <w:noProof/>
              </w:rPr>
              <w:br/>
              <w:t>(вкл. СБД)</w:t>
            </w:r>
          </w:p>
        </w:tc>
        <w:tc>
          <w:tcPr>
            <w:tcW w:w="2073" w:type="dxa"/>
            <w:gridSpan w:val="4"/>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Превозни средства с тегло под 3,5 t</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 xml:space="preserve">Пр. № 83 на ООН </w:t>
            </w:r>
            <w:r>
              <w:rPr>
                <w:noProof/>
              </w:rPr>
              <w:br/>
              <w:t>Пр. № 24 на ООН</w:t>
            </w:r>
          </w:p>
          <w:p>
            <w:pPr>
              <w:widowControl w:val="0"/>
              <w:spacing w:after="0" w:line="276" w:lineRule="auto"/>
              <w:jc w:val="left"/>
              <w:rPr>
                <w:noProof/>
              </w:rPr>
            </w:pPr>
            <w:r>
              <w:rPr>
                <w:noProof/>
              </w:rPr>
              <w:t>Регламенти (ЕО) № 715/2007, (ЕО) № 692/2008, (ЕО) № 459/2012</w:t>
            </w:r>
          </w:p>
        </w:tc>
        <w:tc>
          <w:tcPr>
            <w:tcW w:w="2881" w:type="dxa"/>
            <w:gridSpan w:val="3"/>
            <w:vMerge w:val="restart"/>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CACA, член 46, и член 62 от Наредбата на Министерството на околната среда към него</w:t>
            </w:r>
          </w:p>
        </w:tc>
      </w:tr>
      <w:tr>
        <w:trPr>
          <w:gridBefore w:val="1"/>
          <w:wBefore w:w="29" w:type="dxa"/>
          <w:jc w:val="center"/>
        </w:trPr>
        <w:tc>
          <w:tcPr>
            <w:tcW w:w="0" w:type="auto"/>
            <w:gridSpan w:val="2"/>
            <w:vMerge/>
            <w:tcBorders>
              <w:top w:val="single" w:sz="4" w:space="0" w:color="auto"/>
              <w:left w:val="single" w:sz="4" w:space="0" w:color="auto"/>
              <w:bottom w:val="single" w:sz="4" w:space="0" w:color="auto"/>
              <w:right w:val="nil"/>
            </w:tcBorders>
            <w:vAlign w:val="center"/>
            <w:hideMark/>
          </w:tcPr>
          <w:p>
            <w:pPr>
              <w:spacing w:after="0"/>
              <w:jc w:val="left"/>
              <w:rPr>
                <w:noProof/>
              </w:rPr>
            </w:pPr>
          </w:p>
        </w:tc>
        <w:tc>
          <w:tcPr>
            <w:tcW w:w="2073" w:type="dxa"/>
            <w:gridSpan w:val="4"/>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Превозни средства с тегло над 3,5 t</w:t>
            </w:r>
          </w:p>
        </w:tc>
        <w:tc>
          <w:tcPr>
            <w:tcW w:w="198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pPr>
              <w:widowControl w:val="0"/>
              <w:spacing w:after="0" w:line="276" w:lineRule="auto"/>
              <w:jc w:val="left"/>
              <w:rPr>
                <w:noProof/>
              </w:rPr>
            </w:pPr>
            <w:r>
              <w:rPr>
                <w:noProof/>
              </w:rPr>
              <w:t>Пр. № 49 на ООН</w:t>
            </w:r>
          </w:p>
          <w:p>
            <w:pPr>
              <w:widowControl w:val="0"/>
              <w:spacing w:after="0" w:line="276" w:lineRule="auto"/>
              <w:jc w:val="left"/>
              <w:rPr>
                <w:noProof/>
              </w:rPr>
            </w:pPr>
          </w:p>
          <w:p>
            <w:pPr>
              <w:widowControl w:val="0"/>
              <w:spacing w:before="0" w:after="0" w:line="276" w:lineRule="auto"/>
              <w:jc w:val="left"/>
              <w:rPr>
                <w:noProof/>
              </w:rPr>
            </w:pPr>
            <w:r>
              <w:rPr>
                <w:noProof/>
              </w:rPr>
              <w:t>Регламенти (ЕО) № 595/2009 и (ЕС) № 582/2011.</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rPr>
            </w:pPr>
          </w:p>
        </w:tc>
      </w:tr>
      <w:tr>
        <w:trPr>
          <w:gridBefore w:val="1"/>
          <w:wBefore w:w="29" w:type="dxa"/>
          <w:jc w:val="center"/>
        </w:trPr>
        <w:tc>
          <w:tcPr>
            <w:tcW w:w="4143" w:type="dxa"/>
            <w:gridSpan w:val="6"/>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 xml:space="preserve">Гуми </w:t>
            </w:r>
          </w:p>
        </w:tc>
        <w:tc>
          <w:tcPr>
            <w:tcW w:w="1981" w:type="dxa"/>
            <w:gridSpan w:val="3"/>
            <w:tcBorders>
              <w:top w:val="single" w:sz="4" w:space="0" w:color="auto"/>
              <w:left w:val="single" w:sz="4" w:space="0" w:color="auto"/>
              <w:bottom w:val="single" w:sz="4" w:space="0" w:color="auto"/>
              <w:right w:val="single" w:sz="4" w:space="0" w:color="auto"/>
            </w:tcBorders>
            <w:vAlign w:val="center"/>
            <w:hideMark/>
          </w:tcPr>
          <w:p>
            <w:pPr>
              <w:widowControl w:val="0"/>
              <w:spacing w:after="0" w:line="276" w:lineRule="auto"/>
              <w:jc w:val="left"/>
              <w:rPr>
                <w:noProof/>
              </w:rPr>
            </w:pPr>
            <w:r>
              <w:rPr>
                <w:noProof/>
              </w:rPr>
              <w:t>Пр. № 30, 54, 75, 106, 117, 108, 109 на ООН</w:t>
            </w:r>
          </w:p>
        </w:tc>
        <w:tc>
          <w:tcPr>
            <w:tcW w:w="2881" w:type="dxa"/>
            <w:gridSpan w:val="3"/>
            <w:tcBorders>
              <w:top w:val="single" w:sz="4" w:space="0" w:color="auto"/>
              <w:left w:val="single" w:sz="4" w:space="0" w:color="auto"/>
              <w:bottom w:val="single" w:sz="4" w:space="0" w:color="auto"/>
              <w:right w:val="single" w:sz="4" w:space="0" w:color="auto"/>
            </w:tcBorders>
            <w:vAlign w:val="center"/>
          </w:tcPr>
          <w:p>
            <w:pPr>
              <w:widowControl w:val="0"/>
              <w:spacing w:after="0" w:line="276" w:lineRule="auto"/>
              <w:jc w:val="left"/>
              <w:rPr>
                <w:noProof/>
              </w:rPr>
            </w:pPr>
            <w:r>
              <w:rPr>
                <w:noProof/>
              </w:rPr>
              <w:t>Закон за контрола на безопасността на електрическите уреди и потребителските продукти, членове 15, 18 и 19;</w:t>
            </w:r>
          </w:p>
          <w:p>
            <w:pPr>
              <w:widowControl w:val="0"/>
              <w:spacing w:after="0" w:line="276" w:lineRule="auto"/>
              <w:jc w:val="left"/>
              <w:rPr>
                <w:noProof/>
              </w:rPr>
            </w:pPr>
            <w:r>
              <w:rPr>
                <w:noProof/>
              </w:rPr>
              <w:t>Правилник за прилагане на Закона за контрола на безопасността на електрическите уреди и потребителските продукти, член 3, параграф 4 и член 26;</w:t>
            </w:r>
          </w:p>
          <w:p>
            <w:pPr>
              <w:widowControl w:val="0"/>
              <w:spacing w:after="0" w:line="276" w:lineRule="auto"/>
              <w:jc w:val="left"/>
              <w:rPr>
                <w:noProof/>
              </w:rPr>
            </w:pPr>
            <w:r>
              <w:rPr>
                <w:noProof/>
              </w:rPr>
              <w:t>KMVSS, член 12, параграф 1</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E/ECE/TRANS/505/Rev.3.</w:t>
      </w:r>
    </w:p>
  </w:footnote>
  <w:footnote w:id="2">
    <w:p>
      <w:pPr>
        <w:pStyle w:val="FootnoteText"/>
        <w:rPr>
          <w:rFonts w:eastAsiaTheme="minorEastAsia"/>
          <w:color w:val="000000" w:themeColor="text1"/>
          <w:lang w:eastAsia="ko-KR"/>
        </w:rPr>
      </w:pPr>
      <w:r>
        <w:rPr>
          <w:rStyle w:val="FootnoteReference"/>
        </w:rPr>
        <w:footnoteRef/>
      </w:r>
      <w:r>
        <w:tab/>
      </w:r>
      <w:r>
        <w:rPr>
          <w:rFonts w:eastAsiaTheme="minorEastAsia"/>
          <w:color w:val="000000" w:themeColor="text1"/>
        </w:rPr>
        <w:t>Попълването на третата колона (Съответстващ технически регламент на ЕС) с празно място означава, че съответстващият регламент е същият като правилото на ООН от втората колона (Изисквания).</w:t>
      </w:r>
    </w:p>
  </w:footnote>
  <w:footnote w:id="3">
    <w:p>
      <w:pPr>
        <w:pStyle w:val="FootnoteText"/>
      </w:pPr>
      <w:r>
        <w:rPr>
          <w:rStyle w:val="FootnoteReference"/>
        </w:rPr>
        <w:footnoteRef/>
      </w:r>
      <w:r>
        <w:tab/>
        <w:t>Съкращение от „правило на ООН“, по-рано известно като „правило на ИКЕ/ООН“.</w:t>
      </w:r>
    </w:p>
  </w:footnote>
  <w:footnote w:id="4">
    <w:p>
      <w:pPr>
        <w:pStyle w:val="FootnoteText"/>
        <w:rPr>
          <w:lang w:eastAsia="en-GB"/>
        </w:rPr>
      </w:pPr>
      <w:r>
        <w:rPr>
          <w:rStyle w:val="FootnoteReference"/>
        </w:rPr>
        <w:footnoteRef/>
      </w:r>
      <w:r>
        <w:tab/>
        <w:t>Известни по-рано като стандарти за безопасност на Корея за моторни превозни средства, преименувани на „Правила за експлоатационните характеристики и стандарти за корейските моторни превозни средства и части“, считано от 1 юли 2014 г.</w:t>
      </w:r>
    </w:p>
  </w:footnote>
  <w:footnote w:id="5">
    <w:p>
      <w:pPr>
        <w:pStyle w:val="FootnoteText"/>
      </w:pPr>
      <w:r>
        <w:rPr>
          <w:rStyle w:val="FootnoteReference"/>
        </w:rPr>
        <w:footnoteRef/>
      </w:r>
      <w:r>
        <w:tab/>
        <w:t>Министерство на околната среда на Корея.</w:t>
      </w:r>
    </w:p>
  </w:footnote>
  <w:footnote w:id="6">
    <w:p>
      <w:pPr>
        <w:pStyle w:val="FootnoteText"/>
      </w:pPr>
      <w:r>
        <w:rPr>
          <w:rStyle w:val="FootnoteReference"/>
        </w:rPr>
        <w:footnoteRef/>
      </w:r>
      <w:r>
        <w:tab/>
        <w:t>Закон за опазване на чистотата на атмосферния въздух (CACA).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FE2CB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5EB0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39216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5A33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A21C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5A93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93A3ADC"/>
    <w:lvl w:ilvl="0">
      <w:start w:val="1"/>
      <w:numFmt w:val="decimal"/>
      <w:pStyle w:val="ListNumber"/>
      <w:lvlText w:val="%1."/>
      <w:lvlJc w:val="left"/>
      <w:pPr>
        <w:tabs>
          <w:tab w:val="num" w:pos="360"/>
        </w:tabs>
        <w:ind w:left="360" w:hanging="360"/>
      </w:pPr>
    </w:lvl>
  </w:abstractNum>
  <w:abstractNum w:abstractNumId="7">
    <w:nsid w:val="FFFFFF89"/>
    <w:multiLevelType w:val="singleLevel"/>
    <w:tmpl w:val="51A6CF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1:54: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AAF3FF1C-0DDD-4B50-B6CF-714E2397768C"/>
    <w:docVar w:name="LW_COVERPAGE_TYPE" w:val="1"/>
    <w:docVar w:name="LW_CROSSREFERENCE" w:val="&lt;UNUSED&gt;"/>
    <w:docVar w:name="LW_DocType" w:val="ANNEX"/>
    <w:docVar w:name="LW_EMISSION" w:val="12.6.2019"/>
    <w:docVar w:name="LW_EMISSION_ISODATE" w:val="2019-06-1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0?\u1086?\u1084?\u1080?\u1090?\u1077?\u1090?\u1072? \u1087?\u1086? \u1090?\u1098?\u1088?\u1075?\u1086?\u1074?\u1080?\u1103?\u1090?\u1072?, \u1089?\u1098?\u1079?\u1076?\u1072?\u1076?\u1077?\u1085? \u1089?\u1098?\u1089? \u1057?\u1087?\u1086?\u1088?\u1072?\u1079?\u1091?\u1084?\u1077?\u1085?\u1080?\u1077?\u1090?\u1086? \u1079?\u1072? \u1089?\u1074?\u1086?\u1073?\u1086?\u1076?\u1085?\u1072? \u1090?\u1098?\u1088?\u1075?\u1086?\u1074?\u1080?\u1103?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50?\u1086?\u1088?\u1077?\u1103?, \u1086?\u1090? \u1076?\u1088?\u1091?\u1075?\u1072? \u1089?\u1090?\u1088?\u1072?\u1085?\u1072?, \u1087?\u1086? \u1086?\u1090?\u1085?\u1086?\u1096?\u1077?\u1085?\u1080?\u1077? \u1085?\u1072? \u1080?\u1079?\u1084?\u1077?\u1085?\u1077?\u1085?\u1080?\u1077?\u1090?\u1086? \u1085?\u1072? \u1076?\u1086?\u1087?\u1098?\u1083?\u1085?\u1077?\u1085?\u1080?\u1103? 2-\u1042?-2 \u1080? 2-\u1042?-3 \u1086?\u1090? \u1087?\u1088?\u1080?\u1083?\u1086?\u1078?\u1077?\u1085?\u1080?\u1077? 2-\u1042? \u1082?\u1098?\u1084? \u1089?\u1087?\u1086?\u1088?\u1072?\u1079?\u1091?\u1084?\u1077?\u1085?\u1080?\u1077?\u1090?\u1086?"/>
    <w:docVar w:name="LW_OBJETACTEPRINCIPAL.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0?\u1086?\u1084?\u1080?\u1090?\u1077?\u1090?\u1072? \u1087?\u1086? \u1090?\u1098?\u1088?\u1075?\u1086?\u1074?\u1080?\u1103?\u1090?\u1072?, \u1089?\u1098?\u1079?\u1076?\u1072?\u1076?\u1077?\u1085? \u1089?\u1098?\u1089? \u1057?\u1087?\u1086?\u1088?\u1072?\u1079?\u1091?\u1084?\u1077?\u1085?\u1080?\u1077?\u1090?\u1086? \u1079?\u1072? \u1089?\u1074?\u1086?\u1073?\u1086?\u1076?\u1085?\u1072? \u1090?\u1098?\u1088?\u1075?\u1086?\u1074?\u1080?\u1103?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50?\u1086?\u1088?\u1077?\u1103?, \u1086?\u1090? \u1076?\u1088?\u1091?\u1075?\u1072? \u1089?\u1090?\u1088?\u1072?\u1085?\u1072?, \u1087?\u1086? \u1086?\u1090?\u1085?\u1086?\u1096?\u1077?\u1085?\u1080?\u1077? \u1085?\u1072? \u1080?\u1079?\u1084?\u1077?\u1085?\u1077?\u1085?\u1080?\u1077?\u1090?\u1086? \u1085?\u1072? \u1076?\u1086?\u1087?\u1098?\u1083?\u1085?\u1077?\u1085?\u1080?\u1103? 2-\u1042?-2 \u1080? 2-\u1042?-3 \u1086?\u1090? \u1087?\u1088?\u1080?\u1083?\u1086?\u1078?\u1077?\u1085?\u1080?\u1077? 2-\u1042? \u1082?\u1098?\u1084? \u1089?\u1087?\u1086?\u1088?\u1072?\u1079?\u1091?\u1084?\u1077?\u1085?\u1080?\u1077?\u1090?\u1086?"/>
    <w:docVar w:name="LW_PART_NBR" w:val="1"/>
    <w:docVar w:name="LW_PART_NBR_TOTAL" w:val="1"/>
    <w:docVar w:name="LW_REF.INST.NEW" w:val="COM"/>
    <w:docVar w:name="LW_REF.INST.NEW_ADOPTED" w:val="final"/>
    <w:docVar w:name="LW_REF.INST.NEW_TEXT" w:val="(2019)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link w:val="En-tte10"/>
    <w:uiPriority w:val="99"/>
    <w:locked/>
    <w:rPr>
      <w:b/>
      <w:bCs/>
      <w:smallCaps/>
      <w:sz w:val="26"/>
      <w:szCs w:val="26"/>
      <w:shd w:val="clear" w:color="auto" w:fill="FFFFFF"/>
    </w:rPr>
  </w:style>
  <w:style w:type="paragraph" w:customStyle="1" w:styleId="En-tte10">
    <w:name w:val="En-tête #1"/>
    <w:basedOn w:val="Normal"/>
    <w:link w:val="En-tte1"/>
    <w:uiPriority w:val="99"/>
    <w:pPr>
      <w:widowControl w:val="0"/>
      <w:shd w:val="clear" w:color="auto" w:fill="FFFFFF"/>
      <w:spacing w:before="0" w:after="720" w:line="240" w:lineRule="atLeast"/>
      <w:jc w:val="center"/>
      <w:outlineLvl w:val="0"/>
    </w:pPr>
    <w:rPr>
      <w:rFonts w:asciiTheme="minorHAnsi" w:hAnsiTheme="minorHAnsi" w:cstheme="minorBidi"/>
      <w:b/>
      <w:bCs/>
      <w:smallCaps/>
      <w:sz w:val="26"/>
      <w:szCs w:val="26"/>
    </w:rPr>
  </w:style>
  <w:style w:type="character" w:customStyle="1" w:styleId="Lgendedutableau">
    <w:name w:val="Légende du tableau_"/>
    <w:link w:val="Lgendedutableau0"/>
    <w:uiPriority w:val="99"/>
    <w:locked/>
    <w:rPr>
      <w:b/>
      <w:bCs/>
      <w:shd w:val="clear" w:color="auto" w:fill="FFFFFF"/>
    </w:rPr>
  </w:style>
  <w:style w:type="paragraph" w:customStyle="1" w:styleId="Lgendedutableau0">
    <w:name w:val="Légende du tableau"/>
    <w:basedOn w:val="Normal"/>
    <w:link w:val="Lgendedutableau"/>
    <w:uiPriority w:val="99"/>
    <w:pPr>
      <w:widowControl w:val="0"/>
      <w:shd w:val="clear" w:color="auto" w:fill="FFFFFF"/>
      <w:spacing w:before="0" w:after="60" w:line="240" w:lineRule="atLeast"/>
      <w:jc w:val="center"/>
    </w:pPr>
    <w:rPr>
      <w:rFonts w:asciiTheme="minorHAnsi" w:hAnsiTheme="minorHAnsi" w:cstheme="minorBidi"/>
      <w:b/>
      <w:bCs/>
      <w:sz w:val="22"/>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bg-BG"/>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paragraph" w:styleId="ListParagraph">
    <w:name w:val="List Paragraph"/>
    <w:basedOn w:val="Normal"/>
    <w:uiPriority w:val="34"/>
    <w:qFormat/>
    <w:pPr>
      <w:ind w:left="720"/>
      <w:contextualSpacing/>
    </w:pPr>
    <w:rPr>
      <w:rFonts w:eastAsia="Calibri"/>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link w:val="En-tte10"/>
    <w:uiPriority w:val="99"/>
    <w:locked/>
    <w:rPr>
      <w:b/>
      <w:bCs/>
      <w:smallCaps/>
      <w:sz w:val="26"/>
      <w:szCs w:val="26"/>
      <w:shd w:val="clear" w:color="auto" w:fill="FFFFFF"/>
    </w:rPr>
  </w:style>
  <w:style w:type="paragraph" w:customStyle="1" w:styleId="En-tte10">
    <w:name w:val="En-tête #1"/>
    <w:basedOn w:val="Normal"/>
    <w:link w:val="En-tte1"/>
    <w:uiPriority w:val="99"/>
    <w:pPr>
      <w:widowControl w:val="0"/>
      <w:shd w:val="clear" w:color="auto" w:fill="FFFFFF"/>
      <w:spacing w:before="0" w:after="720" w:line="240" w:lineRule="atLeast"/>
      <w:jc w:val="center"/>
      <w:outlineLvl w:val="0"/>
    </w:pPr>
    <w:rPr>
      <w:rFonts w:asciiTheme="minorHAnsi" w:hAnsiTheme="minorHAnsi" w:cstheme="minorBidi"/>
      <w:b/>
      <w:bCs/>
      <w:smallCaps/>
      <w:sz w:val="26"/>
      <w:szCs w:val="26"/>
    </w:rPr>
  </w:style>
  <w:style w:type="character" w:customStyle="1" w:styleId="Lgendedutableau">
    <w:name w:val="Légende du tableau_"/>
    <w:link w:val="Lgendedutableau0"/>
    <w:uiPriority w:val="99"/>
    <w:locked/>
    <w:rPr>
      <w:b/>
      <w:bCs/>
      <w:shd w:val="clear" w:color="auto" w:fill="FFFFFF"/>
    </w:rPr>
  </w:style>
  <w:style w:type="paragraph" w:customStyle="1" w:styleId="Lgendedutableau0">
    <w:name w:val="Légende du tableau"/>
    <w:basedOn w:val="Normal"/>
    <w:link w:val="Lgendedutableau"/>
    <w:uiPriority w:val="99"/>
    <w:pPr>
      <w:widowControl w:val="0"/>
      <w:shd w:val="clear" w:color="auto" w:fill="FFFFFF"/>
      <w:spacing w:before="0" w:after="60" w:line="240" w:lineRule="atLeast"/>
      <w:jc w:val="center"/>
    </w:pPr>
    <w:rPr>
      <w:rFonts w:asciiTheme="minorHAnsi" w:hAnsiTheme="minorHAnsi" w:cstheme="minorBidi"/>
      <w:b/>
      <w:bCs/>
      <w:sz w:val="22"/>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bg-BG"/>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paragraph" w:styleId="ListParagraph">
    <w:name w:val="List Paragraph"/>
    <w:basedOn w:val="Normal"/>
    <w:uiPriority w:val="34"/>
    <w:qFormat/>
    <w:pPr>
      <w:ind w:left="720"/>
      <w:contextualSpacing/>
    </w:pPr>
    <w:rPr>
      <w:rFonts w:eastAsia="Calibri"/>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E6E9BE2-773C-487E-9F5E-FF0973E2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21</Pages>
  <Words>3850</Words>
  <Characters>19135</Characters>
  <Application>Microsoft Office Word</Application>
  <DocSecurity>0</DocSecurity>
  <Lines>956</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8</cp:revision>
  <cp:lastPrinted>2019-05-24T12:30:00Z</cp:lastPrinted>
  <dcterms:created xsi:type="dcterms:W3CDTF">2019-05-27T08:53:00Z</dcterms:created>
  <dcterms:modified xsi:type="dcterms:W3CDTF">2019-06-04T09:54:00Z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