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1AA95589-A35D-4987-BE91-00FB012455C2" style="width:450.8pt;height:410.7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spacing w:after="360"/>
        <w:rPr>
          <w:noProof/>
        </w:rPr>
      </w:pPr>
      <w:bookmarkStart w:id="0" w:name="_GoBack"/>
      <w:bookmarkEnd w:id="0"/>
      <w:r>
        <w:rPr>
          <w:noProof/>
        </w:rPr>
        <w:t>ANNEXE</w:t>
      </w:r>
    </w:p>
    <w:p>
      <w:pPr>
        <w:spacing w:line="360" w:lineRule="auto"/>
        <w:jc w:val="center"/>
        <w:rPr>
          <w:noProof/>
        </w:rPr>
      </w:pPr>
      <w:r>
        <w:rPr>
          <w:noProof/>
        </w:rPr>
        <w:t xml:space="preserve">DÉCISION Nº 3 DU COMITÉ «COMMERCE» UE-CORÉE </w:t>
      </w:r>
    </w:p>
    <w:p>
      <w:pPr>
        <w:spacing w:line="360" w:lineRule="auto"/>
        <w:jc w:val="center"/>
        <w:rPr>
          <w:noProof/>
        </w:rPr>
      </w:pPr>
      <w:r>
        <w:rPr>
          <w:noProof/>
        </w:rPr>
        <w:t>du xx avril 2019</w:t>
      </w:r>
    </w:p>
    <w:p>
      <w:pPr>
        <w:spacing w:line="360" w:lineRule="auto"/>
        <w:jc w:val="center"/>
        <w:rPr>
          <w:noProof/>
        </w:rPr>
      </w:pPr>
      <w:r>
        <w:rPr>
          <w:noProof/>
        </w:rPr>
        <w:t xml:space="preserve">concernant la modification des appendices 2-C-2 et 2-C-3 de l’annexe 2-C de l’accord de libre-échange entre la Corée et l’UE </w:t>
      </w:r>
    </w:p>
    <w:p>
      <w:pPr>
        <w:rPr>
          <w:noProof/>
        </w:rPr>
      </w:pPr>
      <w:r>
        <w:rPr>
          <w:noProof/>
        </w:rPr>
        <w:t>LE COMITÉ «COMMERCE»,</w:t>
      </w:r>
    </w:p>
    <w:p>
      <w:pPr>
        <w:rPr>
          <w:noProof/>
        </w:rPr>
      </w:pPr>
      <w:r>
        <w:rPr>
          <w:noProof/>
        </w:rPr>
        <w:t>vu l’accord de libre-échange entre la République de Corée (ci-après la «Corée»), d’une part, et l’Union européenne (ci-après l’«UE») et ses États membres, d’autre part (ci-après l’«accord» et les «parties», respectivement), et notamment son article 15.1, paragraphe 4, point c), son article 15.5, paragraphe 2, et son annexe 2-C, article 3, point d),</w:t>
      </w:r>
    </w:p>
    <w:p>
      <w:pPr>
        <w:rPr>
          <w:noProof/>
        </w:rPr>
      </w:pPr>
      <w:r>
        <w:rPr>
          <w:noProof/>
        </w:rPr>
        <w:t>considérant ce qui suit:</w:t>
      </w:r>
    </w:p>
    <w:p>
      <w:pPr>
        <w:pStyle w:val="Point0"/>
        <w:rPr>
          <w:noProof/>
        </w:rPr>
      </w:pPr>
      <w:r>
        <w:rPr>
          <w:noProof/>
        </w:rPr>
        <w:t>(1)</w:t>
      </w:r>
      <w:r>
        <w:rPr>
          <w:noProof/>
        </w:rPr>
        <w:tab/>
        <w:t xml:space="preserve">Conformément à l’article 15.1, paragraphe 4, point c), de l’accord, le comité «Commerce» institué par les parties peut envisager d’apporter des modifications à l’accord ou d’en modifier les dispositions dans les cas explicitement prévus par l’accord. </w:t>
      </w:r>
    </w:p>
    <w:p>
      <w:pPr>
        <w:pStyle w:val="Point0"/>
        <w:rPr>
          <w:noProof/>
        </w:rPr>
      </w:pPr>
      <w:r>
        <w:rPr>
          <w:noProof/>
        </w:rPr>
        <w:t>(2)</w:t>
      </w:r>
      <w:r>
        <w:rPr>
          <w:noProof/>
        </w:rPr>
        <w:tab/>
        <w:t xml:space="preserve">L’article 15.5, paragraphe 2, de l’accord dispose qu’une décision du comité «Commerce» modifiant les annexes, appendices, protocoles et notes de l’accord peut être adoptée par les parties sous réserve du respect de leurs exigences et procédures légales respectives applicables en la matière. </w:t>
      </w:r>
    </w:p>
    <w:p>
      <w:pPr>
        <w:pStyle w:val="Point0"/>
        <w:rPr>
          <w:noProof/>
        </w:rPr>
      </w:pPr>
      <w:r>
        <w:rPr>
          <w:noProof/>
        </w:rPr>
        <w:t>(3)</w:t>
      </w:r>
      <w:r>
        <w:rPr>
          <w:noProof/>
        </w:rPr>
        <w:tab/>
        <w:t>L’article 3, point d), de l’annexe 2-C de l’accord prévoit que les parties réexaminent les appendices 2-C-2 et 2-C-3 de l’annexe 2-C au plus tard tous les trois ans à compter de l’entrée en vigueur de l’accord, afin de confirmer l’acceptation des produits comme indiqué au point a) dudit article, en tenant compte de l’évolution des règlements intervenue au plan international ou dans les parties. Il précise en outre que toute modification des appendices 2-C-2 et 2-C-3 fait l’objet d’une décision du comité «Commerce».</w:t>
      </w:r>
    </w:p>
    <w:p>
      <w:pPr>
        <w:pStyle w:val="Point0"/>
        <w:rPr>
          <w:noProof/>
        </w:rPr>
      </w:pPr>
      <w:r>
        <w:rPr>
          <w:noProof/>
        </w:rPr>
        <w:t>(4)</w:t>
      </w:r>
      <w:r>
        <w:rPr>
          <w:noProof/>
        </w:rPr>
        <w:tab/>
        <w:t>La Corée et l’UE et ont modifié les règlements techniques afin de maintenir le degré d’accès aux marchés prévu à l’article 1</w:t>
      </w:r>
      <w:r>
        <w:rPr>
          <w:noProof/>
          <w:vertAlign w:val="superscript"/>
        </w:rPr>
        <w:t>er</w:t>
      </w:r>
      <w:r>
        <w:rPr>
          <w:noProof/>
        </w:rPr>
        <w:t>, paragraphe 2, de l’annexe 2-C de l’accord. En outre, dans les appendices 2-C-2 et 2-C-3, la mention «Règl. CEE-ONU» devrait être remplacée par la mention «Règl. de l’ONU» à la suite de l’accord concernant l’adoption de règlements techniques harmonisés de l’ONU applicables aux véhicules à roues et aux équipements et pièces susceptibles d’être montés ou utilisés sur les véhicules à roues et les conditions de reconnaissance réciproque des homologations délivrées conformément à ces règlements</w:t>
      </w:r>
      <w:r>
        <w:rPr>
          <w:rStyle w:val="FootnoteReference"/>
          <w:noProof/>
        </w:rPr>
        <w:footnoteReference w:id="1"/>
      </w:r>
      <w:r>
        <w:rPr>
          <w:noProof/>
        </w:rPr>
        <w:t xml:space="preserve"> (révision 3) du 20 octobre 2017.</w:t>
      </w:r>
    </w:p>
    <w:p>
      <w:pPr>
        <w:pStyle w:val="Point0"/>
        <w:rPr>
          <w:noProof/>
        </w:rPr>
      </w:pPr>
      <w:r>
        <w:rPr>
          <w:noProof/>
        </w:rPr>
        <w:t>(5)</w:t>
      </w:r>
      <w:r>
        <w:rPr>
          <w:noProof/>
        </w:rPr>
        <w:tab/>
        <w:t xml:space="preserve">Le tableau 1 de l’appendice 2-C-2 a été modifié comme suit: </w:t>
      </w:r>
    </w:p>
    <w:p>
      <w:pPr>
        <w:pStyle w:val="Point1"/>
        <w:rPr>
          <w:noProof/>
        </w:rPr>
      </w:pPr>
      <w:r>
        <w:rPr>
          <w:noProof/>
        </w:rPr>
        <w:t>a)</w:t>
      </w:r>
      <w:r>
        <w:rPr>
          <w:noProof/>
        </w:rPr>
        <w:tab/>
        <w:t xml:space="preserve">étant donné que les règlements de l’ONU s’appliquent de manière obligatoire dans l’UE, il a été décidé, pour simplifier, de supprimer les références aux règlements (par exemple, le RSG) et aux directives de l’UE dans la colonne «Règlement technique UE correspondant», qui a été laissée vide; </w:t>
      </w:r>
    </w:p>
    <w:p>
      <w:pPr>
        <w:pStyle w:val="Point1"/>
        <w:rPr>
          <w:noProof/>
        </w:rPr>
      </w:pPr>
      <w:r>
        <w:rPr>
          <w:noProof/>
        </w:rPr>
        <w:t>b)</w:t>
      </w:r>
      <w:r>
        <w:rPr>
          <w:noProof/>
        </w:rPr>
        <w:tab/>
        <w:t>toutefois, lorsqu’il n’existe pas de règlement de l’ONU applicable ou lorsque le champ d’application des règlements de l’ONU est inadéquat, comme à la ligne «Niveau sonore admissible», par exemple, les règlements ou directives de l’UE remplacent ou complètent les règlements de l’ONU. C’est la raison pour laquelle la mention «le cas échéant» a été ajoutée dans l’intitulé «Règlement technique UE correspondant»;</w:t>
      </w:r>
    </w:p>
    <w:p>
      <w:pPr>
        <w:pStyle w:val="Point1"/>
        <w:rPr>
          <w:noProof/>
        </w:rPr>
      </w:pPr>
      <w:r>
        <w:rPr>
          <w:noProof/>
        </w:rPr>
        <w:t>c)</w:t>
      </w:r>
      <w:r>
        <w:rPr>
          <w:noProof/>
        </w:rPr>
        <w:tab/>
        <w:t>à la ligne «Niveau sonore admissible» et à la ligne «Dispositifs silencieux d’échappement de remplacement», le règlement (UE) nº 540/2014 a été ajouté dans la colonne «Règlement technique UE correspondant» parce qu’il abroge la directive 70/157/CEE et s’applique de manière progressive;</w:t>
      </w:r>
    </w:p>
    <w:p>
      <w:pPr>
        <w:pStyle w:val="Point1"/>
        <w:rPr>
          <w:noProof/>
        </w:rPr>
      </w:pPr>
      <w:r>
        <w:rPr>
          <w:noProof/>
        </w:rPr>
        <w:t>d)</w:t>
      </w:r>
      <w:r>
        <w:rPr>
          <w:noProof/>
        </w:rPr>
        <w:tab/>
        <w:t>l’intitulé «Émissions» a été remplacé par «Émissions des véhicules légers» parce que les prescriptions du règlement nº 83 de l’ONU s’appliquent uniquement aux catégories de véhicules M1 et N1. En outre, la mention «Directive 70/220/CEE» a été supprimée car cet acte a été abrogé et remplacé par les règlements (CE) nº 715/2007, (CE) nº 692/2008, (UE) nº 459/2012, (UE) 2016/427, (UE) 2016/646, (UE) 2017/1151, (UE) 2017/1154 et (UE) 2018/1832, qui ont été ajoutés dans la colonne «Règlement technique UE correspondant»;</w:t>
      </w:r>
    </w:p>
    <w:p>
      <w:pPr>
        <w:pStyle w:val="Point1"/>
        <w:rPr>
          <w:noProof/>
        </w:rPr>
      </w:pPr>
      <w:r>
        <w:rPr>
          <w:noProof/>
        </w:rPr>
        <w:t>e)</w:t>
      </w:r>
      <w:r>
        <w:rPr>
          <w:noProof/>
        </w:rPr>
        <w:tab/>
        <w:t xml:space="preserve">à la ligne «Catalyseurs de remplacement pour véhicules à moteur», la mention «Directive 70/220/CEE» a été supprimée car cet acte a été abrogé et remplacé par les règlements (CE) nº 715/2007 et (CE) nº 692/2008, qui ont été ajoutés dans la colonne «Règlement technique UE correspondant»; </w:t>
      </w:r>
    </w:p>
    <w:p>
      <w:pPr>
        <w:pStyle w:val="Point1"/>
        <w:rPr>
          <w:noProof/>
        </w:rPr>
      </w:pPr>
      <w:r>
        <w:rPr>
          <w:noProof/>
        </w:rPr>
        <w:t>f)</w:t>
      </w:r>
      <w:r>
        <w:rPr>
          <w:noProof/>
        </w:rPr>
        <w:tab/>
        <w:t xml:space="preserve">en outre, les intitulés qui ont été modifiés, par exemple deux occurrences de «Freinage» remplacées par «Freinage (véhicules lourds)» et «Freinage (véhicules légers)», l’ont été par souci de clarté; </w:t>
      </w:r>
    </w:p>
    <w:p>
      <w:pPr>
        <w:pStyle w:val="Point1"/>
        <w:rPr>
          <w:noProof/>
        </w:rPr>
      </w:pPr>
      <w:r>
        <w:rPr>
          <w:noProof/>
        </w:rPr>
        <w:t>g)</w:t>
      </w:r>
      <w:r>
        <w:rPr>
          <w:noProof/>
        </w:rPr>
        <w:tab/>
        <w:t xml:space="preserve">à la ligne «Fumées d’échappement des moteurs diesel», la mention «Directive 72/306/CEE» a été supprimée car cet acte a été remplacé par le règlement (CE) nº 692/2008, qui a été ajouté dans la colonne «Règlement technique UE correspondant» du tableau 1; </w:t>
      </w:r>
    </w:p>
    <w:p>
      <w:pPr>
        <w:pStyle w:val="Point1"/>
        <w:rPr>
          <w:noProof/>
        </w:rPr>
      </w:pPr>
      <w:r>
        <w:rPr>
          <w:noProof/>
        </w:rPr>
        <w:t>h)</w:t>
      </w:r>
      <w:r>
        <w:rPr>
          <w:noProof/>
        </w:rPr>
        <w:tab/>
        <w:t>à la ligne «Émissions de CO</w:t>
      </w:r>
      <w:r>
        <w:rPr>
          <w:noProof/>
          <w:vertAlign w:val="subscript"/>
        </w:rPr>
        <w:t>2</w:t>
      </w:r>
      <w:r>
        <w:rPr>
          <w:noProof/>
        </w:rPr>
        <w:t xml:space="preserve"> – Consommation de carburant», la mention «Directive 80/1268/CEE» a été remplacée par la mention «Règlement (CE) nº 692/2008» dans la colonne «Règlement technique UE correspondant» du tableau 1 et l’intitulé a été modifié comme suit: «Émissions de CO</w:t>
      </w:r>
      <w:r>
        <w:rPr>
          <w:noProof/>
          <w:vertAlign w:val="subscript"/>
        </w:rPr>
        <w:t>2</w:t>
      </w:r>
      <w:r>
        <w:rPr>
          <w:noProof/>
        </w:rPr>
        <w:t xml:space="preserve"> – Consommation de carburant des véhicules affectés au transport de personnes comportant, outre le siège du conducteur, huit places assises au maximum» afin de respecter pleinement le champ d’application de ce règlement; </w:t>
      </w:r>
    </w:p>
    <w:p>
      <w:pPr>
        <w:pStyle w:val="Point1"/>
        <w:rPr>
          <w:noProof/>
        </w:rPr>
      </w:pPr>
      <w:r>
        <w:rPr>
          <w:noProof/>
        </w:rPr>
        <w:t>i)</w:t>
      </w:r>
      <w:r>
        <w:rPr>
          <w:noProof/>
        </w:rPr>
        <w:tab/>
        <w:t>à la ligne «Puissance du moteur», la mention «Directive 80/1269/CEE» a été supprimée car cet acte a été remplacé par les règlements (CE) nº 692/2008 et (UE) nº 582/2011, qui ont été ajoutés dans la colonne «Règlement technique UE correspondant» du tableau 1;</w:t>
      </w:r>
    </w:p>
    <w:p>
      <w:pPr>
        <w:pStyle w:val="Point1"/>
        <w:rPr>
          <w:noProof/>
        </w:rPr>
      </w:pPr>
      <w:r>
        <w:rPr>
          <w:noProof/>
        </w:rPr>
        <w:t>j)</w:t>
      </w:r>
      <w:r>
        <w:rPr>
          <w:noProof/>
        </w:rPr>
        <w:tab/>
        <w:t>à la ligne «Émissions des véhicules utilitaires lourds», la mention «Directive 2005/55/CE» a été remplacée par la mention des règlements (CE) nº 595/2009, (UE) nº 582/2011 et (UE) 2016/1718 dans la colonne «Règlement technique UE correspondant» du tableau 1. L’intitulé est devenu «Émissions des véhicules utilitaires lourds» parce que le règlement nº 49 de l’ONU s’applique aux véhicules utilitaires lourds (c’est-à-dire aux véhicules dont la masse de référence est supérieure à 2 610 kg).</w:t>
      </w:r>
    </w:p>
    <w:p>
      <w:pPr>
        <w:pStyle w:val="Point0"/>
        <w:rPr>
          <w:noProof/>
        </w:rPr>
      </w:pPr>
      <w:r>
        <w:rPr>
          <w:noProof/>
        </w:rPr>
        <w:t>(6)</w:t>
      </w:r>
      <w:r>
        <w:rPr>
          <w:noProof/>
        </w:rPr>
        <w:tab/>
        <w:t xml:space="preserve">Le tableau 2 de l’appendice 2-C-2 reste inchangé. </w:t>
      </w:r>
    </w:p>
    <w:p>
      <w:pPr>
        <w:pStyle w:val="Point0"/>
        <w:rPr>
          <w:noProof/>
        </w:rPr>
      </w:pPr>
      <w:r>
        <w:rPr>
          <w:noProof/>
        </w:rPr>
        <w:t>(7)</w:t>
      </w:r>
      <w:r>
        <w:rPr>
          <w:noProof/>
        </w:rPr>
        <w:tab/>
        <w:t>Le tableau 1 de l’appendice 2-C-3 a été modifié comme suit:</w:t>
      </w:r>
    </w:p>
    <w:p>
      <w:pPr>
        <w:pStyle w:val="Point1"/>
        <w:rPr>
          <w:noProof/>
        </w:rPr>
      </w:pPr>
      <w:r>
        <w:rPr>
          <w:noProof/>
        </w:rPr>
        <w:t>a)</w:t>
      </w:r>
      <w:r>
        <w:rPr>
          <w:noProof/>
        </w:rPr>
        <w:tab/>
        <w:t>dans la partie du tableau relative à la «Protection des occupants en cas de collision», à la ligne «frontale», la mention «KMVSS, article 102, paragraphes 1 et 3» a remplacé la mention «KMVSS, article 102» dans la colonne «Règlement technique coréen correspondant», en raison d’une révision des KMVSS;</w:t>
      </w:r>
    </w:p>
    <w:p>
      <w:pPr>
        <w:pStyle w:val="Point1"/>
        <w:rPr>
          <w:noProof/>
        </w:rPr>
      </w:pPr>
      <w:r>
        <w:rPr>
          <w:noProof/>
        </w:rPr>
        <w:t>b)</w:t>
      </w:r>
      <w:r>
        <w:rPr>
          <w:noProof/>
        </w:rPr>
        <w:tab/>
        <w:t>dans la partie du tableau relative à la «Protection des occupants en cas de collision», à la ligne «latérale», la mention «KMVSS, article 102, paragraphe 1» a remplacé la mention «KMVSS, article 102» dans la colonne «Règlement technique coréen correspondant», en raison d’une révision des KMVSS;</w:t>
      </w:r>
    </w:p>
    <w:p>
      <w:pPr>
        <w:pStyle w:val="Point1"/>
        <w:rPr>
          <w:noProof/>
        </w:rPr>
      </w:pPr>
      <w:r>
        <w:rPr>
          <w:noProof/>
        </w:rPr>
        <w:t>c)</w:t>
      </w:r>
      <w:r>
        <w:rPr>
          <w:noProof/>
        </w:rPr>
        <w:tab/>
        <w:t>la ligne «Crochet de remorquage» a été entièrement remaniée. Plus précisément, l’intitulé «Crochet de remorquage» a été remplacé par «Dispositifs de remorquage», qui est le terme officiel employé dans le règlement (UE) nº 1005/2010. En outre, dans la colonne «Prescriptions» applicable aux «dispositifs de remorquage», la mention «77/389/CEE» a été remplacée par «Règlement (UE) nº 1005/2010». Enfin, dans la colonne «Règlement technique coréen correspondant», la mention «KMVSS, article 20, paragraphe 1» a remplacé la mention précédente «KMVSS, article 20, points 1, 2, 4»;</w:t>
      </w:r>
    </w:p>
    <w:p>
      <w:pPr>
        <w:pStyle w:val="Point1"/>
        <w:rPr>
          <w:noProof/>
        </w:rPr>
      </w:pPr>
      <w:r>
        <w:rPr>
          <w:noProof/>
        </w:rPr>
        <w:t>d)</w:t>
      </w:r>
      <w:r>
        <w:rPr>
          <w:noProof/>
        </w:rPr>
        <w:tab/>
        <w:t>dans la partie du tableau relative au «Système d’éclairage et de signalisation», la référence à l’article 106, points 1 à 10, des KMVSS a été supprimée de la colonne «Règlement technique coréen correspondant» pour les lignes «Projecteurs avant», «Feux antibrouillard avant», «Feux arrière», «Feux de gabarit» «Éclairage de la plaque d’immatriculation», «Feux arrière», «Feux stop», «Feux stop central», «Clignotants», «Clignotants auxiliaires» et «Feux antibrouillard arrière» en raison d’une révision des KMVSS;</w:t>
      </w:r>
    </w:p>
    <w:p>
      <w:pPr>
        <w:pStyle w:val="Point1"/>
        <w:rPr>
          <w:noProof/>
        </w:rPr>
      </w:pPr>
      <w:r>
        <w:rPr>
          <w:noProof/>
        </w:rPr>
        <w:t>e)</w:t>
      </w:r>
      <w:r>
        <w:rPr>
          <w:noProof/>
        </w:rPr>
        <w:tab/>
        <w:t>dans la partie du tableau relative au «Système d’éclairage et de signalisation», à la ligne «Installation», la mention «KMVSS, articles 38, 38-2, 38-3, 38-4, 38-5, 39, 40, 41, 42, 43, 44, 44-2, 45, 45-2, 47 et 49» a remplacé, dans la colonne «Règlement technique coréen correspondant», la mention précédente «KMVSS, articles 38, 39, 40, 41, 42, 43, 44, 45 et 47», en raison d’une révision des KMVSS;</w:t>
      </w:r>
    </w:p>
    <w:p>
      <w:pPr>
        <w:pStyle w:val="Point1"/>
        <w:rPr>
          <w:noProof/>
        </w:rPr>
      </w:pPr>
      <w:r>
        <w:rPr>
          <w:noProof/>
        </w:rPr>
        <w:t>f)</w:t>
      </w:r>
      <w:r>
        <w:rPr>
          <w:noProof/>
        </w:rPr>
        <w:tab/>
        <w:t>dans la partie du tableau relative au «Système d’éclairage et de signalisation», les lignes «Feux de circulation diurnes» et «Feux d’angle» ont été ajoutées en raison d’une révision des KMVSS et afin de tenir compte des prescriptions d’installation actualisées applicables au système d’éclairage et de signalisation;</w:t>
      </w:r>
    </w:p>
    <w:p>
      <w:pPr>
        <w:pStyle w:val="Point1"/>
        <w:rPr>
          <w:noProof/>
        </w:rPr>
      </w:pPr>
      <w:r>
        <w:rPr>
          <w:noProof/>
        </w:rPr>
        <w:t>g)</w:t>
      </w:r>
      <w:r>
        <w:rPr>
          <w:noProof/>
        </w:rPr>
        <w:tab/>
        <w:t>dans la partie du tableau relative au «Système d’éclairage et de signalisation», à la ligne «Feux stop central», outre la suppression de la référence à l’article 106, point 8, des KMVSS, la référence au paragraphe 3 de l’article 43 des KMVSS a également été supprimée et a été remplacée par la mention «KMVSS, article 43, paragraphe 2» dans la colonne «Règlement technique coréen correspondant»;</w:t>
      </w:r>
    </w:p>
    <w:p>
      <w:pPr>
        <w:pStyle w:val="Point1"/>
        <w:rPr>
          <w:noProof/>
        </w:rPr>
      </w:pPr>
      <w:r>
        <w:rPr>
          <w:noProof/>
        </w:rPr>
        <w:t>h)</w:t>
      </w:r>
      <w:r>
        <w:rPr>
          <w:noProof/>
        </w:rPr>
        <w:tab/>
        <w:t>dans la partie du tableau relative au «Système d’éclairage et de signalisation», la ligne «Feux de position latéraux» a été ajoutée en raison d’une révision des KMVSS et afin de tenir compte des prescriptions d’installation actualisées applicables au système d’éclairage et de signalisation;</w:t>
      </w:r>
    </w:p>
    <w:p>
      <w:pPr>
        <w:pStyle w:val="Point1"/>
        <w:rPr>
          <w:noProof/>
        </w:rPr>
      </w:pPr>
      <w:r>
        <w:rPr>
          <w:noProof/>
        </w:rPr>
        <w:t>i)</w:t>
      </w:r>
      <w:r>
        <w:rPr>
          <w:noProof/>
        </w:rPr>
        <w:tab/>
        <w:t xml:space="preserve">dans la partie du tableau relative au «Système d’éclairage et de signalisation», à la ligne «Catadioptres», dans la colonne «Règlement technique coréen correspondant», la mention «KMVSS, article 49» a remplacé la mention précédente «KMVSS, article 49, paragraphes 1, 2; article 107», en raison d’une révision des KMVSS; </w:t>
      </w:r>
    </w:p>
    <w:p>
      <w:pPr>
        <w:pStyle w:val="Point1"/>
        <w:rPr>
          <w:noProof/>
        </w:rPr>
      </w:pPr>
      <w:r>
        <w:rPr>
          <w:noProof/>
        </w:rPr>
        <w:t>j)</w:t>
      </w:r>
      <w:r>
        <w:rPr>
          <w:noProof/>
        </w:rPr>
        <w:tab/>
        <w:t>à la ligne «Puissance du moteur», dans la colonne «Règlement technique coréen correspondant», la mention «KMVSS, article 111» a remplacé la mention précédente «KMVSS, article 11, paragraphe 1, point 2; article 111», en raison d’une révision des KMVSS;</w:t>
      </w:r>
    </w:p>
    <w:p>
      <w:pPr>
        <w:pStyle w:val="Point1"/>
        <w:rPr>
          <w:noProof/>
        </w:rPr>
      </w:pPr>
      <w:r>
        <w:rPr>
          <w:noProof/>
        </w:rPr>
        <w:t>k)</w:t>
      </w:r>
      <w:r>
        <w:rPr>
          <w:noProof/>
        </w:rPr>
        <w:tab/>
        <w:t>dans la partie du tableau relative aux «Dispositifs pour assurer la visibilité du conducteur», les mentions «78/318/CEE» et «78/317/CEE» figurant dans la colonne «Prescriptions» ont été supprimées en raison de l’abrogation des actes correspondants, et remplacées par les mentions «Règlement (UE) nº 1008/2010» et «Règlement (UE) nº 672/2010». Les mentions figurant dans la colonne «Règlement technique coréen correspondant» restent inchangées;</w:t>
      </w:r>
    </w:p>
    <w:p>
      <w:pPr>
        <w:pStyle w:val="Point1"/>
        <w:rPr>
          <w:noProof/>
        </w:rPr>
      </w:pPr>
      <w:r>
        <w:rPr>
          <w:noProof/>
        </w:rPr>
        <w:t>l)</w:t>
      </w:r>
      <w:r>
        <w:rPr>
          <w:noProof/>
        </w:rPr>
        <w:tab/>
        <w:t xml:space="preserve">à la ligne «Ancrages des ceintures de sécurité», dans la colonne «Règlement technique coréen correspondant», la mention «KMVSS, article 27, paragraphe 1, 2, 3, 4; article 103» a remplacé la mention précédente «KMVSS, article 27 paragraphes 1, 2, 3, 4, 5; article 103, paragraphes 1, 2, 3», en raison d’une révision des KMVSS; </w:t>
      </w:r>
    </w:p>
    <w:p>
      <w:pPr>
        <w:pStyle w:val="Point1"/>
        <w:rPr>
          <w:noProof/>
        </w:rPr>
      </w:pPr>
      <w:r>
        <w:rPr>
          <w:noProof/>
        </w:rPr>
        <w:t>m)</w:t>
      </w:r>
      <w:r>
        <w:rPr>
          <w:noProof/>
        </w:rPr>
        <w:tab/>
        <w:t>à la ligne «Émissions et niveaux de bruit (sauf bruit de passage de véhicules à 3 ou 4 roues) pour motocycles», la mention «Directives 2002/51/CE, 2003/77/CE, 97/24/CE Chapitres 5 et 9» figurant dans la colonne «Prescriptions» a été supprimée en raison de l’abrogation des actes correspondants, et remplacée par la mention «Règlements (UE) nº 168/2013 et (UE) nº 134/2014». Les mentions figurant dans la colonne «Règlement technique coréen correspondant» restent inchangées;</w:t>
      </w:r>
    </w:p>
    <w:p>
      <w:pPr>
        <w:pStyle w:val="Point1"/>
        <w:rPr>
          <w:noProof/>
        </w:rPr>
      </w:pPr>
      <w:r>
        <w:rPr>
          <w:noProof/>
        </w:rPr>
        <w:t>n)</w:t>
      </w:r>
      <w:r>
        <w:rPr>
          <w:noProof/>
        </w:rPr>
        <w:tab/>
        <w:t>dans la partie du tableau relative aux «Émissions diesel (y compris OBD)», à la ligne «Véhicules de moins de 3,5 tonnes», les mentions suivantes ont été ajoutées dans la colonne «Prescriptions»: «Règlements (CE) nº 715/2007» et «(UE) nº 459/2012», parce qu’il s’agit des règlements applicables qui correspondent aux KMVSS. Les mentions figurant dans la colonne «Règlement technique coréen correspondant» restent inchangées;</w:t>
      </w:r>
    </w:p>
    <w:p>
      <w:pPr>
        <w:pStyle w:val="Point1"/>
        <w:rPr>
          <w:noProof/>
        </w:rPr>
      </w:pPr>
      <w:r>
        <w:rPr>
          <w:noProof/>
        </w:rPr>
        <w:t>o)</w:t>
      </w:r>
      <w:r>
        <w:rPr>
          <w:noProof/>
        </w:rPr>
        <w:tab/>
        <w:t>dans la partie du tableau relative aux «Émissions diesel (y compris OBD)», à la ligne «Véhicules de plus de 3,5 tonnes», la mention «Règlement (CE) 692/2008» a été supprimée dans la colonne «Prescriptions» et remplacée par la mention «Règlements (CE) nº 595/2009 et (UE) nº 582/2011» parce que le règlement (CE) nº 692/2008 ne s’applique pas aux véhicules utilitaires lourds. Les mentions figurant dans la colonne «Règlement technique coréen correspondant» restent inchangées;</w:t>
      </w:r>
    </w:p>
    <w:p>
      <w:pPr>
        <w:pStyle w:val="Point1"/>
        <w:rPr>
          <w:noProof/>
        </w:rPr>
      </w:pPr>
      <w:r>
        <w:rPr>
          <w:noProof/>
        </w:rPr>
        <w:t>p)</w:t>
      </w:r>
      <w:r>
        <w:rPr>
          <w:noProof/>
        </w:rPr>
        <w:tab/>
        <w:t>à la ligne «Pneumatiques», dans la colonne «Règlement technique coréen correspondant», la mention «Articles 15, 18 et 19 de la loi sur le contrôle de la sécurité des appareils électriques et des produits de consommation; Article 3, paragraphe 4, et article 26 des règles d’application de la loi sur le contrôle de la sécurité des appareils électriques et des produits de consommation; KMVSS, article 12, paragraphe 1» remplace la mention précédente «Loi sur la gestion de la qualité, la sécurité et le contrôle des produits industriels (QMSCIPA) (articles 19, 20, 21); règlement d’application de QMSCIPA, article 2 paragraphe 2; article 19.» Cette modification est due au remplacement de la QMSCIPA par la loi sur le contrôle de la sécurité des appareils électriques et des produits de consommation.</w:t>
      </w:r>
    </w:p>
    <w:p>
      <w:pPr>
        <w:pStyle w:val="Point0"/>
        <w:rPr>
          <w:noProof/>
        </w:rPr>
      </w:pPr>
      <w:r>
        <w:rPr>
          <w:noProof/>
        </w:rPr>
        <w:t>(8)</w:t>
      </w:r>
      <w:r>
        <w:rPr>
          <w:noProof/>
        </w:rPr>
        <w:tab/>
        <w:t xml:space="preserve">Le tableau 2 de l’appendice 2-C-3 reste inchangé. </w:t>
      </w:r>
    </w:p>
    <w:p>
      <w:pPr>
        <w:pStyle w:val="Point0"/>
        <w:rPr>
          <w:noProof/>
        </w:rPr>
      </w:pPr>
      <w:r>
        <w:rPr>
          <w:noProof/>
        </w:rPr>
        <w:t>(9)</w:t>
      </w:r>
      <w:r>
        <w:rPr>
          <w:noProof/>
        </w:rPr>
        <w:tab/>
        <w:t>Conformément à l’article 12, paragraphe 2, de l’annexe de la décision nº 1 du comité «Commerce» UE-Corée du 23 décembre 2011 concernant l’adoption du règlement intérieur du comité «Commerce», entre les réunions, le comité «Commerce» peut, si les deux parties en conviennent, arrêter des décisions par procédure écrite. La procédure écrite consiste en un échange de notes entre les présidents du comité «Commerce»,</w:t>
      </w:r>
    </w:p>
    <w:p>
      <w:pPr>
        <w:spacing w:line="276" w:lineRule="auto"/>
        <w:rPr>
          <w:noProof/>
        </w:rPr>
      </w:pPr>
      <w:r>
        <w:rPr>
          <w:noProof/>
        </w:rPr>
        <w:t>A ADOPTÉ LA PRÉSENTE DÉCISION:</w:t>
      </w:r>
    </w:p>
    <w:p>
      <w:pPr>
        <w:spacing w:line="276" w:lineRule="auto"/>
        <w:jc w:val="center"/>
        <w:rPr>
          <w:i/>
          <w:noProof/>
        </w:rPr>
      </w:pPr>
      <w:r>
        <w:rPr>
          <w:i/>
          <w:noProof/>
        </w:rPr>
        <w:t>Article premier</w:t>
      </w:r>
    </w:p>
    <w:p>
      <w:pPr>
        <w:rPr>
          <w:noProof/>
        </w:rPr>
      </w:pPr>
      <w:r>
        <w:rPr>
          <w:noProof/>
        </w:rPr>
        <w:t>Le tableau 1 de l’appendice 2-C-2 de l’annexe 2-C de l’accord est remplacé par le tableau 1 de l’annexe 1 de la présente décision.</w:t>
      </w:r>
    </w:p>
    <w:p>
      <w:pPr>
        <w:spacing w:line="276" w:lineRule="auto"/>
        <w:jc w:val="center"/>
        <w:rPr>
          <w:i/>
          <w:noProof/>
        </w:rPr>
      </w:pPr>
      <w:r>
        <w:rPr>
          <w:i/>
          <w:noProof/>
        </w:rPr>
        <w:t>Article 2</w:t>
      </w:r>
    </w:p>
    <w:p>
      <w:pPr>
        <w:rPr>
          <w:noProof/>
        </w:rPr>
      </w:pPr>
      <w:r>
        <w:rPr>
          <w:noProof/>
        </w:rPr>
        <w:t xml:space="preserve">Le tableau 1 de l’appendice 2-C-3 de l’annexe 2-C de l’accord est remplacé par le tableau 1 de l’annexe 2 de la présente décision. </w:t>
      </w:r>
    </w:p>
    <w:p>
      <w:pPr>
        <w:spacing w:line="276" w:lineRule="auto"/>
        <w:jc w:val="center"/>
        <w:rPr>
          <w:i/>
          <w:noProof/>
        </w:rPr>
      </w:pPr>
      <w:r>
        <w:rPr>
          <w:i/>
          <w:noProof/>
        </w:rPr>
        <w:t>Article 3</w:t>
      </w:r>
    </w:p>
    <w:p>
      <w:pPr>
        <w:spacing w:after="480"/>
        <w:rPr>
          <w:noProof/>
        </w:rPr>
      </w:pPr>
      <w:r>
        <w:rPr>
          <w:noProof/>
        </w:rPr>
        <w:t>La présente décision entre en vigueur le premier jour du mois suivant la date à laquelle les parties ont échangé, par la voie diplomatique, des notifications écrites certifiant qu’elles ont satisfait à leurs exigences et procédures juridiques applicables respectives nécessaires pour l’entrée en vigueur.</w:t>
      </w:r>
    </w:p>
    <w:tbl>
      <w:tblPr>
        <w:tblW w:w="0" w:type="auto"/>
        <w:tblLook w:val="04A0" w:firstRow="1" w:lastRow="0" w:firstColumn="1" w:lastColumn="0" w:noHBand="0" w:noVBand="1"/>
      </w:tblPr>
      <w:tblGrid>
        <w:gridCol w:w="4379"/>
        <w:gridCol w:w="38"/>
        <w:gridCol w:w="4341"/>
        <w:gridCol w:w="76"/>
      </w:tblGrid>
      <w:tr>
        <w:trPr>
          <w:gridAfter w:val="1"/>
          <w:wAfter w:w="76" w:type="dxa"/>
        </w:trPr>
        <w:tc>
          <w:tcPr>
            <w:tcW w:w="4379" w:type="dxa"/>
          </w:tcPr>
          <w:p>
            <w:pPr>
              <w:rPr>
                <w:noProof/>
              </w:rPr>
            </w:pPr>
            <w:r>
              <w:rPr>
                <w:noProof/>
              </w:rPr>
              <w:t xml:space="preserve">Par le comité «Commerce» </w:t>
            </w:r>
          </w:p>
        </w:tc>
        <w:tc>
          <w:tcPr>
            <w:tcW w:w="4379" w:type="dxa"/>
            <w:gridSpan w:val="2"/>
          </w:tcPr>
          <w:p>
            <w:pPr>
              <w:rPr>
                <w:noProof/>
              </w:rPr>
            </w:pPr>
          </w:p>
        </w:tc>
      </w:tr>
      <w:tr>
        <w:trPr>
          <w:gridAfter w:val="1"/>
          <w:wAfter w:w="76" w:type="dxa"/>
        </w:trPr>
        <w:tc>
          <w:tcPr>
            <w:tcW w:w="4379" w:type="dxa"/>
          </w:tcPr>
          <w:p>
            <w:pPr>
              <w:jc w:val="left"/>
              <w:rPr>
                <w:noProof/>
              </w:rPr>
            </w:pPr>
            <w:r>
              <w:rPr>
                <w:noProof/>
              </w:rPr>
              <w:t>Yoo Myung-hee</w:t>
            </w:r>
          </w:p>
          <w:p>
            <w:pPr>
              <w:jc w:val="left"/>
              <w:rPr>
                <w:noProof/>
              </w:rPr>
            </w:pPr>
            <w:r>
              <w:rPr>
                <w:noProof/>
              </w:rPr>
              <w:t>Ministre du commerce</w:t>
            </w:r>
          </w:p>
          <w:p>
            <w:pPr>
              <w:rPr>
                <w:noProof/>
              </w:rPr>
            </w:pPr>
            <w:r>
              <w:rPr>
                <w:noProof/>
              </w:rPr>
              <w:t>Ministère du commerce, de l’industrie et de l’énergie de la République de Corée</w:t>
            </w:r>
          </w:p>
        </w:tc>
        <w:tc>
          <w:tcPr>
            <w:tcW w:w="4379" w:type="dxa"/>
            <w:gridSpan w:val="2"/>
          </w:tcPr>
          <w:p>
            <w:pPr>
              <w:jc w:val="left"/>
              <w:rPr>
                <w:noProof/>
              </w:rPr>
            </w:pPr>
            <w:r>
              <w:rPr>
                <w:noProof/>
              </w:rPr>
              <w:t>Cecilia MALMSTRÖM</w:t>
            </w:r>
          </w:p>
          <w:p>
            <w:pPr>
              <w:jc w:val="left"/>
              <w:rPr>
                <w:noProof/>
              </w:rPr>
            </w:pPr>
            <w:r>
              <w:rPr>
                <w:noProof/>
              </w:rPr>
              <w:t>Membre de la Commission européenne chargé du commerce</w:t>
            </w:r>
          </w:p>
          <w:p>
            <w:pPr>
              <w:rPr>
                <w:noProof/>
              </w:rPr>
            </w:pPr>
          </w:p>
        </w:tc>
      </w:tr>
      <w:tr>
        <w:tblPrEx>
          <w:tblLook w:val="01E0" w:firstRow="1" w:lastRow="1" w:firstColumn="1" w:lastColumn="1" w:noHBand="0" w:noVBand="0"/>
        </w:tblPrEx>
        <w:tc>
          <w:tcPr>
            <w:tcW w:w="4417" w:type="dxa"/>
            <w:gridSpan w:val="2"/>
            <w:shd w:val="clear" w:color="auto" w:fill="auto"/>
          </w:tcPr>
          <w:p>
            <w:pPr>
              <w:spacing w:before="0" w:after="0" w:line="276" w:lineRule="auto"/>
              <w:rPr>
                <w:noProof/>
              </w:rPr>
            </w:pPr>
          </w:p>
        </w:tc>
        <w:tc>
          <w:tcPr>
            <w:tcW w:w="4417" w:type="dxa"/>
            <w:gridSpan w:val="2"/>
            <w:shd w:val="clear" w:color="auto" w:fill="auto"/>
          </w:tcPr>
          <w:p>
            <w:pPr>
              <w:spacing w:before="0" w:after="0" w:line="276" w:lineRule="auto"/>
              <w:rPr>
                <w:noProof/>
              </w:rPr>
            </w:pPr>
          </w:p>
        </w:tc>
      </w:tr>
    </w:tbl>
    <w:p>
      <w:pPr>
        <w:spacing w:before="0" w:after="200" w:line="276" w:lineRule="auto"/>
        <w:jc w:val="left"/>
        <w:rPr>
          <w:noProof/>
        </w:rPr>
        <w:sectPr>
          <w:footerReference w:type="default" r:id="rId16"/>
          <w:footerReference w:type="first" r:id="rId17"/>
          <w:pgSz w:w="11906" w:h="16838"/>
          <w:pgMar w:top="1020" w:right="1701" w:bottom="1020" w:left="1587" w:header="601" w:footer="1077" w:gutter="0"/>
          <w:cols w:space="720"/>
          <w:docGrid w:linePitch="326"/>
        </w:sectPr>
      </w:pPr>
    </w:p>
    <w:p>
      <w:pPr>
        <w:jc w:val="right"/>
        <w:rPr>
          <w:noProof/>
        </w:rPr>
      </w:pPr>
      <w:r>
        <w:rPr>
          <w:noProof/>
        </w:rPr>
        <w:t>Annexe 1</w:t>
      </w:r>
    </w:p>
    <w:p>
      <w:pPr>
        <w:jc w:val="center"/>
        <w:rPr>
          <w:noProof/>
        </w:rPr>
      </w:pPr>
      <w:r>
        <w:rPr>
          <w:noProof/>
        </w:rPr>
        <w:t>Appendice 2-C-2</w:t>
      </w:r>
    </w:p>
    <w:p>
      <w:pPr>
        <w:jc w:val="center"/>
        <w:rPr>
          <w:noProof/>
        </w:rPr>
      </w:pPr>
      <w:r>
        <w:rPr>
          <w:noProof/>
        </w:rPr>
        <w:t>Tableau 1</w:t>
      </w:r>
    </w:p>
    <w:p>
      <w:pPr>
        <w:jc w:val="center"/>
        <w:rPr>
          <w:b/>
          <w:noProof/>
        </w:rPr>
      </w:pPr>
      <w:r>
        <w:rPr>
          <w:b/>
          <w:noProof/>
        </w:rPr>
        <w:t>Liste visée à l’article 3, point a) i), de l’annexe 2-C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5"/>
        <w:gridCol w:w="2934"/>
        <w:gridCol w:w="2915"/>
      </w:tblGrid>
      <w:tr>
        <w:trPr>
          <w:tblHeader/>
        </w:trPr>
        <w:tc>
          <w:tcPr>
            <w:tcW w:w="3080" w:type="dxa"/>
            <w:shd w:val="clear" w:color="auto" w:fill="auto"/>
            <w:vAlign w:val="center"/>
          </w:tcPr>
          <w:p>
            <w:pPr>
              <w:shd w:val="clear" w:color="auto" w:fill="FFFFFF"/>
              <w:spacing w:line="220" w:lineRule="exact"/>
              <w:jc w:val="left"/>
              <w:rPr>
                <w:noProof/>
              </w:rPr>
            </w:pPr>
            <w:r>
              <w:rPr>
                <w:noProof/>
              </w:rPr>
              <w:t>Objet</w:t>
            </w:r>
          </w:p>
        </w:tc>
        <w:tc>
          <w:tcPr>
            <w:tcW w:w="3081" w:type="dxa"/>
            <w:shd w:val="clear" w:color="auto" w:fill="auto"/>
            <w:vAlign w:val="center"/>
          </w:tcPr>
          <w:p>
            <w:pPr>
              <w:shd w:val="clear" w:color="auto" w:fill="FFFFFF"/>
              <w:spacing w:line="220" w:lineRule="exact"/>
              <w:ind w:left="280"/>
              <w:jc w:val="left"/>
              <w:rPr>
                <w:noProof/>
              </w:rPr>
            </w:pPr>
            <w:r>
              <w:rPr>
                <w:noProof/>
              </w:rPr>
              <w:t>Prescriptions</w:t>
            </w:r>
          </w:p>
        </w:tc>
        <w:tc>
          <w:tcPr>
            <w:tcW w:w="3081" w:type="dxa"/>
            <w:shd w:val="clear" w:color="auto" w:fill="auto"/>
            <w:vAlign w:val="bottom"/>
          </w:tcPr>
          <w:p>
            <w:pPr>
              <w:shd w:val="clear" w:color="auto" w:fill="FFFFFF"/>
              <w:spacing w:line="274" w:lineRule="exact"/>
              <w:jc w:val="left"/>
              <w:rPr>
                <w:noProof/>
              </w:rPr>
            </w:pPr>
            <w:r>
              <w:rPr>
                <w:noProof/>
              </w:rPr>
              <w:t>Règlement technique UE correspondant (le cas échéant)</w:t>
            </w:r>
            <w:r>
              <w:rPr>
                <w:rStyle w:val="FootnoteReference"/>
                <w:noProof/>
              </w:rPr>
              <w:footnoteReference w:id="2"/>
            </w:r>
          </w:p>
        </w:tc>
      </w:tr>
      <w:tr>
        <w:tc>
          <w:tcPr>
            <w:tcW w:w="3080" w:type="dxa"/>
            <w:shd w:val="clear" w:color="auto" w:fill="auto"/>
            <w:vAlign w:val="center"/>
          </w:tcPr>
          <w:p>
            <w:pPr>
              <w:shd w:val="clear" w:color="auto" w:fill="FFFFFF"/>
              <w:spacing w:line="240" w:lineRule="atLeast"/>
              <w:jc w:val="left"/>
              <w:rPr>
                <w:noProof/>
              </w:rPr>
            </w:pPr>
            <w:r>
              <w:rPr>
                <w:noProof/>
              </w:rPr>
              <w:t>Niveau sonore admissible</w:t>
            </w:r>
          </w:p>
        </w:tc>
        <w:tc>
          <w:tcPr>
            <w:tcW w:w="3081" w:type="dxa"/>
            <w:shd w:val="clear" w:color="auto" w:fill="auto"/>
            <w:vAlign w:val="center"/>
          </w:tcPr>
          <w:p>
            <w:pPr>
              <w:shd w:val="clear" w:color="auto" w:fill="FFFFFF"/>
              <w:spacing w:line="240" w:lineRule="atLeast"/>
              <w:ind w:left="20"/>
              <w:jc w:val="left"/>
              <w:rPr>
                <w:noProof/>
              </w:rPr>
            </w:pPr>
            <w:r>
              <w:rPr>
                <w:noProof/>
              </w:rPr>
              <w:t>Règl. ONU</w:t>
            </w:r>
            <w:r>
              <w:rPr>
                <w:rStyle w:val="FootnoteReference"/>
                <w:noProof/>
              </w:rPr>
              <w:footnoteReference w:id="3"/>
            </w:r>
            <w:r>
              <w:rPr>
                <w:noProof/>
              </w:rPr>
              <w:t xml:space="preserve"> 51</w:t>
            </w:r>
          </w:p>
        </w:tc>
        <w:tc>
          <w:tcPr>
            <w:tcW w:w="3081" w:type="dxa"/>
            <w:shd w:val="clear" w:color="auto" w:fill="auto"/>
            <w:vAlign w:val="center"/>
          </w:tcPr>
          <w:p>
            <w:pPr>
              <w:shd w:val="clear" w:color="auto" w:fill="FFFFFF"/>
              <w:spacing w:line="240" w:lineRule="atLeast"/>
              <w:ind w:left="20"/>
              <w:jc w:val="left"/>
              <w:rPr>
                <w:noProof/>
              </w:rPr>
            </w:pPr>
            <w:r>
              <w:rPr>
                <w:noProof/>
              </w:rPr>
              <w:t>Directive 70/157/CEE, règlement (UE) nº 540/2014</w:t>
            </w:r>
          </w:p>
        </w:tc>
      </w:tr>
      <w:tr>
        <w:tc>
          <w:tcPr>
            <w:tcW w:w="3080" w:type="dxa"/>
            <w:shd w:val="clear" w:color="auto" w:fill="auto"/>
            <w:vAlign w:val="center"/>
          </w:tcPr>
          <w:p>
            <w:pPr>
              <w:shd w:val="clear" w:color="auto" w:fill="FFFFFF"/>
              <w:spacing w:line="240" w:lineRule="atLeast"/>
              <w:jc w:val="left"/>
              <w:rPr>
                <w:noProof/>
              </w:rPr>
            </w:pPr>
            <w:r>
              <w:rPr>
                <w:noProof/>
              </w:rPr>
              <w:t>Dispositifs silencieux d’échappement de remplacement</w:t>
            </w:r>
          </w:p>
        </w:tc>
        <w:tc>
          <w:tcPr>
            <w:tcW w:w="3081" w:type="dxa"/>
            <w:shd w:val="clear" w:color="auto" w:fill="auto"/>
            <w:vAlign w:val="bottom"/>
          </w:tcPr>
          <w:p>
            <w:pPr>
              <w:shd w:val="clear" w:color="auto" w:fill="FFFFFF"/>
              <w:spacing w:line="240" w:lineRule="atLeast"/>
              <w:jc w:val="left"/>
              <w:rPr>
                <w:noProof/>
              </w:rPr>
            </w:pPr>
            <w:r>
              <w:rPr>
                <w:noProof/>
              </w:rPr>
              <w:t>Règl. ONU 59</w:t>
            </w:r>
          </w:p>
        </w:tc>
        <w:tc>
          <w:tcPr>
            <w:tcW w:w="3081" w:type="dxa"/>
            <w:shd w:val="clear" w:color="auto" w:fill="auto"/>
            <w:vAlign w:val="bottom"/>
          </w:tcPr>
          <w:p>
            <w:pPr>
              <w:shd w:val="clear" w:color="auto" w:fill="FFFFFF"/>
              <w:spacing w:line="240" w:lineRule="atLeast"/>
              <w:jc w:val="left"/>
              <w:rPr>
                <w:noProof/>
              </w:rPr>
            </w:pPr>
            <w:r>
              <w:rPr>
                <w:noProof/>
              </w:rPr>
              <w:t>Directive 70/157/CEE, règlement (UE) nº 540/2014</w:t>
            </w:r>
          </w:p>
        </w:tc>
      </w:tr>
      <w:tr>
        <w:tc>
          <w:tcPr>
            <w:tcW w:w="3080" w:type="dxa"/>
            <w:shd w:val="clear" w:color="auto" w:fill="auto"/>
          </w:tcPr>
          <w:p>
            <w:pPr>
              <w:shd w:val="clear" w:color="auto" w:fill="FFFFFF"/>
              <w:spacing w:line="240" w:lineRule="atLeast"/>
              <w:jc w:val="left"/>
              <w:rPr>
                <w:noProof/>
              </w:rPr>
            </w:pPr>
            <w:r>
              <w:rPr>
                <w:noProof/>
              </w:rPr>
              <w:t xml:space="preserve">Émissions des véhicules légers </w:t>
            </w:r>
          </w:p>
        </w:tc>
        <w:tc>
          <w:tcPr>
            <w:tcW w:w="3081" w:type="dxa"/>
            <w:shd w:val="clear" w:color="auto" w:fill="auto"/>
          </w:tcPr>
          <w:p>
            <w:pPr>
              <w:shd w:val="clear" w:color="auto" w:fill="FFFFFF"/>
              <w:spacing w:line="240" w:lineRule="atLeast"/>
              <w:jc w:val="left"/>
              <w:rPr>
                <w:noProof/>
              </w:rPr>
            </w:pPr>
            <w:r>
              <w:rPr>
                <w:noProof/>
              </w:rPr>
              <w:t>Règl. ONU 83</w:t>
            </w:r>
          </w:p>
        </w:tc>
        <w:tc>
          <w:tcPr>
            <w:tcW w:w="3081" w:type="dxa"/>
            <w:shd w:val="clear" w:color="auto" w:fill="auto"/>
          </w:tcPr>
          <w:p>
            <w:pPr>
              <w:shd w:val="clear" w:color="auto" w:fill="FFFFFF"/>
              <w:spacing w:line="240" w:lineRule="atLeast"/>
              <w:jc w:val="left"/>
              <w:rPr>
                <w:noProof/>
              </w:rPr>
            </w:pPr>
            <w:r>
              <w:rPr>
                <w:noProof/>
              </w:rPr>
              <w:t>Règlements (CE) nº 715/2007, (CE) nº 692/2008 et (UE) nº 459/2012</w:t>
            </w:r>
          </w:p>
          <w:p>
            <w:pPr>
              <w:shd w:val="clear" w:color="auto" w:fill="FFFFFF"/>
              <w:spacing w:line="240" w:lineRule="atLeast"/>
              <w:jc w:val="left"/>
              <w:rPr>
                <w:noProof/>
              </w:rPr>
            </w:pPr>
            <w:r>
              <w:rPr>
                <w:noProof/>
              </w:rPr>
              <w:t xml:space="preserve">Règlements (UE) 2016/427, (UE) 2016/646, (UE) 2017/1151, (UE) 2017/1154 et (UE) 2018/1832 </w:t>
            </w:r>
          </w:p>
        </w:tc>
      </w:tr>
      <w:tr>
        <w:tc>
          <w:tcPr>
            <w:tcW w:w="3080" w:type="dxa"/>
            <w:shd w:val="clear" w:color="auto" w:fill="auto"/>
          </w:tcPr>
          <w:p>
            <w:pPr>
              <w:shd w:val="clear" w:color="auto" w:fill="FFFFFF"/>
              <w:spacing w:line="240" w:lineRule="atLeast"/>
              <w:jc w:val="left"/>
              <w:rPr>
                <w:noProof/>
              </w:rPr>
            </w:pPr>
            <w:r>
              <w:rPr>
                <w:noProof/>
              </w:rPr>
              <w:t>Catalyseurs de remplacement pour véhicules à moteur</w:t>
            </w:r>
          </w:p>
        </w:tc>
        <w:tc>
          <w:tcPr>
            <w:tcW w:w="3081" w:type="dxa"/>
            <w:shd w:val="clear" w:color="auto" w:fill="auto"/>
          </w:tcPr>
          <w:p>
            <w:pPr>
              <w:shd w:val="clear" w:color="auto" w:fill="FFFFFF"/>
              <w:spacing w:line="240" w:lineRule="atLeast"/>
              <w:jc w:val="left"/>
              <w:rPr>
                <w:noProof/>
              </w:rPr>
            </w:pPr>
            <w:r>
              <w:rPr>
                <w:noProof/>
              </w:rPr>
              <w:t>Règl. ONU 103</w:t>
            </w:r>
          </w:p>
        </w:tc>
        <w:tc>
          <w:tcPr>
            <w:tcW w:w="3081" w:type="dxa"/>
            <w:shd w:val="clear" w:color="auto" w:fill="auto"/>
          </w:tcPr>
          <w:p>
            <w:pPr>
              <w:shd w:val="clear" w:color="auto" w:fill="FFFFFF"/>
              <w:spacing w:line="240" w:lineRule="atLeast"/>
              <w:jc w:val="left"/>
              <w:rPr>
                <w:noProof/>
              </w:rPr>
            </w:pPr>
            <w:r>
              <w:rPr>
                <w:noProof/>
              </w:rPr>
              <w:t>Règlements (CE) nº 715/2007 et (CE) nº 692/2008</w:t>
            </w:r>
          </w:p>
        </w:tc>
      </w:tr>
      <w:tr>
        <w:tc>
          <w:tcPr>
            <w:tcW w:w="3080" w:type="dxa"/>
            <w:shd w:val="clear" w:color="auto" w:fill="auto"/>
          </w:tcPr>
          <w:p>
            <w:pPr>
              <w:shd w:val="clear" w:color="auto" w:fill="FFFFFF"/>
              <w:spacing w:line="240" w:lineRule="atLeast"/>
              <w:jc w:val="left"/>
              <w:rPr>
                <w:noProof/>
              </w:rPr>
            </w:pPr>
            <w:r>
              <w:rPr>
                <w:noProof/>
              </w:rPr>
              <w:t>Réservoirs de carburant</w:t>
            </w:r>
          </w:p>
        </w:tc>
        <w:tc>
          <w:tcPr>
            <w:tcW w:w="3081" w:type="dxa"/>
            <w:shd w:val="clear" w:color="auto" w:fill="auto"/>
          </w:tcPr>
          <w:p>
            <w:pPr>
              <w:shd w:val="clear" w:color="auto" w:fill="FFFFFF"/>
              <w:spacing w:line="240" w:lineRule="atLeast"/>
              <w:jc w:val="left"/>
              <w:rPr>
                <w:noProof/>
              </w:rPr>
            </w:pPr>
            <w:r>
              <w:rPr>
                <w:noProof/>
              </w:rPr>
              <w:t>Règl. ONU 34</w:t>
            </w:r>
          </w:p>
        </w:tc>
        <w:tc>
          <w:tcPr>
            <w:tcW w:w="3081" w:type="dxa"/>
            <w:shd w:val="clear" w:color="auto" w:fill="auto"/>
          </w:tcPr>
          <w:p>
            <w:pPr>
              <w:shd w:val="clear" w:color="auto" w:fill="FFFFFF"/>
              <w:spacing w:line="240" w:lineRule="atLeast"/>
              <w:jc w:val="left"/>
              <w:rPr>
                <w:noProof/>
              </w:rPr>
            </w:pPr>
          </w:p>
        </w:tc>
      </w:tr>
      <w:tr>
        <w:tc>
          <w:tcPr>
            <w:tcW w:w="3080" w:type="dxa"/>
            <w:shd w:val="clear" w:color="auto" w:fill="auto"/>
          </w:tcPr>
          <w:p>
            <w:pPr>
              <w:shd w:val="clear" w:color="auto" w:fill="FFFFFF"/>
              <w:spacing w:line="240" w:lineRule="atLeast"/>
              <w:jc w:val="left"/>
              <w:rPr>
                <w:noProof/>
              </w:rPr>
            </w:pPr>
            <w:r>
              <w:rPr>
                <w:noProof/>
              </w:rPr>
              <w:t>Réservoirs GPL</w:t>
            </w:r>
          </w:p>
        </w:tc>
        <w:tc>
          <w:tcPr>
            <w:tcW w:w="3081" w:type="dxa"/>
            <w:shd w:val="clear" w:color="auto" w:fill="auto"/>
          </w:tcPr>
          <w:p>
            <w:pPr>
              <w:shd w:val="clear" w:color="auto" w:fill="FFFFFF"/>
              <w:spacing w:line="240" w:lineRule="atLeast"/>
              <w:jc w:val="left"/>
              <w:rPr>
                <w:noProof/>
              </w:rPr>
            </w:pPr>
            <w:r>
              <w:rPr>
                <w:noProof/>
              </w:rPr>
              <w:t>Règl. ONU 67</w:t>
            </w:r>
          </w:p>
        </w:tc>
        <w:tc>
          <w:tcPr>
            <w:tcW w:w="3081" w:type="dxa"/>
            <w:shd w:val="clear" w:color="auto" w:fill="auto"/>
          </w:tcPr>
          <w:p>
            <w:pPr>
              <w:shd w:val="clear" w:color="auto" w:fill="FFFFFF"/>
              <w:spacing w:line="240" w:lineRule="atLeast"/>
              <w:jc w:val="left"/>
              <w:rPr>
                <w:noProof/>
              </w:rPr>
            </w:pPr>
          </w:p>
        </w:tc>
      </w:tr>
      <w:tr>
        <w:tc>
          <w:tcPr>
            <w:tcW w:w="3080" w:type="dxa"/>
            <w:shd w:val="clear" w:color="auto" w:fill="auto"/>
          </w:tcPr>
          <w:p>
            <w:pPr>
              <w:shd w:val="clear" w:color="auto" w:fill="FFFFFF"/>
              <w:spacing w:line="240" w:lineRule="atLeast"/>
              <w:jc w:val="left"/>
              <w:rPr>
                <w:noProof/>
              </w:rPr>
            </w:pPr>
            <w:r>
              <w:rPr>
                <w:noProof/>
              </w:rPr>
              <w:t>Réservoirs GNC</w:t>
            </w:r>
          </w:p>
        </w:tc>
        <w:tc>
          <w:tcPr>
            <w:tcW w:w="3081" w:type="dxa"/>
            <w:shd w:val="clear" w:color="auto" w:fill="auto"/>
          </w:tcPr>
          <w:p>
            <w:pPr>
              <w:shd w:val="clear" w:color="auto" w:fill="FFFFFF"/>
              <w:spacing w:line="240" w:lineRule="atLeast"/>
              <w:jc w:val="left"/>
              <w:rPr>
                <w:noProof/>
              </w:rPr>
            </w:pPr>
            <w:r>
              <w:rPr>
                <w:noProof/>
              </w:rPr>
              <w:t>Règl. ONU 110</w:t>
            </w:r>
          </w:p>
        </w:tc>
        <w:tc>
          <w:tcPr>
            <w:tcW w:w="3081" w:type="dxa"/>
            <w:shd w:val="clear" w:color="auto" w:fill="auto"/>
          </w:tcPr>
          <w:p>
            <w:pPr>
              <w:shd w:val="clear" w:color="auto" w:fill="FFFFFF"/>
              <w:spacing w:line="240" w:lineRule="atLeast"/>
              <w:jc w:val="left"/>
              <w:rPr>
                <w:noProof/>
              </w:rPr>
            </w:pPr>
          </w:p>
        </w:tc>
      </w:tr>
      <w:tr>
        <w:tc>
          <w:tcPr>
            <w:tcW w:w="3080" w:type="dxa"/>
            <w:shd w:val="clear" w:color="auto" w:fill="auto"/>
          </w:tcPr>
          <w:p>
            <w:pPr>
              <w:shd w:val="clear" w:color="auto" w:fill="FFFFFF"/>
              <w:spacing w:line="240" w:lineRule="atLeast"/>
              <w:jc w:val="left"/>
              <w:rPr>
                <w:noProof/>
              </w:rPr>
            </w:pPr>
            <w:r>
              <w:rPr>
                <w:noProof/>
              </w:rPr>
              <w:t>Dispositif arrière de protection contre l’encastrement</w:t>
            </w:r>
          </w:p>
        </w:tc>
        <w:tc>
          <w:tcPr>
            <w:tcW w:w="3081" w:type="dxa"/>
            <w:shd w:val="clear" w:color="auto" w:fill="auto"/>
          </w:tcPr>
          <w:p>
            <w:pPr>
              <w:shd w:val="clear" w:color="auto" w:fill="FFFFFF"/>
              <w:spacing w:line="240" w:lineRule="atLeast"/>
              <w:jc w:val="left"/>
              <w:rPr>
                <w:noProof/>
              </w:rPr>
            </w:pPr>
            <w:r>
              <w:rPr>
                <w:noProof/>
              </w:rPr>
              <w:t>Règl. ONU 58</w:t>
            </w:r>
          </w:p>
        </w:tc>
        <w:tc>
          <w:tcPr>
            <w:tcW w:w="3081" w:type="dxa"/>
            <w:shd w:val="clear" w:color="auto" w:fill="auto"/>
          </w:tcPr>
          <w:p>
            <w:pPr>
              <w:shd w:val="clear" w:color="auto" w:fill="FFFFFF"/>
              <w:spacing w:line="240" w:lineRule="atLeast"/>
              <w:jc w:val="left"/>
              <w:rPr>
                <w:noProof/>
              </w:rPr>
            </w:pPr>
          </w:p>
        </w:tc>
      </w:tr>
      <w:tr>
        <w:tc>
          <w:tcPr>
            <w:tcW w:w="3080" w:type="dxa"/>
            <w:shd w:val="clear" w:color="auto" w:fill="auto"/>
            <w:vAlign w:val="bottom"/>
          </w:tcPr>
          <w:p>
            <w:pPr>
              <w:shd w:val="clear" w:color="auto" w:fill="FFFFFF"/>
              <w:spacing w:line="240" w:lineRule="atLeast"/>
              <w:jc w:val="left"/>
              <w:rPr>
                <w:noProof/>
              </w:rPr>
            </w:pPr>
            <w:r>
              <w:rPr>
                <w:noProof/>
              </w:rPr>
              <w:t>Équipement de direction</w:t>
            </w:r>
          </w:p>
        </w:tc>
        <w:tc>
          <w:tcPr>
            <w:tcW w:w="3081" w:type="dxa"/>
            <w:shd w:val="clear" w:color="auto" w:fill="auto"/>
            <w:vAlign w:val="bottom"/>
          </w:tcPr>
          <w:p>
            <w:pPr>
              <w:shd w:val="clear" w:color="auto" w:fill="FFFFFF"/>
              <w:spacing w:line="240" w:lineRule="atLeast"/>
              <w:jc w:val="left"/>
              <w:rPr>
                <w:noProof/>
              </w:rPr>
            </w:pPr>
            <w:r>
              <w:rPr>
                <w:noProof/>
              </w:rPr>
              <w:t>Règl. ONU 79</w:t>
            </w:r>
          </w:p>
        </w:tc>
        <w:tc>
          <w:tcPr>
            <w:tcW w:w="3081" w:type="dxa"/>
            <w:shd w:val="clear" w:color="auto" w:fill="auto"/>
            <w:vAlign w:val="bottom"/>
          </w:tcPr>
          <w:p>
            <w:pPr>
              <w:shd w:val="clear" w:color="auto" w:fill="FFFFFF"/>
              <w:spacing w:line="240" w:lineRule="atLeast"/>
              <w:jc w:val="left"/>
              <w:rPr>
                <w:noProof/>
              </w:rPr>
            </w:pPr>
          </w:p>
        </w:tc>
      </w:tr>
      <w:tr>
        <w:tc>
          <w:tcPr>
            <w:tcW w:w="3080" w:type="dxa"/>
            <w:shd w:val="clear" w:color="auto" w:fill="auto"/>
            <w:vAlign w:val="bottom"/>
          </w:tcPr>
          <w:p>
            <w:pPr>
              <w:shd w:val="clear" w:color="auto" w:fill="FFFFFF"/>
              <w:spacing w:line="240" w:lineRule="atLeast"/>
              <w:jc w:val="left"/>
              <w:rPr>
                <w:noProof/>
              </w:rPr>
            </w:pPr>
            <w:r>
              <w:rPr>
                <w:noProof/>
              </w:rPr>
              <w:t>Serrures et charnières de portes</w:t>
            </w:r>
          </w:p>
        </w:tc>
        <w:tc>
          <w:tcPr>
            <w:tcW w:w="3081" w:type="dxa"/>
            <w:shd w:val="clear" w:color="auto" w:fill="auto"/>
            <w:vAlign w:val="bottom"/>
          </w:tcPr>
          <w:p>
            <w:pPr>
              <w:shd w:val="clear" w:color="auto" w:fill="FFFFFF"/>
              <w:spacing w:line="240" w:lineRule="atLeast"/>
              <w:jc w:val="left"/>
              <w:rPr>
                <w:noProof/>
              </w:rPr>
            </w:pPr>
            <w:r>
              <w:rPr>
                <w:noProof/>
              </w:rPr>
              <w:t>Règl. ONU 11</w:t>
            </w:r>
          </w:p>
        </w:tc>
        <w:tc>
          <w:tcPr>
            <w:tcW w:w="3081" w:type="dxa"/>
            <w:shd w:val="clear" w:color="auto" w:fill="auto"/>
            <w:vAlign w:val="bottom"/>
          </w:tcPr>
          <w:p>
            <w:pPr>
              <w:shd w:val="clear" w:color="auto" w:fill="FFFFFF"/>
              <w:spacing w:line="240" w:lineRule="atLeast"/>
              <w:jc w:val="left"/>
              <w:rPr>
                <w:noProof/>
              </w:rPr>
            </w:pPr>
            <w:r>
              <w:rPr>
                <w:noProof/>
              </w:rPr>
              <w:t xml:space="preserve"> </w:t>
            </w:r>
          </w:p>
        </w:tc>
      </w:tr>
      <w:tr>
        <w:tc>
          <w:tcPr>
            <w:tcW w:w="3080" w:type="dxa"/>
            <w:shd w:val="clear" w:color="auto" w:fill="auto"/>
            <w:vAlign w:val="bottom"/>
          </w:tcPr>
          <w:p>
            <w:pPr>
              <w:shd w:val="clear" w:color="auto" w:fill="FFFFFF"/>
              <w:spacing w:line="240" w:lineRule="atLeast"/>
              <w:jc w:val="left"/>
              <w:rPr>
                <w:noProof/>
              </w:rPr>
            </w:pPr>
            <w:r>
              <w:rPr>
                <w:noProof/>
              </w:rPr>
              <w:t>Avertisseurs sonores</w:t>
            </w:r>
          </w:p>
        </w:tc>
        <w:tc>
          <w:tcPr>
            <w:tcW w:w="3081" w:type="dxa"/>
            <w:shd w:val="clear" w:color="auto" w:fill="auto"/>
            <w:vAlign w:val="bottom"/>
          </w:tcPr>
          <w:p>
            <w:pPr>
              <w:shd w:val="clear" w:color="auto" w:fill="FFFFFF"/>
              <w:spacing w:line="240" w:lineRule="atLeast"/>
              <w:jc w:val="left"/>
              <w:rPr>
                <w:noProof/>
              </w:rPr>
            </w:pPr>
            <w:r>
              <w:rPr>
                <w:noProof/>
              </w:rPr>
              <w:t>Règl. ONU 28</w:t>
            </w:r>
          </w:p>
        </w:tc>
        <w:tc>
          <w:tcPr>
            <w:tcW w:w="3081" w:type="dxa"/>
            <w:shd w:val="clear" w:color="auto" w:fill="auto"/>
            <w:vAlign w:val="bottom"/>
          </w:tcPr>
          <w:p>
            <w:pPr>
              <w:shd w:val="clear" w:color="auto" w:fill="FFFFFF"/>
              <w:spacing w:line="240" w:lineRule="atLeast"/>
              <w:jc w:val="left"/>
              <w:rPr>
                <w:noProof/>
              </w:rPr>
            </w:pPr>
          </w:p>
        </w:tc>
      </w:tr>
      <w:tr>
        <w:tc>
          <w:tcPr>
            <w:tcW w:w="3080" w:type="dxa"/>
            <w:shd w:val="clear" w:color="auto" w:fill="auto"/>
            <w:vAlign w:val="bottom"/>
          </w:tcPr>
          <w:p>
            <w:pPr>
              <w:shd w:val="clear" w:color="auto" w:fill="FFFFFF"/>
              <w:spacing w:line="240" w:lineRule="atLeast"/>
              <w:jc w:val="left"/>
              <w:rPr>
                <w:noProof/>
              </w:rPr>
            </w:pPr>
            <w:r>
              <w:rPr>
                <w:noProof/>
              </w:rPr>
              <w:t>Dispositifs de vision indirecte</w:t>
            </w:r>
          </w:p>
        </w:tc>
        <w:tc>
          <w:tcPr>
            <w:tcW w:w="3081" w:type="dxa"/>
            <w:shd w:val="clear" w:color="auto" w:fill="auto"/>
            <w:vAlign w:val="bottom"/>
          </w:tcPr>
          <w:p>
            <w:pPr>
              <w:shd w:val="clear" w:color="auto" w:fill="FFFFFF"/>
              <w:spacing w:line="240" w:lineRule="atLeast"/>
              <w:jc w:val="left"/>
              <w:rPr>
                <w:noProof/>
              </w:rPr>
            </w:pPr>
            <w:r>
              <w:rPr>
                <w:noProof/>
              </w:rPr>
              <w:t>Règl. ONU 46</w:t>
            </w:r>
          </w:p>
        </w:tc>
        <w:tc>
          <w:tcPr>
            <w:tcW w:w="3081" w:type="dxa"/>
            <w:shd w:val="clear" w:color="auto" w:fill="auto"/>
            <w:vAlign w:val="bottom"/>
          </w:tcPr>
          <w:p>
            <w:pPr>
              <w:shd w:val="clear" w:color="auto" w:fill="FFFFFF"/>
              <w:spacing w:line="240" w:lineRule="atLeast"/>
              <w:jc w:val="left"/>
              <w:rPr>
                <w:noProof/>
              </w:rPr>
            </w:pPr>
          </w:p>
        </w:tc>
      </w:tr>
      <w:tr>
        <w:tc>
          <w:tcPr>
            <w:tcW w:w="3080" w:type="dxa"/>
            <w:shd w:val="clear" w:color="auto" w:fill="auto"/>
            <w:vAlign w:val="bottom"/>
          </w:tcPr>
          <w:p>
            <w:pPr>
              <w:shd w:val="clear" w:color="auto" w:fill="FFFFFF"/>
              <w:spacing w:line="240" w:lineRule="atLeast"/>
              <w:jc w:val="left"/>
              <w:rPr>
                <w:noProof/>
              </w:rPr>
            </w:pPr>
            <w:r>
              <w:rPr>
                <w:noProof/>
              </w:rPr>
              <w:t>Freinage (véhicules lourds)</w:t>
            </w:r>
          </w:p>
        </w:tc>
        <w:tc>
          <w:tcPr>
            <w:tcW w:w="3081" w:type="dxa"/>
            <w:shd w:val="clear" w:color="auto" w:fill="auto"/>
            <w:vAlign w:val="bottom"/>
          </w:tcPr>
          <w:p>
            <w:pPr>
              <w:shd w:val="clear" w:color="auto" w:fill="FFFFFF"/>
              <w:spacing w:line="240" w:lineRule="atLeast"/>
              <w:jc w:val="left"/>
              <w:rPr>
                <w:noProof/>
              </w:rPr>
            </w:pPr>
            <w:r>
              <w:rPr>
                <w:noProof/>
              </w:rPr>
              <w:t>Règl. ONU 13</w:t>
            </w:r>
          </w:p>
        </w:tc>
        <w:tc>
          <w:tcPr>
            <w:tcW w:w="3081" w:type="dxa"/>
            <w:shd w:val="clear" w:color="auto" w:fill="auto"/>
            <w:vAlign w:val="bottom"/>
          </w:tcPr>
          <w:p>
            <w:pPr>
              <w:shd w:val="clear" w:color="auto" w:fill="FFFFFF"/>
              <w:spacing w:line="240" w:lineRule="atLeast"/>
              <w:jc w:val="left"/>
              <w:rPr>
                <w:noProof/>
              </w:rPr>
            </w:pPr>
          </w:p>
        </w:tc>
      </w:tr>
      <w:tr>
        <w:tc>
          <w:tcPr>
            <w:tcW w:w="3080" w:type="dxa"/>
            <w:shd w:val="clear" w:color="auto" w:fill="auto"/>
            <w:vAlign w:val="bottom"/>
          </w:tcPr>
          <w:p>
            <w:pPr>
              <w:shd w:val="clear" w:color="auto" w:fill="FFFFFF"/>
              <w:spacing w:line="240" w:lineRule="atLeast"/>
              <w:jc w:val="left"/>
              <w:rPr>
                <w:noProof/>
              </w:rPr>
            </w:pPr>
            <w:r>
              <w:rPr>
                <w:noProof/>
              </w:rPr>
              <w:t>Freinage (véhicules légers)</w:t>
            </w:r>
          </w:p>
        </w:tc>
        <w:tc>
          <w:tcPr>
            <w:tcW w:w="3081" w:type="dxa"/>
            <w:shd w:val="clear" w:color="auto" w:fill="auto"/>
            <w:vAlign w:val="bottom"/>
          </w:tcPr>
          <w:p>
            <w:pPr>
              <w:shd w:val="clear" w:color="auto" w:fill="FFFFFF"/>
              <w:spacing w:line="240" w:lineRule="atLeast"/>
              <w:jc w:val="left"/>
              <w:rPr>
                <w:noProof/>
              </w:rPr>
            </w:pPr>
            <w:r>
              <w:rPr>
                <w:noProof/>
              </w:rPr>
              <w:t>Règl. ONU 13H</w:t>
            </w:r>
          </w:p>
        </w:tc>
        <w:tc>
          <w:tcPr>
            <w:tcW w:w="3081" w:type="dxa"/>
            <w:shd w:val="clear" w:color="auto" w:fill="auto"/>
            <w:vAlign w:val="bottom"/>
          </w:tcPr>
          <w:p>
            <w:pPr>
              <w:shd w:val="clear" w:color="auto" w:fill="FFFFFF"/>
              <w:spacing w:line="240" w:lineRule="atLeast"/>
              <w:jc w:val="left"/>
              <w:rPr>
                <w:noProof/>
              </w:rPr>
            </w:pPr>
          </w:p>
        </w:tc>
      </w:tr>
      <w:tr>
        <w:tc>
          <w:tcPr>
            <w:tcW w:w="3080" w:type="dxa"/>
            <w:shd w:val="clear" w:color="auto" w:fill="auto"/>
            <w:vAlign w:val="bottom"/>
          </w:tcPr>
          <w:p>
            <w:pPr>
              <w:shd w:val="clear" w:color="auto" w:fill="FFFFFF"/>
              <w:spacing w:line="240" w:lineRule="atLeast"/>
              <w:jc w:val="left"/>
              <w:rPr>
                <w:noProof/>
              </w:rPr>
            </w:pPr>
            <w:r>
              <w:rPr>
                <w:noProof/>
              </w:rPr>
              <w:t>Garnitures de frein</w:t>
            </w:r>
          </w:p>
        </w:tc>
        <w:tc>
          <w:tcPr>
            <w:tcW w:w="3081" w:type="dxa"/>
            <w:shd w:val="clear" w:color="auto" w:fill="auto"/>
            <w:vAlign w:val="bottom"/>
          </w:tcPr>
          <w:p>
            <w:pPr>
              <w:shd w:val="clear" w:color="auto" w:fill="FFFFFF"/>
              <w:spacing w:line="240" w:lineRule="atLeast"/>
              <w:jc w:val="left"/>
              <w:rPr>
                <w:noProof/>
              </w:rPr>
            </w:pPr>
            <w:r>
              <w:rPr>
                <w:noProof/>
              </w:rPr>
              <w:t>Règl. ONU 90</w:t>
            </w:r>
          </w:p>
        </w:tc>
        <w:tc>
          <w:tcPr>
            <w:tcW w:w="3081" w:type="dxa"/>
            <w:shd w:val="clear" w:color="auto" w:fill="auto"/>
            <w:vAlign w:val="bottom"/>
          </w:tcPr>
          <w:p>
            <w:pPr>
              <w:shd w:val="clear" w:color="auto" w:fill="FFFFFF"/>
              <w:spacing w:line="240" w:lineRule="atLeast"/>
              <w:jc w:val="left"/>
              <w:rPr>
                <w:noProof/>
              </w:rPr>
            </w:pPr>
          </w:p>
        </w:tc>
      </w:tr>
      <w:tr>
        <w:tc>
          <w:tcPr>
            <w:tcW w:w="3080" w:type="dxa"/>
            <w:shd w:val="clear" w:color="auto" w:fill="auto"/>
            <w:vAlign w:val="bottom"/>
          </w:tcPr>
          <w:p>
            <w:pPr>
              <w:shd w:val="clear" w:color="auto" w:fill="FFFFFF"/>
              <w:spacing w:line="240" w:lineRule="atLeast"/>
              <w:jc w:val="left"/>
              <w:rPr>
                <w:noProof/>
              </w:rPr>
            </w:pPr>
            <w:r>
              <w:rPr>
                <w:noProof/>
              </w:rPr>
              <w:t>Parasites radioélectriques (compatibilité électromagnétique)</w:t>
            </w:r>
          </w:p>
        </w:tc>
        <w:tc>
          <w:tcPr>
            <w:tcW w:w="3081" w:type="dxa"/>
            <w:shd w:val="clear" w:color="auto" w:fill="auto"/>
          </w:tcPr>
          <w:p>
            <w:pPr>
              <w:shd w:val="clear" w:color="auto" w:fill="FFFFFF"/>
              <w:spacing w:line="240" w:lineRule="atLeast"/>
              <w:jc w:val="left"/>
              <w:rPr>
                <w:noProof/>
              </w:rPr>
            </w:pPr>
            <w:r>
              <w:rPr>
                <w:noProof/>
              </w:rPr>
              <w:t>Règl. ONU 10</w:t>
            </w:r>
          </w:p>
        </w:tc>
        <w:tc>
          <w:tcPr>
            <w:tcW w:w="3081" w:type="dxa"/>
            <w:shd w:val="clear" w:color="auto" w:fill="auto"/>
          </w:tcPr>
          <w:p>
            <w:pPr>
              <w:shd w:val="clear" w:color="auto" w:fill="FFFFFF"/>
              <w:spacing w:line="240" w:lineRule="atLeast"/>
              <w:jc w:val="left"/>
              <w:rPr>
                <w:noProof/>
              </w:rPr>
            </w:pPr>
          </w:p>
        </w:tc>
      </w:tr>
      <w:tr>
        <w:tc>
          <w:tcPr>
            <w:tcW w:w="3080" w:type="dxa"/>
            <w:shd w:val="clear" w:color="auto" w:fill="auto"/>
            <w:vAlign w:val="bottom"/>
          </w:tcPr>
          <w:p>
            <w:pPr>
              <w:shd w:val="clear" w:color="auto" w:fill="FFFFFF"/>
              <w:spacing w:line="240" w:lineRule="atLeast"/>
              <w:jc w:val="left"/>
              <w:rPr>
                <w:noProof/>
              </w:rPr>
            </w:pPr>
            <w:r>
              <w:rPr>
                <w:noProof/>
              </w:rPr>
              <w:t>Fumées d’échappement des moteurs diesel</w:t>
            </w:r>
          </w:p>
        </w:tc>
        <w:tc>
          <w:tcPr>
            <w:tcW w:w="3081" w:type="dxa"/>
            <w:shd w:val="clear" w:color="auto" w:fill="auto"/>
            <w:vAlign w:val="bottom"/>
          </w:tcPr>
          <w:p>
            <w:pPr>
              <w:shd w:val="clear" w:color="auto" w:fill="FFFFFF"/>
              <w:spacing w:line="240" w:lineRule="atLeast"/>
              <w:jc w:val="left"/>
              <w:rPr>
                <w:noProof/>
              </w:rPr>
            </w:pPr>
            <w:r>
              <w:rPr>
                <w:noProof/>
              </w:rPr>
              <w:t>Règl. ONU 24</w:t>
            </w:r>
          </w:p>
        </w:tc>
        <w:tc>
          <w:tcPr>
            <w:tcW w:w="3081" w:type="dxa"/>
            <w:shd w:val="clear" w:color="auto" w:fill="auto"/>
            <w:vAlign w:val="bottom"/>
          </w:tcPr>
          <w:p>
            <w:pPr>
              <w:shd w:val="clear" w:color="auto" w:fill="FFFFFF"/>
              <w:spacing w:line="240" w:lineRule="atLeast"/>
              <w:jc w:val="left"/>
              <w:rPr>
                <w:noProof/>
              </w:rPr>
            </w:pPr>
            <w:r>
              <w:rPr>
                <w:noProof/>
              </w:rPr>
              <w:t>Règlement (CE) nº 692/2008</w:t>
            </w:r>
          </w:p>
        </w:tc>
      </w:tr>
      <w:tr>
        <w:tc>
          <w:tcPr>
            <w:tcW w:w="3080" w:type="dxa"/>
            <w:shd w:val="clear" w:color="auto" w:fill="auto"/>
            <w:vAlign w:val="bottom"/>
          </w:tcPr>
          <w:p>
            <w:pPr>
              <w:shd w:val="clear" w:color="auto" w:fill="FFFFFF"/>
              <w:spacing w:line="240" w:lineRule="atLeast"/>
              <w:jc w:val="left"/>
              <w:rPr>
                <w:noProof/>
              </w:rPr>
            </w:pPr>
            <w:r>
              <w:rPr>
                <w:noProof/>
              </w:rPr>
              <w:t>Aménagements intérieurs</w:t>
            </w:r>
          </w:p>
        </w:tc>
        <w:tc>
          <w:tcPr>
            <w:tcW w:w="3081" w:type="dxa"/>
            <w:shd w:val="clear" w:color="auto" w:fill="auto"/>
            <w:vAlign w:val="bottom"/>
          </w:tcPr>
          <w:p>
            <w:pPr>
              <w:shd w:val="clear" w:color="auto" w:fill="FFFFFF"/>
              <w:spacing w:line="240" w:lineRule="atLeast"/>
              <w:jc w:val="left"/>
              <w:rPr>
                <w:noProof/>
              </w:rPr>
            </w:pPr>
            <w:r>
              <w:rPr>
                <w:noProof/>
              </w:rPr>
              <w:t>Règl. ONU 21</w:t>
            </w:r>
          </w:p>
        </w:tc>
        <w:tc>
          <w:tcPr>
            <w:tcW w:w="3081" w:type="dxa"/>
            <w:shd w:val="clear" w:color="auto" w:fill="auto"/>
            <w:vAlign w:val="bottom"/>
          </w:tcPr>
          <w:p>
            <w:pPr>
              <w:shd w:val="clear" w:color="auto" w:fill="FFFFFF"/>
              <w:spacing w:line="240" w:lineRule="atLeast"/>
              <w:jc w:val="left"/>
              <w:rPr>
                <w:noProof/>
              </w:rPr>
            </w:pPr>
          </w:p>
        </w:tc>
      </w:tr>
      <w:tr>
        <w:tc>
          <w:tcPr>
            <w:tcW w:w="3080" w:type="dxa"/>
            <w:shd w:val="clear" w:color="auto" w:fill="auto"/>
            <w:vAlign w:val="bottom"/>
          </w:tcPr>
          <w:p>
            <w:pPr>
              <w:shd w:val="clear" w:color="auto" w:fill="FFFFFF"/>
              <w:spacing w:line="240" w:lineRule="atLeast"/>
              <w:jc w:val="left"/>
              <w:rPr>
                <w:noProof/>
              </w:rPr>
            </w:pPr>
            <w:r>
              <w:rPr>
                <w:noProof/>
              </w:rPr>
              <w:t>Antivols</w:t>
            </w:r>
          </w:p>
        </w:tc>
        <w:tc>
          <w:tcPr>
            <w:tcW w:w="3081" w:type="dxa"/>
            <w:shd w:val="clear" w:color="auto" w:fill="auto"/>
            <w:vAlign w:val="bottom"/>
          </w:tcPr>
          <w:p>
            <w:pPr>
              <w:shd w:val="clear" w:color="auto" w:fill="FFFFFF"/>
              <w:spacing w:line="240" w:lineRule="atLeast"/>
              <w:jc w:val="left"/>
              <w:rPr>
                <w:noProof/>
              </w:rPr>
            </w:pPr>
            <w:r>
              <w:rPr>
                <w:noProof/>
              </w:rPr>
              <w:t>Règl. ONU 18</w:t>
            </w:r>
          </w:p>
        </w:tc>
        <w:tc>
          <w:tcPr>
            <w:tcW w:w="3081" w:type="dxa"/>
            <w:shd w:val="clear" w:color="auto" w:fill="auto"/>
            <w:vAlign w:val="bottom"/>
          </w:tcPr>
          <w:p>
            <w:pPr>
              <w:shd w:val="clear" w:color="auto" w:fill="FFFFFF"/>
              <w:spacing w:line="240" w:lineRule="atLeast"/>
              <w:jc w:val="left"/>
              <w:rPr>
                <w:noProof/>
              </w:rPr>
            </w:pPr>
          </w:p>
        </w:tc>
      </w:tr>
      <w:tr>
        <w:tc>
          <w:tcPr>
            <w:tcW w:w="3080" w:type="dxa"/>
            <w:shd w:val="clear" w:color="auto" w:fill="auto"/>
            <w:vAlign w:val="bottom"/>
          </w:tcPr>
          <w:p>
            <w:pPr>
              <w:shd w:val="clear" w:color="auto" w:fill="FFFFFF"/>
              <w:spacing w:line="240" w:lineRule="atLeast"/>
              <w:jc w:val="left"/>
              <w:rPr>
                <w:noProof/>
              </w:rPr>
            </w:pPr>
            <w:r>
              <w:rPr>
                <w:noProof/>
              </w:rPr>
              <w:t>Antivol et dispositif d’immobilisation</w:t>
            </w:r>
          </w:p>
        </w:tc>
        <w:tc>
          <w:tcPr>
            <w:tcW w:w="3081" w:type="dxa"/>
            <w:shd w:val="clear" w:color="auto" w:fill="auto"/>
            <w:vAlign w:val="bottom"/>
          </w:tcPr>
          <w:p>
            <w:pPr>
              <w:shd w:val="clear" w:color="auto" w:fill="FFFFFF"/>
              <w:spacing w:line="240" w:lineRule="atLeast"/>
              <w:jc w:val="left"/>
              <w:rPr>
                <w:noProof/>
              </w:rPr>
            </w:pPr>
            <w:r>
              <w:rPr>
                <w:noProof/>
              </w:rPr>
              <w:t>Règl. ONU 116</w:t>
            </w:r>
          </w:p>
        </w:tc>
        <w:tc>
          <w:tcPr>
            <w:tcW w:w="3081" w:type="dxa"/>
            <w:shd w:val="clear" w:color="auto" w:fill="auto"/>
            <w:vAlign w:val="bottom"/>
          </w:tcPr>
          <w:p>
            <w:pPr>
              <w:shd w:val="clear" w:color="auto" w:fill="FFFFFF"/>
              <w:spacing w:line="240" w:lineRule="atLeast"/>
              <w:jc w:val="left"/>
              <w:rPr>
                <w:noProof/>
              </w:rPr>
            </w:pPr>
          </w:p>
        </w:tc>
      </w:tr>
      <w:tr>
        <w:tc>
          <w:tcPr>
            <w:tcW w:w="3080" w:type="dxa"/>
            <w:tcBorders>
              <w:bottom w:val="single" w:sz="4" w:space="0" w:color="auto"/>
            </w:tcBorders>
            <w:shd w:val="clear" w:color="auto" w:fill="auto"/>
          </w:tcPr>
          <w:p>
            <w:pPr>
              <w:shd w:val="clear" w:color="auto" w:fill="FFFFFF"/>
              <w:spacing w:line="240" w:lineRule="atLeast"/>
              <w:jc w:val="left"/>
              <w:rPr>
                <w:noProof/>
              </w:rPr>
            </w:pPr>
            <w:r>
              <w:rPr>
                <w:noProof/>
              </w:rPr>
              <w:t>Systèmes d’alarme</w:t>
            </w:r>
          </w:p>
        </w:tc>
        <w:tc>
          <w:tcPr>
            <w:tcW w:w="3081" w:type="dxa"/>
            <w:tcBorders>
              <w:bottom w:val="single" w:sz="4" w:space="0" w:color="auto"/>
            </w:tcBorders>
            <w:shd w:val="clear" w:color="auto" w:fill="auto"/>
            <w:vAlign w:val="bottom"/>
          </w:tcPr>
          <w:p>
            <w:pPr>
              <w:shd w:val="clear" w:color="auto" w:fill="FFFFFF"/>
              <w:spacing w:line="240" w:lineRule="atLeast"/>
              <w:jc w:val="left"/>
              <w:rPr>
                <w:noProof/>
              </w:rPr>
            </w:pPr>
            <w:r>
              <w:rPr>
                <w:noProof/>
              </w:rPr>
              <w:t xml:space="preserve">Règl. ONU 97 </w:t>
            </w:r>
          </w:p>
          <w:p>
            <w:pPr>
              <w:shd w:val="clear" w:color="auto" w:fill="FFFFFF"/>
              <w:spacing w:line="240" w:lineRule="atLeast"/>
              <w:jc w:val="left"/>
              <w:rPr>
                <w:noProof/>
              </w:rPr>
            </w:pPr>
            <w:r>
              <w:rPr>
                <w:noProof/>
              </w:rPr>
              <w:t>Règl. ONU 116</w:t>
            </w:r>
          </w:p>
        </w:tc>
        <w:tc>
          <w:tcPr>
            <w:tcW w:w="3081" w:type="dxa"/>
            <w:tcBorders>
              <w:bottom w:val="single" w:sz="4" w:space="0" w:color="auto"/>
            </w:tcBorders>
            <w:shd w:val="clear" w:color="auto" w:fill="auto"/>
          </w:tcPr>
          <w:p>
            <w:pPr>
              <w:shd w:val="clear" w:color="auto" w:fill="FFFFFF"/>
              <w:spacing w:line="240" w:lineRule="atLeast"/>
              <w:jc w:val="left"/>
              <w:rPr>
                <w:noProof/>
              </w:rPr>
            </w:pPr>
          </w:p>
        </w:tc>
      </w:tr>
      <w:tr>
        <w:tc>
          <w:tcPr>
            <w:tcW w:w="3080" w:type="dxa"/>
            <w:tcBorders>
              <w:bottom w:val="single" w:sz="4" w:space="0" w:color="auto"/>
            </w:tcBorders>
            <w:shd w:val="clear" w:color="auto" w:fill="auto"/>
            <w:vAlign w:val="bottom"/>
          </w:tcPr>
          <w:p>
            <w:pPr>
              <w:keepNext/>
              <w:keepLines/>
              <w:shd w:val="clear" w:color="auto" w:fill="FFFFFF"/>
              <w:spacing w:line="240" w:lineRule="atLeast"/>
              <w:jc w:val="left"/>
              <w:rPr>
                <w:noProof/>
              </w:rPr>
            </w:pPr>
            <w:r>
              <w:rPr>
                <w:noProof/>
              </w:rPr>
              <w:t>Comportement du dispositif de conduite en cas de choc</w:t>
            </w:r>
          </w:p>
        </w:tc>
        <w:tc>
          <w:tcPr>
            <w:tcW w:w="3081" w:type="dxa"/>
            <w:tcBorders>
              <w:bottom w:val="single" w:sz="4" w:space="0" w:color="auto"/>
            </w:tcBorders>
            <w:shd w:val="clear" w:color="auto" w:fill="auto"/>
            <w:vAlign w:val="bottom"/>
          </w:tcPr>
          <w:p>
            <w:pPr>
              <w:keepNext/>
              <w:keepLines/>
              <w:shd w:val="clear" w:color="auto" w:fill="FFFFFF"/>
              <w:spacing w:line="240" w:lineRule="atLeast"/>
              <w:jc w:val="left"/>
              <w:rPr>
                <w:noProof/>
              </w:rPr>
            </w:pPr>
            <w:r>
              <w:rPr>
                <w:noProof/>
              </w:rPr>
              <w:t>Règl. ONU 12</w:t>
            </w:r>
          </w:p>
        </w:tc>
        <w:tc>
          <w:tcPr>
            <w:tcW w:w="3081" w:type="dxa"/>
            <w:tcBorders>
              <w:bottom w:val="single" w:sz="4" w:space="0" w:color="auto"/>
            </w:tcBorders>
            <w:shd w:val="clear" w:color="auto" w:fill="auto"/>
            <w:vAlign w:val="bottom"/>
          </w:tcPr>
          <w:p>
            <w:pPr>
              <w:keepNext/>
              <w:keepLines/>
              <w:shd w:val="clear" w:color="auto" w:fill="FFFFFF"/>
              <w:spacing w:line="240" w:lineRule="atLeast"/>
              <w:jc w:val="left"/>
              <w:rPr>
                <w:noProof/>
              </w:rPr>
            </w:pPr>
          </w:p>
        </w:tc>
      </w:tr>
      <w:tr>
        <w:tc>
          <w:tcPr>
            <w:tcW w:w="3080" w:type="dxa"/>
            <w:tcBorders>
              <w:top w:val="single" w:sz="4" w:space="0" w:color="auto"/>
            </w:tcBorders>
            <w:shd w:val="clear" w:color="auto" w:fill="auto"/>
            <w:vAlign w:val="bottom"/>
          </w:tcPr>
          <w:p>
            <w:pPr>
              <w:shd w:val="clear" w:color="auto" w:fill="FFFFFF"/>
              <w:spacing w:line="240" w:lineRule="atLeast"/>
              <w:jc w:val="left"/>
              <w:rPr>
                <w:noProof/>
              </w:rPr>
            </w:pPr>
            <w:r>
              <w:rPr>
                <w:noProof/>
              </w:rPr>
              <w:t>Résistance des sièges</w:t>
            </w:r>
          </w:p>
        </w:tc>
        <w:tc>
          <w:tcPr>
            <w:tcW w:w="3081" w:type="dxa"/>
            <w:tcBorders>
              <w:top w:val="single" w:sz="4" w:space="0" w:color="auto"/>
            </w:tcBorders>
            <w:shd w:val="clear" w:color="auto" w:fill="auto"/>
            <w:vAlign w:val="bottom"/>
          </w:tcPr>
          <w:p>
            <w:pPr>
              <w:shd w:val="clear" w:color="auto" w:fill="FFFFFF"/>
              <w:spacing w:line="240" w:lineRule="atLeast"/>
              <w:jc w:val="left"/>
              <w:rPr>
                <w:noProof/>
              </w:rPr>
            </w:pPr>
            <w:r>
              <w:rPr>
                <w:noProof/>
              </w:rPr>
              <w:t>Règl. ONU 17</w:t>
            </w:r>
          </w:p>
        </w:tc>
        <w:tc>
          <w:tcPr>
            <w:tcW w:w="3081" w:type="dxa"/>
            <w:tcBorders>
              <w:top w:val="single" w:sz="4" w:space="0" w:color="auto"/>
            </w:tcBorders>
            <w:shd w:val="clear" w:color="auto" w:fill="auto"/>
            <w:vAlign w:val="bottom"/>
          </w:tcPr>
          <w:p>
            <w:pPr>
              <w:shd w:val="clear" w:color="auto" w:fill="FFFFFF"/>
              <w:spacing w:line="240" w:lineRule="atLeast"/>
              <w:jc w:val="left"/>
              <w:rPr>
                <w:noProof/>
              </w:rPr>
            </w:pPr>
          </w:p>
        </w:tc>
      </w:tr>
      <w:tr>
        <w:tc>
          <w:tcPr>
            <w:tcW w:w="3080" w:type="dxa"/>
            <w:shd w:val="clear" w:color="auto" w:fill="auto"/>
            <w:vAlign w:val="bottom"/>
          </w:tcPr>
          <w:p>
            <w:pPr>
              <w:shd w:val="clear" w:color="auto" w:fill="FFFFFF"/>
              <w:spacing w:line="240" w:lineRule="atLeast"/>
              <w:jc w:val="left"/>
              <w:rPr>
                <w:noProof/>
              </w:rPr>
            </w:pPr>
            <w:r>
              <w:rPr>
                <w:noProof/>
              </w:rPr>
              <w:t>Résistance des sièges (autobus et autocars)</w:t>
            </w:r>
          </w:p>
        </w:tc>
        <w:tc>
          <w:tcPr>
            <w:tcW w:w="3081" w:type="dxa"/>
            <w:shd w:val="clear" w:color="auto" w:fill="auto"/>
            <w:vAlign w:val="bottom"/>
          </w:tcPr>
          <w:p>
            <w:pPr>
              <w:shd w:val="clear" w:color="auto" w:fill="FFFFFF"/>
              <w:spacing w:line="240" w:lineRule="atLeast"/>
              <w:jc w:val="left"/>
              <w:rPr>
                <w:noProof/>
              </w:rPr>
            </w:pPr>
            <w:r>
              <w:rPr>
                <w:noProof/>
              </w:rPr>
              <w:t>Règl. ONU 80</w:t>
            </w:r>
          </w:p>
        </w:tc>
        <w:tc>
          <w:tcPr>
            <w:tcW w:w="3081" w:type="dxa"/>
            <w:shd w:val="clear" w:color="auto" w:fill="auto"/>
            <w:vAlign w:val="bottom"/>
          </w:tcPr>
          <w:p>
            <w:pPr>
              <w:shd w:val="clear" w:color="auto" w:fill="FFFFFF"/>
              <w:spacing w:line="240" w:lineRule="atLeast"/>
              <w:jc w:val="left"/>
              <w:rPr>
                <w:noProof/>
              </w:rPr>
            </w:pPr>
          </w:p>
        </w:tc>
      </w:tr>
      <w:tr>
        <w:tc>
          <w:tcPr>
            <w:tcW w:w="3080" w:type="dxa"/>
            <w:shd w:val="clear" w:color="auto" w:fill="auto"/>
            <w:vAlign w:val="bottom"/>
          </w:tcPr>
          <w:p>
            <w:pPr>
              <w:shd w:val="clear" w:color="auto" w:fill="FFFFFF"/>
              <w:spacing w:line="240" w:lineRule="atLeast"/>
              <w:jc w:val="left"/>
              <w:rPr>
                <w:noProof/>
              </w:rPr>
            </w:pPr>
            <w:r>
              <w:rPr>
                <w:noProof/>
              </w:rPr>
              <w:t>Saillies extérieures</w:t>
            </w:r>
          </w:p>
        </w:tc>
        <w:tc>
          <w:tcPr>
            <w:tcW w:w="3081" w:type="dxa"/>
            <w:shd w:val="clear" w:color="auto" w:fill="auto"/>
            <w:vAlign w:val="bottom"/>
          </w:tcPr>
          <w:p>
            <w:pPr>
              <w:shd w:val="clear" w:color="auto" w:fill="FFFFFF"/>
              <w:spacing w:line="240" w:lineRule="atLeast"/>
              <w:jc w:val="left"/>
              <w:rPr>
                <w:noProof/>
              </w:rPr>
            </w:pPr>
            <w:r>
              <w:rPr>
                <w:noProof/>
              </w:rPr>
              <w:t>Règl. ONU 26</w:t>
            </w:r>
          </w:p>
        </w:tc>
        <w:tc>
          <w:tcPr>
            <w:tcW w:w="3081" w:type="dxa"/>
            <w:shd w:val="clear" w:color="auto" w:fill="auto"/>
            <w:vAlign w:val="bottom"/>
          </w:tcPr>
          <w:p>
            <w:pPr>
              <w:shd w:val="clear" w:color="auto" w:fill="FFFFFF"/>
              <w:spacing w:line="240" w:lineRule="atLeast"/>
              <w:jc w:val="left"/>
              <w:rPr>
                <w:noProof/>
              </w:rPr>
            </w:pPr>
          </w:p>
        </w:tc>
      </w:tr>
      <w:tr>
        <w:tc>
          <w:tcPr>
            <w:tcW w:w="3080" w:type="dxa"/>
            <w:shd w:val="clear" w:color="auto" w:fill="auto"/>
            <w:vAlign w:val="bottom"/>
          </w:tcPr>
          <w:p>
            <w:pPr>
              <w:shd w:val="clear" w:color="auto" w:fill="FFFFFF"/>
              <w:spacing w:line="240" w:lineRule="atLeast"/>
              <w:jc w:val="left"/>
              <w:rPr>
                <w:noProof/>
              </w:rPr>
            </w:pPr>
            <w:r>
              <w:rPr>
                <w:noProof/>
              </w:rPr>
              <w:t>Tachymètre</w:t>
            </w:r>
          </w:p>
        </w:tc>
        <w:tc>
          <w:tcPr>
            <w:tcW w:w="3081" w:type="dxa"/>
            <w:shd w:val="clear" w:color="auto" w:fill="auto"/>
            <w:vAlign w:val="bottom"/>
          </w:tcPr>
          <w:p>
            <w:pPr>
              <w:shd w:val="clear" w:color="auto" w:fill="FFFFFF"/>
              <w:spacing w:line="240" w:lineRule="atLeast"/>
              <w:jc w:val="left"/>
              <w:rPr>
                <w:noProof/>
              </w:rPr>
            </w:pPr>
            <w:r>
              <w:rPr>
                <w:noProof/>
              </w:rPr>
              <w:t>Règl. ONU 39</w:t>
            </w:r>
          </w:p>
        </w:tc>
        <w:tc>
          <w:tcPr>
            <w:tcW w:w="3081" w:type="dxa"/>
            <w:shd w:val="clear" w:color="auto" w:fill="auto"/>
            <w:vAlign w:val="bottom"/>
          </w:tcPr>
          <w:p>
            <w:pPr>
              <w:shd w:val="clear" w:color="auto" w:fill="FFFFFF"/>
              <w:spacing w:line="240" w:lineRule="atLeast"/>
              <w:jc w:val="left"/>
              <w:rPr>
                <w:noProof/>
              </w:rPr>
            </w:pPr>
          </w:p>
        </w:tc>
      </w:tr>
      <w:tr>
        <w:tc>
          <w:tcPr>
            <w:tcW w:w="3080" w:type="dxa"/>
            <w:shd w:val="clear" w:color="auto" w:fill="auto"/>
            <w:vAlign w:val="bottom"/>
          </w:tcPr>
          <w:p>
            <w:pPr>
              <w:shd w:val="clear" w:color="auto" w:fill="FFFFFF"/>
              <w:spacing w:line="240" w:lineRule="atLeast"/>
              <w:jc w:val="left"/>
              <w:rPr>
                <w:noProof/>
              </w:rPr>
            </w:pPr>
            <w:r>
              <w:rPr>
                <w:noProof/>
              </w:rPr>
              <w:t>Ancrages des ceintures de sécurité</w:t>
            </w:r>
          </w:p>
        </w:tc>
        <w:tc>
          <w:tcPr>
            <w:tcW w:w="3081" w:type="dxa"/>
            <w:shd w:val="clear" w:color="auto" w:fill="auto"/>
            <w:vAlign w:val="bottom"/>
          </w:tcPr>
          <w:p>
            <w:pPr>
              <w:shd w:val="clear" w:color="auto" w:fill="FFFFFF"/>
              <w:spacing w:line="240" w:lineRule="atLeast"/>
              <w:jc w:val="left"/>
              <w:rPr>
                <w:noProof/>
              </w:rPr>
            </w:pPr>
            <w:r>
              <w:rPr>
                <w:noProof/>
              </w:rPr>
              <w:t>Règl. ONU 14</w:t>
            </w:r>
          </w:p>
        </w:tc>
        <w:tc>
          <w:tcPr>
            <w:tcW w:w="3081" w:type="dxa"/>
            <w:shd w:val="clear" w:color="auto" w:fill="auto"/>
            <w:vAlign w:val="bottom"/>
          </w:tcPr>
          <w:p>
            <w:pPr>
              <w:shd w:val="clear" w:color="auto" w:fill="FFFFFF"/>
              <w:spacing w:line="240" w:lineRule="atLeast"/>
              <w:jc w:val="left"/>
              <w:rPr>
                <w:noProof/>
              </w:rPr>
            </w:pPr>
          </w:p>
        </w:tc>
      </w:tr>
      <w:tr>
        <w:tc>
          <w:tcPr>
            <w:tcW w:w="3080" w:type="dxa"/>
            <w:shd w:val="clear" w:color="auto" w:fill="auto"/>
          </w:tcPr>
          <w:p>
            <w:pPr>
              <w:shd w:val="clear" w:color="auto" w:fill="FFFFFF"/>
              <w:spacing w:line="240" w:lineRule="atLeast"/>
              <w:jc w:val="left"/>
              <w:rPr>
                <w:noProof/>
              </w:rPr>
            </w:pPr>
            <w:r>
              <w:rPr>
                <w:noProof/>
              </w:rPr>
              <w:t>Installation des dispositifs d’éclairage et de signalisation lumineuse</w:t>
            </w:r>
          </w:p>
        </w:tc>
        <w:tc>
          <w:tcPr>
            <w:tcW w:w="3081" w:type="dxa"/>
            <w:shd w:val="clear" w:color="auto" w:fill="auto"/>
          </w:tcPr>
          <w:p>
            <w:pPr>
              <w:shd w:val="clear" w:color="auto" w:fill="FFFFFF"/>
              <w:spacing w:line="240" w:lineRule="atLeast"/>
              <w:jc w:val="left"/>
              <w:rPr>
                <w:noProof/>
              </w:rPr>
            </w:pPr>
            <w:r>
              <w:rPr>
                <w:noProof/>
              </w:rPr>
              <w:t>Règl. ONU 48</w:t>
            </w:r>
          </w:p>
        </w:tc>
        <w:tc>
          <w:tcPr>
            <w:tcW w:w="3081" w:type="dxa"/>
            <w:shd w:val="clear" w:color="auto" w:fill="auto"/>
          </w:tcPr>
          <w:p>
            <w:pPr>
              <w:shd w:val="clear" w:color="auto" w:fill="FFFFFF"/>
              <w:spacing w:line="240" w:lineRule="atLeast"/>
              <w:jc w:val="left"/>
              <w:rPr>
                <w:noProof/>
              </w:rPr>
            </w:pPr>
          </w:p>
        </w:tc>
      </w:tr>
      <w:tr>
        <w:tc>
          <w:tcPr>
            <w:tcW w:w="3080" w:type="dxa"/>
            <w:shd w:val="clear" w:color="auto" w:fill="auto"/>
            <w:vAlign w:val="bottom"/>
          </w:tcPr>
          <w:p>
            <w:pPr>
              <w:shd w:val="clear" w:color="auto" w:fill="FFFFFF"/>
              <w:spacing w:line="240" w:lineRule="atLeast"/>
              <w:jc w:val="left"/>
              <w:rPr>
                <w:noProof/>
              </w:rPr>
            </w:pPr>
            <w:r>
              <w:rPr>
                <w:noProof/>
              </w:rPr>
              <w:t>Dispositifs catadioptriques</w:t>
            </w:r>
          </w:p>
        </w:tc>
        <w:tc>
          <w:tcPr>
            <w:tcW w:w="3081" w:type="dxa"/>
            <w:shd w:val="clear" w:color="auto" w:fill="auto"/>
            <w:vAlign w:val="bottom"/>
          </w:tcPr>
          <w:p>
            <w:pPr>
              <w:shd w:val="clear" w:color="auto" w:fill="FFFFFF"/>
              <w:spacing w:line="240" w:lineRule="atLeast"/>
              <w:jc w:val="left"/>
              <w:rPr>
                <w:noProof/>
              </w:rPr>
            </w:pPr>
            <w:r>
              <w:rPr>
                <w:noProof/>
              </w:rPr>
              <w:t>Règl. ONU 3</w:t>
            </w:r>
          </w:p>
        </w:tc>
        <w:tc>
          <w:tcPr>
            <w:tcW w:w="3081" w:type="dxa"/>
            <w:shd w:val="clear" w:color="auto" w:fill="auto"/>
            <w:vAlign w:val="bottom"/>
          </w:tcPr>
          <w:p>
            <w:pPr>
              <w:shd w:val="clear" w:color="auto" w:fill="FFFFFF"/>
              <w:spacing w:line="240" w:lineRule="atLeast"/>
              <w:jc w:val="left"/>
              <w:rPr>
                <w:noProof/>
              </w:rPr>
            </w:pPr>
          </w:p>
        </w:tc>
      </w:tr>
      <w:tr>
        <w:tc>
          <w:tcPr>
            <w:tcW w:w="3080" w:type="dxa"/>
            <w:shd w:val="clear" w:color="auto" w:fill="auto"/>
            <w:vAlign w:val="bottom"/>
          </w:tcPr>
          <w:p>
            <w:pPr>
              <w:shd w:val="clear" w:color="auto" w:fill="FFFFFF"/>
              <w:spacing w:line="240" w:lineRule="atLeast"/>
              <w:jc w:val="left"/>
              <w:rPr>
                <w:noProof/>
              </w:rPr>
            </w:pPr>
            <w:r>
              <w:rPr>
                <w:noProof/>
              </w:rPr>
              <w:t>Feux d’encombrement, feux de position avant/arrière et latéraux, feux stop</w:t>
            </w:r>
          </w:p>
        </w:tc>
        <w:tc>
          <w:tcPr>
            <w:tcW w:w="3081" w:type="dxa"/>
            <w:shd w:val="clear" w:color="auto" w:fill="auto"/>
          </w:tcPr>
          <w:p>
            <w:pPr>
              <w:shd w:val="clear" w:color="auto" w:fill="FFFFFF"/>
              <w:spacing w:line="240" w:lineRule="atLeast"/>
              <w:jc w:val="left"/>
              <w:rPr>
                <w:noProof/>
              </w:rPr>
            </w:pPr>
            <w:r>
              <w:rPr>
                <w:noProof/>
              </w:rPr>
              <w:t>Règl. ONU 7</w:t>
            </w:r>
          </w:p>
        </w:tc>
        <w:tc>
          <w:tcPr>
            <w:tcW w:w="3081" w:type="dxa"/>
            <w:shd w:val="clear" w:color="auto" w:fill="auto"/>
          </w:tcPr>
          <w:p>
            <w:pPr>
              <w:shd w:val="clear" w:color="auto" w:fill="FFFFFF"/>
              <w:spacing w:line="240" w:lineRule="atLeast"/>
              <w:jc w:val="left"/>
              <w:rPr>
                <w:noProof/>
              </w:rPr>
            </w:pPr>
          </w:p>
        </w:tc>
      </w:tr>
      <w:tr>
        <w:tc>
          <w:tcPr>
            <w:tcW w:w="3080" w:type="dxa"/>
            <w:shd w:val="clear" w:color="auto" w:fill="auto"/>
            <w:vAlign w:val="bottom"/>
          </w:tcPr>
          <w:p>
            <w:pPr>
              <w:shd w:val="clear" w:color="auto" w:fill="FFFFFF"/>
              <w:spacing w:line="240" w:lineRule="atLeast"/>
              <w:jc w:val="left"/>
              <w:rPr>
                <w:noProof/>
              </w:rPr>
            </w:pPr>
            <w:r>
              <w:rPr>
                <w:noProof/>
              </w:rPr>
              <w:t>Feux de circulation diurnes</w:t>
            </w:r>
          </w:p>
        </w:tc>
        <w:tc>
          <w:tcPr>
            <w:tcW w:w="3081" w:type="dxa"/>
            <w:shd w:val="clear" w:color="auto" w:fill="auto"/>
            <w:vAlign w:val="bottom"/>
          </w:tcPr>
          <w:p>
            <w:pPr>
              <w:shd w:val="clear" w:color="auto" w:fill="FFFFFF"/>
              <w:spacing w:line="240" w:lineRule="atLeast"/>
              <w:jc w:val="left"/>
              <w:rPr>
                <w:noProof/>
              </w:rPr>
            </w:pPr>
            <w:r>
              <w:rPr>
                <w:noProof/>
              </w:rPr>
              <w:t>Règl. ONU 87</w:t>
            </w:r>
          </w:p>
        </w:tc>
        <w:tc>
          <w:tcPr>
            <w:tcW w:w="3081" w:type="dxa"/>
            <w:shd w:val="clear" w:color="auto" w:fill="auto"/>
            <w:vAlign w:val="bottom"/>
          </w:tcPr>
          <w:p>
            <w:pPr>
              <w:shd w:val="clear" w:color="auto" w:fill="FFFFFF"/>
              <w:spacing w:line="240" w:lineRule="atLeast"/>
              <w:jc w:val="left"/>
              <w:rPr>
                <w:noProof/>
              </w:rPr>
            </w:pPr>
          </w:p>
        </w:tc>
      </w:tr>
      <w:tr>
        <w:tc>
          <w:tcPr>
            <w:tcW w:w="3080" w:type="dxa"/>
            <w:shd w:val="clear" w:color="auto" w:fill="auto"/>
          </w:tcPr>
          <w:p>
            <w:pPr>
              <w:shd w:val="clear" w:color="auto" w:fill="FFFFFF"/>
              <w:spacing w:line="240" w:lineRule="atLeast"/>
              <w:jc w:val="left"/>
              <w:rPr>
                <w:noProof/>
              </w:rPr>
            </w:pPr>
            <w:r>
              <w:rPr>
                <w:noProof/>
              </w:rPr>
              <w:t>Feux de position latéraux</w:t>
            </w:r>
          </w:p>
        </w:tc>
        <w:tc>
          <w:tcPr>
            <w:tcW w:w="3081" w:type="dxa"/>
            <w:shd w:val="clear" w:color="auto" w:fill="auto"/>
          </w:tcPr>
          <w:p>
            <w:pPr>
              <w:shd w:val="clear" w:color="auto" w:fill="FFFFFF"/>
              <w:spacing w:line="240" w:lineRule="atLeast"/>
              <w:jc w:val="left"/>
              <w:rPr>
                <w:noProof/>
              </w:rPr>
            </w:pPr>
            <w:r>
              <w:rPr>
                <w:noProof/>
              </w:rPr>
              <w:t>Règl. ONU 91</w:t>
            </w:r>
          </w:p>
        </w:tc>
        <w:tc>
          <w:tcPr>
            <w:tcW w:w="3081" w:type="dxa"/>
            <w:shd w:val="clear" w:color="auto" w:fill="auto"/>
          </w:tcPr>
          <w:p>
            <w:pPr>
              <w:shd w:val="clear" w:color="auto" w:fill="FFFFFF"/>
              <w:spacing w:line="240" w:lineRule="atLeast"/>
              <w:jc w:val="left"/>
              <w:rPr>
                <w:noProof/>
              </w:rPr>
            </w:pPr>
          </w:p>
        </w:tc>
      </w:tr>
      <w:tr>
        <w:tc>
          <w:tcPr>
            <w:tcW w:w="3080" w:type="dxa"/>
            <w:shd w:val="clear" w:color="auto" w:fill="auto"/>
            <w:vAlign w:val="bottom"/>
          </w:tcPr>
          <w:p>
            <w:pPr>
              <w:shd w:val="clear" w:color="auto" w:fill="FFFFFF"/>
              <w:spacing w:line="240" w:lineRule="atLeast"/>
              <w:jc w:val="left"/>
              <w:rPr>
                <w:noProof/>
              </w:rPr>
            </w:pPr>
            <w:r>
              <w:rPr>
                <w:noProof/>
              </w:rPr>
              <w:t>Indicateurs de direction</w:t>
            </w:r>
          </w:p>
        </w:tc>
        <w:tc>
          <w:tcPr>
            <w:tcW w:w="3081" w:type="dxa"/>
            <w:shd w:val="clear" w:color="auto" w:fill="auto"/>
            <w:vAlign w:val="bottom"/>
          </w:tcPr>
          <w:p>
            <w:pPr>
              <w:shd w:val="clear" w:color="auto" w:fill="FFFFFF"/>
              <w:spacing w:line="240" w:lineRule="atLeast"/>
              <w:jc w:val="left"/>
              <w:rPr>
                <w:noProof/>
              </w:rPr>
            </w:pPr>
            <w:r>
              <w:rPr>
                <w:noProof/>
              </w:rPr>
              <w:t>Règl. ONU 6</w:t>
            </w:r>
          </w:p>
        </w:tc>
        <w:tc>
          <w:tcPr>
            <w:tcW w:w="3081" w:type="dxa"/>
            <w:shd w:val="clear" w:color="auto" w:fill="auto"/>
            <w:vAlign w:val="bottom"/>
          </w:tcPr>
          <w:p>
            <w:pPr>
              <w:shd w:val="clear" w:color="auto" w:fill="FFFFFF"/>
              <w:spacing w:line="240" w:lineRule="atLeast"/>
              <w:jc w:val="left"/>
              <w:rPr>
                <w:noProof/>
              </w:rPr>
            </w:pPr>
          </w:p>
        </w:tc>
      </w:tr>
      <w:tr>
        <w:tc>
          <w:tcPr>
            <w:tcW w:w="3080" w:type="dxa"/>
            <w:shd w:val="clear" w:color="auto" w:fill="auto"/>
            <w:vAlign w:val="bottom"/>
          </w:tcPr>
          <w:p>
            <w:pPr>
              <w:shd w:val="clear" w:color="auto" w:fill="FFFFFF"/>
              <w:spacing w:line="240" w:lineRule="atLeast"/>
              <w:jc w:val="left"/>
              <w:rPr>
                <w:noProof/>
              </w:rPr>
            </w:pPr>
            <w:r>
              <w:rPr>
                <w:noProof/>
              </w:rPr>
              <w:t>Dispositifs d’éclairage de la plaque d’immatriculation arrière</w:t>
            </w:r>
          </w:p>
        </w:tc>
        <w:tc>
          <w:tcPr>
            <w:tcW w:w="3081" w:type="dxa"/>
            <w:shd w:val="clear" w:color="auto" w:fill="auto"/>
            <w:vAlign w:val="bottom"/>
          </w:tcPr>
          <w:p>
            <w:pPr>
              <w:shd w:val="clear" w:color="auto" w:fill="FFFFFF"/>
              <w:spacing w:line="240" w:lineRule="atLeast"/>
              <w:jc w:val="left"/>
              <w:rPr>
                <w:noProof/>
              </w:rPr>
            </w:pPr>
            <w:r>
              <w:rPr>
                <w:noProof/>
              </w:rPr>
              <w:t>Règl. ONU 4</w:t>
            </w:r>
          </w:p>
        </w:tc>
        <w:tc>
          <w:tcPr>
            <w:tcW w:w="3081" w:type="dxa"/>
            <w:shd w:val="clear" w:color="auto" w:fill="auto"/>
            <w:vAlign w:val="bottom"/>
          </w:tcPr>
          <w:p>
            <w:pPr>
              <w:shd w:val="clear" w:color="auto" w:fill="FFFFFF"/>
              <w:spacing w:line="240" w:lineRule="atLeast"/>
              <w:jc w:val="left"/>
              <w:rPr>
                <w:noProof/>
              </w:rPr>
            </w:pPr>
          </w:p>
        </w:tc>
      </w:tr>
      <w:tr>
        <w:tc>
          <w:tcPr>
            <w:tcW w:w="3080" w:type="dxa"/>
            <w:shd w:val="clear" w:color="auto" w:fill="auto"/>
            <w:vAlign w:val="bottom"/>
          </w:tcPr>
          <w:p>
            <w:pPr>
              <w:shd w:val="clear" w:color="auto" w:fill="FFFFFF"/>
              <w:spacing w:line="240" w:lineRule="atLeast"/>
              <w:jc w:val="left"/>
              <w:rPr>
                <w:noProof/>
              </w:rPr>
            </w:pPr>
            <w:r>
              <w:rPr>
                <w:noProof/>
              </w:rPr>
              <w:t>Projecteurs asymétriques (R</w:t>
            </w:r>
            <w:r>
              <w:rPr>
                <w:noProof/>
                <w:vertAlign w:val="subscript"/>
              </w:rPr>
              <w:t>2</w:t>
            </w:r>
            <w:r>
              <w:rPr>
                <w:noProof/>
              </w:rPr>
              <w:t xml:space="preserve"> et HS</w:t>
            </w:r>
            <w:r>
              <w:rPr>
                <w:noProof/>
                <w:vertAlign w:val="subscript"/>
              </w:rPr>
              <w:t>1</w:t>
            </w:r>
            <w:r>
              <w:rPr>
                <w:noProof/>
              </w:rPr>
              <w:t>)</w:t>
            </w:r>
          </w:p>
        </w:tc>
        <w:tc>
          <w:tcPr>
            <w:tcW w:w="3081" w:type="dxa"/>
            <w:shd w:val="clear" w:color="auto" w:fill="auto"/>
            <w:vAlign w:val="bottom"/>
          </w:tcPr>
          <w:p>
            <w:pPr>
              <w:shd w:val="clear" w:color="auto" w:fill="FFFFFF"/>
              <w:spacing w:line="240" w:lineRule="atLeast"/>
              <w:jc w:val="left"/>
              <w:rPr>
                <w:noProof/>
              </w:rPr>
            </w:pPr>
            <w:r>
              <w:rPr>
                <w:noProof/>
              </w:rPr>
              <w:t>Règl. ONU 1</w:t>
            </w:r>
          </w:p>
        </w:tc>
        <w:tc>
          <w:tcPr>
            <w:tcW w:w="3081" w:type="dxa"/>
            <w:shd w:val="clear" w:color="auto" w:fill="auto"/>
            <w:vAlign w:val="bottom"/>
          </w:tcPr>
          <w:p>
            <w:pPr>
              <w:shd w:val="clear" w:color="auto" w:fill="FFFFFF"/>
              <w:spacing w:line="240" w:lineRule="atLeast"/>
              <w:jc w:val="left"/>
              <w:rPr>
                <w:noProof/>
              </w:rPr>
            </w:pPr>
          </w:p>
        </w:tc>
      </w:tr>
      <w:tr>
        <w:tc>
          <w:tcPr>
            <w:tcW w:w="3080" w:type="dxa"/>
            <w:shd w:val="clear" w:color="auto" w:fill="auto"/>
            <w:vAlign w:val="bottom"/>
          </w:tcPr>
          <w:p>
            <w:pPr>
              <w:shd w:val="clear" w:color="auto" w:fill="FFFFFF"/>
              <w:spacing w:line="240" w:lineRule="atLeast"/>
              <w:jc w:val="left"/>
              <w:rPr>
                <w:noProof/>
              </w:rPr>
            </w:pPr>
            <w:r>
              <w:rPr>
                <w:noProof/>
              </w:rPr>
              <w:t>Projecteurs asymétriques (scellés)</w:t>
            </w:r>
          </w:p>
        </w:tc>
        <w:tc>
          <w:tcPr>
            <w:tcW w:w="3081" w:type="dxa"/>
            <w:shd w:val="clear" w:color="auto" w:fill="auto"/>
            <w:vAlign w:val="bottom"/>
          </w:tcPr>
          <w:p>
            <w:pPr>
              <w:shd w:val="clear" w:color="auto" w:fill="FFFFFF"/>
              <w:spacing w:line="240" w:lineRule="atLeast"/>
              <w:jc w:val="left"/>
              <w:rPr>
                <w:noProof/>
              </w:rPr>
            </w:pPr>
            <w:r>
              <w:rPr>
                <w:noProof/>
              </w:rPr>
              <w:t>Règl. ONU 5</w:t>
            </w:r>
          </w:p>
        </w:tc>
        <w:tc>
          <w:tcPr>
            <w:tcW w:w="3081" w:type="dxa"/>
            <w:shd w:val="clear" w:color="auto" w:fill="auto"/>
            <w:vAlign w:val="bottom"/>
          </w:tcPr>
          <w:p>
            <w:pPr>
              <w:shd w:val="clear" w:color="auto" w:fill="FFFFFF"/>
              <w:spacing w:line="240" w:lineRule="atLeast"/>
              <w:jc w:val="left"/>
              <w:rPr>
                <w:noProof/>
              </w:rPr>
            </w:pPr>
          </w:p>
        </w:tc>
      </w:tr>
      <w:tr>
        <w:tc>
          <w:tcPr>
            <w:tcW w:w="3080" w:type="dxa"/>
            <w:shd w:val="clear" w:color="auto" w:fill="auto"/>
            <w:vAlign w:val="bottom"/>
          </w:tcPr>
          <w:p>
            <w:pPr>
              <w:shd w:val="clear" w:color="auto" w:fill="FFFFFF"/>
              <w:spacing w:line="240" w:lineRule="atLeast"/>
              <w:jc w:val="left"/>
              <w:rPr>
                <w:noProof/>
                <w:lang w:val="pt-PT"/>
              </w:rPr>
            </w:pPr>
            <w:r>
              <w:rPr>
                <w:noProof/>
                <w:lang w:val="pt-PT"/>
              </w:rPr>
              <w:t>Projecteurs (H</w:t>
            </w:r>
            <w:r>
              <w:rPr>
                <w:noProof/>
                <w:vertAlign w:val="subscript"/>
                <w:lang w:val="pt-PT"/>
              </w:rPr>
              <w:t>1</w:t>
            </w:r>
            <w:r>
              <w:rPr>
                <w:noProof/>
                <w:lang w:val="pt-PT"/>
              </w:rPr>
              <w:t>, H</w:t>
            </w:r>
            <w:r>
              <w:rPr>
                <w:noProof/>
                <w:vertAlign w:val="subscript"/>
                <w:lang w:val="pt-PT"/>
              </w:rPr>
              <w:t>2</w:t>
            </w:r>
            <w:r>
              <w:rPr>
                <w:noProof/>
                <w:lang w:val="pt-PT"/>
              </w:rPr>
              <w:t>, H</w:t>
            </w:r>
            <w:r>
              <w:rPr>
                <w:noProof/>
                <w:vertAlign w:val="subscript"/>
                <w:lang w:val="pt-PT"/>
              </w:rPr>
              <w:t>3</w:t>
            </w:r>
            <w:r>
              <w:rPr>
                <w:noProof/>
                <w:lang w:val="pt-PT"/>
              </w:rPr>
              <w:t>, HB</w:t>
            </w:r>
            <w:r>
              <w:rPr>
                <w:noProof/>
                <w:vertAlign w:val="subscript"/>
                <w:lang w:val="pt-PT"/>
              </w:rPr>
              <w:t>3</w:t>
            </w:r>
            <w:r>
              <w:rPr>
                <w:noProof/>
                <w:lang w:val="pt-PT"/>
              </w:rPr>
              <w:t>, HB</w:t>
            </w:r>
            <w:r>
              <w:rPr>
                <w:noProof/>
                <w:vertAlign w:val="subscript"/>
                <w:lang w:val="pt-PT"/>
              </w:rPr>
              <w:t>4</w:t>
            </w:r>
            <w:r>
              <w:rPr>
                <w:noProof/>
                <w:lang w:val="pt-PT"/>
              </w:rPr>
              <w:t>, H</w:t>
            </w:r>
            <w:r>
              <w:rPr>
                <w:noProof/>
                <w:vertAlign w:val="subscript"/>
                <w:lang w:val="pt-PT"/>
              </w:rPr>
              <w:t>7</w:t>
            </w:r>
            <w:r>
              <w:rPr>
                <w:noProof/>
                <w:lang w:val="pt-PT"/>
              </w:rPr>
              <w:t>, et/ou H</w:t>
            </w:r>
            <w:r>
              <w:rPr>
                <w:noProof/>
                <w:vertAlign w:val="subscript"/>
                <w:lang w:val="pt-PT"/>
              </w:rPr>
              <w:t>8</w:t>
            </w:r>
            <w:r>
              <w:rPr>
                <w:noProof/>
                <w:lang w:val="pt-PT"/>
              </w:rPr>
              <w:t>, H</w:t>
            </w:r>
            <w:r>
              <w:rPr>
                <w:noProof/>
                <w:vertAlign w:val="subscript"/>
                <w:lang w:val="pt-PT"/>
              </w:rPr>
              <w:t>9</w:t>
            </w:r>
            <w:r>
              <w:rPr>
                <w:noProof/>
                <w:lang w:val="pt-PT"/>
              </w:rPr>
              <w:t>, HIR1, HIR2 et/ou H</w:t>
            </w:r>
            <w:r>
              <w:rPr>
                <w:noProof/>
                <w:vertAlign w:val="subscript"/>
                <w:lang w:val="pt-PT"/>
              </w:rPr>
              <w:t>11</w:t>
            </w:r>
            <w:r>
              <w:rPr>
                <w:noProof/>
                <w:lang w:val="pt-PT"/>
              </w:rPr>
              <w:t>)</w:t>
            </w:r>
          </w:p>
        </w:tc>
        <w:tc>
          <w:tcPr>
            <w:tcW w:w="3081" w:type="dxa"/>
            <w:shd w:val="clear" w:color="auto" w:fill="auto"/>
          </w:tcPr>
          <w:p>
            <w:pPr>
              <w:shd w:val="clear" w:color="auto" w:fill="FFFFFF"/>
              <w:spacing w:line="240" w:lineRule="atLeast"/>
              <w:jc w:val="left"/>
              <w:rPr>
                <w:noProof/>
              </w:rPr>
            </w:pPr>
            <w:r>
              <w:rPr>
                <w:noProof/>
              </w:rPr>
              <w:t>Règl. ONU 8</w:t>
            </w:r>
          </w:p>
        </w:tc>
        <w:tc>
          <w:tcPr>
            <w:tcW w:w="3081" w:type="dxa"/>
            <w:shd w:val="clear" w:color="auto" w:fill="auto"/>
          </w:tcPr>
          <w:p>
            <w:pPr>
              <w:shd w:val="clear" w:color="auto" w:fill="FFFFFF"/>
              <w:spacing w:line="240" w:lineRule="atLeast"/>
              <w:jc w:val="left"/>
              <w:rPr>
                <w:noProof/>
              </w:rPr>
            </w:pPr>
          </w:p>
        </w:tc>
      </w:tr>
      <w:tr>
        <w:tc>
          <w:tcPr>
            <w:tcW w:w="3080" w:type="dxa"/>
            <w:shd w:val="clear" w:color="auto" w:fill="auto"/>
            <w:vAlign w:val="bottom"/>
          </w:tcPr>
          <w:p>
            <w:pPr>
              <w:shd w:val="clear" w:color="auto" w:fill="FFFFFF"/>
              <w:spacing w:line="240" w:lineRule="atLeast"/>
              <w:jc w:val="left"/>
              <w:rPr>
                <w:noProof/>
              </w:rPr>
            </w:pPr>
            <w:r>
              <w:rPr>
                <w:noProof/>
              </w:rPr>
              <w:t>Projecteurs asymétriques (H</w:t>
            </w:r>
            <w:r>
              <w:rPr>
                <w:noProof/>
                <w:vertAlign w:val="subscript"/>
              </w:rPr>
              <w:t>4</w:t>
            </w:r>
            <w:r>
              <w:rPr>
                <w:noProof/>
              </w:rPr>
              <w:t>)</w:t>
            </w:r>
          </w:p>
        </w:tc>
        <w:tc>
          <w:tcPr>
            <w:tcW w:w="3081" w:type="dxa"/>
            <w:shd w:val="clear" w:color="auto" w:fill="auto"/>
            <w:vAlign w:val="bottom"/>
          </w:tcPr>
          <w:p>
            <w:pPr>
              <w:shd w:val="clear" w:color="auto" w:fill="FFFFFF"/>
              <w:spacing w:line="240" w:lineRule="atLeast"/>
              <w:jc w:val="left"/>
              <w:rPr>
                <w:noProof/>
              </w:rPr>
            </w:pPr>
            <w:r>
              <w:rPr>
                <w:noProof/>
              </w:rPr>
              <w:t>Règl. ONU 20</w:t>
            </w:r>
          </w:p>
        </w:tc>
        <w:tc>
          <w:tcPr>
            <w:tcW w:w="3081" w:type="dxa"/>
            <w:shd w:val="clear" w:color="auto" w:fill="auto"/>
            <w:vAlign w:val="bottom"/>
          </w:tcPr>
          <w:p>
            <w:pPr>
              <w:shd w:val="clear" w:color="auto" w:fill="FFFFFF"/>
              <w:spacing w:line="240" w:lineRule="atLeast"/>
              <w:jc w:val="left"/>
              <w:rPr>
                <w:noProof/>
              </w:rPr>
            </w:pPr>
          </w:p>
        </w:tc>
      </w:tr>
      <w:tr>
        <w:tc>
          <w:tcPr>
            <w:tcW w:w="3080" w:type="dxa"/>
            <w:shd w:val="clear" w:color="auto" w:fill="auto"/>
          </w:tcPr>
          <w:p>
            <w:pPr>
              <w:shd w:val="clear" w:color="auto" w:fill="FFFFFF"/>
              <w:spacing w:line="240" w:lineRule="atLeast"/>
              <w:jc w:val="left"/>
              <w:rPr>
                <w:noProof/>
              </w:rPr>
            </w:pPr>
            <w:r>
              <w:rPr>
                <w:noProof/>
              </w:rPr>
              <w:t>Projecteurs asymétriques (halogènes scellés)</w:t>
            </w:r>
          </w:p>
        </w:tc>
        <w:tc>
          <w:tcPr>
            <w:tcW w:w="3081" w:type="dxa"/>
            <w:shd w:val="clear" w:color="auto" w:fill="auto"/>
          </w:tcPr>
          <w:p>
            <w:pPr>
              <w:shd w:val="clear" w:color="auto" w:fill="FFFFFF"/>
              <w:spacing w:line="240" w:lineRule="atLeast"/>
              <w:jc w:val="left"/>
              <w:rPr>
                <w:noProof/>
              </w:rPr>
            </w:pPr>
            <w:r>
              <w:rPr>
                <w:noProof/>
              </w:rPr>
              <w:t>Règl. ONU 31</w:t>
            </w:r>
          </w:p>
        </w:tc>
        <w:tc>
          <w:tcPr>
            <w:tcW w:w="3081" w:type="dxa"/>
            <w:shd w:val="clear" w:color="auto" w:fill="auto"/>
          </w:tcPr>
          <w:p>
            <w:pPr>
              <w:shd w:val="clear" w:color="auto" w:fill="FFFFFF"/>
              <w:spacing w:line="240" w:lineRule="atLeast"/>
              <w:jc w:val="left"/>
              <w:rPr>
                <w:noProof/>
              </w:rPr>
            </w:pPr>
          </w:p>
        </w:tc>
      </w:tr>
      <w:tr>
        <w:tc>
          <w:tcPr>
            <w:tcW w:w="3080" w:type="dxa"/>
            <w:shd w:val="clear" w:color="auto" w:fill="auto"/>
          </w:tcPr>
          <w:p>
            <w:pPr>
              <w:shd w:val="clear" w:color="auto" w:fill="FFFFFF"/>
              <w:spacing w:line="240" w:lineRule="atLeast"/>
              <w:jc w:val="left"/>
              <w:rPr>
                <w:noProof/>
              </w:rPr>
            </w:pPr>
            <w:r>
              <w:rPr>
                <w:noProof/>
              </w:rPr>
              <w:t>Lampes à filament utilisées dans les ensembles de feux homologués</w:t>
            </w:r>
          </w:p>
        </w:tc>
        <w:tc>
          <w:tcPr>
            <w:tcW w:w="3081" w:type="dxa"/>
            <w:shd w:val="clear" w:color="auto" w:fill="auto"/>
          </w:tcPr>
          <w:p>
            <w:pPr>
              <w:shd w:val="clear" w:color="auto" w:fill="FFFFFF"/>
              <w:spacing w:line="240" w:lineRule="atLeast"/>
              <w:jc w:val="left"/>
              <w:rPr>
                <w:noProof/>
              </w:rPr>
            </w:pPr>
            <w:r>
              <w:rPr>
                <w:noProof/>
              </w:rPr>
              <w:t>Règl. ONU 37</w:t>
            </w:r>
          </w:p>
        </w:tc>
        <w:tc>
          <w:tcPr>
            <w:tcW w:w="3081" w:type="dxa"/>
            <w:shd w:val="clear" w:color="auto" w:fill="auto"/>
          </w:tcPr>
          <w:p>
            <w:pPr>
              <w:shd w:val="clear" w:color="auto" w:fill="FFFFFF"/>
              <w:spacing w:line="240" w:lineRule="atLeast"/>
              <w:jc w:val="left"/>
              <w:rPr>
                <w:noProof/>
              </w:rPr>
            </w:pPr>
          </w:p>
        </w:tc>
      </w:tr>
      <w:tr>
        <w:tc>
          <w:tcPr>
            <w:tcW w:w="3080" w:type="dxa"/>
            <w:shd w:val="clear" w:color="auto" w:fill="auto"/>
          </w:tcPr>
          <w:p>
            <w:pPr>
              <w:shd w:val="clear" w:color="auto" w:fill="FFFFFF"/>
              <w:spacing w:line="240" w:lineRule="atLeast"/>
              <w:jc w:val="left"/>
              <w:rPr>
                <w:noProof/>
              </w:rPr>
            </w:pPr>
            <w:r>
              <w:rPr>
                <w:noProof/>
              </w:rPr>
              <w:t>Projecteurs munis de sources lumineuses à décharge</w:t>
            </w:r>
          </w:p>
        </w:tc>
        <w:tc>
          <w:tcPr>
            <w:tcW w:w="3081" w:type="dxa"/>
            <w:shd w:val="clear" w:color="auto" w:fill="auto"/>
          </w:tcPr>
          <w:p>
            <w:pPr>
              <w:shd w:val="clear" w:color="auto" w:fill="FFFFFF"/>
              <w:spacing w:line="240" w:lineRule="atLeast"/>
              <w:jc w:val="left"/>
              <w:rPr>
                <w:noProof/>
              </w:rPr>
            </w:pPr>
            <w:r>
              <w:rPr>
                <w:noProof/>
              </w:rPr>
              <w:t>Règl. ONU 98</w:t>
            </w:r>
          </w:p>
        </w:tc>
        <w:tc>
          <w:tcPr>
            <w:tcW w:w="3081" w:type="dxa"/>
            <w:shd w:val="clear" w:color="auto" w:fill="auto"/>
          </w:tcPr>
          <w:p>
            <w:pPr>
              <w:shd w:val="clear" w:color="auto" w:fill="FFFFFF"/>
              <w:spacing w:line="240" w:lineRule="atLeast"/>
              <w:jc w:val="left"/>
              <w:rPr>
                <w:noProof/>
              </w:rPr>
            </w:pPr>
          </w:p>
        </w:tc>
      </w:tr>
      <w:tr>
        <w:tc>
          <w:tcPr>
            <w:tcW w:w="3080" w:type="dxa"/>
            <w:shd w:val="clear" w:color="auto" w:fill="auto"/>
            <w:vAlign w:val="bottom"/>
          </w:tcPr>
          <w:p>
            <w:pPr>
              <w:shd w:val="clear" w:color="auto" w:fill="FFFFFF"/>
              <w:spacing w:line="240" w:lineRule="atLeast"/>
              <w:jc w:val="left"/>
              <w:rPr>
                <w:noProof/>
              </w:rPr>
            </w:pPr>
            <w:r>
              <w:rPr>
                <w:noProof/>
              </w:rPr>
              <w:t>Sources lumineuses à décharge destinées à être utilisées dans les feux à décharge homologués</w:t>
            </w:r>
          </w:p>
        </w:tc>
        <w:tc>
          <w:tcPr>
            <w:tcW w:w="3081" w:type="dxa"/>
            <w:shd w:val="clear" w:color="auto" w:fill="auto"/>
          </w:tcPr>
          <w:p>
            <w:pPr>
              <w:shd w:val="clear" w:color="auto" w:fill="FFFFFF"/>
              <w:spacing w:line="240" w:lineRule="atLeast"/>
              <w:jc w:val="left"/>
              <w:rPr>
                <w:noProof/>
              </w:rPr>
            </w:pPr>
            <w:r>
              <w:rPr>
                <w:noProof/>
              </w:rPr>
              <w:t>Règl. ONU 99</w:t>
            </w:r>
          </w:p>
        </w:tc>
        <w:tc>
          <w:tcPr>
            <w:tcW w:w="3081" w:type="dxa"/>
            <w:shd w:val="clear" w:color="auto" w:fill="auto"/>
          </w:tcPr>
          <w:p>
            <w:pPr>
              <w:shd w:val="clear" w:color="auto" w:fill="FFFFFF"/>
              <w:spacing w:line="240" w:lineRule="atLeast"/>
              <w:jc w:val="left"/>
              <w:rPr>
                <w:noProof/>
              </w:rPr>
            </w:pPr>
          </w:p>
        </w:tc>
      </w:tr>
      <w:tr>
        <w:tc>
          <w:tcPr>
            <w:tcW w:w="3080" w:type="dxa"/>
            <w:shd w:val="clear" w:color="auto" w:fill="auto"/>
            <w:vAlign w:val="bottom"/>
          </w:tcPr>
          <w:p>
            <w:pPr>
              <w:shd w:val="clear" w:color="auto" w:fill="FFFFFF"/>
              <w:spacing w:line="240" w:lineRule="atLeast"/>
              <w:jc w:val="left"/>
              <w:rPr>
                <w:noProof/>
              </w:rPr>
            </w:pPr>
            <w:r>
              <w:rPr>
                <w:noProof/>
              </w:rPr>
              <w:t>Projecteurs asymétriques (lampes à incandescence)</w:t>
            </w:r>
          </w:p>
        </w:tc>
        <w:tc>
          <w:tcPr>
            <w:tcW w:w="3081" w:type="dxa"/>
            <w:shd w:val="clear" w:color="auto" w:fill="auto"/>
            <w:vAlign w:val="bottom"/>
          </w:tcPr>
          <w:p>
            <w:pPr>
              <w:shd w:val="clear" w:color="auto" w:fill="FFFFFF"/>
              <w:spacing w:line="240" w:lineRule="atLeast"/>
              <w:jc w:val="left"/>
              <w:rPr>
                <w:noProof/>
              </w:rPr>
            </w:pPr>
            <w:r>
              <w:rPr>
                <w:noProof/>
              </w:rPr>
              <w:t>Règl. ONU 112</w:t>
            </w:r>
          </w:p>
        </w:tc>
        <w:tc>
          <w:tcPr>
            <w:tcW w:w="3081" w:type="dxa"/>
            <w:shd w:val="clear" w:color="auto" w:fill="auto"/>
            <w:vAlign w:val="bottom"/>
          </w:tcPr>
          <w:p>
            <w:pPr>
              <w:shd w:val="clear" w:color="auto" w:fill="FFFFFF"/>
              <w:spacing w:line="240" w:lineRule="atLeast"/>
              <w:jc w:val="left"/>
              <w:rPr>
                <w:noProof/>
              </w:rPr>
            </w:pPr>
          </w:p>
        </w:tc>
      </w:tr>
      <w:tr>
        <w:tc>
          <w:tcPr>
            <w:tcW w:w="3080" w:type="dxa"/>
            <w:shd w:val="clear" w:color="auto" w:fill="auto"/>
            <w:vAlign w:val="bottom"/>
          </w:tcPr>
          <w:p>
            <w:pPr>
              <w:shd w:val="clear" w:color="auto" w:fill="FFFFFF"/>
              <w:spacing w:line="240" w:lineRule="atLeast"/>
              <w:jc w:val="left"/>
              <w:rPr>
                <w:noProof/>
              </w:rPr>
            </w:pPr>
            <w:r>
              <w:rPr>
                <w:noProof/>
              </w:rPr>
              <w:t>Systèmes d’éclairage avant adaptatifs</w:t>
            </w:r>
          </w:p>
        </w:tc>
        <w:tc>
          <w:tcPr>
            <w:tcW w:w="3081" w:type="dxa"/>
            <w:shd w:val="clear" w:color="auto" w:fill="auto"/>
            <w:vAlign w:val="bottom"/>
          </w:tcPr>
          <w:p>
            <w:pPr>
              <w:shd w:val="clear" w:color="auto" w:fill="FFFFFF"/>
              <w:spacing w:line="240" w:lineRule="atLeast"/>
              <w:jc w:val="left"/>
              <w:rPr>
                <w:noProof/>
              </w:rPr>
            </w:pPr>
            <w:r>
              <w:rPr>
                <w:noProof/>
              </w:rPr>
              <w:t>Règl. ONU 123</w:t>
            </w:r>
          </w:p>
        </w:tc>
        <w:tc>
          <w:tcPr>
            <w:tcW w:w="3081" w:type="dxa"/>
            <w:shd w:val="clear" w:color="auto" w:fill="auto"/>
            <w:vAlign w:val="bottom"/>
          </w:tcPr>
          <w:p>
            <w:pPr>
              <w:shd w:val="clear" w:color="auto" w:fill="FFFFFF"/>
              <w:spacing w:line="240" w:lineRule="atLeast"/>
              <w:jc w:val="left"/>
              <w:rPr>
                <w:noProof/>
              </w:rPr>
            </w:pPr>
          </w:p>
        </w:tc>
      </w:tr>
      <w:tr>
        <w:tc>
          <w:tcPr>
            <w:tcW w:w="3080" w:type="dxa"/>
            <w:shd w:val="clear" w:color="auto" w:fill="auto"/>
            <w:vAlign w:val="bottom"/>
          </w:tcPr>
          <w:p>
            <w:pPr>
              <w:shd w:val="clear" w:color="auto" w:fill="FFFFFF"/>
              <w:spacing w:line="240" w:lineRule="atLeast"/>
              <w:jc w:val="left"/>
              <w:rPr>
                <w:noProof/>
              </w:rPr>
            </w:pPr>
            <w:r>
              <w:rPr>
                <w:noProof/>
              </w:rPr>
              <w:t>Feux antibrouillard avant</w:t>
            </w:r>
          </w:p>
        </w:tc>
        <w:tc>
          <w:tcPr>
            <w:tcW w:w="3081" w:type="dxa"/>
            <w:shd w:val="clear" w:color="auto" w:fill="auto"/>
            <w:vAlign w:val="bottom"/>
          </w:tcPr>
          <w:p>
            <w:pPr>
              <w:shd w:val="clear" w:color="auto" w:fill="FFFFFF"/>
              <w:spacing w:line="240" w:lineRule="atLeast"/>
              <w:jc w:val="left"/>
              <w:rPr>
                <w:noProof/>
              </w:rPr>
            </w:pPr>
            <w:r>
              <w:rPr>
                <w:noProof/>
              </w:rPr>
              <w:t>Règl. ONU 19</w:t>
            </w:r>
          </w:p>
        </w:tc>
        <w:tc>
          <w:tcPr>
            <w:tcW w:w="3081" w:type="dxa"/>
            <w:shd w:val="clear" w:color="auto" w:fill="auto"/>
            <w:vAlign w:val="bottom"/>
          </w:tcPr>
          <w:p>
            <w:pPr>
              <w:shd w:val="clear" w:color="auto" w:fill="FFFFFF"/>
              <w:spacing w:line="240" w:lineRule="atLeast"/>
              <w:jc w:val="left"/>
              <w:rPr>
                <w:noProof/>
              </w:rPr>
            </w:pPr>
          </w:p>
        </w:tc>
      </w:tr>
      <w:tr>
        <w:tc>
          <w:tcPr>
            <w:tcW w:w="3080" w:type="dxa"/>
            <w:shd w:val="clear" w:color="auto" w:fill="auto"/>
            <w:vAlign w:val="bottom"/>
          </w:tcPr>
          <w:p>
            <w:pPr>
              <w:shd w:val="clear" w:color="auto" w:fill="FFFFFF"/>
              <w:spacing w:line="240" w:lineRule="atLeast"/>
              <w:jc w:val="left"/>
              <w:rPr>
                <w:noProof/>
              </w:rPr>
            </w:pPr>
            <w:r>
              <w:rPr>
                <w:noProof/>
              </w:rPr>
              <w:t>Feux antibrouillard arrière</w:t>
            </w:r>
          </w:p>
        </w:tc>
        <w:tc>
          <w:tcPr>
            <w:tcW w:w="3081" w:type="dxa"/>
            <w:shd w:val="clear" w:color="auto" w:fill="auto"/>
            <w:vAlign w:val="bottom"/>
          </w:tcPr>
          <w:p>
            <w:pPr>
              <w:shd w:val="clear" w:color="auto" w:fill="FFFFFF"/>
              <w:spacing w:line="240" w:lineRule="atLeast"/>
              <w:jc w:val="left"/>
              <w:rPr>
                <w:noProof/>
              </w:rPr>
            </w:pPr>
            <w:r>
              <w:rPr>
                <w:noProof/>
              </w:rPr>
              <w:t>Règl. ONU 38</w:t>
            </w:r>
          </w:p>
        </w:tc>
        <w:tc>
          <w:tcPr>
            <w:tcW w:w="3081" w:type="dxa"/>
            <w:shd w:val="clear" w:color="auto" w:fill="auto"/>
            <w:vAlign w:val="bottom"/>
          </w:tcPr>
          <w:p>
            <w:pPr>
              <w:shd w:val="clear" w:color="auto" w:fill="FFFFFF"/>
              <w:spacing w:line="240" w:lineRule="atLeast"/>
              <w:jc w:val="left"/>
              <w:rPr>
                <w:noProof/>
              </w:rPr>
            </w:pPr>
          </w:p>
        </w:tc>
      </w:tr>
      <w:tr>
        <w:tc>
          <w:tcPr>
            <w:tcW w:w="3080" w:type="dxa"/>
            <w:shd w:val="clear" w:color="auto" w:fill="auto"/>
            <w:vAlign w:val="bottom"/>
          </w:tcPr>
          <w:p>
            <w:pPr>
              <w:shd w:val="clear" w:color="auto" w:fill="FFFFFF"/>
              <w:spacing w:line="240" w:lineRule="atLeast"/>
              <w:jc w:val="left"/>
              <w:rPr>
                <w:noProof/>
              </w:rPr>
            </w:pPr>
            <w:r>
              <w:rPr>
                <w:noProof/>
              </w:rPr>
              <w:t>Feux de marche arrière</w:t>
            </w:r>
          </w:p>
        </w:tc>
        <w:tc>
          <w:tcPr>
            <w:tcW w:w="3081" w:type="dxa"/>
            <w:shd w:val="clear" w:color="auto" w:fill="auto"/>
            <w:vAlign w:val="bottom"/>
          </w:tcPr>
          <w:p>
            <w:pPr>
              <w:shd w:val="clear" w:color="auto" w:fill="FFFFFF"/>
              <w:spacing w:line="240" w:lineRule="atLeast"/>
              <w:jc w:val="left"/>
              <w:rPr>
                <w:noProof/>
              </w:rPr>
            </w:pPr>
            <w:r>
              <w:rPr>
                <w:noProof/>
              </w:rPr>
              <w:t>Règl. ONU 23</w:t>
            </w:r>
          </w:p>
        </w:tc>
        <w:tc>
          <w:tcPr>
            <w:tcW w:w="3081" w:type="dxa"/>
            <w:shd w:val="clear" w:color="auto" w:fill="auto"/>
            <w:vAlign w:val="bottom"/>
          </w:tcPr>
          <w:p>
            <w:pPr>
              <w:shd w:val="clear" w:color="auto" w:fill="FFFFFF"/>
              <w:spacing w:line="240" w:lineRule="atLeast"/>
              <w:jc w:val="left"/>
              <w:rPr>
                <w:noProof/>
              </w:rPr>
            </w:pPr>
          </w:p>
        </w:tc>
      </w:tr>
      <w:tr>
        <w:tc>
          <w:tcPr>
            <w:tcW w:w="3080" w:type="dxa"/>
            <w:shd w:val="clear" w:color="auto" w:fill="auto"/>
            <w:vAlign w:val="bottom"/>
          </w:tcPr>
          <w:p>
            <w:pPr>
              <w:shd w:val="clear" w:color="auto" w:fill="FFFFFF"/>
              <w:spacing w:line="240" w:lineRule="atLeast"/>
              <w:jc w:val="left"/>
              <w:rPr>
                <w:noProof/>
              </w:rPr>
            </w:pPr>
            <w:r>
              <w:rPr>
                <w:noProof/>
              </w:rPr>
              <w:t>Feux de stationnement</w:t>
            </w:r>
          </w:p>
        </w:tc>
        <w:tc>
          <w:tcPr>
            <w:tcW w:w="3081" w:type="dxa"/>
            <w:shd w:val="clear" w:color="auto" w:fill="auto"/>
            <w:vAlign w:val="bottom"/>
          </w:tcPr>
          <w:p>
            <w:pPr>
              <w:shd w:val="clear" w:color="auto" w:fill="FFFFFF"/>
              <w:spacing w:line="240" w:lineRule="atLeast"/>
              <w:jc w:val="left"/>
              <w:rPr>
                <w:noProof/>
              </w:rPr>
            </w:pPr>
            <w:r>
              <w:rPr>
                <w:noProof/>
              </w:rPr>
              <w:t>Règl. ONU 77</w:t>
            </w:r>
          </w:p>
        </w:tc>
        <w:tc>
          <w:tcPr>
            <w:tcW w:w="3081" w:type="dxa"/>
            <w:shd w:val="clear" w:color="auto" w:fill="auto"/>
            <w:vAlign w:val="bottom"/>
          </w:tcPr>
          <w:p>
            <w:pPr>
              <w:shd w:val="clear" w:color="auto" w:fill="FFFFFF"/>
              <w:spacing w:line="240" w:lineRule="atLeast"/>
              <w:jc w:val="left"/>
              <w:rPr>
                <w:noProof/>
              </w:rPr>
            </w:pPr>
          </w:p>
        </w:tc>
      </w:tr>
      <w:tr>
        <w:tc>
          <w:tcPr>
            <w:tcW w:w="3080" w:type="dxa"/>
            <w:shd w:val="clear" w:color="auto" w:fill="auto"/>
            <w:vAlign w:val="bottom"/>
          </w:tcPr>
          <w:p>
            <w:pPr>
              <w:shd w:val="clear" w:color="auto" w:fill="FFFFFF"/>
              <w:spacing w:line="240" w:lineRule="atLeast"/>
              <w:jc w:val="left"/>
              <w:rPr>
                <w:noProof/>
              </w:rPr>
            </w:pPr>
            <w:r>
              <w:rPr>
                <w:noProof/>
              </w:rPr>
              <w:t>Ceintures de sécurité et systèmes de retenue</w:t>
            </w:r>
          </w:p>
        </w:tc>
        <w:tc>
          <w:tcPr>
            <w:tcW w:w="3081" w:type="dxa"/>
            <w:shd w:val="clear" w:color="auto" w:fill="auto"/>
            <w:vAlign w:val="bottom"/>
          </w:tcPr>
          <w:p>
            <w:pPr>
              <w:shd w:val="clear" w:color="auto" w:fill="FFFFFF"/>
              <w:spacing w:line="240" w:lineRule="atLeast"/>
              <w:jc w:val="left"/>
              <w:rPr>
                <w:noProof/>
              </w:rPr>
            </w:pPr>
            <w:r>
              <w:rPr>
                <w:noProof/>
              </w:rPr>
              <w:t>Règl. ONU 16</w:t>
            </w:r>
          </w:p>
        </w:tc>
        <w:tc>
          <w:tcPr>
            <w:tcW w:w="3081" w:type="dxa"/>
            <w:shd w:val="clear" w:color="auto" w:fill="auto"/>
            <w:vAlign w:val="bottom"/>
          </w:tcPr>
          <w:p>
            <w:pPr>
              <w:shd w:val="clear" w:color="auto" w:fill="FFFFFF"/>
              <w:spacing w:line="240" w:lineRule="atLeast"/>
              <w:jc w:val="left"/>
              <w:rPr>
                <w:noProof/>
              </w:rPr>
            </w:pPr>
          </w:p>
        </w:tc>
      </w:tr>
      <w:tr>
        <w:tc>
          <w:tcPr>
            <w:tcW w:w="3080" w:type="dxa"/>
            <w:shd w:val="clear" w:color="auto" w:fill="auto"/>
            <w:vAlign w:val="bottom"/>
          </w:tcPr>
          <w:p>
            <w:pPr>
              <w:shd w:val="clear" w:color="auto" w:fill="FFFFFF"/>
              <w:spacing w:line="240" w:lineRule="atLeast"/>
              <w:jc w:val="left"/>
              <w:rPr>
                <w:noProof/>
              </w:rPr>
            </w:pPr>
            <w:r>
              <w:rPr>
                <w:noProof/>
              </w:rPr>
              <w:t>Dispositifs de retenue pour enfants</w:t>
            </w:r>
          </w:p>
        </w:tc>
        <w:tc>
          <w:tcPr>
            <w:tcW w:w="3081" w:type="dxa"/>
            <w:shd w:val="clear" w:color="auto" w:fill="auto"/>
            <w:vAlign w:val="bottom"/>
          </w:tcPr>
          <w:p>
            <w:pPr>
              <w:shd w:val="clear" w:color="auto" w:fill="FFFFFF"/>
              <w:spacing w:line="240" w:lineRule="atLeast"/>
              <w:jc w:val="left"/>
              <w:rPr>
                <w:noProof/>
              </w:rPr>
            </w:pPr>
            <w:r>
              <w:rPr>
                <w:noProof/>
              </w:rPr>
              <w:t xml:space="preserve">Règl. ONU 44 </w:t>
            </w:r>
          </w:p>
        </w:tc>
        <w:tc>
          <w:tcPr>
            <w:tcW w:w="3081" w:type="dxa"/>
            <w:shd w:val="clear" w:color="auto" w:fill="auto"/>
            <w:vAlign w:val="bottom"/>
          </w:tcPr>
          <w:p>
            <w:pPr>
              <w:shd w:val="clear" w:color="auto" w:fill="FFFFFF"/>
              <w:spacing w:line="240" w:lineRule="atLeast"/>
              <w:jc w:val="left"/>
              <w:rPr>
                <w:noProof/>
              </w:rPr>
            </w:pPr>
          </w:p>
        </w:tc>
      </w:tr>
      <w:tr>
        <w:tc>
          <w:tcPr>
            <w:tcW w:w="3080" w:type="dxa"/>
            <w:shd w:val="clear" w:color="auto" w:fill="auto"/>
            <w:vAlign w:val="bottom"/>
          </w:tcPr>
          <w:p>
            <w:pPr>
              <w:shd w:val="clear" w:color="auto" w:fill="FFFFFF"/>
              <w:spacing w:line="240" w:lineRule="atLeast"/>
              <w:jc w:val="left"/>
              <w:rPr>
                <w:noProof/>
              </w:rPr>
            </w:pPr>
            <w:r>
              <w:rPr>
                <w:noProof/>
              </w:rPr>
              <w:t>Champ de vision vers l’avant</w:t>
            </w:r>
          </w:p>
        </w:tc>
        <w:tc>
          <w:tcPr>
            <w:tcW w:w="3081" w:type="dxa"/>
            <w:shd w:val="clear" w:color="auto" w:fill="auto"/>
            <w:vAlign w:val="bottom"/>
          </w:tcPr>
          <w:p>
            <w:pPr>
              <w:shd w:val="clear" w:color="auto" w:fill="FFFFFF"/>
              <w:spacing w:line="240" w:lineRule="atLeast"/>
              <w:jc w:val="left"/>
              <w:rPr>
                <w:noProof/>
              </w:rPr>
            </w:pPr>
            <w:r>
              <w:rPr>
                <w:noProof/>
              </w:rPr>
              <w:t>Règl. ONU 125</w:t>
            </w:r>
          </w:p>
        </w:tc>
        <w:tc>
          <w:tcPr>
            <w:tcW w:w="3081" w:type="dxa"/>
            <w:shd w:val="clear" w:color="auto" w:fill="auto"/>
            <w:vAlign w:val="bottom"/>
          </w:tcPr>
          <w:p>
            <w:pPr>
              <w:shd w:val="clear" w:color="auto" w:fill="FFFFFF"/>
              <w:spacing w:line="240" w:lineRule="atLeast"/>
              <w:jc w:val="left"/>
              <w:rPr>
                <w:noProof/>
              </w:rPr>
            </w:pPr>
          </w:p>
        </w:tc>
      </w:tr>
      <w:tr>
        <w:tc>
          <w:tcPr>
            <w:tcW w:w="3080" w:type="dxa"/>
            <w:shd w:val="clear" w:color="auto" w:fill="auto"/>
          </w:tcPr>
          <w:p>
            <w:pPr>
              <w:keepNext/>
              <w:keepLines/>
              <w:shd w:val="clear" w:color="auto" w:fill="FFFFFF"/>
              <w:spacing w:line="240" w:lineRule="atLeast"/>
              <w:jc w:val="left"/>
              <w:rPr>
                <w:noProof/>
              </w:rPr>
            </w:pPr>
            <w:r>
              <w:rPr>
                <w:noProof/>
              </w:rPr>
              <w:t>Identification des commandes, témoins et indicateurs</w:t>
            </w:r>
          </w:p>
        </w:tc>
        <w:tc>
          <w:tcPr>
            <w:tcW w:w="3081" w:type="dxa"/>
            <w:shd w:val="clear" w:color="auto" w:fill="auto"/>
          </w:tcPr>
          <w:p>
            <w:pPr>
              <w:keepNext/>
              <w:keepLines/>
              <w:shd w:val="clear" w:color="auto" w:fill="FFFFFF"/>
              <w:spacing w:line="240" w:lineRule="atLeast"/>
              <w:jc w:val="left"/>
              <w:rPr>
                <w:noProof/>
              </w:rPr>
            </w:pPr>
            <w:r>
              <w:rPr>
                <w:noProof/>
              </w:rPr>
              <w:t>Règl. ONU 121</w:t>
            </w:r>
          </w:p>
        </w:tc>
        <w:tc>
          <w:tcPr>
            <w:tcW w:w="3081" w:type="dxa"/>
            <w:shd w:val="clear" w:color="auto" w:fill="auto"/>
          </w:tcPr>
          <w:p>
            <w:pPr>
              <w:keepNext/>
              <w:keepLines/>
              <w:shd w:val="clear" w:color="auto" w:fill="FFFFFF"/>
              <w:spacing w:line="240" w:lineRule="atLeast"/>
              <w:jc w:val="left"/>
              <w:rPr>
                <w:noProof/>
              </w:rPr>
            </w:pPr>
          </w:p>
        </w:tc>
      </w:tr>
      <w:tr>
        <w:tc>
          <w:tcPr>
            <w:tcW w:w="3080" w:type="dxa"/>
            <w:shd w:val="clear" w:color="auto" w:fill="auto"/>
            <w:vAlign w:val="bottom"/>
          </w:tcPr>
          <w:p>
            <w:pPr>
              <w:shd w:val="clear" w:color="auto" w:fill="FFFFFF"/>
              <w:spacing w:line="240" w:lineRule="atLeast"/>
              <w:jc w:val="left"/>
              <w:rPr>
                <w:noProof/>
              </w:rPr>
            </w:pPr>
            <w:r>
              <w:rPr>
                <w:noProof/>
              </w:rPr>
              <w:t>Systèmes de chauffage</w:t>
            </w:r>
          </w:p>
        </w:tc>
        <w:tc>
          <w:tcPr>
            <w:tcW w:w="3081" w:type="dxa"/>
            <w:shd w:val="clear" w:color="auto" w:fill="auto"/>
            <w:vAlign w:val="bottom"/>
          </w:tcPr>
          <w:p>
            <w:pPr>
              <w:shd w:val="clear" w:color="auto" w:fill="FFFFFF"/>
              <w:spacing w:line="240" w:lineRule="atLeast"/>
              <w:jc w:val="left"/>
              <w:rPr>
                <w:noProof/>
              </w:rPr>
            </w:pPr>
            <w:r>
              <w:rPr>
                <w:noProof/>
              </w:rPr>
              <w:t>Règl. ONU 122</w:t>
            </w:r>
          </w:p>
        </w:tc>
        <w:tc>
          <w:tcPr>
            <w:tcW w:w="3081" w:type="dxa"/>
            <w:shd w:val="clear" w:color="auto" w:fill="auto"/>
            <w:vAlign w:val="bottom"/>
          </w:tcPr>
          <w:p>
            <w:pPr>
              <w:shd w:val="clear" w:color="auto" w:fill="FFFFFF"/>
              <w:spacing w:line="240" w:lineRule="atLeast"/>
              <w:jc w:val="left"/>
              <w:rPr>
                <w:noProof/>
              </w:rPr>
            </w:pPr>
          </w:p>
        </w:tc>
      </w:tr>
      <w:tr>
        <w:tc>
          <w:tcPr>
            <w:tcW w:w="3080" w:type="dxa"/>
            <w:shd w:val="clear" w:color="auto" w:fill="auto"/>
            <w:vAlign w:val="bottom"/>
          </w:tcPr>
          <w:p>
            <w:pPr>
              <w:shd w:val="clear" w:color="auto" w:fill="FFFFFF"/>
              <w:spacing w:line="240" w:lineRule="atLeast"/>
              <w:jc w:val="left"/>
              <w:rPr>
                <w:noProof/>
              </w:rPr>
            </w:pPr>
            <w:r>
              <w:rPr>
                <w:noProof/>
              </w:rPr>
              <w:t>Appuie-tête (combiné avec les sièges)</w:t>
            </w:r>
          </w:p>
        </w:tc>
        <w:tc>
          <w:tcPr>
            <w:tcW w:w="3081" w:type="dxa"/>
            <w:shd w:val="clear" w:color="auto" w:fill="auto"/>
            <w:vAlign w:val="bottom"/>
          </w:tcPr>
          <w:p>
            <w:pPr>
              <w:shd w:val="clear" w:color="auto" w:fill="FFFFFF"/>
              <w:spacing w:line="240" w:lineRule="atLeast"/>
              <w:jc w:val="left"/>
              <w:rPr>
                <w:noProof/>
              </w:rPr>
            </w:pPr>
            <w:r>
              <w:rPr>
                <w:noProof/>
              </w:rPr>
              <w:t>Règl. ONU 17</w:t>
            </w:r>
          </w:p>
        </w:tc>
        <w:tc>
          <w:tcPr>
            <w:tcW w:w="3081" w:type="dxa"/>
            <w:shd w:val="clear" w:color="auto" w:fill="auto"/>
            <w:vAlign w:val="bottom"/>
          </w:tcPr>
          <w:p>
            <w:pPr>
              <w:shd w:val="clear" w:color="auto" w:fill="FFFFFF"/>
              <w:spacing w:line="240" w:lineRule="atLeast"/>
              <w:jc w:val="left"/>
              <w:rPr>
                <w:noProof/>
              </w:rPr>
            </w:pPr>
          </w:p>
        </w:tc>
      </w:tr>
      <w:tr>
        <w:tc>
          <w:tcPr>
            <w:tcW w:w="3080" w:type="dxa"/>
            <w:shd w:val="clear" w:color="auto" w:fill="auto"/>
          </w:tcPr>
          <w:p>
            <w:pPr>
              <w:shd w:val="clear" w:color="auto" w:fill="FFFFFF"/>
              <w:spacing w:line="240" w:lineRule="atLeast"/>
              <w:jc w:val="left"/>
              <w:rPr>
                <w:noProof/>
              </w:rPr>
            </w:pPr>
            <w:r>
              <w:rPr>
                <w:noProof/>
              </w:rPr>
              <w:t>Appuie-tête</w:t>
            </w:r>
          </w:p>
        </w:tc>
        <w:tc>
          <w:tcPr>
            <w:tcW w:w="3081" w:type="dxa"/>
            <w:shd w:val="clear" w:color="auto" w:fill="auto"/>
          </w:tcPr>
          <w:p>
            <w:pPr>
              <w:shd w:val="clear" w:color="auto" w:fill="FFFFFF"/>
              <w:spacing w:line="240" w:lineRule="atLeast"/>
              <w:jc w:val="left"/>
              <w:rPr>
                <w:noProof/>
              </w:rPr>
            </w:pPr>
            <w:r>
              <w:rPr>
                <w:noProof/>
              </w:rPr>
              <w:t>Règl. ONU 25</w:t>
            </w:r>
          </w:p>
        </w:tc>
        <w:tc>
          <w:tcPr>
            <w:tcW w:w="3081" w:type="dxa"/>
            <w:shd w:val="clear" w:color="auto" w:fill="auto"/>
          </w:tcPr>
          <w:p>
            <w:pPr>
              <w:shd w:val="clear" w:color="auto" w:fill="FFFFFF"/>
              <w:spacing w:line="240" w:lineRule="atLeast"/>
              <w:jc w:val="left"/>
              <w:rPr>
                <w:noProof/>
              </w:rPr>
            </w:pPr>
          </w:p>
        </w:tc>
      </w:tr>
      <w:tr>
        <w:tc>
          <w:tcPr>
            <w:tcW w:w="3080" w:type="dxa"/>
            <w:shd w:val="clear" w:color="auto" w:fill="auto"/>
          </w:tcPr>
          <w:p>
            <w:pPr>
              <w:shd w:val="clear" w:color="auto" w:fill="FFFFFF"/>
              <w:spacing w:line="240" w:lineRule="atLeast"/>
              <w:jc w:val="left"/>
              <w:rPr>
                <w:noProof/>
              </w:rPr>
            </w:pPr>
            <w:r>
              <w:rPr>
                <w:noProof/>
              </w:rPr>
              <w:t>Émissions de CO</w:t>
            </w:r>
            <w:r>
              <w:rPr>
                <w:noProof/>
                <w:vertAlign w:val="subscript"/>
              </w:rPr>
              <w:t>2</w:t>
            </w:r>
            <w:r>
              <w:rPr>
                <w:noProof/>
              </w:rPr>
              <w:t xml:space="preserve"> – Consommation de carburant des véhicules affectés au transport de personnes comportant, outre le siège du conducteur, huit places assises au maximum</w:t>
            </w:r>
          </w:p>
        </w:tc>
        <w:tc>
          <w:tcPr>
            <w:tcW w:w="3081" w:type="dxa"/>
            <w:shd w:val="clear" w:color="auto" w:fill="auto"/>
          </w:tcPr>
          <w:p>
            <w:pPr>
              <w:shd w:val="clear" w:color="auto" w:fill="FFFFFF"/>
              <w:spacing w:line="240" w:lineRule="atLeast"/>
              <w:jc w:val="left"/>
              <w:rPr>
                <w:noProof/>
              </w:rPr>
            </w:pPr>
            <w:r>
              <w:rPr>
                <w:noProof/>
              </w:rPr>
              <w:t>Règl. ONU 101</w:t>
            </w:r>
          </w:p>
        </w:tc>
        <w:tc>
          <w:tcPr>
            <w:tcW w:w="3081" w:type="dxa"/>
            <w:shd w:val="clear" w:color="auto" w:fill="auto"/>
          </w:tcPr>
          <w:p>
            <w:pPr>
              <w:shd w:val="clear" w:color="auto" w:fill="FFFFFF"/>
              <w:spacing w:line="240" w:lineRule="atLeast"/>
              <w:jc w:val="left"/>
              <w:rPr>
                <w:noProof/>
              </w:rPr>
            </w:pPr>
            <w:r>
              <w:rPr>
                <w:noProof/>
              </w:rPr>
              <w:t xml:space="preserve">Règlement (CE) nº 692/2008 </w:t>
            </w:r>
          </w:p>
        </w:tc>
      </w:tr>
      <w:tr>
        <w:tc>
          <w:tcPr>
            <w:tcW w:w="3080" w:type="dxa"/>
            <w:shd w:val="clear" w:color="auto" w:fill="auto"/>
            <w:vAlign w:val="bottom"/>
          </w:tcPr>
          <w:p>
            <w:pPr>
              <w:shd w:val="clear" w:color="auto" w:fill="FFFFFF"/>
              <w:spacing w:line="240" w:lineRule="atLeast"/>
              <w:jc w:val="left"/>
              <w:rPr>
                <w:noProof/>
              </w:rPr>
            </w:pPr>
            <w:r>
              <w:rPr>
                <w:noProof/>
              </w:rPr>
              <w:t xml:space="preserve">Puissance du moteur </w:t>
            </w:r>
          </w:p>
        </w:tc>
        <w:tc>
          <w:tcPr>
            <w:tcW w:w="3081" w:type="dxa"/>
            <w:shd w:val="clear" w:color="auto" w:fill="auto"/>
            <w:vAlign w:val="bottom"/>
          </w:tcPr>
          <w:p>
            <w:pPr>
              <w:shd w:val="clear" w:color="auto" w:fill="FFFFFF"/>
              <w:spacing w:line="240" w:lineRule="atLeast"/>
              <w:jc w:val="left"/>
              <w:rPr>
                <w:noProof/>
              </w:rPr>
            </w:pPr>
            <w:r>
              <w:rPr>
                <w:noProof/>
              </w:rPr>
              <w:t>Règl. ONU 85</w:t>
            </w:r>
          </w:p>
        </w:tc>
        <w:tc>
          <w:tcPr>
            <w:tcW w:w="3081" w:type="dxa"/>
            <w:shd w:val="clear" w:color="auto" w:fill="auto"/>
            <w:vAlign w:val="bottom"/>
          </w:tcPr>
          <w:p>
            <w:pPr>
              <w:shd w:val="clear" w:color="auto" w:fill="FFFFFF"/>
              <w:spacing w:line="240" w:lineRule="atLeast"/>
              <w:jc w:val="left"/>
              <w:rPr>
                <w:noProof/>
              </w:rPr>
            </w:pPr>
            <w:r>
              <w:rPr>
                <w:noProof/>
              </w:rPr>
              <w:t xml:space="preserve">Règlements (CE) nº 692/2008 et (UE) nº 582/2011 </w:t>
            </w:r>
          </w:p>
        </w:tc>
      </w:tr>
      <w:tr>
        <w:tc>
          <w:tcPr>
            <w:tcW w:w="3080" w:type="dxa"/>
            <w:shd w:val="clear" w:color="auto" w:fill="auto"/>
          </w:tcPr>
          <w:p>
            <w:pPr>
              <w:shd w:val="clear" w:color="auto" w:fill="FFFFFF"/>
              <w:spacing w:line="240" w:lineRule="atLeast"/>
              <w:jc w:val="left"/>
              <w:rPr>
                <w:noProof/>
              </w:rPr>
            </w:pPr>
            <w:r>
              <w:rPr>
                <w:noProof/>
              </w:rPr>
              <w:t>Émissions des véhicules utilitaires lourds</w:t>
            </w:r>
          </w:p>
        </w:tc>
        <w:tc>
          <w:tcPr>
            <w:tcW w:w="3081" w:type="dxa"/>
            <w:shd w:val="clear" w:color="auto" w:fill="auto"/>
          </w:tcPr>
          <w:p>
            <w:pPr>
              <w:shd w:val="clear" w:color="auto" w:fill="FFFFFF"/>
              <w:spacing w:line="240" w:lineRule="atLeast"/>
              <w:jc w:val="left"/>
              <w:rPr>
                <w:noProof/>
              </w:rPr>
            </w:pPr>
            <w:r>
              <w:rPr>
                <w:noProof/>
              </w:rPr>
              <w:t>Règl. ONU 49</w:t>
            </w:r>
          </w:p>
        </w:tc>
        <w:tc>
          <w:tcPr>
            <w:tcW w:w="3081" w:type="dxa"/>
            <w:shd w:val="clear" w:color="auto" w:fill="auto"/>
          </w:tcPr>
          <w:p>
            <w:pPr>
              <w:shd w:val="clear" w:color="auto" w:fill="FFFFFF"/>
              <w:spacing w:line="240" w:lineRule="atLeast"/>
              <w:jc w:val="left"/>
              <w:rPr>
                <w:noProof/>
              </w:rPr>
            </w:pPr>
            <w:r>
              <w:rPr>
                <w:noProof/>
              </w:rPr>
              <w:t xml:space="preserve">Règlement (CE) nº 595/2009 et règlement (UE) nº 582/2011 </w:t>
            </w:r>
          </w:p>
          <w:p>
            <w:pPr>
              <w:shd w:val="clear" w:color="auto" w:fill="FFFFFF"/>
              <w:spacing w:line="240" w:lineRule="atLeast"/>
              <w:jc w:val="left"/>
              <w:rPr>
                <w:noProof/>
              </w:rPr>
            </w:pPr>
            <w:r>
              <w:rPr>
                <w:noProof/>
              </w:rPr>
              <w:t>Règlement (UE) 2016/1718</w:t>
            </w:r>
          </w:p>
        </w:tc>
      </w:tr>
      <w:tr>
        <w:tc>
          <w:tcPr>
            <w:tcW w:w="3080" w:type="dxa"/>
            <w:shd w:val="clear" w:color="auto" w:fill="auto"/>
            <w:vAlign w:val="bottom"/>
          </w:tcPr>
          <w:p>
            <w:pPr>
              <w:shd w:val="clear" w:color="auto" w:fill="FFFFFF"/>
              <w:spacing w:line="240" w:lineRule="atLeast"/>
              <w:jc w:val="left"/>
              <w:rPr>
                <w:noProof/>
              </w:rPr>
            </w:pPr>
            <w:r>
              <w:rPr>
                <w:noProof/>
              </w:rPr>
              <w:t>Protection latérale</w:t>
            </w:r>
          </w:p>
        </w:tc>
        <w:tc>
          <w:tcPr>
            <w:tcW w:w="3081" w:type="dxa"/>
            <w:shd w:val="clear" w:color="auto" w:fill="auto"/>
            <w:vAlign w:val="bottom"/>
          </w:tcPr>
          <w:p>
            <w:pPr>
              <w:shd w:val="clear" w:color="auto" w:fill="FFFFFF"/>
              <w:spacing w:line="240" w:lineRule="atLeast"/>
              <w:jc w:val="left"/>
              <w:rPr>
                <w:noProof/>
              </w:rPr>
            </w:pPr>
            <w:r>
              <w:rPr>
                <w:noProof/>
              </w:rPr>
              <w:t>Règl. ONU 73</w:t>
            </w:r>
          </w:p>
        </w:tc>
        <w:tc>
          <w:tcPr>
            <w:tcW w:w="3081" w:type="dxa"/>
            <w:shd w:val="clear" w:color="auto" w:fill="auto"/>
            <w:vAlign w:val="bottom"/>
          </w:tcPr>
          <w:p>
            <w:pPr>
              <w:shd w:val="clear" w:color="auto" w:fill="FFFFFF"/>
              <w:spacing w:line="240" w:lineRule="atLeast"/>
              <w:jc w:val="left"/>
              <w:rPr>
                <w:noProof/>
              </w:rPr>
            </w:pPr>
          </w:p>
        </w:tc>
      </w:tr>
      <w:tr>
        <w:tc>
          <w:tcPr>
            <w:tcW w:w="3080" w:type="dxa"/>
            <w:shd w:val="clear" w:color="auto" w:fill="auto"/>
          </w:tcPr>
          <w:p>
            <w:pPr>
              <w:shd w:val="clear" w:color="auto" w:fill="FFFFFF"/>
              <w:spacing w:line="240" w:lineRule="atLeast"/>
              <w:jc w:val="left"/>
              <w:rPr>
                <w:noProof/>
              </w:rPr>
            </w:pPr>
            <w:r>
              <w:rPr>
                <w:noProof/>
              </w:rPr>
              <w:t>Vitrage de sécurité</w:t>
            </w:r>
          </w:p>
        </w:tc>
        <w:tc>
          <w:tcPr>
            <w:tcW w:w="3081" w:type="dxa"/>
            <w:shd w:val="clear" w:color="auto" w:fill="auto"/>
          </w:tcPr>
          <w:p>
            <w:pPr>
              <w:shd w:val="clear" w:color="auto" w:fill="FFFFFF"/>
              <w:spacing w:line="240" w:lineRule="atLeast"/>
              <w:jc w:val="left"/>
              <w:rPr>
                <w:noProof/>
              </w:rPr>
            </w:pPr>
            <w:r>
              <w:rPr>
                <w:noProof/>
              </w:rPr>
              <w:t>Règl. ONU 43</w:t>
            </w:r>
          </w:p>
        </w:tc>
        <w:tc>
          <w:tcPr>
            <w:tcW w:w="3081" w:type="dxa"/>
            <w:shd w:val="clear" w:color="auto" w:fill="auto"/>
          </w:tcPr>
          <w:p>
            <w:pPr>
              <w:shd w:val="clear" w:color="auto" w:fill="FFFFFF"/>
              <w:spacing w:line="240" w:lineRule="atLeast"/>
              <w:jc w:val="left"/>
              <w:rPr>
                <w:noProof/>
              </w:rPr>
            </w:pPr>
          </w:p>
        </w:tc>
      </w:tr>
      <w:tr>
        <w:tc>
          <w:tcPr>
            <w:tcW w:w="3080" w:type="dxa"/>
            <w:shd w:val="clear" w:color="auto" w:fill="auto"/>
            <w:vAlign w:val="bottom"/>
          </w:tcPr>
          <w:p>
            <w:pPr>
              <w:shd w:val="clear" w:color="auto" w:fill="FFFFFF"/>
              <w:spacing w:line="240" w:lineRule="atLeast"/>
              <w:jc w:val="left"/>
              <w:rPr>
                <w:noProof/>
              </w:rPr>
            </w:pPr>
            <w:r>
              <w:rPr>
                <w:noProof/>
              </w:rPr>
              <w:t>Pneumatiques (véhicules automobiles et leurs remorques)</w:t>
            </w:r>
          </w:p>
        </w:tc>
        <w:tc>
          <w:tcPr>
            <w:tcW w:w="3081" w:type="dxa"/>
            <w:shd w:val="clear" w:color="auto" w:fill="auto"/>
            <w:vAlign w:val="bottom"/>
          </w:tcPr>
          <w:p>
            <w:pPr>
              <w:shd w:val="clear" w:color="auto" w:fill="FFFFFF"/>
              <w:spacing w:line="240" w:lineRule="atLeast"/>
              <w:jc w:val="left"/>
              <w:rPr>
                <w:noProof/>
              </w:rPr>
            </w:pPr>
            <w:r>
              <w:rPr>
                <w:noProof/>
              </w:rPr>
              <w:t>Règl. ONU 30</w:t>
            </w:r>
          </w:p>
        </w:tc>
        <w:tc>
          <w:tcPr>
            <w:tcW w:w="3081" w:type="dxa"/>
            <w:shd w:val="clear" w:color="auto" w:fill="auto"/>
            <w:vAlign w:val="bottom"/>
          </w:tcPr>
          <w:p>
            <w:pPr>
              <w:shd w:val="clear" w:color="auto" w:fill="FFFFFF"/>
              <w:spacing w:line="240" w:lineRule="atLeast"/>
              <w:jc w:val="left"/>
              <w:rPr>
                <w:noProof/>
              </w:rPr>
            </w:pPr>
          </w:p>
        </w:tc>
      </w:tr>
      <w:tr>
        <w:tc>
          <w:tcPr>
            <w:tcW w:w="3080" w:type="dxa"/>
            <w:shd w:val="clear" w:color="auto" w:fill="auto"/>
          </w:tcPr>
          <w:p>
            <w:pPr>
              <w:shd w:val="clear" w:color="auto" w:fill="FFFFFF"/>
              <w:spacing w:line="240" w:lineRule="atLeast"/>
              <w:jc w:val="left"/>
              <w:rPr>
                <w:noProof/>
              </w:rPr>
            </w:pPr>
            <w:r>
              <w:rPr>
                <w:noProof/>
              </w:rPr>
              <w:t>Pneumatiques (véhicules utilitaires et leurs remorques)</w:t>
            </w:r>
          </w:p>
        </w:tc>
        <w:tc>
          <w:tcPr>
            <w:tcW w:w="3081" w:type="dxa"/>
            <w:shd w:val="clear" w:color="auto" w:fill="auto"/>
          </w:tcPr>
          <w:p>
            <w:pPr>
              <w:shd w:val="clear" w:color="auto" w:fill="FFFFFF"/>
              <w:spacing w:line="240" w:lineRule="atLeast"/>
              <w:jc w:val="left"/>
              <w:rPr>
                <w:noProof/>
              </w:rPr>
            </w:pPr>
            <w:r>
              <w:rPr>
                <w:noProof/>
              </w:rPr>
              <w:t>Règl. ONU 54</w:t>
            </w:r>
          </w:p>
        </w:tc>
        <w:tc>
          <w:tcPr>
            <w:tcW w:w="3081" w:type="dxa"/>
            <w:shd w:val="clear" w:color="auto" w:fill="auto"/>
          </w:tcPr>
          <w:p>
            <w:pPr>
              <w:shd w:val="clear" w:color="auto" w:fill="FFFFFF"/>
              <w:spacing w:line="240" w:lineRule="atLeast"/>
              <w:jc w:val="left"/>
              <w:rPr>
                <w:noProof/>
              </w:rPr>
            </w:pPr>
          </w:p>
        </w:tc>
      </w:tr>
      <w:tr>
        <w:tc>
          <w:tcPr>
            <w:tcW w:w="3080" w:type="dxa"/>
            <w:shd w:val="clear" w:color="auto" w:fill="auto"/>
            <w:vAlign w:val="bottom"/>
          </w:tcPr>
          <w:p>
            <w:pPr>
              <w:shd w:val="clear" w:color="auto" w:fill="FFFFFF"/>
              <w:spacing w:line="240" w:lineRule="atLeast"/>
              <w:jc w:val="left"/>
              <w:rPr>
                <w:noProof/>
              </w:rPr>
            </w:pPr>
            <w:r>
              <w:rPr>
                <w:noProof/>
              </w:rPr>
              <w:t>Pneumatiques (roues/pneumatiques de secours à usage temporaire)</w:t>
            </w:r>
          </w:p>
        </w:tc>
        <w:tc>
          <w:tcPr>
            <w:tcW w:w="3081" w:type="dxa"/>
            <w:shd w:val="clear" w:color="auto" w:fill="auto"/>
            <w:vAlign w:val="bottom"/>
          </w:tcPr>
          <w:p>
            <w:pPr>
              <w:shd w:val="clear" w:color="auto" w:fill="FFFFFF"/>
              <w:spacing w:line="240" w:lineRule="atLeast"/>
              <w:jc w:val="left"/>
              <w:rPr>
                <w:noProof/>
              </w:rPr>
            </w:pPr>
            <w:r>
              <w:rPr>
                <w:noProof/>
              </w:rPr>
              <w:t>Règl. ONU 64</w:t>
            </w:r>
          </w:p>
        </w:tc>
        <w:tc>
          <w:tcPr>
            <w:tcW w:w="3081" w:type="dxa"/>
            <w:shd w:val="clear" w:color="auto" w:fill="auto"/>
            <w:vAlign w:val="bottom"/>
          </w:tcPr>
          <w:p>
            <w:pPr>
              <w:shd w:val="clear" w:color="auto" w:fill="FFFFFF"/>
              <w:spacing w:line="240" w:lineRule="atLeast"/>
              <w:jc w:val="left"/>
              <w:rPr>
                <w:noProof/>
              </w:rPr>
            </w:pPr>
          </w:p>
        </w:tc>
      </w:tr>
      <w:tr>
        <w:tc>
          <w:tcPr>
            <w:tcW w:w="3080" w:type="dxa"/>
            <w:shd w:val="clear" w:color="auto" w:fill="auto"/>
          </w:tcPr>
          <w:p>
            <w:pPr>
              <w:shd w:val="clear" w:color="auto" w:fill="FFFFFF"/>
              <w:spacing w:line="240" w:lineRule="atLeast"/>
              <w:jc w:val="left"/>
              <w:rPr>
                <w:noProof/>
              </w:rPr>
            </w:pPr>
            <w:r>
              <w:rPr>
                <w:noProof/>
              </w:rPr>
              <w:t>Bruit de roulement</w:t>
            </w:r>
          </w:p>
        </w:tc>
        <w:tc>
          <w:tcPr>
            <w:tcW w:w="3081" w:type="dxa"/>
            <w:shd w:val="clear" w:color="auto" w:fill="auto"/>
          </w:tcPr>
          <w:p>
            <w:pPr>
              <w:shd w:val="clear" w:color="auto" w:fill="FFFFFF"/>
              <w:spacing w:line="240" w:lineRule="atLeast"/>
              <w:jc w:val="left"/>
              <w:rPr>
                <w:noProof/>
              </w:rPr>
            </w:pPr>
            <w:r>
              <w:rPr>
                <w:noProof/>
              </w:rPr>
              <w:t>Règl. ONU 117</w:t>
            </w:r>
          </w:p>
        </w:tc>
        <w:tc>
          <w:tcPr>
            <w:tcW w:w="3081" w:type="dxa"/>
            <w:shd w:val="clear" w:color="auto" w:fill="auto"/>
          </w:tcPr>
          <w:p>
            <w:pPr>
              <w:shd w:val="clear" w:color="auto" w:fill="FFFFFF"/>
              <w:spacing w:line="240" w:lineRule="atLeast"/>
              <w:jc w:val="left"/>
              <w:rPr>
                <w:noProof/>
              </w:rPr>
            </w:pPr>
          </w:p>
        </w:tc>
      </w:tr>
      <w:tr>
        <w:tc>
          <w:tcPr>
            <w:tcW w:w="3080" w:type="dxa"/>
            <w:shd w:val="clear" w:color="auto" w:fill="auto"/>
            <w:vAlign w:val="bottom"/>
          </w:tcPr>
          <w:p>
            <w:pPr>
              <w:shd w:val="clear" w:color="auto" w:fill="FFFFFF"/>
              <w:spacing w:line="240" w:lineRule="atLeast"/>
              <w:jc w:val="left"/>
              <w:rPr>
                <w:noProof/>
              </w:rPr>
            </w:pPr>
            <w:r>
              <w:rPr>
                <w:noProof/>
              </w:rPr>
              <w:t>Dispositifs limiteurs de vitesse</w:t>
            </w:r>
          </w:p>
        </w:tc>
        <w:tc>
          <w:tcPr>
            <w:tcW w:w="3081" w:type="dxa"/>
            <w:shd w:val="clear" w:color="auto" w:fill="auto"/>
            <w:vAlign w:val="bottom"/>
          </w:tcPr>
          <w:p>
            <w:pPr>
              <w:shd w:val="clear" w:color="auto" w:fill="FFFFFF"/>
              <w:spacing w:line="240" w:lineRule="atLeast"/>
              <w:jc w:val="left"/>
              <w:rPr>
                <w:noProof/>
              </w:rPr>
            </w:pPr>
            <w:r>
              <w:rPr>
                <w:noProof/>
              </w:rPr>
              <w:t>Règl. ONU 89</w:t>
            </w:r>
          </w:p>
        </w:tc>
        <w:tc>
          <w:tcPr>
            <w:tcW w:w="3081" w:type="dxa"/>
            <w:shd w:val="clear" w:color="auto" w:fill="auto"/>
            <w:vAlign w:val="bottom"/>
          </w:tcPr>
          <w:p>
            <w:pPr>
              <w:shd w:val="clear" w:color="auto" w:fill="FFFFFF"/>
              <w:spacing w:line="240" w:lineRule="atLeast"/>
              <w:jc w:val="left"/>
              <w:rPr>
                <w:noProof/>
              </w:rPr>
            </w:pPr>
          </w:p>
        </w:tc>
      </w:tr>
      <w:tr>
        <w:tc>
          <w:tcPr>
            <w:tcW w:w="3080" w:type="dxa"/>
            <w:shd w:val="clear" w:color="auto" w:fill="auto"/>
            <w:vAlign w:val="bottom"/>
          </w:tcPr>
          <w:p>
            <w:pPr>
              <w:shd w:val="clear" w:color="auto" w:fill="FFFFFF"/>
              <w:spacing w:line="240" w:lineRule="atLeast"/>
              <w:jc w:val="left"/>
              <w:rPr>
                <w:noProof/>
              </w:rPr>
            </w:pPr>
            <w:r>
              <w:rPr>
                <w:noProof/>
              </w:rPr>
              <w:t>Pièces mécaniques d’attelage</w:t>
            </w:r>
          </w:p>
        </w:tc>
        <w:tc>
          <w:tcPr>
            <w:tcW w:w="3081" w:type="dxa"/>
            <w:shd w:val="clear" w:color="auto" w:fill="auto"/>
            <w:vAlign w:val="bottom"/>
          </w:tcPr>
          <w:p>
            <w:pPr>
              <w:shd w:val="clear" w:color="auto" w:fill="FFFFFF"/>
              <w:spacing w:line="240" w:lineRule="atLeast"/>
              <w:jc w:val="left"/>
              <w:rPr>
                <w:noProof/>
              </w:rPr>
            </w:pPr>
            <w:r>
              <w:rPr>
                <w:noProof/>
              </w:rPr>
              <w:t>Règl. ONU 55</w:t>
            </w:r>
          </w:p>
        </w:tc>
        <w:tc>
          <w:tcPr>
            <w:tcW w:w="3081" w:type="dxa"/>
            <w:shd w:val="clear" w:color="auto" w:fill="auto"/>
            <w:vAlign w:val="bottom"/>
          </w:tcPr>
          <w:p>
            <w:pPr>
              <w:shd w:val="clear" w:color="auto" w:fill="FFFFFF"/>
              <w:spacing w:line="240" w:lineRule="atLeast"/>
              <w:jc w:val="left"/>
              <w:rPr>
                <w:noProof/>
              </w:rPr>
            </w:pPr>
          </w:p>
        </w:tc>
      </w:tr>
      <w:tr>
        <w:tc>
          <w:tcPr>
            <w:tcW w:w="3080" w:type="dxa"/>
            <w:shd w:val="clear" w:color="auto" w:fill="auto"/>
          </w:tcPr>
          <w:p>
            <w:pPr>
              <w:shd w:val="clear" w:color="auto" w:fill="FFFFFF"/>
              <w:spacing w:line="240" w:lineRule="atLeast"/>
              <w:jc w:val="left"/>
              <w:rPr>
                <w:noProof/>
              </w:rPr>
            </w:pPr>
            <w:r>
              <w:rPr>
                <w:noProof/>
              </w:rPr>
              <w:t>Dispositifs d’attelage courts</w:t>
            </w:r>
          </w:p>
        </w:tc>
        <w:tc>
          <w:tcPr>
            <w:tcW w:w="3081" w:type="dxa"/>
            <w:shd w:val="clear" w:color="auto" w:fill="auto"/>
          </w:tcPr>
          <w:p>
            <w:pPr>
              <w:shd w:val="clear" w:color="auto" w:fill="FFFFFF"/>
              <w:spacing w:line="240" w:lineRule="atLeast"/>
              <w:jc w:val="left"/>
              <w:rPr>
                <w:noProof/>
              </w:rPr>
            </w:pPr>
            <w:r>
              <w:rPr>
                <w:noProof/>
              </w:rPr>
              <w:t>Règl. ONU 102</w:t>
            </w:r>
          </w:p>
        </w:tc>
        <w:tc>
          <w:tcPr>
            <w:tcW w:w="3081" w:type="dxa"/>
            <w:shd w:val="clear" w:color="auto" w:fill="auto"/>
          </w:tcPr>
          <w:p>
            <w:pPr>
              <w:shd w:val="clear" w:color="auto" w:fill="FFFFFF"/>
              <w:spacing w:line="240" w:lineRule="atLeast"/>
              <w:jc w:val="left"/>
              <w:rPr>
                <w:noProof/>
              </w:rPr>
            </w:pPr>
          </w:p>
        </w:tc>
      </w:tr>
      <w:tr>
        <w:tc>
          <w:tcPr>
            <w:tcW w:w="3080" w:type="dxa"/>
            <w:shd w:val="clear" w:color="auto" w:fill="auto"/>
            <w:vAlign w:val="bottom"/>
          </w:tcPr>
          <w:p>
            <w:pPr>
              <w:shd w:val="clear" w:color="auto" w:fill="FFFFFF"/>
              <w:spacing w:line="240" w:lineRule="atLeast"/>
              <w:jc w:val="left"/>
              <w:rPr>
                <w:noProof/>
              </w:rPr>
            </w:pPr>
            <w:r>
              <w:rPr>
                <w:noProof/>
              </w:rPr>
              <w:t>Inflammabilité</w:t>
            </w:r>
          </w:p>
        </w:tc>
        <w:tc>
          <w:tcPr>
            <w:tcW w:w="3081" w:type="dxa"/>
            <w:shd w:val="clear" w:color="auto" w:fill="auto"/>
            <w:vAlign w:val="bottom"/>
          </w:tcPr>
          <w:p>
            <w:pPr>
              <w:shd w:val="clear" w:color="auto" w:fill="FFFFFF"/>
              <w:spacing w:line="240" w:lineRule="atLeast"/>
              <w:jc w:val="left"/>
              <w:rPr>
                <w:noProof/>
              </w:rPr>
            </w:pPr>
            <w:r>
              <w:rPr>
                <w:noProof/>
              </w:rPr>
              <w:t>Règl. ONU 118</w:t>
            </w:r>
          </w:p>
        </w:tc>
        <w:tc>
          <w:tcPr>
            <w:tcW w:w="3081" w:type="dxa"/>
            <w:shd w:val="clear" w:color="auto" w:fill="auto"/>
            <w:vAlign w:val="bottom"/>
          </w:tcPr>
          <w:p>
            <w:pPr>
              <w:shd w:val="clear" w:color="auto" w:fill="FFFFFF"/>
              <w:spacing w:line="240" w:lineRule="atLeast"/>
              <w:jc w:val="left"/>
              <w:rPr>
                <w:noProof/>
              </w:rPr>
            </w:pPr>
          </w:p>
        </w:tc>
      </w:tr>
      <w:tr>
        <w:tc>
          <w:tcPr>
            <w:tcW w:w="3080" w:type="dxa"/>
            <w:shd w:val="clear" w:color="auto" w:fill="auto"/>
          </w:tcPr>
          <w:p>
            <w:pPr>
              <w:shd w:val="clear" w:color="auto" w:fill="FFFFFF"/>
              <w:spacing w:line="240" w:lineRule="atLeast"/>
              <w:jc w:val="left"/>
              <w:rPr>
                <w:noProof/>
              </w:rPr>
            </w:pPr>
            <w:r>
              <w:rPr>
                <w:noProof/>
              </w:rPr>
              <w:t>Autobus et autocars</w:t>
            </w:r>
          </w:p>
        </w:tc>
        <w:tc>
          <w:tcPr>
            <w:tcW w:w="3081" w:type="dxa"/>
            <w:shd w:val="clear" w:color="auto" w:fill="auto"/>
          </w:tcPr>
          <w:p>
            <w:pPr>
              <w:shd w:val="clear" w:color="auto" w:fill="FFFFFF"/>
              <w:spacing w:line="240" w:lineRule="atLeast"/>
              <w:jc w:val="left"/>
              <w:rPr>
                <w:noProof/>
              </w:rPr>
            </w:pPr>
            <w:r>
              <w:rPr>
                <w:noProof/>
              </w:rPr>
              <w:t>Règl. ONU 107</w:t>
            </w:r>
          </w:p>
        </w:tc>
        <w:tc>
          <w:tcPr>
            <w:tcW w:w="3081" w:type="dxa"/>
            <w:shd w:val="clear" w:color="auto" w:fill="auto"/>
          </w:tcPr>
          <w:p>
            <w:pPr>
              <w:shd w:val="clear" w:color="auto" w:fill="FFFFFF"/>
              <w:spacing w:line="240" w:lineRule="atLeast"/>
              <w:jc w:val="left"/>
              <w:rPr>
                <w:noProof/>
              </w:rPr>
            </w:pPr>
          </w:p>
        </w:tc>
      </w:tr>
      <w:tr>
        <w:tc>
          <w:tcPr>
            <w:tcW w:w="3080" w:type="dxa"/>
            <w:shd w:val="clear" w:color="auto" w:fill="auto"/>
            <w:vAlign w:val="bottom"/>
          </w:tcPr>
          <w:p>
            <w:pPr>
              <w:shd w:val="clear" w:color="auto" w:fill="FFFFFF"/>
              <w:spacing w:line="240" w:lineRule="atLeast"/>
              <w:jc w:val="left"/>
              <w:rPr>
                <w:noProof/>
              </w:rPr>
            </w:pPr>
            <w:r>
              <w:rPr>
                <w:noProof/>
              </w:rPr>
              <w:t>Résistance de la superstructure (autobus et autocars)</w:t>
            </w:r>
          </w:p>
        </w:tc>
        <w:tc>
          <w:tcPr>
            <w:tcW w:w="3081" w:type="dxa"/>
            <w:shd w:val="clear" w:color="auto" w:fill="auto"/>
          </w:tcPr>
          <w:p>
            <w:pPr>
              <w:shd w:val="clear" w:color="auto" w:fill="FFFFFF"/>
              <w:spacing w:line="240" w:lineRule="atLeast"/>
              <w:jc w:val="left"/>
              <w:rPr>
                <w:noProof/>
              </w:rPr>
            </w:pPr>
            <w:r>
              <w:rPr>
                <w:noProof/>
              </w:rPr>
              <w:t>Règl. ONU 66</w:t>
            </w:r>
          </w:p>
        </w:tc>
        <w:tc>
          <w:tcPr>
            <w:tcW w:w="3081" w:type="dxa"/>
            <w:shd w:val="clear" w:color="auto" w:fill="auto"/>
          </w:tcPr>
          <w:p>
            <w:pPr>
              <w:shd w:val="clear" w:color="auto" w:fill="FFFFFF"/>
              <w:spacing w:line="240" w:lineRule="atLeast"/>
              <w:jc w:val="left"/>
              <w:rPr>
                <w:noProof/>
              </w:rPr>
            </w:pPr>
          </w:p>
        </w:tc>
      </w:tr>
      <w:tr>
        <w:tc>
          <w:tcPr>
            <w:tcW w:w="3080" w:type="dxa"/>
            <w:shd w:val="clear" w:color="auto" w:fill="auto"/>
          </w:tcPr>
          <w:p>
            <w:pPr>
              <w:shd w:val="clear" w:color="auto" w:fill="FFFFFF"/>
              <w:spacing w:line="240" w:lineRule="atLeast"/>
              <w:jc w:val="left"/>
              <w:rPr>
                <w:noProof/>
              </w:rPr>
            </w:pPr>
            <w:r>
              <w:rPr>
                <w:noProof/>
              </w:rPr>
              <w:t>Collision frontale</w:t>
            </w:r>
          </w:p>
        </w:tc>
        <w:tc>
          <w:tcPr>
            <w:tcW w:w="3081" w:type="dxa"/>
            <w:shd w:val="clear" w:color="auto" w:fill="auto"/>
          </w:tcPr>
          <w:p>
            <w:pPr>
              <w:shd w:val="clear" w:color="auto" w:fill="FFFFFF"/>
              <w:spacing w:line="240" w:lineRule="atLeast"/>
              <w:jc w:val="left"/>
              <w:rPr>
                <w:noProof/>
              </w:rPr>
            </w:pPr>
            <w:r>
              <w:rPr>
                <w:noProof/>
              </w:rPr>
              <w:t>Règl. ONU 94</w:t>
            </w:r>
          </w:p>
        </w:tc>
        <w:tc>
          <w:tcPr>
            <w:tcW w:w="3081" w:type="dxa"/>
            <w:shd w:val="clear" w:color="auto" w:fill="auto"/>
          </w:tcPr>
          <w:p>
            <w:pPr>
              <w:shd w:val="clear" w:color="auto" w:fill="FFFFFF"/>
              <w:spacing w:line="240" w:lineRule="atLeast"/>
              <w:jc w:val="left"/>
              <w:rPr>
                <w:noProof/>
              </w:rPr>
            </w:pPr>
          </w:p>
        </w:tc>
      </w:tr>
      <w:tr>
        <w:tc>
          <w:tcPr>
            <w:tcW w:w="3080" w:type="dxa"/>
            <w:shd w:val="clear" w:color="auto" w:fill="auto"/>
            <w:vAlign w:val="bottom"/>
          </w:tcPr>
          <w:p>
            <w:pPr>
              <w:shd w:val="clear" w:color="auto" w:fill="FFFFFF"/>
              <w:spacing w:line="240" w:lineRule="atLeast"/>
              <w:jc w:val="left"/>
              <w:rPr>
                <w:noProof/>
              </w:rPr>
            </w:pPr>
            <w:r>
              <w:rPr>
                <w:noProof/>
              </w:rPr>
              <w:t>Collision latérale</w:t>
            </w:r>
          </w:p>
        </w:tc>
        <w:tc>
          <w:tcPr>
            <w:tcW w:w="3081" w:type="dxa"/>
            <w:shd w:val="clear" w:color="auto" w:fill="auto"/>
            <w:vAlign w:val="bottom"/>
          </w:tcPr>
          <w:p>
            <w:pPr>
              <w:shd w:val="clear" w:color="auto" w:fill="FFFFFF"/>
              <w:spacing w:line="240" w:lineRule="atLeast"/>
              <w:jc w:val="left"/>
              <w:rPr>
                <w:noProof/>
              </w:rPr>
            </w:pPr>
            <w:r>
              <w:rPr>
                <w:noProof/>
              </w:rPr>
              <w:t>Règl. ONU 95</w:t>
            </w:r>
          </w:p>
        </w:tc>
        <w:tc>
          <w:tcPr>
            <w:tcW w:w="3081" w:type="dxa"/>
            <w:shd w:val="clear" w:color="auto" w:fill="auto"/>
            <w:vAlign w:val="bottom"/>
          </w:tcPr>
          <w:p>
            <w:pPr>
              <w:shd w:val="clear" w:color="auto" w:fill="FFFFFF"/>
              <w:spacing w:line="240" w:lineRule="atLeast"/>
              <w:jc w:val="left"/>
              <w:rPr>
                <w:noProof/>
              </w:rPr>
            </w:pPr>
          </w:p>
        </w:tc>
      </w:tr>
      <w:tr>
        <w:tc>
          <w:tcPr>
            <w:tcW w:w="3080" w:type="dxa"/>
            <w:shd w:val="clear" w:color="auto" w:fill="auto"/>
          </w:tcPr>
          <w:p>
            <w:pPr>
              <w:shd w:val="clear" w:color="auto" w:fill="FFFFFF"/>
              <w:spacing w:line="240" w:lineRule="atLeast"/>
              <w:jc w:val="left"/>
              <w:rPr>
                <w:noProof/>
              </w:rPr>
            </w:pPr>
            <w:r>
              <w:rPr>
                <w:noProof/>
              </w:rPr>
              <w:t>Véhicules destinés au transport de marchandises dangereuses</w:t>
            </w:r>
          </w:p>
        </w:tc>
        <w:tc>
          <w:tcPr>
            <w:tcW w:w="3081" w:type="dxa"/>
            <w:shd w:val="clear" w:color="auto" w:fill="auto"/>
          </w:tcPr>
          <w:p>
            <w:pPr>
              <w:shd w:val="clear" w:color="auto" w:fill="FFFFFF"/>
              <w:spacing w:line="240" w:lineRule="atLeast"/>
              <w:jc w:val="left"/>
              <w:rPr>
                <w:noProof/>
              </w:rPr>
            </w:pPr>
            <w:r>
              <w:rPr>
                <w:noProof/>
              </w:rPr>
              <w:t>Règl. ONU 105</w:t>
            </w:r>
          </w:p>
        </w:tc>
        <w:tc>
          <w:tcPr>
            <w:tcW w:w="3081" w:type="dxa"/>
            <w:shd w:val="clear" w:color="auto" w:fill="auto"/>
          </w:tcPr>
          <w:p>
            <w:pPr>
              <w:shd w:val="clear" w:color="auto" w:fill="FFFFFF"/>
              <w:spacing w:line="240" w:lineRule="atLeast"/>
              <w:jc w:val="left"/>
              <w:rPr>
                <w:noProof/>
              </w:rPr>
            </w:pPr>
          </w:p>
        </w:tc>
      </w:tr>
      <w:tr>
        <w:tc>
          <w:tcPr>
            <w:tcW w:w="3080" w:type="dxa"/>
            <w:shd w:val="clear" w:color="auto" w:fill="auto"/>
          </w:tcPr>
          <w:p>
            <w:pPr>
              <w:shd w:val="clear" w:color="auto" w:fill="FFFFFF"/>
              <w:spacing w:line="240" w:lineRule="atLeast"/>
              <w:jc w:val="left"/>
              <w:rPr>
                <w:noProof/>
              </w:rPr>
            </w:pPr>
            <w:r>
              <w:rPr>
                <w:noProof/>
              </w:rPr>
              <w:t>Protection avant contre l’encastrement</w:t>
            </w:r>
          </w:p>
        </w:tc>
        <w:tc>
          <w:tcPr>
            <w:tcW w:w="3081" w:type="dxa"/>
            <w:shd w:val="clear" w:color="auto" w:fill="auto"/>
          </w:tcPr>
          <w:p>
            <w:pPr>
              <w:shd w:val="clear" w:color="auto" w:fill="FFFFFF"/>
              <w:spacing w:line="240" w:lineRule="atLeast"/>
              <w:jc w:val="left"/>
              <w:rPr>
                <w:noProof/>
              </w:rPr>
            </w:pPr>
            <w:r>
              <w:rPr>
                <w:noProof/>
              </w:rPr>
              <w:t>Règl. ONU 93</w:t>
            </w:r>
          </w:p>
        </w:tc>
        <w:tc>
          <w:tcPr>
            <w:tcW w:w="3081" w:type="dxa"/>
            <w:shd w:val="clear" w:color="auto" w:fill="auto"/>
          </w:tcPr>
          <w:p>
            <w:pPr>
              <w:shd w:val="clear" w:color="auto" w:fill="FFFFFF"/>
              <w:spacing w:line="240" w:lineRule="atLeast"/>
              <w:jc w:val="left"/>
              <w:rPr>
                <w:noProof/>
              </w:rPr>
            </w:pPr>
          </w:p>
        </w:tc>
      </w:tr>
    </w:tbl>
    <w:p>
      <w:pPr>
        <w:widowControl w:val="0"/>
        <w:spacing w:after="0" w:line="360" w:lineRule="auto"/>
        <w:jc w:val="left"/>
        <w:outlineLvl w:val="0"/>
        <w:rPr>
          <w:noProof/>
        </w:rPr>
        <w:sectPr>
          <w:pgSz w:w="11906" w:h="16838"/>
          <w:pgMar w:top="1020" w:right="1701" w:bottom="1020" w:left="1587" w:header="601" w:footer="1077" w:gutter="0"/>
          <w:cols w:space="720"/>
          <w:docGrid w:linePitch="326"/>
        </w:sectPr>
      </w:pPr>
    </w:p>
    <w:p>
      <w:pPr>
        <w:widowControl w:val="0"/>
        <w:spacing w:after="0" w:line="360" w:lineRule="auto"/>
        <w:jc w:val="right"/>
        <w:outlineLvl w:val="0"/>
        <w:rPr>
          <w:noProof/>
        </w:rPr>
      </w:pPr>
      <w:r>
        <w:rPr>
          <w:noProof/>
        </w:rPr>
        <w:t>Annexe 2</w:t>
      </w:r>
    </w:p>
    <w:p>
      <w:pPr>
        <w:widowControl w:val="0"/>
        <w:spacing w:after="0" w:line="360" w:lineRule="auto"/>
        <w:jc w:val="center"/>
        <w:outlineLvl w:val="0"/>
        <w:rPr>
          <w:noProof/>
        </w:rPr>
      </w:pPr>
      <w:r>
        <w:rPr>
          <w:noProof/>
        </w:rPr>
        <w:t>Appendice 2-C-3</w:t>
      </w:r>
    </w:p>
    <w:p>
      <w:pPr>
        <w:widowControl w:val="0"/>
        <w:spacing w:after="0" w:line="360" w:lineRule="auto"/>
        <w:jc w:val="center"/>
        <w:outlineLvl w:val="0"/>
        <w:rPr>
          <w:noProof/>
        </w:rPr>
      </w:pPr>
      <w:r>
        <w:rPr>
          <w:noProof/>
        </w:rPr>
        <w:t>Tableau 1</w:t>
      </w:r>
    </w:p>
    <w:p>
      <w:pPr>
        <w:widowControl w:val="0"/>
        <w:spacing w:after="0" w:line="360" w:lineRule="auto"/>
        <w:jc w:val="center"/>
        <w:outlineLvl w:val="0"/>
        <w:rPr>
          <w:b/>
          <w:noProof/>
        </w:rPr>
      </w:pPr>
      <w:r>
        <w:rPr>
          <w:b/>
          <w:noProof/>
        </w:rPr>
        <w:t>Liste visée à l’article 3, point a) ii), de l’annexe 2-C</w:t>
      </w:r>
    </w:p>
    <w:tbl>
      <w:tblPr>
        <w:tblW w:w="9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9"/>
        <w:gridCol w:w="1800"/>
        <w:gridCol w:w="270"/>
        <w:gridCol w:w="127"/>
        <w:gridCol w:w="1917"/>
        <w:gridCol w:w="6"/>
        <w:gridCol w:w="23"/>
        <w:gridCol w:w="1951"/>
        <w:gridCol w:w="8"/>
        <w:gridCol w:w="22"/>
        <w:gridCol w:w="2850"/>
        <w:gridCol w:w="11"/>
        <w:gridCol w:w="20"/>
      </w:tblGrid>
      <w:tr>
        <w:trPr>
          <w:gridAfter w:val="1"/>
          <w:wAfter w:w="20" w:type="dxa"/>
          <w:tblHeader/>
          <w:jc w:val="center"/>
        </w:trPr>
        <w:tc>
          <w:tcPr>
            <w:tcW w:w="4149" w:type="dxa"/>
            <w:gridSpan w:val="6"/>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Objet</w:t>
            </w:r>
          </w:p>
        </w:tc>
        <w:tc>
          <w:tcPr>
            <w:tcW w:w="1982"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Prescriptions</w:t>
            </w:r>
          </w:p>
        </w:tc>
        <w:tc>
          <w:tcPr>
            <w:tcW w:w="2883"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Règlement technique</w:t>
            </w:r>
            <w:r>
              <w:rPr>
                <w:noProof/>
              </w:rPr>
              <w:br/>
              <w:t>coréen correspondant</w:t>
            </w:r>
          </w:p>
        </w:tc>
      </w:tr>
      <w:tr>
        <w:trPr>
          <w:gridAfter w:val="1"/>
          <w:wAfter w:w="20" w:type="dxa"/>
          <w:jc w:val="center"/>
        </w:trPr>
        <w:tc>
          <w:tcPr>
            <w:tcW w:w="2226" w:type="dxa"/>
            <w:gridSpan w:val="4"/>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Protection des occupants</w:t>
            </w:r>
          </w:p>
          <w:p>
            <w:pPr>
              <w:widowControl w:val="0"/>
              <w:spacing w:after="0" w:line="276" w:lineRule="auto"/>
              <w:jc w:val="left"/>
              <w:rPr>
                <w:noProof/>
              </w:rPr>
            </w:pPr>
            <w:r>
              <w:rPr>
                <w:noProof/>
              </w:rPr>
              <w:t>en cas de collision</w:t>
            </w:r>
          </w:p>
        </w:tc>
        <w:tc>
          <w:tcPr>
            <w:tcW w:w="1923"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frontale</w:t>
            </w:r>
          </w:p>
        </w:tc>
        <w:tc>
          <w:tcPr>
            <w:tcW w:w="1982"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 xml:space="preserve">Règl. ONU 94 </w:t>
            </w:r>
          </w:p>
        </w:tc>
        <w:tc>
          <w:tcPr>
            <w:tcW w:w="2883" w:type="dxa"/>
            <w:gridSpan w:val="3"/>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KMVSS</w:t>
            </w:r>
            <w:r>
              <w:rPr>
                <w:rStyle w:val="FootnoteReference"/>
                <w:noProof/>
              </w:rPr>
              <w:footnoteReference w:id="4"/>
            </w:r>
            <w:r>
              <w:rPr>
                <w:noProof/>
              </w:rPr>
              <w:t>, article 102,</w:t>
            </w:r>
          </w:p>
          <w:p>
            <w:pPr>
              <w:widowControl w:val="0"/>
              <w:spacing w:after="0" w:line="276" w:lineRule="auto"/>
              <w:jc w:val="left"/>
              <w:rPr>
                <w:noProof/>
              </w:rPr>
            </w:pPr>
            <w:r>
              <w:rPr>
                <w:noProof/>
              </w:rPr>
              <w:t>paragraphes 1 et 3</w:t>
            </w:r>
          </w:p>
        </w:tc>
      </w:tr>
      <w:tr>
        <w:trPr>
          <w:gridAfter w:val="1"/>
          <w:wAfter w:w="20" w:type="dxa"/>
          <w:jc w:val="center"/>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pPr>
              <w:spacing w:after="0"/>
              <w:jc w:val="left"/>
              <w:rPr>
                <w:noProof/>
              </w:rPr>
            </w:pPr>
          </w:p>
        </w:tc>
        <w:tc>
          <w:tcPr>
            <w:tcW w:w="1923"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latérale</w:t>
            </w:r>
          </w:p>
        </w:tc>
        <w:tc>
          <w:tcPr>
            <w:tcW w:w="1982" w:type="dxa"/>
            <w:gridSpan w:val="3"/>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Règl. ONU 95</w:t>
            </w:r>
          </w:p>
        </w:tc>
        <w:tc>
          <w:tcPr>
            <w:tcW w:w="2883" w:type="dxa"/>
            <w:gridSpan w:val="3"/>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KMVSS, article 102,</w:t>
            </w:r>
          </w:p>
          <w:p>
            <w:pPr>
              <w:widowControl w:val="0"/>
              <w:spacing w:after="0" w:line="276" w:lineRule="auto"/>
              <w:jc w:val="left"/>
              <w:rPr>
                <w:noProof/>
              </w:rPr>
            </w:pPr>
            <w:r>
              <w:rPr>
                <w:noProof/>
              </w:rPr>
              <w:t>paragraphe 1</w:t>
            </w:r>
          </w:p>
        </w:tc>
      </w:tr>
      <w:tr>
        <w:trPr>
          <w:gridAfter w:val="1"/>
          <w:wAfter w:w="20" w:type="dxa"/>
          <w:jc w:val="center"/>
        </w:trPr>
        <w:tc>
          <w:tcPr>
            <w:tcW w:w="4149" w:type="dxa"/>
            <w:gridSpan w:val="6"/>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Déplacement vers l’arrière du dispositif de conduite</w:t>
            </w:r>
          </w:p>
        </w:tc>
        <w:tc>
          <w:tcPr>
            <w:tcW w:w="1982"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Règl. ONU 12</w:t>
            </w:r>
          </w:p>
        </w:tc>
        <w:tc>
          <w:tcPr>
            <w:tcW w:w="2883"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KMVSS, article 89, paragraphe 1, point 2</w:t>
            </w:r>
          </w:p>
        </w:tc>
      </w:tr>
      <w:tr>
        <w:trPr>
          <w:gridAfter w:val="1"/>
          <w:wAfter w:w="20" w:type="dxa"/>
          <w:jc w:val="center"/>
        </w:trPr>
        <w:tc>
          <w:tcPr>
            <w:tcW w:w="4149" w:type="dxa"/>
            <w:gridSpan w:val="6"/>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Protection du conducteur en cas de choc, au niveau du système de direction</w:t>
            </w:r>
          </w:p>
        </w:tc>
        <w:tc>
          <w:tcPr>
            <w:tcW w:w="1982"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Règl. ONU 12</w:t>
            </w:r>
          </w:p>
        </w:tc>
        <w:tc>
          <w:tcPr>
            <w:tcW w:w="2883"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KMVSS, article 89, paragraphe 1, point 1</w:t>
            </w:r>
          </w:p>
        </w:tc>
      </w:tr>
      <w:tr>
        <w:trPr>
          <w:gridAfter w:val="1"/>
          <w:wAfter w:w="20" w:type="dxa"/>
          <w:jc w:val="center"/>
        </w:trPr>
        <w:tc>
          <w:tcPr>
            <w:tcW w:w="4149" w:type="dxa"/>
            <w:gridSpan w:val="6"/>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Systèmes de sièges</w:t>
            </w:r>
          </w:p>
        </w:tc>
        <w:tc>
          <w:tcPr>
            <w:tcW w:w="1982"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Règl. ONU 17</w:t>
            </w:r>
          </w:p>
        </w:tc>
        <w:tc>
          <w:tcPr>
            <w:tcW w:w="2883"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KMVSS, article 97</w:t>
            </w:r>
          </w:p>
        </w:tc>
      </w:tr>
      <w:tr>
        <w:trPr>
          <w:gridAfter w:val="1"/>
          <w:wAfter w:w="20" w:type="dxa"/>
          <w:jc w:val="center"/>
        </w:trPr>
        <w:tc>
          <w:tcPr>
            <w:tcW w:w="4149" w:type="dxa"/>
            <w:gridSpan w:val="6"/>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Appuie-tête</w:t>
            </w:r>
          </w:p>
        </w:tc>
        <w:tc>
          <w:tcPr>
            <w:tcW w:w="1982"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 xml:space="preserve">Règl. ONU 17, </w:t>
            </w:r>
            <w:r>
              <w:rPr>
                <w:noProof/>
              </w:rPr>
              <w:br/>
              <w:t>Règl. ONU 25,</w:t>
            </w:r>
            <w:r>
              <w:rPr>
                <w:noProof/>
              </w:rPr>
              <w:br/>
              <w:t>RTM 7</w:t>
            </w:r>
          </w:p>
        </w:tc>
        <w:tc>
          <w:tcPr>
            <w:tcW w:w="2883"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KMVSS, articles 26, 99</w:t>
            </w:r>
          </w:p>
        </w:tc>
      </w:tr>
      <w:tr>
        <w:trPr>
          <w:gridAfter w:val="1"/>
          <w:wAfter w:w="20" w:type="dxa"/>
          <w:jc w:val="center"/>
        </w:trPr>
        <w:tc>
          <w:tcPr>
            <w:tcW w:w="4149" w:type="dxa"/>
            <w:gridSpan w:val="6"/>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Serrures de porte et composants de retenue des portes</w:t>
            </w:r>
          </w:p>
        </w:tc>
        <w:tc>
          <w:tcPr>
            <w:tcW w:w="1982"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Règl. ONU 11,</w:t>
            </w:r>
            <w:r>
              <w:rPr>
                <w:noProof/>
              </w:rPr>
              <w:br/>
              <w:t>RTM 1</w:t>
            </w:r>
          </w:p>
        </w:tc>
        <w:tc>
          <w:tcPr>
            <w:tcW w:w="2883"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KMVSS, article 104, paragraphe 2</w:t>
            </w:r>
          </w:p>
        </w:tc>
      </w:tr>
      <w:tr>
        <w:trPr>
          <w:gridAfter w:val="1"/>
          <w:wAfter w:w="20" w:type="dxa"/>
          <w:jc w:val="center"/>
        </w:trPr>
        <w:tc>
          <w:tcPr>
            <w:tcW w:w="4149" w:type="dxa"/>
            <w:gridSpan w:val="6"/>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Impact, panneau d’instruments</w:t>
            </w:r>
          </w:p>
        </w:tc>
        <w:tc>
          <w:tcPr>
            <w:tcW w:w="1982"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Règl. ONU 21</w:t>
            </w:r>
          </w:p>
        </w:tc>
        <w:tc>
          <w:tcPr>
            <w:tcW w:w="2883"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KMVSS, article 88</w:t>
            </w:r>
          </w:p>
        </w:tc>
      </w:tr>
      <w:tr>
        <w:trPr>
          <w:gridAfter w:val="1"/>
          <w:wAfter w:w="20" w:type="dxa"/>
          <w:jc w:val="center"/>
        </w:trPr>
        <w:tc>
          <w:tcPr>
            <w:tcW w:w="4149" w:type="dxa"/>
            <w:gridSpan w:val="6"/>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Impact arrière, sièges</w:t>
            </w:r>
          </w:p>
        </w:tc>
        <w:tc>
          <w:tcPr>
            <w:tcW w:w="1982"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Règl. ONU 21</w:t>
            </w:r>
          </w:p>
        </w:tc>
        <w:tc>
          <w:tcPr>
            <w:tcW w:w="2883"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KMVSS, article 98</w:t>
            </w:r>
          </w:p>
        </w:tc>
      </w:tr>
      <w:tr>
        <w:trPr>
          <w:gridAfter w:val="1"/>
          <w:wAfter w:w="20" w:type="dxa"/>
          <w:jc w:val="center"/>
        </w:trPr>
        <w:tc>
          <w:tcPr>
            <w:tcW w:w="4149" w:type="dxa"/>
            <w:gridSpan w:val="6"/>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Impact, repose-bras</w:t>
            </w:r>
          </w:p>
        </w:tc>
        <w:tc>
          <w:tcPr>
            <w:tcW w:w="1982"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Règl. ONU 21</w:t>
            </w:r>
          </w:p>
        </w:tc>
        <w:tc>
          <w:tcPr>
            <w:tcW w:w="2883"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KMVSS, article 100</w:t>
            </w:r>
          </w:p>
        </w:tc>
      </w:tr>
      <w:tr>
        <w:trPr>
          <w:gridAfter w:val="1"/>
          <w:wAfter w:w="20" w:type="dxa"/>
          <w:jc w:val="center"/>
        </w:trPr>
        <w:tc>
          <w:tcPr>
            <w:tcW w:w="4149" w:type="dxa"/>
            <w:gridSpan w:val="6"/>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Impact, pare-soleil</w:t>
            </w:r>
          </w:p>
        </w:tc>
        <w:tc>
          <w:tcPr>
            <w:tcW w:w="1982"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Règl. ONU 21</w:t>
            </w:r>
          </w:p>
        </w:tc>
        <w:tc>
          <w:tcPr>
            <w:tcW w:w="2883"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KMVSS, article 101</w:t>
            </w:r>
          </w:p>
        </w:tc>
      </w:tr>
      <w:tr>
        <w:trPr>
          <w:gridAfter w:val="1"/>
          <w:wAfter w:w="20" w:type="dxa"/>
          <w:jc w:val="center"/>
        </w:trPr>
        <w:tc>
          <w:tcPr>
            <w:tcW w:w="4149" w:type="dxa"/>
            <w:gridSpan w:val="6"/>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Impact, rétroviseur intérieur</w:t>
            </w:r>
          </w:p>
        </w:tc>
        <w:tc>
          <w:tcPr>
            <w:tcW w:w="1982"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Règl. ONU 46</w:t>
            </w:r>
          </w:p>
        </w:tc>
        <w:tc>
          <w:tcPr>
            <w:tcW w:w="2883"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KMVSS, article 108</w:t>
            </w:r>
          </w:p>
        </w:tc>
      </w:tr>
      <w:tr>
        <w:trPr>
          <w:gridAfter w:val="2"/>
          <w:wAfter w:w="31" w:type="dxa"/>
          <w:jc w:val="center"/>
        </w:trPr>
        <w:tc>
          <w:tcPr>
            <w:tcW w:w="4143" w:type="dxa"/>
            <w:gridSpan w:val="5"/>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Dispositifs de remorquage</w:t>
            </w:r>
          </w:p>
        </w:tc>
        <w:tc>
          <w:tcPr>
            <w:tcW w:w="198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Règlement (UE) nº 1005/2010</w:t>
            </w:r>
          </w:p>
        </w:tc>
        <w:tc>
          <w:tcPr>
            <w:tcW w:w="288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 xml:space="preserve">KMVSS, article 20, paragraphe 1 </w:t>
            </w:r>
          </w:p>
        </w:tc>
      </w:tr>
      <w:tr>
        <w:trPr>
          <w:gridAfter w:val="2"/>
          <w:wAfter w:w="31" w:type="dxa"/>
          <w:jc w:val="center"/>
        </w:trPr>
        <w:tc>
          <w:tcPr>
            <w:tcW w:w="4143" w:type="dxa"/>
            <w:gridSpan w:val="5"/>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Protection contre l’encastrement à l’arrière</w:t>
            </w:r>
          </w:p>
        </w:tc>
        <w:tc>
          <w:tcPr>
            <w:tcW w:w="198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Règl. ONU 58</w:t>
            </w:r>
          </w:p>
        </w:tc>
        <w:tc>
          <w:tcPr>
            <w:tcW w:w="288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 xml:space="preserve">KMVSS, article 19, paragraphe 4, et article 96 </w:t>
            </w:r>
          </w:p>
        </w:tc>
      </w:tr>
      <w:tr>
        <w:trPr>
          <w:gridBefore w:val="1"/>
          <w:wBefore w:w="29" w:type="dxa"/>
          <w:jc w:val="center"/>
        </w:trPr>
        <w:tc>
          <w:tcPr>
            <w:tcW w:w="1800"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pageBreakBefore/>
              <w:widowControl w:val="0"/>
              <w:spacing w:after="0" w:line="276" w:lineRule="auto"/>
              <w:jc w:val="left"/>
              <w:rPr>
                <w:noProof/>
              </w:rPr>
            </w:pPr>
            <w:r>
              <w:rPr>
                <w:noProof/>
              </w:rPr>
              <w:t xml:space="preserve">Système d’éclairage et de </w:t>
            </w:r>
            <w:r>
              <w:rPr>
                <w:noProof/>
              </w:rPr>
              <w:br w:type="page"/>
              <w:t>signalisation</w:t>
            </w:r>
          </w:p>
        </w:tc>
        <w:tc>
          <w:tcPr>
            <w:tcW w:w="2343" w:type="dxa"/>
            <w:gridSpan w:val="5"/>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Installation</w:t>
            </w:r>
          </w:p>
        </w:tc>
        <w:tc>
          <w:tcPr>
            <w:tcW w:w="19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Règl. ONU 48</w:t>
            </w:r>
          </w:p>
        </w:tc>
        <w:tc>
          <w:tcPr>
            <w:tcW w:w="2881" w:type="dxa"/>
            <w:gridSpan w:val="3"/>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KMVSS, articles 38, 38-2, 38-3, 38-4, 38-5, 39, 40, 41, 42, 43, 44, 44-2, 45, 45-2, 47 et 49</w:t>
            </w:r>
          </w:p>
        </w:tc>
      </w:tr>
      <w:tr>
        <w:trPr>
          <w:gridBefore w:val="1"/>
          <w:wBefore w:w="29"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jc w:val="left"/>
              <w:rPr>
                <w:noProof/>
              </w:rPr>
            </w:pPr>
          </w:p>
        </w:tc>
        <w:tc>
          <w:tcPr>
            <w:tcW w:w="2343" w:type="dxa"/>
            <w:gridSpan w:val="5"/>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Projecteurs avant</w:t>
            </w:r>
          </w:p>
        </w:tc>
        <w:tc>
          <w:tcPr>
            <w:tcW w:w="19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 xml:space="preserve">Règl. ONU 1, 2, 5, 8, 20, 31, 37 </w:t>
            </w:r>
          </w:p>
          <w:p>
            <w:pPr>
              <w:widowControl w:val="0"/>
              <w:spacing w:after="0" w:line="276" w:lineRule="auto"/>
              <w:jc w:val="left"/>
              <w:rPr>
                <w:noProof/>
              </w:rPr>
            </w:pPr>
            <w:r>
              <w:rPr>
                <w:noProof/>
              </w:rPr>
              <w:t xml:space="preserve">Règl. ONU 98, 99, 112, 113, 123 </w:t>
            </w:r>
          </w:p>
        </w:tc>
        <w:tc>
          <w:tcPr>
            <w:tcW w:w="2881" w:type="dxa"/>
            <w:gridSpan w:val="3"/>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KMVSS, article 38, article 48, paragraphe 3</w:t>
            </w:r>
          </w:p>
        </w:tc>
      </w:tr>
      <w:tr>
        <w:trPr>
          <w:gridBefore w:val="1"/>
          <w:wBefore w:w="29"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jc w:val="left"/>
              <w:rPr>
                <w:noProof/>
              </w:rPr>
            </w:pPr>
          </w:p>
        </w:tc>
        <w:tc>
          <w:tcPr>
            <w:tcW w:w="2343" w:type="dxa"/>
            <w:gridSpan w:val="5"/>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Feux antibrouillard avant</w:t>
            </w:r>
          </w:p>
        </w:tc>
        <w:tc>
          <w:tcPr>
            <w:tcW w:w="19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Règl. ONU 19</w:t>
            </w:r>
          </w:p>
        </w:tc>
        <w:tc>
          <w:tcPr>
            <w:tcW w:w="2881" w:type="dxa"/>
            <w:gridSpan w:val="3"/>
            <w:tcBorders>
              <w:top w:val="single" w:sz="4" w:space="0" w:color="auto"/>
              <w:left w:val="single" w:sz="4" w:space="0" w:color="auto"/>
              <w:bottom w:val="single" w:sz="4" w:space="0" w:color="auto"/>
              <w:right w:val="single" w:sz="4" w:space="0" w:color="auto"/>
            </w:tcBorders>
            <w:vAlign w:val="center"/>
          </w:tcPr>
          <w:p>
            <w:pPr>
              <w:widowControl w:val="0"/>
              <w:spacing w:after="0" w:line="276" w:lineRule="auto"/>
              <w:jc w:val="left"/>
              <w:rPr>
                <w:noProof/>
              </w:rPr>
            </w:pPr>
            <w:r>
              <w:rPr>
                <w:noProof/>
              </w:rPr>
              <w:t>KMVSS, article 38-2, paragraphe 1,</w:t>
            </w:r>
          </w:p>
          <w:p>
            <w:pPr>
              <w:widowControl w:val="0"/>
              <w:spacing w:after="0" w:line="276" w:lineRule="auto"/>
              <w:jc w:val="left"/>
              <w:rPr>
                <w:noProof/>
              </w:rPr>
            </w:pPr>
          </w:p>
        </w:tc>
      </w:tr>
      <w:tr>
        <w:trPr>
          <w:gridBefore w:val="1"/>
          <w:wBefore w:w="29"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jc w:val="left"/>
              <w:rPr>
                <w:noProof/>
              </w:rPr>
            </w:pPr>
          </w:p>
        </w:tc>
        <w:tc>
          <w:tcPr>
            <w:tcW w:w="2343" w:type="dxa"/>
            <w:gridSpan w:val="5"/>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Feux de circulation diurnes</w:t>
            </w:r>
          </w:p>
        </w:tc>
        <w:tc>
          <w:tcPr>
            <w:tcW w:w="19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Règl. ONU 87</w:t>
            </w:r>
          </w:p>
        </w:tc>
        <w:tc>
          <w:tcPr>
            <w:tcW w:w="2881" w:type="dxa"/>
            <w:gridSpan w:val="3"/>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KMVSS, article 38-4</w:t>
            </w:r>
          </w:p>
        </w:tc>
      </w:tr>
      <w:tr>
        <w:trPr>
          <w:gridBefore w:val="1"/>
          <w:wBefore w:w="29"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jc w:val="left"/>
              <w:rPr>
                <w:noProof/>
              </w:rPr>
            </w:pPr>
          </w:p>
        </w:tc>
        <w:tc>
          <w:tcPr>
            <w:tcW w:w="2343" w:type="dxa"/>
            <w:gridSpan w:val="5"/>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Feux d’angle</w:t>
            </w:r>
          </w:p>
        </w:tc>
        <w:tc>
          <w:tcPr>
            <w:tcW w:w="19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Règl. ONU 119</w:t>
            </w:r>
          </w:p>
        </w:tc>
        <w:tc>
          <w:tcPr>
            <w:tcW w:w="2881" w:type="dxa"/>
            <w:gridSpan w:val="3"/>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KMVSS, article 38-5</w:t>
            </w:r>
          </w:p>
        </w:tc>
      </w:tr>
      <w:tr>
        <w:trPr>
          <w:gridBefore w:val="1"/>
          <w:wBefore w:w="29"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jc w:val="left"/>
              <w:rPr>
                <w:noProof/>
              </w:rPr>
            </w:pPr>
          </w:p>
        </w:tc>
        <w:tc>
          <w:tcPr>
            <w:tcW w:w="2343" w:type="dxa"/>
            <w:gridSpan w:val="5"/>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Feux arrière</w:t>
            </w:r>
          </w:p>
        </w:tc>
        <w:tc>
          <w:tcPr>
            <w:tcW w:w="19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Règl. ONU 23</w:t>
            </w:r>
          </w:p>
        </w:tc>
        <w:tc>
          <w:tcPr>
            <w:tcW w:w="2881" w:type="dxa"/>
            <w:gridSpan w:val="3"/>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KMVSS, article 39</w:t>
            </w:r>
          </w:p>
        </w:tc>
      </w:tr>
      <w:tr>
        <w:trPr>
          <w:gridBefore w:val="1"/>
          <w:wBefore w:w="29"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jc w:val="left"/>
              <w:rPr>
                <w:noProof/>
              </w:rPr>
            </w:pPr>
          </w:p>
        </w:tc>
        <w:tc>
          <w:tcPr>
            <w:tcW w:w="2343" w:type="dxa"/>
            <w:gridSpan w:val="5"/>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Feux de gabarit</w:t>
            </w:r>
          </w:p>
        </w:tc>
        <w:tc>
          <w:tcPr>
            <w:tcW w:w="19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Règl. ONU 7</w:t>
            </w:r>
          </w:p>
        </w:tc>
        <w:tc>
          <w:tcPr>
            <w:tcW w:w="2881" w:type="dxa"/>
            <w:gridSpan w:val="3"/>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KMVSS, article 40</w:t>
            </w:r>
          </w:p>
        </w:tc>
      </w:tr>
      <w:tr>
        <w:trPr>
          <w:gridBefore w:val="1"/>
          <w:wBefore w:w="29"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jc w:val="left"/>
              <w:rPr>
                <w:noProof/>
              </w:rPr>
            </w:pPr>
          </w:p>
        </w:tc>
        <w:tc>
          <w:tcPr>
            <w:tcW w:w="2343" w:type="dxa"/>
            <w:gridSpan w:val="5"/>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Éclairage de la plaque d’immatriculation</w:t>
            </w:r>
          </w:p>
        </w:tc>
        <w:tc>
          <w:tcPr>
            <w:tcW w:w="19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Règl. ONU 4</w:t>
            </w:r>
          </w:p>
        </w:tc>
        <w:tc>
          <w:tcPr>
            <w:tcW w:w="2881" w:type="dxa"/>
            <w:gridSpan w:val="3"/>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KMVSS, article 41</w:t>
            </w:r>
          </w:p>
        </w:tc>
      </w:tr>
      <w:tr>
        <w:trPr>
          <w:gridBefore w:val="1"/>
          <w:wBefore w:w="29"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jc w:val="left"/>
              <w:rPr>
                <w:noProof/>
              </w:rPr>
            </w:pPr>
          </w:p>
        </w:tc>
        <w:tc>
          <w:tcPr>
            <w:tcW w:w="2343" w:type="dxa"/>
            <w:gridSpan w:val="5"/>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Feux arrière</w:t>
            </w:r>
          </w:p>
        </w:tc>
        <w:tc>
          <w:tcPr>
            <w:tcW w:w="19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Règl. ONU 7</w:t>
            </w:r>
          </w:p>
        </w:tc>
        <w:tc>
          <w:tcPr>
            <w:tcW w:w="2881" w:type="dxa"/>
            <w:gridSpan w:val="3"/>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KMVSS, article 42</w:t>
            </w:r>
          </w:p>
        </w:tc>
      </w:tr>
      <w:tr>
        <w:trPr>
          <w:gridBefore w:val="1"/>
          <w:wBefore w:w="29"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jc w:val="left"/>
              <w:rPr>
                <w:noProof/>
              </w:rPr>
            </w:pPr>
          </w:p>
        </w:tc>
        <w:tc>
          <w:tcPr>
            <w:tcW w:w="2343" w:type="dxa"/>
            <w:gridSpan w:val="5"/>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Feux stop</w:t>
            </w:r>
          </w:p>
        </w:tc>
        <w:tc>
          <w:tcPr>
            <w:tcW w:w="19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Règl. ONU 7</w:t>
            </w:r>
          </w:p>
        </w:tc>
        <w:tc>
          <w:tcPr>
            <w:tcW w:w="2881" w:type="dxa"/>
            <w:gridSpan w:val="3"/>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KMVSS, article 43, paragraphe 1</w:t>
            </w:r>
          </w:p>
        </w:tc>
      </w:tr>
      <w:tr>
        <w:trPr>
          <w:gridBefore w:val="1"/>
          <w:wBefore w:w="29"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jc w:val="left"/>
              <w:rPr>
                <w:noProof/>
              </w:rPr>
            </w:pPr>
          </w:p>
        </w:tc>
        <w:tc>
          <w:tcPr>
            <w:tcW w:w="2343" w:type="dxa"/>
            <w:gridSpan w:val="5"/>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Feux stop</w:t>
            </w:r>
          </w:p>
          <w:p>
            <w:pPr>
              <w:widowControl w:val="0"/>
              <w:spacing w:after="0" w:line="276" w:lineRule="auto"/>
              <w:jc w:val="left"/>
              <w:rPr>
                <w:noProof/>
              </w:rPr>
            </w:pPr>
            <w:r>
              <w:rPr>
                <w:noProof/>
              </w:rPr>
              <w:t>central</w:t>
            </w:r>
          </w:p>
        </w:tc>
        <w:tc>
          <w:tcPr>
            <w:tcW w:w="19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Règl. ONU 7</w:t>
            </w:r>
          </w:p>
        </w:tc>
        <w:tc>
          <w:tcPr>
            <w:tcW w:w="2881" w:type="dxa"/>
            <w:gridSpan w:val="3"/>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KMVSS, article 43, paragraphe 2</w:t>
            </w:r>
          </w:p>
        </w:tc>
      </w:tr>
      <w:tr>
        <w:trPr>
          <w:gridBefore w:val="1"/>
          <w:wBefore w:w="29"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jc w:val="left"/>
              <w:rPr>
                <w:noProof/>
              </w:rPr>
            </w:pPr>
          </w:p>
        </w:tc>
        <w:tc>
          <w:tcPr>
            <w:tcW w:w="2343" w:type="dxa"/>
            <w:gridSpan w:val="5"/>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Clignotants</w:t>
            </w:r>
          </w:p>
        </w:tc>
        <w:tc>
          <w:tcPr>
            <w:tcW w:w="19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Règl. ONU 6</w:t>
            </w:r>
          </w:p>
        </w:tc>
        <w:tc>
          <w:tcPr>
            <w:tcW w:w="2881" w:type="dxa"/>
            <w:gridSpan w:val="3"/>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KMVSS, article 44</w:t>
            </w:r>
          </w:p>
        </w:tc>
      </w:tr>
      <w:tr>
        <w:trPr>
          <w:gridBefore w:val="1"/>
          <w:wBefore w:w="29"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jc w:val="left"/>
              <w:rPr>
                <w:noProof/>
              </w:rPr>
            </w:pPr>
          </w:p>
        </w:tc>
        <w:tc>
          <w:tcPr>
            <w:tcW w:w="2343" w:type="dxa"/>
            <w:gridSpan w:val="5"/>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Clignotants auxiliaires</w:t>
            </w:r>
          </w:p>
        </w:tc>
        <w:tc>
          <w:tcPr>
            <w:tcW w:w="19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Règl. ONU 7</w:t>
            </w:r>
          </w:p>
        </w:tc>
        <w:tc>
          <w:tcPr>
            <w:tcW w:w="2881" w:type="dxa"/>
            <w:gridSpan w:val="3"/>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KMVSS, article 44</w:t>
            </w:r>
          </w:p>
        </w:tc>
      </w:tr>
      <w:tr>
        <w:trPr>
          <w:gridBefore w:val="1"/>
          <w:wBefore w:w="29"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jc w:val="left"/>
              <w:rPr>
                <w:noProof/>
              </w:rPr>
            </w:pPr>
          </w:p>
        </w:tc>
        <w:tc>
          <w:tcPr>
            <w:tcW w:w="2343" w:type="dxa"/>
            <w:gridSpan w:val="5"/>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Feux de position latéraux</w:t>
            </w:r>
          </w:p>
        </w:tc>
        <w:tc>
          <w:tcPr>
            <w:tcW w:w="19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Règl. ONU 91</w:t>
            </w:r>
          </w:p>
        </w:tc>
        <w:tc>
          <w:tcPr>
            <w:tcW w:w="2881" w:type="dxa"/>
            <w:gridSpan w:val="3"/>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KMVSS, article 44-2</w:t>
            </w:r>
          </w:p>
        </w:tc>
      </w:tr>
      <w:tr>
        <w:trPr>
          <w:gridBefore w:val="1"/>
          <w:wBefore w:w="29"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jc w:val="left"/>
              <w:rPr>
                <w:noProof/>
              </w:rPr>
            </w:pPr>
          </w:p>
        </w:tc>
        <w:tc>
          <w:tcPr>
            <w:tcW w:w="2343" w:type="dxa"/>
            <w:gridSpan w:val="5"/>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 xml:space="preserve">Feux antibrouillard arrière </w:t>
            </w:r>
          </w:p>
        </w:tc>
        <w:tc>
          <w:tcPr>
            <w:tcW w:w="19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Règl. ONU 38</w:t>
            </w:r>
          </w:p>
        </w:tc>
        <w:tc>
          <w:tcPr>
            <w:tcW w:w="2881" w:type="dxa"/>
            <w:gridSpan w:val="3"/>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KMVSS, article 38-2,</w:t>
            </w:r>
          </w:p>
          <w:p>
            <w:pPr>
              <w:widowControl w:val="0"/>
              <w:spacing w:after="0" w:line="276" w:lineRule="auto"/>
              <w:jc w:val="left"/>
              <w:rPr>
                <w:noProof/>
              </w:rPr>
            </w:pPr>
            <w:r>
              <w:rPr>
                <w:noProof/>
              </w:rPr>
              <w:t>paragraphe 2</w:t>
            </w:r>
          </w:p>
        </w:tc>
      </w:tr>
      <w:tr>
        <w:trPr>
          <w:gridBefore w:val="1"/>
          <w:wBefore w:w="29"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jc w:val="left"/>
              <w:rPr>
                <w:noProof/>
              </w:rPr>
            </w:pPr>
          </w:p>
        </w:tc>
        <w:tc>
          <w:tcPr>
            <w:tcW w:w="2343" w:type="dxa"/>
            <w:gridSpan w:val="5"/>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Catadioptres</w:t>
            </w:r>
          </w:p>
        </w:tc>
        <w:tc>
          <w:tcPr>
            <w:tcW w:w="19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Règl. ONU 70,</w:t>
            </w:r>
            <w:r>
              <w:rPr>
                <w:noProof/>
              </w:rPr>
              <w:br/>
              <w:t>Règl. ONU 3</w:t>
            </w:r>
          </w:p>
        </w:tc>
        <w:tc>
          <w:tcPr>
            <w:tcW w:w="2881" w:type="dxa"/>
            <w:gridSpan w:val="3"/>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 xml:space="preserve">KMVSS, article 49 </w:t>
            </w:r>
          </w:p>
        </w:tc>
      </w:tr>
      <w:tr>
        <w:trPr>
          <w:gridBefore w:val="1"/>
          <w:wBefore w:w="29" w:type="dxa"/>
          <w:jc w:val="center"/>
        </w:trPr>
        <w:tc>
          <w:tcPr>
            <w:tcW w:w="4143" w:type="dxa"/>
            <w:gridSpan w:val="6"/>
            <w:tcBorders>
              <w:top w:val="single" w:sz="4" w:space="0" w:color="auto"/>
              <w:left w:val="single" w:sz="4" w:space="0" w:color="auto"/>
              <w:bottom w:val="single" w:sz="4" w:space="0" w:color="auto"/>
              <w:right w:val="single" w:sz="4" w:space="0" w:color="auto"/>
            </w:tcBorders>
            <w:vAlign w:val="center"/>
            <w:hideMark/>
          </w:tcPr>
          <w:p>
            <w:pPr>
              <w:pageBreakBefore/>
              <w:widowControl w:val="0"/>
              <w:spacing w:after="0" w:line="276" w:lineRule="auto"/>
              <w:jc w:val="left"/>
              <w:rPr>
                <w:noProof/>
              </w:rPr>
            </w:pPr>
            <w:r>
              <w:rPr>
                <w:noProof/>
              </w:rPr>
              <w:t>Visibilité du conducteur</w:t>
            </w:r>
          </w:p>
        </w:tc>
        <w:tc>
          <w:tcPr>
            <w:tcW w:w="19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Règl. ONU 46</w:t>
            </w:r>
          </w:p>
        </w:tc>
        <w:tc>
          <w:tcPr>
            <w:tcW w:w="28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KMVSS, article 50,</w:t>
            </w:r>
          </w:p>
          <w:p>
            <w:pPr>
              <w:widowControl w:val="0"/>
              <w:spacing w:after="0" w:line="276" w:lineRule="auto"/>
              <w:jc w:val="left"/>
              <w:rPr>
                <w:noProof/>
              </w:rPr>
            </w:pPr>
            <w:r>
              <w:rPr>
                <w:noProof/>
              </w:rPr>
              <w:t>article 94</w:t>
            </w:r>
          </w:p>
        </w:tc>
      </w:tr>
      <w:tr>
        <w:trPr>
          <w:gridBefore w:val="1"/>
          <w:wBefore w:w="29" w:type="dxa"/>
          <w:jc w:val="center"/>
        </w:trPr>
        <w:tc>
          <w:tcPr>
            <w:tcW w:w="4143" w:type="dxa"/>
            <w:gridSpan w:val="6"/>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Puissance du moteur</w:t>
            </w:r>
          </w:p>
        </w:tc>
        <w:tc>
          <w:tcPr>
            <w:tcW w:w="19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Règl. ONU 85</w:t>
            </w:r>
          </w:p>
        </w:tc>
        <w:tc>
          <w:tcPr>
            <w:tcW w:w="28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KMVSS, article 111</w:t>
            </w:r>
          </w:p>
        </w:tc>
      </w:tr>
      <w:tr>
        <w:trPr>
          <w:gridBefore w:val="1"/>
          <w:wBefore w:w="29" w:type="dxa"/>
          <w:jc w:val="center"/>
        </w:trPr>
        <w:tc>
          <w:tcPr>
            <w:tcW w:w="1800" w:type="dxa"/>
            <w:vMerge w:val="restart"/>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 xml:space="preserve">Dispositifs </w:t>
            </w:r>
            <w:r>
              <w:rPr>
                <w:noProof/>
              </w:rPr>
              <w:br/>
              <w:t xml:space="preserve">pour assurer </w:t>
            </w:r>
            <w:r>
              <w:rPr>
                <w:noProof/>
              </w:rPr>
              <w:br/>
              <w:t xml:space="preserve">la visibilité </w:t>
            </w:r>
            <w:r>
              <w:rPr>
                <w:noProof/>
              </w:rPr>
              <w:br/>
              <w:t>du conducteur</w:t>
            </w:r>
          </w:p>
        </w:tc>
        <w:tc>
          <w:tcPr>
            <w:tcW w:w="2343" w:type="dxa"/>
            <w:gridSpan w:val="5"/>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Système d’essuie-glace</w:t>
            </w:r>
          </w:p>
        </w:tc>
        <w:tc>
          <w:tcPr>
            <w:tcW w:w="19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 xml:space="preserve">Règlement </w:t>
            </w:r>
          </w:p>
          <w:p>
            <w:pPr>
              <w:widowControl w:val="0"/>
              <w:spacing w:after="0" w:line="276" w:lineRule="auto"/>
              <w:jc w:val="left"/>
              <w:rPr>
                <w:noProof/>
              </w:rPr>
            </w:pPr>
            <w:r>
              <w:rPr>
                <w:noProof/>
              </w:rPr>
              <w:t>(UE) nº 1008/2010</w:t>
            </w:r>
          </w:p>
        </w:tc>
        <w:tc>
          <w:tcPr>
            <w:tcW w:w="2881" w:type="dxa"/>
            <w:gridSpan w:val="3"/>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 xml:space="preserve">KMVSS, article 51, paragraphe 2; article 109, point 1 </w:t>
            </w:r>
          </w:p>
        </w:tc>
      </w:tr>
      <w:tr>
        <w:trPr>
          <w:gridBefore w:val="1"/>
          <w:wBefore w:w="29"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jc w:val="left"/>
              <w:rPr>
                <w:noProof/>
              </w:rPr>
            </w:pPr>
          </w:p>
        </w:tc>
        <w:tc>
          <w:tcPr>
            <w:tcW w:w="2343" w:type="dxa"/>
            <w:gridSpan w:val="5"/>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Système de dégivrage</w:t>
            </w:r>
          </w:p>
        </w:tc>
        <w:tc>
          <w:tcPr>
            <w:tcW w:w="19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Règlement (UE) nº 672/2010</w:t>
            </w:r>
          </w:p>
        </w:tc>
        <w:tc>
          <w:tcPr>
            <w:tcW w:w="2881" w:type="dxa"/>
            <w:gridSpan w:val="3"/>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KMVSS, article 109, point 2</w:t>
            </w:r>
          </w:p>
        </w:tc>
      </w:tr>
      <w:tr>
        <w:trPr>
          <w:gridBefore w:val="1"/>
          <w:wBefore w:w="29"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jc w:val="left"/>
              <w:rPr>
                <w:noProof/>
              </w:rPr>
            </w:pPr>
          </w:p>
        </w:tc>
        <w:tc>
          <w:tcPr>
            <w:tcW w:w="2343" w:type="dxa"/>
            <w:gridSpan w:val="5"/>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 xml:space="preserve">Système de désembuage </w:t>
            </w:r>
          </w:p>
        </w:tc>
        <w:tc>
          <w:tcPr>
            <w:tcW w:w="19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Règlement (UE) nº 672/2010</w:t>
            </w:r>
          </w:p>
        </w:tc>
        <w:tc>
          <w:tcPr>
            <w:tcW w:w="2881" w:type="dxa"/>
            <w:gridSpan w:val="3"/>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KMVSS, article 109, point 3</w:t>
            </w:r>
          </w:p>
        </w:tc>
      </w:tr>
      <w:tr>
        <w:trPr>
          <w:gridBefore w:val="1"/>
          <w:wBefore w:w="29"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jc w:val="left"/>
              <w:rPr>
                <w:noProof/>
              </w:rPr>
            </w:pPr>
          </w:p>
        </w:tc>
        <w:tc>
          <w:tcPr>
            <w:tcW w:w="2343" w:type="dxa"/>
            <w:gridSpan w:val="5"/>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Système de nettoyage du pare-brise</w:t>
            </w:r>
          </w:p>
        </w:tc>
        <w:tc>
          <w:tcPr>
            <w:tcW w:w="19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Règlement (UE) nº 1008/2010</w:t>
            </w:r>
          </w:p>
        </w:tc>
        <w:tc>
          <w:tcPr>
            <w:tcW w:w="2881" w:type="dxa"/>
            <w:gridSpan w:val="3"/>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KMVSS, article 109, point 4</w:t>
            </w:r>
          </w:p>
        </w:tc>
      </w:tr>
      <w:tr>
        <w:trPr>
          <w:gridBefore w:val="1"/>
          <w:wBefore w:w="29" w:type="dxa"/>
          <w:jc w:val="center"/>
        </w:trPr>
        <w:tc>
          <w:tcPr>
            <w:tcW w:w="4143" w:type="dxa"/>
            <w:gridSpan w:val="6"/>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Freins des voitures particulières</w:t>
            </w:r>
          </w:p>
        </w:tc>
        <w:tc>
          <w:tcPr>
            <w:tcW w:w="19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Règl. ONU 13H</w:t>
            </w:r>
          </w:p>
        </w:tc>
        <w:tc>
          <w:tcPr>
            <w:tcW w:w="28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 xml:space="preserve">KMVSS, article 15, article 90, point 1 </w:t>
            </w:r>
          </w:p>
        </w:tc>
      </w:tr>
      <w:tr>
        <w:trPr>
          <w:gridBefore w:val="1"/>
          <w:wBefore w:w="29" w:type="dxa"/>
          <w:jc w:val="center"/>
        </w:trPr>
        <w:tc>
          <w:tcPr>
            <w:tcW w:w="4143" w:type="dxa"/>
            <w:gridSpan w:val="6"/>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Système de freinage, sauf voitures particulières et remorques</w:t>
            </w:r>
          </w:p>
        </w:tc>
        <w:tc>
          <w:tcPr>
            <w:tcW w:w="19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Règl. ONU 13</w:t>
            </w:r>
          </w:p>
        </w:tc>
        <w:tc>
          <w:tcPr>
            <w:tcW w:w="28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KMVSS, article 15, article 90, point 2</w:t>
            </w:r>
          </w:p>
        </w:tc>
      </w:tr>
      <w:tr>
        <w:trPr>
          <w:gridBefore w:val="1"/>
          <w:wBefore w:w="29" w:type="dxa"/>
          <w:jc w:val="center"/>
        </w:trPr>
        <w:tc>
          <w:tcPr>
            <w:tcW w:w="4143" w:type="dxa"/>
            <w:gridSpan w:val="6"/>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Système de freinage des remorques</w:t>
            </w:r>
          </w:p>
        </w:tc>
        <w:tc>
          <w:tcPr>
            <w:tcW w:w="19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Règl. ONU 13</w:t>
            </w:r>
          </w:p>
        </w:tc>
        <w:tc>
          <w:tcPr>
            <w:tcW w:w="28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KMVSS, article 15, article 90, point 3</w:t>
            </w:r>
          </w:p>
        </w:tc>
      </w:tr>
      <w:tr>
        <w:trPr>
          <w:gridBefore w:val="1"/>
          <w:wBefore w:w="29" w:type="dxa"/>
          <w:jc w:val="center"/>
        </w:trPr>
        <w:tc>
          <w:tcPr>
            <w:tcW w:w="4143" w:type="dxa"/>
            <w:gridSpan w:val="6"/>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Système ABS, sauf remorques</w:t>
            </w:r>
          </w:p>
        </w:tc>
        <w:tc>
          <w:tcPr>
            <w:tcW w:w="19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 xml:space="preserve">Règl. ONU 13 </w:t>
            </w:r>
          </w:p>
        </w:tc>
        <w:tc>
          <w:tcPr>
            <w:tcW w:w="28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KMVSS, article 15, article 90, point 4</w:t>
            </w:r>
          </w:p>
        </w:tc>
      </w:tr>
      <w:tr>
        <w:trPr>
          <w:gridBefore w:val="1"/>
          <w:wBefore w:w="29" w:type="dxa"/>
          <w:jc w:val="center"/>
        </w:trPr>
        <w:tc>
          <w:tcPr>
            <w:tcW w:w="4143" w:type="dxa"/>
            <w:gridSpan w:val="6"/>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Système ABS pour remorques</w:t>
            </w:r>
          </w:p>
        </w:tc>
        <w:tc>
          <w:tcPr>
            <w:tcW w:w="19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Règl. ONU 13</w:t>
            </w:r>
          </w:p>
        </w:tc>
        <w:tc>
          <w:tcPr>
            <w:tcW w:w="28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KMVSS, article 15, article 90, point 5</w:t>
            </w:r>
          </w:p>
        </w:tc>
      </w:tr>
      <w:tr>
        <w:trPr>
          <w:gridBefore w:val="1"/>
          <w:wBefore w:w="29" w:type="dxa"/>
          <w:jc w:val="center"/>
        </w:trPr>
        <w:tc>
          <w:tcPr>
            <w:tcW w:w="4143" w:type="dxa"/>
            <w:gridSpan w:val="6"/>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br w:type="page"/>
              <w:t>Équipement de direction</w:t>
            </w:r>
          </w:p>
        </w:tc>
        <w:tc>
          <w:tcPr>
            <w:tcW w:w="19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Règl. ONU 79</w:t>
            </w:r>
          </w:p>
        </w:tc>
        <w:tc>
          <w:tcPr>
            <w:tcW w:w="28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KMVSS, article 14,</w:t>
            </w:r>
          </w:p>
          <w:p>
            <w:pPr>
              <w:widowControl w:val="0"/>
              <w:spacing w:after="0" w:line="276" w:lineRule="auto"/>
              <w:jc w:val="left"/>
              <w:rPr>
                <w:noProof/>
              </w:rPr>
            </w:pPr>
            <w:r>
              <w:rPr>
                <w:noProof/>
              </w:rPr>
              <w:t xml:space="preserve">article 89, paragraphe 2 </w:t>
            </w:r>
          </w:p>
        </w:tc>
      </w:tr>
      <w:tr>
        <w:trPr>
          <w:gridBefore w:val="1"/>
          <w:wBefore w:w="29" w:type="dxa"/>
          <w:jc w:val="center"/>
        </w:trPr>
        <w:tc>
          <w:tcPr>
            <w:tcW w:w="4143" w:type="dxa"/>
            <w:gridSpan w:val="6"/>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Limiteur de vitesse</w:t>
            </w:r>
          </w:p>
        </w:tc>
        <w:tc>
          <w:tcPr>
            <w:tcW w:w="19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Règl. ONU 89</w:t>
            </w:r>
          </w:p>
        </w:tc>
        <w:tc>
          <w:tcPr>
            <w:tcW w:w="28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KMVSS, article 110-2</w:t>
            </w:r>
          </w:p>
        </w:tc>
      </w:tr>
      <w:tr>
        <w:trPr>
          <w:gridBefore w:val="1"/>
          <w:wBefore w:w="29" w:type="dxa"/>
          <w:jc w:val="center"/>
        </w:trPr>
        <w:tc>
          <w:tcPr>
            <w:tcW w:w="4143" w:type="dxa"/>
            <w:gridSpan w:val="6"/>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Tachymètre</w:t>
            </w:r>
          </w:p>
        </w:tc>
        <w:tc>
          <w:tcPr>
            <w:tcW w:w="19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Règl. ONU 39</w:t>
            </w:r>
          </w:p>
        </w:tc>
        <w:tc>
          <w:tcPr>
            <w:tcW w:w="28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 xml:space="preserve">KMVSS, article 110 </w:t>
            </w:r>
          </w:p>
        </w:tc>
      </w:tr>
      <w:tr>
        <w:trPr>
          <w:gridBefore w:val="1"/>
          <w:wBefore w:w="29" w:type="dxa"/>
          <w:jc w:val="center"/>
        </w:trPr>
        <w:tc>
          <w:tcPr>
            <w:tcW w:w="4143" w:type="dxa"/>
            <w:gridSpan w:val="6"/>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Compatibilité électromagnétique</w:t>
            </w:r>
          </w:p>
        </w:tc>
        <w:tc>
          <w:tcPr>
            <w:tcW w:w="19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Règl. ONU 10</w:t>
            </w:r>
          </w:p>
        </w:tc>
        <w:tc>
          <w:tcPr>
            <w:tcW w:w="28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KMVSS, article 111-2</w:t>
            </w:r>
          </w:p>
        </w:tc>
      </w:tr>
      <w:tr>
        <w:trPr>
          <w:gridBefore w:val="1"/>
          <w:wBefore w:w="29" w:type="dxa"/>
          <w:jc w:val="center"/>
        </w:trPr>
        <w:tc>
          <w:tcPr>
            <w:tcW w:w="4143" w:type="dxa"/>
            <w:gridSpan w:val="6"/>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Fuite de carburant en cas de collision</w:t>
            </w:r>
          </w:p>
        </w:tc>
        <w:tc>
          <w:tcPr>
            <w:tcW w:w="19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Règl. ONU 34,</w:t>
            </w:r>
            <w:r>
              <w:rPr>
                <w:noProof/>
              </w:rPr>
              <w:br/>
              <w:t>Règl. ONU 94,</w:t>
            </w:r>
            <w:r>
              <w:rPr>
                <w:noProof/>
              </w:rPr>
              <w:br/>
              <w:t>Règl. ONU 95</w:t>
            </w:r>
          </w:p>
        </w:tc>
        <w:tc>
          <w:tcPr>
            <w:tcW w:w="28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KMVSS, article 91</w:t>
            </w:r>
          </w:p>
        </w:tc>
      </w:tr>
      <w:tr>
        <w:trPr>
          <w:gridBefore w:val="1"/>
          <w:wBefore w:w="29" w:type="dxa"/>
          <w:jc w:val="center"/>
        </w:trPr>
        <w:tc>
          <w:tcPr>
            <w:tcW w:w="4143" w:type="dxa"/>
            <w:gridSpan w:val="6"/>
            <w:tcBorders>
              <w:top w:val="single" w:sz="4" w:space="0" w:color="auto"/>
              <w:left w:val="single" w:sz="4" w:space="0" w:color="auto"/>
              <w:bottom w:val="single" w:sz="4" w:space="0" w:color="auto"/>
              <w:right w:val="single" w:sz="4" w:space="0" w:color="auto"/>
            </w:tcBorders>
            <w:vAlign w:val="center"/>
            <w:hideMark/>
          </w:tcPr>
          <w:p>
            <w:pPr>
              <w:pageBreakBefore/>
              <w:widowControl w:val="0"/>
              <w:spacing w:after="0" w:line="276" w:lineRule="auto"/>
              <w:jc w:val="left"/>
              <w:rPr>
                <w:noProof/>
              </w:rPr>
            </w:pPr>
            <w:r>
              <w:rPr>
                <w:noProof/>
              </w:rPr>
              <w:t>Pare-chocs</w:t>
            </w:r>
          </w:p>
        </w:tc>
        <w:tc>
          <w:tcPr>
            <w:tcW w:w="19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Règl. ONU 42</w:t>
            </w:r>
          </w:p>
        </w:tc>
        <w:tc>
          <w:tcPr>
            <w:tcW w:w="28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KMVSS, article 93</w:t>
            </w:r>
          </w:p>
        </w:tc>
      </w:tr>
      <w:tr>
        <w:trPr>
          <w:gridBefore w:val="1"/>
          <w:wBefore w:w="29" w:type="dxa"/>
          <w:jc w:val="center"/>
        </w:trPr>
        <w:tc>
          <w:tcPr>
            <w:tcW w:w="4143" w:type="dxa"/>
            <w:gridSpan w:val="6"/>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Ancrages des ceintures de sécurité</w:t>
            </w:r>
          </w:p>
        </w:tc>
        <w:tc>
          <w:tcPr>
            <w:tcW w:w="19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 xml:space="preserve">Règl. ONU 14, </w:t>
            </w:r>
          </w:p>
          <w:p>
            <w:pPr>
              <w:widowControl w:val="0"/>
              <w:spacing w:after="0" w:line="276" w:lineRule="auto"/>
              <w:jc w:val="left"/>
              <w:rPr>
                <w:noProof/>
              </w:rPr>
            </w:pPr>
            <w:r>
              <w:rPr>
                <w:noProof/>
              </w:rPr>
              <w:t>Règl. ONU 16</w:t>
            </w:r>
          </w:p>
        </w:tc>
        <w:tc>
          <w:tcPr>
            <w:tcW w:w="28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 xml:space="preserve">KMVSS, article 27, paragraphes 1, 2, 3, 4; article 103 </w:t>
            </w:r>
          </w:p>
        </w:tc>
      </w:tr>
      <w:tr>
        <w:trPr>
          <w:gridBefore w:val="1"/>
          <w:wBefore w:w="29" w:type="dxa"/>
          <w:jc w:val="center"/>
        </w:trPr>
        <w:tc>
          <w:tcPr>
            <w:tcW w:w="4143" w:type="dxa"/>
            <w:gridSpan w:val="6"/>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Fixations pour sièges d’enfants</w:t>
            </w:r>
          </w:p>
        </w:tc>
        <w:tc>
          <w:tcPr>
            <w:tcW w:w="19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 xml:space="preserve">Règl. ONU 14 </w:t>
            </w:r>
          </w:p>
        </w:tc>
        <w:tc>
          <w:tcPr>
            <w:tcW w:w="28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KMVSS, article 27-2, article 103-2</w:t>
            </w:r>
          </w:p>
        </w:tc>
      </w:tr>
      <w:tr>
        <w:trPr>
          <w:gridBefore w:val="1"/>
          <w:wBefore w:w="29" w:type="dxa"/>
          <w:jc w:val="center"/>
        </w:trPr>
        <w:tc>
          <w:tcPr>
            <w:tcW w:w="4143" w:type="dxa"/>
            <w:gridSpan w:val="6"/>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Niveau de l’avertisseur sonore, niveau sonore au ralenti et bruit au passage (véhicules à 4 roues)</w:t>
            </w:r>
          </w:p>
        </w:tc>
        <w:tc>
          <w:tcPr>
            <w:tcW w:w="19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Règl. ONU 28,</w:t>
            </w:r>
          </w:p>
          <w:p>
            <w:pPr>
              <w:widowControl w:val="0"/>
              <w:spacing w:after="0" w:line="276" w:lineRule="auto"/>
              <w:jc w:val="left"/>
              <w:rPr>
                <w:noProof/>
              </w:rPr>
            </w:pPr>
            <w:r>
              <w:rPr>
                <w:noProof/>
              </w:rPr>
              <w:t>Règl. ONU 51</w:t>
            </w:r>
          </w:p>
        </w:tc>
        <w:tc>
          <w:tcPr>
            <w:tcW w:w="28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KMVSS, articles 35, 53; NVCA, article 30 et décret correspondant du ministère de l’environnement</w:t>
            </w:r>
            <w:r>
              <w:rPr>
                <w:rStyle w:val="FootnoteReference"/>
                <w:noProof/>
              </w:rPr>
              <w:footnoteReference w:id="5"/>
            </w:r>
            <w:r>
              <w:rPr>
                <w:noProof/>
              </w:rPr>
              <w:t>, article 29</w:t>
            </w:r>
          </w:p>
        </w:tc>
      </w:tr>
      <w:tr>
        <w:trPr>
          <w:gridBefore w:val="1"/>
          <w:wBefore w:w="29" w:type="dxa"/>
          <w:jc w:val="center"/>
        </w:trPr>
        <w:tc>
          <w:tcPr>
            <w:tcW w:w="4143" w:type="dxa"/>
            <w:gridSpan w:val="6"/>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Émissions et niveaux de bruit (sauf bruit de passage de véhicules à 3 ou 4 roues) pour motocycles</w:t>
            </w:r>
          </w:p>
        </w:tc>
        <w:tc>
          <w:tcPr>
            <w:tcW w:w="19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 xml:space="preserve">Règl. ONU 40 </w:t>
            </w:r>
            <w:r>
              <w:rPr>
                <w:noProof/>
              </w:rPr>
              <w:br/>
              <w:t xml:space="preserve">Règl. ONU 41 </w:t>
            </w:r>
            <w:r>
              <w:rPr>
                <w:noProof/>
              </w:rPr>
              <w:br/>
              <w:t xml:space="preserve">Règl. ONU 47 </w:t>
            </w:r>
          </w:p>
          <w:p>
            <w:pPr>
              <w:widowControl w:val="0"/>
              <w:spacing w:after="0" w:line="276" w:lineRule="auto"/>
              <w:jc w:val="left"/>
              <w:rPr>
                <w:noProof/>
              </w:rPr>
            </w:pPr>
            <w:r>
              <w:rPr>
                <w:noProof/>
              </w:rPr>
              <w:t>Règlements (UE) nº 168/2013 et (UE) nº 134/2014</w:t>
            </w:r>
          </w:p>
        </w:tc>
        <w:tc>
          <w:tcPr>
            <w:tcW w:w="28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CACA</w:t>
            </w:r>
            <w:r>
              <w:rPr>
                <w:rStyle w:val="FootnoteReference"/>
                <w:noProof/>
              </w:rPr>
              <w:footnoteReference w:id="6"/>
            </w:r>
            <w:r>
              <w:rPr>
                <w:noProof/>
              </w:rPr>
              <w:t>, article 46 et décret correspondant du ministère de l’environnement, article 62; NVCA, article 30 et décret correspondant du ministère de l’environnement, article 29</w:t>
            </w:r>
          </w:p>
        </w:tc>
      </w:tr>
      <w:tr>
        <w:trPr>
          <w:gridBefore w:val="1"/>
          <w:wBefore w:w="29" w:type="dxa"/>
          <w:jc w:val="center"/>
        </w:trPr>
        <w:tc>
          <w:tcPr>
            <w:tcW w:w="2070" w:type="dxa"/>
            <w:gridSpan w:val="2"/>
            <w:vMerge w:val="restart"/>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 xml:space="preserve">Émissions diesel </w:t>
            </w:r>
            <w:r>
              <w:rPr>
                <w:noProof/>
              </w:rPr>
              <w:br/>
              <w:t>(y compris OBD)</w:t>
            </w:r>
          </w:p>
        </w:tc>
        <w:tc>
          <w:tcPr>
            <w:tcW w:w="2073" w:type="dxa"/>
            <w:gridSpan w:val="4"/>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Véhicules de moins de 3,5 tonnes</w:t>
            </w:r>
          </w:p>
        </w:tc>
        <w:tc>
          <w:tcPr>
            <w:tcW w:w="19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 xml:space="preserve">Règl. ONU 83, </w:t>
            </w:r>
            <w:r>
              <w:rPr>
                <w:noProof/>
              </w:rPr>
              <w:br/>
              <w:t>Règl. ONU 24</w:t>
            </w:r>
          </w:p>
          <w:p>
            <w:pPr>
              <w:widowControl w:val="0"/>
              <w:spacing w:after="0" w:line="276" w:lineRule="auto"/>
              <w:jc w:val="left"/>
              <w:rPr>
                <w:noProof/>
              </w:rPr>
            </w:pPr>
            <w:r>
              <w:rPr>
                <w:noProof/>
              </w:rPr>
              <w:t>Règlements (CE) nº 715/2007, (CE) nº 692/2008, (UE) nº 459/2012</w:t>
            </w:r>
          </w:p>
        </w:tc>
        <w:tc>
          <w:tcPr>
            <w:tcW w:w="2881" w:type="dxa"/>
            <w:gridSpan w:val="3"/>
            <w:vMerge w:val="restart"/>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CACA, article 46 et décret correspondant du ministère de l’environnement, article 62</w:t>
            </w:r>
          </w:p>
        </w:tc>
      </w:tr>
      <w:tr>
        <w:trPr>
          <w:gridBefore w:val="1"/>
          <w:wBefore w:w="29" w:type="dxa"/>
          <w:jc w:val="center"/>
        </w:trPr>
        <w:tc>
          <w:tcPr>
            <w:tcW w:w="0" w:type="auto"/>
            <w:gridSpan w:val="2"/>
            <w:vMerge/>
            <w:tcBorders>
              <w:top w:val="single" w:sz="4" w:space="0" w:color="auto"/>
              <w:left w:val="single" w:sz="4" w:space="0" w:color="auto"/>
              <w:bottom w:val="single" w:sz="4" w:space="0" w:color="auto"/>
              <w:right w:val="nil"/>
            </w:tcBorders>
            <w:vAlign w:val="center"/>
            <w:hideMark/>
          </w:tcPr>
          <w:p>
            <w:pPr>
              <w:spacing w:after="0"/>
              <w:jc w:val="left"/>
              <w:rPr>
                <w:noProof/>
              </w:rPr>
            </w:pPr>
          </w:p>
        </w:tc>
        <w:tc>
          <w:tcPr>
            <w:tcW w:w="2073" w:type="dxa"/>
            <w:gridSpan w:val="4"/>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Véhicules de plus de 3,5 tonnes</w:t>
            </w:r>
          </w:p>
        </w:tc>
        <w:tc>
          <w:tcPr>
            <w:tcW w:w="19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Règl. ONU 49</w:t>
            </w:r>
          </w:p>
          <w:p>
            <w:pPr>
              <w:widowControl w:val="0"/>
              <w:spacing w:after="0" w:line="276" w:lineRule="auto"/>
              <w:jc w:val="left"/>
              <w:rPr>
                <w:noProof/>
              </w:rPr>
            </w:pPr>
          </w:p>
          <w:p>
            <w:pPr>
              <w:widowControl w:val="0"/>
              <w:spacing w:before="0" w:after="0" w:line="276" w:lineRule="auto"/>
              <w:jc w:val="left"/>
              <w:rPr>
                <w:noProof/>
              </w:rPr>
            </w:pPr>
            <w:r>
              <w:rPr>
                <w:noProof/>
              </w:rPr>
              <w:t>Règlements (CE) nº 595/2009 et (UE) nº 582/2011</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pPr>
              <w:spacing w:after="0"/>
              <w:jc w:val="left"/>
              <w:rPr>
                <w:noProof/>
              </w:rPr>
            </w:pPr>
          </w:p>
        </w:tc>
      </w:tr>
      <w:tr>
        <w:trPr>
          <w:gridBefore w:val="1"/>
          <w:wBefore w:w="29" w:type="dxa"/>
          <w:jc w:val="center"/>
        </w:trPr>
        <w:tc>
          <w:tcPr>
            <w:tcW w:w="4143" w:type="dxa"/>
            <w:gridSpan w:val="6"/>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 xml:space="preserve">Pneumatiques </w:t>
            </w:r>
          </w:p>
        </w:tc>
        <w:tc>
          <w:tcPr>
            <w:tcW w:w="1981" w:type="dxa"/>
            <w:gridSpan w:val="3"/>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Règl. ONU 30, 54, 75, 106, 117, 108, 109</w:t>
            </w:r>
          </w:p>
        </w:tc>
        <w:tc>
          <w:tcPr>
            <w:tcW w:w="2881" w:type="dxa"/>
            <w:gridSpan w:val="3"/>
            <w:tcBorders>
              <w:top w:val="single" w:sz="4" w:space="0" w:color="auto"/>
              <w:left w:val="single" w:sz="4" w:space="0" w:color="auto"/>
              <w:bottom w:val="single" w:sz="4" w:space="0" w:color="auto"/>
              <w:right w:val="single" w:sz="4" w:space="0" w:color="auto"/>
            </w:tcBorders>
            <w:vAlign w:val="center"/>
          </w:tcPr>
          <w:p>
            <w:pPr>
              <w:widowControl w:val="0"/>
              <w:spacing w:after="0" w:line="276" w:lineRule="auto"/>
              <w:jc w:val="left"/>
              <w:rPr>
                <w:noProof/>
              </w:rPr>
            </w:pPr>
            <w:r>
              <w:rPr>
                <w:noProof/>
              </w:rPr>
              <w:t>Articles 15, 18 et 19 de la loi sur le contrôle de la sécurité des appareils électriques et des produits de consommation;</w:t>
            </w:r>
          </w:p>
          <w:p>
            <w:pPr>
              <w:widowControl w:val="0"/>
              <w:spacing w:after="0" w:line="276" w:lineRule="auto"/>
              <w:jc w:val="left"/>
              <w:rPr>
                <w:noProof/>
              </w:rPr>
            </w:pPr>
            <w:r>
              <w:rPr>
                <w:noProof/>
              </w:rPr>
              <w:t>Article 3, paragraphe 4, et article 26 des règles d’application de la loi sur le contrôle de la sécurité des appareils électriques et des produits de consommation;</w:t>
            </w:r>
          </w:p>
          <w:p>
            <w:pPr>
              <w:widowControl w:val="0"/>
              <w:spacing w:after="0" w:line="276" w:lineRule="auto"/>
              <w:jc w:val="left"/>
              <w:rPr>
                <w:noProof/>
              </w:rPr>
            </w:pPr>
            <w:r>
              <w:rPr>
                <w:noProof/>
              </w:rPr>
              <w:t>KMVSS, article 12, paragraphe 1</w:t>
            </w:r>
          </w:p>
        </w:tc>
      </w:tr>
    </w:tbl>
    <w:p>
      <w:pPr>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t-PT"/>
        </w:rPr>
      </w:pPr>
      <w:r>
        <w:rPr>
          <w:rStyle w:val="FootnoteReference"/>
        </w:rPr>
        <w:footnoteRef/>
      </w:r>
      <w:r>
        <w:rPr>
          <w:lang w:val="pt-PT"/>
        </w:rPr>
        <w:tab/>
        <w:t>Document E/ECE/TRANS/505/Rev.3.</w:t>
      </w:r>
    </w:p>
  </w:footnote>
  <w:footnote w:id="2">
    <w:p>
      <w:pPr>
        <w:pStyle w:val="FootnoteText"/>
        <w:rPr>
          <w:rFonts w:eastAsiaTheme="minorEastAsia"/>
          <w:color w:val="000000" w:themeColor="text1"/>
          <w:lang w:eastAsia="ko-KR"/>
        </w:rPr>
      </w:pPr>
      <w:r>
        <w:rPr>
          <w:rStyle w:val="FootnoteReference"/>
        </w:rPr>
        <w:footnoteRef/>
      </w:r>
      <w:r>
        <w:tab/>
      </w:r>
      <w:r>
        <w:rPr>
          <w:rFonts w:eastAsiaTheme="minorEastAsia"/>
          <w:color w:val="000000" w:themeColor="text1"/>
        </w:rPr>
        <w:t>Si aucune mention n’apparaît dans la troisième colonne (Règlement technique UE correspondant), cela signifie que le règlement correspondant est identique au règlement de l’ONU indiqué dans la deuxième colonne (Prescriptions).</w:t>
      </w:r>
    </w:p>
  </w:footnote>
  <w:footnote w:id="3">
    <w:p>
      <w:pPr>
        <w:pStyle w:val="FootnoteText"/>
      </w:pPr>
      <w:r>
        <w:rPr>
          <w:rStyle w:val="FootnoteReference"/>
        </w:rPr>
        <w:footnoteRef/>
      </w:r>
      <w:r>
        <w:tab/>
        <w:t>Abréviation de «règlement de l’ONU», précédemment «CEE-ONU».</w:t>
      </w:r>
    </w:p>
  </w:footnote>
  <w:footnote w:id="4">
    <w:p>
      <w:pPr>
        <w:pStyle w:val="FootnoteText"/>
        <w:rPr>
          <w:lang w:eastAsia="en-GB"/>
        </w:rPr>
      </w:pPr>
      <w:r>
        <w:rPr>
          <w:rStyle w:val="FootnoteReference"/>
        </w:rPr>
        <w:footnoteRef/>
      </w:r>
      <w:r>
        <w:tab/>
        <w:t>Précédemment: «Normes coréennes sur la sécurité des véhicules à moteur»; depuis le 1</w:t>
      </w:r>
      <w:r>
        <w:rPr>
          <w:vertAlign w:val="superscript"/>
        </w:rPr>
        <w:t>er</w:t>
      </w:r>
      <w:r>
        <w:t xml:space="preserve"> juillet 2014: «Règles en matière de performance et normes applicables aux véhicules automobiles coréens et à leurs parties».</w:t>
      </w:r>
    </w:p>
  </w:footnote>
  <w:footnote w:id="5">
    <w:p>
      <w:pPr>
        <w:pStyle w:val="FootnoteText"/>
      </w:pPr>
      <w:r>
        <w:rPr>
          <w:rStyle w:val="FootnoteReference"/>
        </w:rPr>
        <w:footnoteRef/>
      </w:r>
      <w:r>
        <w:tab/>
        <w:t>Ministère de l’environnement de la République de Corée.</w:t>
      </w:r>
    </w:p>
  </w:footnote>
  <w:footnote w:id="6">
    <w:p>
      <w:pPr>
        <w:pStyle w:val="FootnoteText"/>
      </w:pPr>
      <w:r>
        <w:rPr>
          <w:rStyle w:val="FootnoteReference"/>
        </w:rPr>
        <w:footnoteRef/>
      </w:r>
      <w:r>
        <w:tab/>
        <w:t>Loi coréenne sur la préservation de la pureté de l’air.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FE2CB9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65EB08E"/>
    <w:lvl w:ilvl="0">
      <w:start w:val="1"/>
      <w:numFmt w:val="decimal"/>
      <w:pStyle w:val="ListNumber3"/>
      <w:lvlText w:val="%1."/>
      <w:lvlJc w:val="left"/>
      <w:pPr>
        <w:tabs>
          <w:tab w:val="num" w:pos="926"/>
        </w:tabs>
        <w:ind w:left="926" w:hanging="360"/>
      </w:pPr>
    </w:lvl>
  </w:abstractNum>
  <w:abstractNum w:abstractNumId="2">
    <w:nsid w:val="FFFFFF7F"/>
    <w:multiLevelType w:val="singleLevel"/>
    <w:tmpl w:val="73921648"/>
    <w:lvl w:ilvl="0">
      <w:start w:val="1"/>
      <w:numFmt w:val="decimal"/>
      <w:pStyle w:val="ListNumber2"/>
      <w:lvlText w:val="%1."/>
      <w:lvlJc w:val="left"/>
      <w:pPr>
        <w:tabs>
          <w:tab w:val="num" w:pos="643"/>
        </w:tabs>
        <w:ind w:left="643" w:hanging="360"/>
      </w:pPr>
    </w:lvl>
  </w:abstractNum>
  <w:abstractNum w:abstractNumId="3">
    <w:nsid w:val="FFFFFF81"/>
    <w:multiLevelType w:val="singleLevel"/>
    <w:tmpl w:val="4E5A33B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8A21C1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E5A936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93A3ADC"/>
    <w:lvl w:ilvl="0">
      <w:start w:val="1"/>
      <w:numFmt w:val="decimal"/>
      <w:pStyle w:val="ListNumber"/>
      <w:lvlText w:val="%1."/>
      <w:lvlJc w:val="left"/>
      <w:pPr>
        <w:tabs>
          <w:tab w:val="num" w:pos="360"/>
        </w:tabs>
        <w:ind w:left="360" w:hanging="360"/>
      </w:pPr>
    </w:lvl>
  </w:abstractNum>
  <w:abstractNum w:abstractNumId="7">
    <w:nsid w:val="FFFFFF89"/>
    <w:multiLevelType w:val="singleLevel"/>
    <w:tmpl w:val="51A6CF1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6-04 11:51:4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1AA95589-A35D-4987-BE91-00FB012455C2"/>
    <w:docVar w:name="LW_COVERPAGE_TYPE" w:val="1"/>
    <w:docVar w:name="LW_CROSSREFERENCE" w:val="&lt;UNUSED&gt;"/>
    <w:docVar w:name="LW_DocType" w:val="ANNEX"/>
    <w:docVar w:name="LW_EMISSION" w:val="12.6.2019"/>
    <w:docVar w:name="LW_EMISSION_ISODATE" w:val="2019-06-12"/>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position à prendre, au nom de l\u8217?Union européenne, au sein du comité «Commerce» institué par l\u8217?accord de libre-échange entre l\u8217?Union européenne et ses États membres, d\u8217?une part, et la République de Corée, d\u8217?autre part, en ce qui concerne la modification des appendices 2-C-2 et 2-C-3 de l\u8217?annexe 2-C de l\u8217?accord"/>
    <w:docVar w:name="LW_OBJETACTEPRINCIPAL.CP" w:val="relative à la position à prendre, au nom de l\u8217?Union européenne, au sein du comité «Commerce» institué par l\u8217?accord de libre-échange entre l\u8217?Union européenne et ses États membres, d\u8217?une part, et la République de Corée, d\u8217?autre part, en ce qui concerne la modification des appendices 2-C-2 et 2-C-3 de l\u8217?annexe 2-C de l\u8217?accord"/>
    <w:docVar w:name="LW_PART_NBR" w:val="1"/>
    <w:docVar w:name="LW_PART_NBR_TOTAL" w:val="1"/>
    <w:docVar w:name="LW_REF.INST.NEW" w:val="COM"/>
    <w:docVar w:name="LW_REF.INST.NEW_ADOPTED" w:val="final"/>
    <w:docVar w:name="LW_REF.INST.NEW_TEXT" w:val="(2019) 27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
    <w:docVar w:name="LW_TYPEACTEPRINCIPAL.CP" w:val="proposition de décision du Conseil "/>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tte1">
    <w:name w:val="En-tête #1_"/>
    <w:link w:val="En-tte10"/>
    <w:uiPriority w:val="99"/>
    <w:locked/>
    <w:rPr>
      <w:b/>
      <w:bCs/>
      <w:smallCaps/>
      <w:sz w:val="26"/>
      <w:szCs w:val="26"/>
      <w:shd w:val="clear" w:color="auto" w:fill="FFFFFF"/>
    </w:rPr>
  </w:style>
  <w:style w:type="paragraph" w:customStyle="1" w:styleId="En-tte10">
    <w:name w:val="En-tête #1"/>
    <w:basedOn w:val="Normal"/>
    <w:link w:val="En-tte1"/>
    <w:uiPriority w:val="99"/>
    <w:pPr>
      <w:widowControl w:val="0"/>
      <w:shd w:val="clear" w:color="auto" w:fill="FFFFFF"/>
      <w:spacing w:before="0" w:after="720" w:line="240" w:lineRule="atLeast"/>
      <w:jc w:val="center"/>
      <w:outlineLvl w:val="0"/>
    </w:pPr>
    <w:rPr>
      <w:rFonts w:asciiTheme="minorHAnsi" w:hAnsiTheme="minorHAnsi" w:cstheme="minorBidi"/>
      <w:b/>
      <w:bCs/>
      <w:smallCaps/>
      <w:sz w:val="26"/>
      <w:szCs w:val="26"/>
    </w:rPr>
  </w:style>
  <w:style w:type="character" w:customStyle="1" w:styleId="Lgendedutableau">
    <w:name w:val="Légende du tableau_"/>
    <w:link w:val="Lgendedutableau0"/>
    <w:uiPriority w:val="99"/>
    <w:locked/>
    <w:rPr>
      <w:b/>
      <w:bCs/>
      <w:shd w:val="clear" w:color="auto" w:fill="FFFFFF"/>
    </w:rPr>
  </w:style>
  <w:style w:type="paragraph" w:customStyle="1" w:styleId="Lgendedutableau0">
    <w:name w:val="Légende du tableau"/>
    <w:basedOn w:val="Normal"/>
    <w:link w:val="Lgendedutableau"/>
    <w:uiPriority w:val="99"/>
    <w:pPr>
      <w:widowControl w:val="0"/>
      <w:shd w:val="clear" w:color="auto" w:fill="FFFFFF"/>
      <w:spacing w:before="0" w:after="60" w:line="240" w:lineRule="atLeast"/>
      <w:jc w:val="center"/>
    </w:pPr>
    <w:rPr>
      <w:rFonts w:asciiTheme="minorHAnsi" w:hAnsiTheme="minorHAnsi" w:cstheme="minorBidi"/>
      <w:b/>
      <w:bCs/>
      <w:sz w:val="22"/>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Calibri" w:hAnsi="Times New Roman" w:cs="Times New Roman"/>
      <w:sz w:val="20"/>
      <w:szCs w:val="20"/>
      <w:lang w:val="fr-FR"/>
    </w:rPr>
  </w:style>
  <w:style w:type="character" w:customStyle="1" w:styleId="CommentSubjectChar">
    <w:name w:val="Comment Subject Char"/>
    <w:basedOn w:val="CommentTextChar"/>
    <w:link w:val="CommentSubject"/>
    <w:uiPriority w:val="99"/>
    <w:semiHidden/>
    <w:rPr>
      <w:rFonts w:ascii="Times New Roman" w:eastAsia="Calibri" w:hAnsi="Times New Roman" w:cs="Times New Roman"/>
      <w:b/>
      <w:bCs/>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val="fr-FR"/>
    </w:rPr>
  </w:style>
  <w:style w:type="paragraph" w:styleId="BalloonText">
    <w:name w:val="Balloon Text"/>
    <w:basedOn w:val="Normal"/>
    <w:link w:val="BalloonTextChar"/>
    <w:uiPriority w:val="99"/>
    <w:semiHidden/>
    <w:unhideWhenUsed/>
    <w:pPr>
      <w:spacing w:before="0" w:after="0"/>
    </w:pPr>
    <w:rPr>
      <w:rFonts w:ascii="Tahoma" w:eastAsia="Calibri" w:hAnsi="Tahoma" w:cs="Tahoma"/>
      <w:sz w:val="16"/>
      <w:szCs w:val="16"/>
    </w:rPr>
  </w:style>
  <w:style w:type="paragraph" w:styleId="ListParagraph">
    <w:name w:val="List Paragraph"/>
    <w:basedOn w:val="Normal"/>
    <w:uiPriority w:val="34"/>
    <w:qFormat/>
    <w:pPr>
      <w:ind w:left="720"/>
      <w:contextualSpacing/>
    </w:pPr>
    <w:rPr>
      <w:rFonts w:eastAsia="Calibri"/>
    </w:rPr>
  </w:style>
  <w:style w:type="table" w:styleId="TableGrid">
    <w:name w:val="Table Grid"/>
    <w:basedOn w:val="TableNormal"/>
    <w:uiPriority w:val="5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tte1">
    <w:name w:val="En-tête #1_"/>
    <w:link w:val="En-tte10"/>
    <w:uiPriority w:val="99"/>
    <w:locked/>
    <w:rPr>
      <w:b/>
      <w:bCs/>
      <w:smallCaps/>
      <w:sz w:val="26"/>
      <w:szCs w:val="26"/>
      <w:shd w:val="clear" w:color="auto" w:fill="FFFFFF"/>
    </w:rPr>
  </w:style>
  <w:style w:type="paragraph" w:customStyle="1" w:styleId="En-tte10">
    <w:name w:val="En-tête #1"/>
    <w:basedOn w:val="Normal"/>
    <w:link w:val="En-tte1"/>
    <w:uiPriority w:val="99"/>
    <w:pPr>
      <w:widowControl w:val="0"/>
      <w:shd w:val="clear" w:color="auto" w:fill="FFFFFF"/>
      <w:spacing w:before="0" w:after="720" w:line="240" w:lineRule="atLeast"/>
      <w:jc w:val="center"/>
      <w:outlineLvl w:val="0"/>
    </w:pPr>
    <w:rPr>
      <w:rFonts w:asciiTheme="minorHAnsi" w:hAnsiTheme="minorHAnsi" w:cstheme="minorBidi"/>
      <w:b/>
      <w:bCs/>
      <w:smallCaps/>
      <w:sz w:val="26"/>
      <w:szCs w:val="26"/>
    </w:rPr>
  </w:style>
  <w:style w:type="character" w:customStyle="1" w:styleId="Lgendedutableau">
    <w:name w:val="Légende du tableau_"/>
    <w:link w:val="Lgendedutableau0"/>
    <w:uiPriority w:val="99"/>
    <w:locked/>
    <w:rPr>
      <w:b/>
      <w:bCs/>
      <w:shd w:val="clear" w:color="auto" w:fill="FFFFFF"/>
    </w:rPr>
  </w:style>
  <w:style w:type="paragraph" w:customStyle="1" w:styleId="Lgendedutableau0">
    <w:name w:val="Légende du tableau"/>
    <w:basedOn w:val="Normal"/>
    <w:link w:val="Lgendedutableau"/>
    <w:uiPriority w:val="99"/>
    <w:pPr>
      <w:widowControl w:val="0"/>
      <w:shd w:val="clear" w:color="auto" w:fill="FFFFFF"/>
      <w:spacing w:before="0" w:after="60" w:line="240" w:lineRule="atLeast"/>
      <w:jc w:val="center"/>
    </w:pPr>
    <w:rPr>
      <w:rFonts w:asciiTheme="minorHAnsi" w:hAnsiTheme="minorHAnsi" w:cstheme="minorBidi"/>
      <w:b/>
      <w:bCs/>
      <w:sz w:val="22"/>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Calibri" w:hAnsi="Times New Roman" w:cs="Times New Roman"/>
      <w:sz w:val="20"/>
      <w:szCs w:val="20"/>
      <w:lang w:val="fr-FR"/>
    </w:rPr>
  </w:style>
  <w:style w:type="character" w:customStyle="1" w:styleId="CommentSubjectChar">
    <w:name w:val="Comment Subject Char"/>
    <w:basedOn w:val="CommentTextChar"/>
    <w:link w:val="CommentSubject"/>
    <w:uiPriority w:val="99"/>
    <w:semiHidden/>
    <w:rPr>
      <w:rFonts w:ascii="Times New Roman" w:eastAsia="Calibri" w:hAnsi="Times New Roman" w:cs="Times New Roman"/>
      <w:b/>
      <w:bCs/>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val="fr-FR"/>
    </w:rPr>
  </w:style>
  <w:style w:type="paragraph" w:styleId="BalloonText">
    <w:name w:val="Balloon Text"/>
    <w:basedOn w:val="Normal"/>
    <w:link w:val="BalloonTextChar"/>
    <w:uiPriority w:val="99"/>
    <w:semiHidden/>
    <w:unhideWhenUsed/>
    <w:pPr>
      <w:spacing w:before="0" w:after="0"/>
    </w:pPr>
    <w:rPr>
      <w:rFonts w:ascii="Tahoma" w:eastAsia="Calibri" w:hAnsi="Tahoma" w:cs="Tahoma"/>
      <w:sz w:val="16"/>
      <w:szCs w:val="16"/>
    </w:rPr>
  </w:style>
  <w:style w:type="paragraph" w:styleId="ListParagraph">
    <w:name w:val="List Paragraph"/>
    <w:basedOn w:val="Normal"/>
    <w:uiPriority w:val="34"/>
    <w:qFormat/>
    <w:pPr>
      <w:ind w:left="720"/>
      <w:contextualSpacing/>
    </w:pPr>
    <w:rPr>
      <w:rFonts w:eastAsia="Calibri"/>
    </w:rPr>
  </w:style>
  <w:style w:type="table" w:styleId="TableGrid">
    <w:name w:val="Table Grid"/>
    <w:basedOn w:val="TableNormal"/>
    <w:uiPriority w:val="5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B533F28-1A3F-4C9C-9DC8-6AD9B37B1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21</Pages>
  <Words>3734</Words>
  <Characters>20165</Characters>
  <Application>Microsoft Office Word</Application>
  <DocSecurity>0</DocSecurity>
  <Lines>876</Lines>
  <Paragraphs>487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MOLLER Birgit (TRADE)</dc:creator>
  <cp:keywords/>
  <dc:description/>
  <cp:lastModifiedBy>DIGIT/C6</cp:lastModifiedBy>
  <cp:revision>8</cp:revision>
  <cp:lastPrinted>2019-05-24T12:30:00Z</cp:lastPrinted>
  <dcterms:created xsi:type="dcterms:W3CDTF">2019-05-27T07:02:00Z</dcterms:created>
  <dcterms:modified xsi:type="dcterms:W3CDTF">2019-06-04T09:51:00Z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