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47312D-ED97-4F38-A332-2E5B8150BFE3"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Обединеното кралство за 2019 г. и съдържаща становище на Съвета относно програмата за конвергенция на Обединеното кралство за 2018—2019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w:t>
      </w:r>
      <w:r>
        <w:rPr>
          <w:noProof/>
        </w:rPr>
        <w:t xml:space="preserve"> семестър за координация на икономическите политики за 2019 г. Тя надлежно взе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На 21 ноември 2018 г., въз основа на Регламент (ЕС) № 1176/2011, Комисията прие също Доклада за механизма за предупреждение, в който Обединеното кралство не беше посочено като една от държавите членки, за които ще се извърши задълбочен преглед. </w:t>
      </w:r>
    </w:p>
    <w:p>
      <w:pPr>
        <w:pStyle w:val="ManualConsidrant"/>
        <w:rPr>
          <w:noProof/>
        </w:rPr>
      </w:pPr>
      <w:r>
        <w:t>(2)</w:t>
      </w:r>
      <w:r>
        <w:tab/>
      </w:r>
      <w:r>
        <w:rPr>
          <w:noProof/>
        </w:rPr>
        <w:t>Докладът за Обединеното кралство за 2019 г.</w:t>
      </w:r>
      <w:r>
        <w:rPr>
          <w:rStyle w:val="FootnoteReference"/>
          <w:noProof/>
        </w:rPr>
        <w:footnoteReference w:id="2"/>
      </w:r>
      <w:r>
        <w:rPr>
          <w:noProof/>
        </w:rPr>
        <w:t xml:space="preserve"> беше публикуван на 27 февруари 2019 г. В него бяха оценени напредъкът на Обединеното кралство в изпълнението на специфичните за държавата препоръки, приети от Съвета на 13 юли 2018 г., последващите действия във връзка с препоръките, приети през предходните години, както и напредъкът на Обединеното кралство по отношение на националните му цели по стратегията „Европа 2020“. </w:t>
      </w:r>
    </w:p>
    <w:p>
      <w:pPr>
        <w:pStyle w:val="ManualConsidrant"/>
        <w:rPr>
          <w:noProof/>
        </w:rPr>
      </w:pPr>
      <w:r>
        <w:t>(3)</w:t>
      </w:r>
      <w:r>
        <w:tab/>
      </w:r>
      <w:r>
        <w:rPr>
          <w:noProof/>
        </w:rPr>
        <w:t>На 23 април 2019 г. Обединеното кралство представи своята национална програма за реформи за 2019 г. и своята програма за конвергенция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На 29 март 2017 г. Обединеното кралство изпрати уведомление до Европейския съвет за намерението си да напусне Европейския съюз. Когато Обединеното кралство напусне Европейския съюз, то ще стане трета държава. Предвид на несигурността по отношение на датата и условията на оттеглянето на Обединеното кралство, както и по отношение на бъдещите отношения на Обединеното кралство с ЕС, настоящият документ не разглежда възможните икономически последици от различните сценарии. В случай че Обединеното кралство напусне Европейския съюз въз основа на Споразумението за оттегляне, договорено с правителството на Обединеното кралство, което Европейският съвет (член 50) одобри на 25 ноември 2018 г., правото на Съюза, включително европейският семестър, ще продължи да се прилага по отношение на Обединеното кралство и в Обединеното кралство за преходния период, определен с посоченото споразумение.</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noProof/>
        </w:rPr>
      </w:pPr>
      <w:r>
        <w:t>(6)</w:t>
      </w:r>
      <w:r>
        <w:tab/>
      </w:r>
      <w:r>
        <w:rPr>
          <w:noProof/>
        </w:rPr>
        <w:t>Спрямо Обединеното кралство понастоящем се прилагат предпазните мерки на Пакта за стабилност и растеж и преходното правило за дълга до 2019—2020 г. В своята програма за конвергенция за 2018—2019 г. правителството очаква номиналният дефицит да намалее от 1,2 % от БВП през 2018—2019 г. до 1,4 % от БВП през 2019—2020 г. и до 1,1 % от БВП през 2020—2021 г. В програмата за конвергенция не е посочена средносрочна бюджетна цел. Според програмата за конвергенция съотношението на консолидирания държавен дълг към БВП се очаква да спадне от 85,5 % от БВП през 2018—2019 г. на 83,3 % през 2019—2020 г. и да продължи да спада до 82,9 % през 2020—2021 г. Макроикономическият сценарий в основата на тези бюджетни прогнози е реалистичен. Въпреки че мерките, необходими за подпомагане на планираните цели за равнището на дефицита, като цяло са добре конкретизирани, нарастващият натиск върху държавните разходи</w:t>
      </w:r>
      <w:r>
        <w:rPr>
          <w:rStyle w:val="FootnoteReference"/>
          <w:noProof/>
        </w:rPr>
        <w:footnoteReference w:id="5"/>
      </w:r>
      <w:r>
        <w:rPr>
          <w:noProof/>
        </w:rPr>
        <w:t xml:space="preserve"> в редица области представлява риск за постигането на планираното намаляване на дефицита.</w:t>
      </w:r>
    </w:p>
    <w:p>
      <w:pPr>
        <w:pStyle w:val="ManualConsidrant"/>
        <w:rPr>
          <w:noProof/>
        </w:rPr>
      </w:pPr>
      <w:r>
        <w:t>(7)</w:t>
      </w:r>
      <w:r>
        <w:tab/>
      </w:r>
      <w:r>
        <w:rPr>
          <w:noProof/>
        </w:rPr>
        <w:t xml:space="preserve">На 13 юли 2018 г. Съветът препоръча на Обединеното кралство да гарантира, че през 2019—2020 г. номиналният темп на растеж на нетните първични държавни разходи не надвишава 1,6 %, което съответства на годишна корекция на структурното салдо от 0,6 % от БВП. Въз основа на прогнозата на Комисията от пролетта на 2019 г., през 2019—2020 г. има риск от известно отклонение от изискванията на предпазните мерки. </w:t>
      </w:r>
    </w:p>
    <w:p>
      <w:pPr>
        <w:pStyle w:val="ManualConsidrant"/>
        <w:rPr>
          <w:noProof/>
        </w:rPr>
      </w:pPr>
      <w:r>
        <w:t>(8)</w:t>
      </w:r>
      <w:r>
        <w:tab/>
      </w:r>
      <w:r>
        <w:rPr>
          <w:noProof/>
        </w:rPr>
        <w:t>В периода 2020—2021 г. с оглед на това, че съотношението на консолидирания държавен дълг на Обединеното кралство е над 60 % от БВП, а прогнозираната разлика между фактическия и потенциалния БВП е 0,3 %, номиналният темп на растеж на нетните първични държавни разходи следва да не надхвърля 1,9 % в съответствие със структурната корекция от 0, 6 % от БВП, произтичаща от матрицата с изисквания съгласно Пакта за стабилност и растеж. При запазване на сегашната политика има риск от значително отклонение от изискването през 2020—2021 г. Обединеното кралство се очаква да изпълни преходното правило за дълга през 2019—2020 г. в резултат на позволеното годишно отклонение в размер на 0,25 %, и правилото за дълга през 2020—2021 г. Като цяло Съветът е на мнение, че през 2019 и 2020 г. Обединеното кралство трябва да има готовност да предприеме допълнителни мерки, за да спази разпоредбите на Пакта за стабилност и растеж.</w:t>
      </w:r>
    </w:p>
    <w:p>
      <w:pPr>
        <w:pStyle w:val="ManualConsidrant"/>
        <w:rPr>
          <w:noProof/>
        </w:rPr>
      </w:pPr>
      <w:r>
        <w:t>(9)</w:t>
      </w:r>
      <w:r>
        <w:tab/>
      </w:r>
      <w:r>
        <w:rPr>
          <w:noProof/>
        </w:rPr>
        <w:t>Дълго време Обединеното кралство беше икономиката от Г-7 с най-ниски капиталови инвестиции като дял от БВП. Също така инвестициите намаляха особено рязко по време на финансовата криза, а възстановяването на частните инвестиции в периода след кризата изостава. За последното десетилетие интензитетът на инвестициите на Обединеното кралство в областта на изследванията и развитието беше около 1,7 % от БВП, което е под средното за ЕС. Инвестициите за научноизследователска и развойна дейност са съсредоточени в ограничен брой дружества и региони. Тези широкообхватни слабости, свързани както с физическия, така и с човешкия капитал, са основна причина за относително ниската и стагнираща производителност на труда на Обединеното кралство.</w:t>
      </w:r>
    </w:p>
    <w:p>
      <w:pPr>
        <w:pStyle w:val="ManualConsidrant"/>
        <w:rPr>
          <w:noProof/>
        </w:rPr>
      </w:pPr>
      <w:r>
        <w:t>(10)</w:t>
      </w:r>
      <w:r>
        <w:tab/>
      </w:r>
      <w:r>
        <w:rPr>
          <w:noProof/>
        </w:rPr>
        <w:t>В Обединеното кралство се наблюдава постоянен недостиг на жилища. Следкризисното възстановяване в жилищното строителство изгуби набраната инерция. Възникват ограничения по отношение на капацитета, като в същото време жилищното строителство остава под необходимите нива, за да може да отговори на очакваното търсене. Цените на жилищата и наемите продължават да бъдат високи, особено в райони с голямо търсене на жилища, като има признаци за надценяване. Понастоящем значително по-малък брой млади хора притежават собствени домове. Правителството прилага набор от мерки за насърчаване на предлагането на жилища. В същото време количеството и местоположението на земята, която е на разположение за изграждането на нови жилища, продължават да бъдат ограничени вследствие на строгото регулиране на пазара на земя, особено около големите градове.</w:t>
      </w:r>
    </w:p>
    <w:p>
      <w:pPr>
        <w:pStyle w:val="ManualConsidrant"/>
        <w:rPr>
          <w:noProof/>
        </w:rPr>
      </w:pPr>
      <w:r>
        <w:t>(11)</w:t>
      </w:r>
      <w:r>
        <w:tab/>
      </w:r>
      <w:r>
        <w:rPr>
          <w:noProof/>
        </w:rPr>
        <w:t>Нужни са големи инвестиции за модернизиране и разширяване на инфраструктурните мрежи, като същевременно се намалят разходите по проектите и емисиите на парникови газове. Налице е нарастващ натиск върху капацитета на шосейните, железопътните и авиационните мрежи. Обединеното кралство трябва да осигури значителен нов и по-екологосъобразен капацитет за производство и доставка на енергия. Развитието на инфраструктурата в Обединеното кралство като цяло е скъпо и бавно. След десетилетия на недостиг на публични инвестиции правителството започва да предприема мерки за справяне с недостига на инфраструктура, но гарантирането по рентабилен начин на размера на външното финансиране, изискван в прогнозите на правителството, ще бъде предизвикателство.</w:t>
      </w:r>
    </w:p>
    <w:p>
      <w:pPr>
        <w:pStyle w:val="ManualConsidrant"/>
        <w:rPr>
          <w:noProof/>
        </w:rPr>
      </w:pPr>
      <w:r>
        <w:t>(12)</w:t>
      </w:r>
      <w:r>
        <w:tab/>
      </w:r>
      <w:r>
        <w:rPr>
          <w:noProof/>
        </w:rPr>
        <w:t>Въпреки ниската безработица реалните заплати остават под пиковите стойности от преди кризата. Делът на нискоквалифицираните работници е висок и те разполагат с ограничени перспективи за напредване в кариерата, което влияе отрицателно на производителността и допринася за високите равнища на бедност сред работещите. Съществуват възможности за подобряване на ефективността на системите на образованието и обучението по отношение на основните и техническите умения. Правителството извършва реформи както в класната стая, така и в обучението в работна среда, но като цяло регистрациите за новата комбинирана система са много по-малко от очакваното.</w:t>
      </w:r>
    </w:p>
    <w:p>
      <w:pPr>
        <w:pStyle w:val="ManualConsidrant"/>
        <w:rPr>
          <w:noProof/>
        </w:rPr>
      </w:pPr>
      <w:r>
        <w:t>(13)</w:t>
      </w:r>
      <w:r>
        <w:tab/>
      </w:r>
      <w:r>
        <w:rPr>
          <w:noProof/>
        </w:rPr>
        <w:t xml:space="preserve">В рамките на европейския семестър за 2019 г. Комисията извърши цялостен анализ на икономическата политика на Обединеното кралство и го публикува в доклада за страната за 2019 г. Комисията оцени също и програмата за конвергенция за 2018—2019 г., националната програма за реформи за 2019 г. и предприетите последващи действия във връзка с препоръките към Обединеното кралство,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Обединеното кралство, но и тяхното съответствие с правилата и насоките на Съюза. Това отразява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(14)</w:t>
      </w:r>
      <w:r>
        <w:tab/>
      </w:r>
      <w:r>
        <w:rPr>
          <w:noProof/>
        </w:rPr>
        <w:t>С оглед на тази оценка Съветът разгледа програмата за конвергенция за 2018—2019 г., като становището му</w:t>
      </w:r>
      <w:r>
        <w:rPr>
          <w:rStyle w:val="FootnoteReference"/>
          <w:noProof/>
        </w:rPr>
        <w:footnoteReference w:id="6"/>
      </w:r>
      <w:r>
        <w:rPr>
          <w:noProof/>
        </w:rPr>
        <w:t xml:space="preserve"> е изразено по-специално в препоръка 1 по-долу,</w:t>
      </w:r>
    </w:p>
    <w:p>
      <w:pPr>
        <w:pStyle w:val="Formuledadoption"/>
        <w:rPr>
          <w:noProof/>
        </w:rPr>
      </w:pPr>
      <w:r>
        <w:rPr>
          <w:noProof/>
        </w:rPr>
        <w:t>ПРЕПОРЪЧВА на Обединеното кралство да предприеме следните действия през 2019 г. и 2020 г.:</w:t>
      </w:r>
    </w:p>
    <w:p>
      <w:pPr>
        <w:pStyle w:val="ManualNumPar1"/>
        <w:rPr>
          <w:noProof/>
        </w:rPr>
      </w:pPr>
      <w:r>
        <w:t>1.</w:t>
      </w:r>
      <w:r>
        <w:tab/>
      </w:r>
      <w:r>
        <w:rPr>
          <w:noProof/>
        </w:rPr>
        <w:t>да гарантира, че номиналният темп на растеж на нетните първични държавни разходи не надвишава 1,9 % през периода 2020—2021 г., което съответства на годишна корекция на структурното салдо от 0,6 % от БВП;</w:t>
      </w:r>
    </w:p>
    <w:p>
      <w:pPr>
        <w:pStyle w:val="ManualNumPar1"/>
        <w:rPr>
          <w:noProof/>
        </w:rPr>
      </w:pPr>
      <w:r>
        <w:t>2.</w:t>
      </w:r>
      <w:r>
        <w:tab/>
      </w:r>
      <w:r>
        <w:rPr>
          <w:noProof/>
        </w:rPr>
        <w:t>да съсредоточи икономическата политика в областта на инвестициите върху научните изследвания и иновациите, жилищното настаняване, обучението и подобряването на уменията, устойчивия транспорт и прехода към нисковъглеродна и нискоенергийна икономика, като се отчита регионалното многообразие.</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SWD(2019) 1027 final.</w:t>
      </w:r>
    </w:p>
  </w:footnote>
  <w:footnote w:id="3">
    <w:p>
      <w:pPr>
        <w:pStyle w:val="FootnoteText"/>
        <w:rPr>
          <w:rStyle w:val="FootnoteReference"/>
        </w:rPr>
      </w:pPr>
      <w:r>
        <w:rPr>
          <w:rStyle w:val="FootnoteReference"/>
        </w:rPr>
        <w:footnoteRef/>
      </w:r>
      <w:r>
        <w:rPr>
          <w:rStyle w:val="FootnoteReference"/>
        </w:rPr>
        <w:tab/>
      </w:r>
      <w:r>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pPr>
      <w:r>
        <w:rPr>
          <w:rStyle w:val="FootnoteReference"/>
        </w:rPr>
        <w:footnoteRef/>
      </w:r>
      <w:r>
        <w:rPr>
          <w:rStyle w:val="FootnoteReference"/>
        </w:rPr>
        <w:tab/>
      </w:r>
      <w:r>
        <w:t>COM(2014) 494 final.</w:t>
      </w:r>
    </w:p>
  </w:footnote>
  <w:footnote w:id="5">
    <w:p>
      <w:pPr>
        <w:pStyle w:val="FootnoteText"/>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Национално финансираното бруто образуване на основен капитал се изглажда в рамките на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p>
      <w:pPr>
        <w:pStyle w:val="FootnoteText"/>
      </w:pPr>
    </w:p>
  </w:footnote>
  <w:footnote w:id="6">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2:55: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447312D-ED97-4F38-A332-2E5B8150BFE3"/>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4?\u1073?\u1077?\u1076?\u1080?\u1085?\u1077?\u1085?\u1086?\u1090?\u1086? \u1082?\u1088?\u1072?\u1083?\u1089?\u1090?\u1074?\u1086? \u1079?\u1072? 2019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4?\u1073?\u1077?\u1076?\u1080?\u1085?\u1077?\u1085?\u1086?\u1090?\u1086? \u1082?\u1088?\u1072?\u1083?\u1089?\u1090?\u1074?\u1086? \u1079?\u1072? 2018\u8212?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CAF6B3-749B-41E8-816D-1B65AA5E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1622</Words>
  <Characters>9284</Characters>
  <Application>Microsoft Office Word</Application>
  <DocSecurity>0</DocSecurity>
  <Lines>171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2019-05-24T12:49:00Z</cp:lastPrinted>
  <dcterms:created xsi:type="dcterms:W3CDTF">2019-06-06T14:32:00Z</dcterms:created>
  <dcterms:modified xsi:type="dcterms:W3CDTF">2019-06-12T10:55:00Z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