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01" w:rsidRDefault="005D2BB5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58738EB-7775-4BBF-A33F-66CFE929E199" style="width:451pt;height:366pt">
            <v:imagedata r:id="rId8" o:title=""/>
          </v:shape>
        </w:pict>
      </w:r>
    </w:p>
    <w:p w:rsidR="00941D01" w:rsidRDefault="00941D01">
      <w:pPr>
        <w:rPr>
          <w:noProof/>
        </w:rPr>
        <w:sectPr w:rsidR="00941D01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941D01" w:rsidRDefault="00941D01">
      <w:pPr>
        <w:pStyle w:val="Exposdesmotifstitre"/>
        <w:rPr>
          <w:noProof/>
        </w:rPr>
      </w:pPr>
    </w:p>
    <w:p w:rsidR="00941D01" w:rsidRDefault="00941D01">
      <w:pPr>
        <w:rPr>
          <w:noProof/>
        </w:rPr>
      </w:pPr>
    </w:p>
    <w:p w:rsidR="00941D01" w:rsidRDefault="005D2BB5">
      <w:pPr>
        <w:pStyle w:val="Statut"/>
        <w:rPr>
          <w:noProof/>
        </w:rPr>
      </w:pPr>
      <w:r>
        <w:rPr>
          <w:noProof/>
        </w:rPr>
        <w:t>Препоръка за</w:t>
      </w:r>
    </w:p>
    <w:p w:rsidR="00941D01" w:rsidRDefault="005D2BB5">
      <w:pPr>
        <w:pStyle w:val="Typedudocument"/>
        <w:rPr>
          <w:noProof/>
        </w:rPr>
      </w:pPr>
      <w:r>
        <w:rPr>
          <w:noProof/>
        </w:rPr>
        <w:t>ПРЕПОРЪКА НА СЪВЕТА</w:t>
      </w:r>
    </w:p>
    <w:p w:rsidR="00941D01" w:rsidRDefault="005D2BB5">
      <w:pPr>
        <w:pStyle w:val="Titreobjet"/>
        <w:rPr>
          <w:noProof/>
        </w:rPr>
      </w:pPr>
      <w:r>
        <w:rPr>
          <w:noProof/>
        </w:rPr>
        <w:t xml:space="preserve">относно националната програма за реформи на Финландия за 2019 г. и съдържаща становище на Съвета относно </w:t>
      </w:r>
      <w:r>
        <w:rPr>
          <w:noProof/>
        </w:rPr>
        <w:t>програмата за стабилност на Финландия за 2019 г.</w:t>
      </w:r>
      <w:r>
        <w:rPr>
          <w:noProof/>
        </w:rPr>
        <w:br/>
      </w:r>
      <w:r>
        <w:rPr>
          <w:noProof/>
        </w:rPr>
        <w:br/>
      </w:r>
    </w:p>
    <w:p w:rsidR="00941D01" w:rsidRDefault="005D2BB5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941D01" w:rsidRDefault="005D2BB5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121, параграф 2 и член 148, параграф 4 от него,</w:t>
      </w:r>
    </w:p>
    <w:p w:rsidR="00941D01" w:rsidRDefault="005D2BB5">
      <w:pPr>
        <w:rPr>
          <w:noProof/>
        </w:rPr>
      </w:pPr>
      <w:r>
        <w:rPr>
          <w:noProof/>
        </w:rPr>
        <w:t xml:space="preserve">като взе предвид Регламент (ЕО) № 1466/97 </w:t>
      </w:r>
      <w:r>
        <w:rPr>
          <w:noProof/>
        </w:rPr>
        <w:t>на Съвета от 7 юли 1997 г. за засилване на надзора върху състоянието на бюджета и на надзора и координацията на икономическите политики</w:t>
      </w:r>
      <w:r>
        <w:rPr>
          <w:rStyle w:val="FootnoteReference"/>
          <w:noProof/>
        </w:rPr>
        <w:footnoteReference w:id="1"/>
      </w:r>
      <w:r>
        <w:rPr>
          <w:noProof/>
        </w:rPr>
        <w:t>, и по-специално член 5, параграф 2 от него,</w:t>
      </w:r>
    </w:p>
    <w:p w:rsidR="00941D01" w:rsidRDefault="005D2BB5">
      <w:pPr>
        <w:rPr>
          <w:noProof/>
        </w:rPr>
      </w:pPr>
      <w:r>
        <w:rPr>
          <w:noProof/>
        </w:rPr>
        <w:t>като взе предвид препоръката на Европейската комисия,</w:t>
      </w:r>
    </w:p>
    <w:p w:rsidR="00941D01" w:rsidRDefault="005D2BB5">
      <w:pPr>
        <w:rPr>
          <w:noProof/>
        </w:rPr>
      </w:pPr>
      <w:r>
        <w:rPr>
          <w:noProof/>
        </w:rPr>
        <w:t>като взе предвид резо</w:t>
      </w:r>
      <w:r>
        <w:rPr>
          <w:noProof/>
        </w:rPr>
        <w:t>люциите на Европейския парламент,</w:t>
      </w:r>
    </w:p>
    <w:p w:rsidR="00941D01" w:rsidRDefault="005D2BB5">
      <w:pPr>
        <w:outlineLvl w:val="0"/>
        <w:rPr>
          <w:noProof/>
        </w:rPr>
      </w:pPr>
      <w:r>
        <w:rPr>
          <w:noProof/>
        </w:rPr>
        <w:t>като взе предвид заключенията на Европейския съвет,</w:t>
      </w:r>
    </w:p>
    <w:p w:rsidR="00941D01" w:rsidRDefault="005D2BB5">
      <w:pPr>
        <w:rPr>
          <w:noProof/>
        </w:rPr>
      </w:pPr>
      <w:r>
        <w:rPr>
          <w:noProof/>
        </w:rPr>
        <w:t>като взе предвид становището на Комитета по заетостта,</w:t>
      </w:r>
    </w:p>
    <w:p w:rsidR="00941D01" w:rsidRDefault="005D2BB5">
      <w:pPr>
        <w:rPr>
          <w:noProof/>
        </w:rPr>
      </w:pPr>
      <w:r>
        <w:rPr>
          <w:noProof/>
        </w:rPr>
        <w:t>като взе предвид становището на Икономическия и финансов комитет,</w:t>
      </w:r>
    </w:p>
    <w:p w:rsidR="00941D01" w:rsidRDefault="005D2BB5">
      <w:pPr>
        <w:rPr>
          <w:noProof/>
        </w:rPr>
      </w:pPr>
      <w:r>
        <w:rPr>
          <w:noProof/>
        </w:rPr>
        <w:t xml:space="preserve">като взе предвид становището на Комитета за </w:t>
      </w:r>
      <w:r>
        <w:rPr>
          <w:noProof/>
        </w:rPr>
        <w:t>социална закрила,</w:t>
      </w:r>
    </w:p>
    <w:p w:rsidR="00941D01" w:rsidRDefault="005D2BB5">
      <w:pPr>
        <w:rPr>
          <w:noProof/>
        </w:rPr>
      </w:pPr>
      <w:r>
        <w:rPr>
          <w:noProof/>
        </w:rPr>
        <w:t>като взе предвид становището на Комитета за икономическа политика,</w:t>
      </w:r>
    </w:p>
    <w:p w:rsidR="00941D01" w:rsidRDefault="005D2BB5">
      <w:pPr>
        <w:rPr>
          <w:noProof/>
        </w:rPr>
      </w:pPr>
      <w:r>
        <w:rPr>
          <w:noProof/>
        </w:rPr>
        <w:t>като има предвид, че:</w:t>
      </w:r>
    </w:p>
    <w:p w:rsidR="00941D01" w:rsidRDefault="005D2BB5"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На </w:t>
      </w:r>
      <w:r>
        <w:rPr>
          <w:noProof/>
          <w:color w:val="000000" w:themeColor="text1"/>
        </w:rPr>
        <w:t>21 ноември 2018 г. Комисията прие годишния обзор на растежа, с което постави началото на европейския</w:t>
      </w:r>
      <w:r>
        <w:rPr>
          <w:noProof/>
        </w:rPr>
        <w:t xml:space="preserve"> семестър за координация на икономическите</w:t>
      </w:r>
      <w:r>
        <w:rPr>
          <w:noProof/>
        </w:rPr>
        <w:t xml:space="preserve"> политики за 2019 г. В него надлежно беше отчетен Европейският стълб на социалните права, обявен от Европейския парламент, Съвета и Комисията на 17 ноември 2017 г. Приоритетите на годишния обзор на растежа бяха одобрени от Европейския съвет на 21 март 2019</w:t>
      </w:r>
      <w:r>
        <w:rPr>
          <w:noProof/>
        </w:rPr>
        <w:t xml:space="preserve"> г. Въз основа на Регламент (ЕС) № 1176/2011 на 21 ноември 2018 г. Комисията също прие Доклада за механизма за предупреждение, в който Финландия не е посочена като държава членка, за която ще се извърши задълбочен преглед. На същата дата Комисията прие и п</w:t>
      </w:r>
      <w:r>
        <w:rPr>
          <w:noProof/>
        </w:rPr>
        <w:t>репоръка за препоръка на Съвета относно икономическата политика на еврозоната, която беше одобрена от Европейския съвет на 21 март 2019 г. На 9 април 2019 г. Съветът прие Препоръката относно икономическата политика на еврозоната („Препоръката за еврозоната</w:t>
      </w:r>
      <w:r>
        <w:rPr>
          <w:noProof/>
        </w:rPr>
        <w:t xml:space="preserve">“). </w:t>
      </w:r>
    </w:p>
    <w:p w:rsidR="00941D01" w:rsidRDefault="005D2BB5"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Като държава членка, чиято парична единица е еврото, и с оглед на тясната взаимообвързаност между икономиките в икономическия и паричен съюз, </w:t>
      </w:r>
      <w:r>
        <w:rPr>
          <w:noProof/>
        </w:rPr>
        <w:lastRenderedPageBreak/>
        <w:t>Финландия следва да гарантира пълното и навременно изпълнение на препоръката за еврозоната, както е посоч</w:t>
      </w:r>
      <w:r>
        <w:rPr>
          <w:noProof/>
        </w:rPr>
        <w:t>ено в препоръки 3 и 4 по-долу. По-специално, насочването на икономическата политика, свързана с инвестициите, към посочените области ще помогне за изпълнението на втората препоръка за еврозоната по отношение на подкрепата за инвестициите, а мерките за огра</w:t>
      </w:r>
      <w:r>
        <w:rPr>
          <w:noProof/>
        </w:rPr>
        <w:t>ничаване на задлъжнялостта на домакинствата ще спомогнат за изпълнението на четвъртата препоръка за еврозоната по отношение на намаляването на частния дълг.</w:t>
      </w:r>
    </w:p>
    <w:p w:rsidR="00941D01" w:rsidRDefault="005D2BB5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Докладът за Финландия</w:t>
      </w:r>
      <w:r>
        <w:rPr>
          <w:rStyle w:val="FootnoteReference"/>
          <w:noProof/>
          <w:spacing w:val="-2"/>
        </w:rPr>
        <w:footnoteReference w:id="2"/>
      </w:r>
      <w:r>
        <w:rPr>
          <w:noProof/>
        </w:rPr>
        <w:t xml:space="preserve"> за 2019 г. беше публикуван на 27 февруари 2019 г. В него бе оценен напре</w:t>
      </w:r>
      <w:r>
        <w:rPr>
          <w:noProof/>
        </w:rPr>
        <w:t>дъкът на Финландия в изпълнението на специфичните за държавата препоръки, приети от Съвета на 13 юли 2018 г., последващите действия във връзка с препоръките, приети през предходните години, както и напредъкът на Финландия по националните ѝ цели по стратеги</w:t>
      </w:r>
      <w:r>
        <w:rPr>
          <w:noProof/>
        </w:rPr>
        <w:t xml:space="preserve">ята „Европа 2020“. </w:t>
      </w:r>
    </w:p>
    <w:p w:rsidR="00941D01" w:rsidRDefault="005D2BB5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На 4 април 2019 г. Финландия представи своята национална програма за реформи за 2019 г. и своята програма за стабилност за 2019 г. Двете програми бяха оценени едновременно, за да бъдат отчетени взаимовръзките между тях.</w:t>
      </w:r>
    </w:p>
    <w:p w:rsidR="00941D01" w:rsidRDefault="005D2BB5"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Съответн</w:t>
      </w:r>
      <w:r>
        <w:rPr>
          <w:noProof/>
        </w:rPr>
        <w:t>ите специфични за всяка държава препоръки бяха взети предвид при програмирането на европейските структурни и инвестиционни фондове (ЕСИ фондове) за периода 2014—2020 г. Както е предвидено в член 23 от Регламент (ЕС) № 1303/2013 на Европейския парламент и н</w:t>
      </w:r>
      <w:r>
        <w:rPr>
          <w:noProof/>
        </w:rPr>
        <w:t>а Съвета</w:t>
      </w:r>
      <w:r>
        <w:rPr>
          <w:rStyle w:val="FootnoteReference"/>
          <w:noProof/>
          <w:spacing w:val="-2"/>
        </w:rPr>
        <w:footnoteReference w:id="3"/>
      </w:r>
      <w:r>
        <w:rPr>
          <w:noProof/>
        </w:rPr>
        <w:t xml:space="preserve">, когато това е необходимо за подпомагане на изпълнението на съответните препоръки на Съвета,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тях. </w:t>
      </w:r>
      <w:r>
        <w:rPr>
          <w:noProof/>
        </w:rPr>
        <w:t>Комисията предостави допълнителни подробности за начина, по който ще използва тази разпоредба, в насоките относно прилагането на мерките, обвързващи ефективността на ЕСИ фондове с доброто икономическо управление</w:t>
      </w:r>
      <w:r>
        <w:rPr>
          <w:rStyle w:val="FootnoteReference"/>
          <w:noProof/>
          <w:spacing w:val="-2"/>
        </w:rPr>
        <w:footnoteReference w:id="4"/>
      </w:r>
      <w:r>
        <w:rPr>
          <w:noProof/>
        </w:rPr>
        <w:t xml:space="preserve">. 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(6)</w:t>
      </w:r>
      <w:r>
        <w:tab/>
      </w:r>
      <w:r>
        <w:rPr>
          <w:noProof/>
        </w:rPr>
        <w:t xml:space="preserve">Спрямо Финландия понастоящем се прилагат предпазните мерки на Пакта за стабилност и растеж. В своята </w:t>
      </w:r>
      <w:bookmarkStart w:id="0" w:name="_GoBack"/>
      <w:r w:rsidRPr="005D2BB5">
        <w:rPr>
          <w:noProof/>
        </w:rPr>
        <w:t xml:space="preserve">програма за стабилност за 2019 г., която беше представена въз основа на хипотеза за непроменена политика </w:t>
      </w:r>
      <w:r w:rsidRPr="005D2BB5">
        <w:rPr>
          <w:noProof/>
          <w:sz w:val="23"/>
        </w:rPr>
        <w:t>от предходното правителство малко преди парламента</w:t>
      </w:r>
      <w:r w:rsidRPr="005D2BB5">
        <w:rPr>
          <w:noProof/>
          <w:sz w:val="23"/>
        </w:rPr>
        <w:t>рните избори през април</w:t>
      </w:r>
      <w:r w:rsidRPr="005D2BB5">
        <w:rPr>
          <w:noProof/>
          <w:sz w:val="23"/>
        </w:rPr>
        <w:t>,</w:t>
      </w:r>
      <w:r w:rsidRPr="005D2BB5">
        <w:rPr>
          <w:noProof/>
        </w:rPr>
        <w:t xml:space="preserve"> правителството планира номинално салдо от -0,3 % от БВП през 2019 г., което представлява </w:t>
      </w:r>
      <w:bookmarkEnd w:id="0"/>
      <w:r>
        <w:rPr>
          <w:noProof/>
        </w:rPr>
        <w:t xml:space="preserve">понижение от 0,7 % от БВП спрямо 2018 г. Според правителството салдото се очаква да се подобри още през 2020 г. до 0%, след това отново да се </w:t>
      </w:r>
      <w:r>
        <w:rPr>
          <w:noProof/>
        </w:rPr>
        <w:t>влоши до -0.1% през 2021 г. и до -0.3% през 2022 г. Въз основа на преизчисленото структурно салдо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средносрочната бюджетна цел, определена като структурен </w:t>
      </w:r>
      <w:r>
        <w:rPr>
          <w:noProof/>
        </w:rPr>
        <w:lastRenderedPageBreak/>
        <w:t>дефицит от 0,5 % от БВП, се очаква да продължи да бъде преизпълнявана през целия програмен период, ка</w:t>
      </w:r>
      <w:r>
        <w:rPr>
          <w:noProof/>
        </w:rPr>
        <w:t>то се вземат предвид допуснатите отклонения през 2019 г., свързани с осъществяването на структурните реформи, за които е предоставено временно отклонение. Съотношението между консолидирания държавен дълг и БВП, което достигна най-високата стойност — 63,4 %</w:t>
      </w:r>
      <w:r>
        <w:rPr>
          <w:noProof/>
        </w:rPr>
        <w:t xml:space="preserve"> през 2015 г., спадна до 58,9 % от БВП през 2018 г. Съгласно програмата за стабилност за 2019 г. съотношението на дълга ще продължи да се понижава и ще достигне 57,4 % от БВП през 2021 г. Планира се то да нарасне отново през 2022 г. до 57,7 % от БВП. Макро</w:t>
      </w:r>
      <w:r>
        <w:rPr>
          <w:noProof/>
        </w:rPr>
        <w:t>икономическият сценарий в основата на бюджетните прогнози като цяло изглежда реалистичен. Основните рискове за бюджетните прогнози са свързани с възможно по-големите от очакваните разходи, свързани със застаряването на населението, и по-високата инфлация.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(7)</w:t>
      </w:r>
      <w:r>
        <w:tab/>
      </w:r>
      <w:r>
        <w:rPr>
          <w:noProof/>
        </w:rPr>
        <w:tab/>
        <w:t>На 13 юли 2018 г. Съветът препоръча на Финландия да постигне средносрочната бюджетна цел през 2019 г., като се вземат предвид допустимите отклонения, свързани с осъществяването на структурните реформи, за които е предоставено временно отклонение. Това</w:t>
      </w:r>
      <w:r>
        <w:rPr>
          <w:noProof/>
        </w:rPr>
        <w:t xml:space="preserve"> е в съответствие с максимален номинален темп на растеж на нетните първични държавни разходи</w:t>
      </w:r>
      <w:r>
        <w:rPr>
          <w:rStyle w:val="FootnoteReference"/>
          <w:noProof/>
          <w:spacing w:val="-4"/>
        </w:rPr>
        <w:footnoteReference w:id="6"/>
      </w:r>
      <w:r>
        <w:rPr>
          <w:noProof/>
        </w:rPr>
        <w:t xml:space="preserve"> от 2,9 % през 2019 г., което съответства на допустимо влошаване на структурното салдо с 0,2 % от БВП. Според прогнозата на Комисията от пролетта на 2019 г. Финлан</w:t>
      </w:r>
      <w:r>
        <w:rPr>
          <w:noProof/>
        </w:rPr>
        <w:t xml:space="preserve">дия се очаква да бъде на равнището на своята средносрочна бюджетна цел през 2019 г., като се вземе предвид допуснатото отклонение във връзка с клаузата за структурните реформи. 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(8)</w:t>
      </w:r>
      <w:r>
        <w:tab/>
      </w:r>
      <w:r>
        <w:rPr>
          <w:noProof/>
        </w:rPr>
        <w:t>През 2020 г., с оглед на прогнозираната разлика между фактическия и потенц</w:t>
      </w:r>
      <w:r>
        <w:rPr>
          <w:noProof/>
        </w:rPr>
        <w:t>иалния БВП на Финландия от 0,8 %, номиналният темп на растеж на нетните първични държавни разходи следва да не надвишава 1,9 %, което съответства на корекция на структурното салдо в размер на 0,5 % от БВП, произтичаща от общоприетата корекционна матрица на</w:t>
      </w:r>
      <w:r>
        <w:rPr>
          <w:noProof/>
        </w:rPr>
        <w:t xml:space="preserve"> изискванията съгласно Пакта за стабилност и растеж. Според прогнозата на Комисията от пролетта на 2019 г. при непроменена политика се очаква Финландия да бъде изложена на риск от известно отклонение през 2020 г. Като цяло Съветът е на мнение, че се очаква</w:t>
      </w:r>
      <w:r>
        <w:rPr>
          <w:noProof/>
        </w:rPr>
        <w:t xml:space="preserve"> Финландия да спази разпоредбите на Пакта за стабилност и растеж през 2019 г. и трябва да има готовност да предприеме допълнителни мерки, за да гарантира спазването на разпоредбите на Пакта за стабилност и растеж през 2020 г.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(9)</w:t>
      </w:r>
      <w:r>
        <w:tab/>
      </w:r>
      <w:r>
        <w:rPr>
          <w:noProof/>
        </w:rPr>
        <w:t>Поради застаряването на на</w:t>
      </w:r>
      <w:r>
        <w:rPr>
          <w:noProof/>
        </w:rPr>
        <w:t>селението и намаляването на работната ръка разходите за пенсии, здравеопазване и особено за социални грижи (дългосрочни грижи) ще се увеличат през следващите десетилетия. Според доклада относно фискалната устойчивост за 2018 г. за прогнозното увеличение на</w:t>
      </w:r>
      <w:r>
        <w:rPr>
          <w:noProof/>
        </w:rPr>
        <w:t xml:space="preserve"> разходите, свързани със застаряването на населението, ще е необходима фискална консолидация в размер на 2 % от БВП, за да стабилизира в дългосрочен план съотношението на дълга спрямо БВП. На 7 март 2019 г. парламентът на Финландия отхвърли реформа на реги</w:t>
      </w:r>
      <w:r>
        <w:rPr>
          <w:noProof/>
        </w:rPr>
        <w:t xml:space="preserve">оналното управление, здравните и </w:t>
      </w:r>
      <w:r>
        <w:rPr>
          <w:noProof/>
        </w:rPr>
        <w:lastRenderedPageBreak/>
        <w:t xml:space="preserve">социалните услуги, предназначена за преодоляването на тези предизвикателства, както и за гарантирането на равен достъп и намаляването на времето за чакане. Съотношението на неудовлетворените потребности от медицински грижи </w:t>
      </w:r>
      <w:r>
        <w:rPr>
          <w:noProof/>
        </w:rPr>
        <w:t>във Финландия остава над средното за ЕС. По-специално, лицата, които не са част от работната сила, изпитват затруднения да получат необходимите медицински грижи поради дълги списъци с чакащи.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(10)</w:t>
      </w:r>
      <w:r>
        <w:tab/>
      </w:r>
      <w:r>
        <w:rPr>
          <w:noProof/>
        </w:rPr>
        <w:t>На фона на намаляването на населението в работоспособна въз</w:t>
      </w:r>
      <w:r>
        <w:rPr>
          <w:noProof/>
        </w:rPr>
        <w:t>раст и все по-големия брой свободни работни места на пазара на труда се появява напрежение. В същото време равнищата на активност и заетост във Финландия са по-ниски, отколкото в другите скандинавски страни, а структурната безработица продължава да възлиза</w:t>
      </w:r>
      <w:r>
        <w:rPr>
          <w:noProof/>
        </w:rPr>
        <w:t xml:space="preserve"> на 7 % през 2018 г. Това отчасти отразява „капаните“ на незаетостта и безработицата, които възпрепятстват по-доброто използване на работната сила. Сред основните пречки пред връщането на хората на работа са сложната система от обезщетения и съчетаването н</w:t>
      </w:r>
      <w:r>
        <w:rPr>
          <w:noProof/>
        </w:rPr>
        <w:t>а различните видове обезщетения и надбавки. Обезщетенията намаляват бързо с повишаването на доходите, което поражда риска започването на работа да не бъде достатъчно привлекателно от финансова гледна точка. Несигурността във връзка с равнището на обезщетен</w:t>
      </w:r>
      <w:r>
        <w:rPr>
          <w:noProof/>
        </w:rPr>
        <w:t>ията и срока за възстановяването им намалява привлекателността на работата по краткосрочни договори и работата на непълно работно време. Експериментът с основния доход, чиито предварителни резултати бяха публикувани през февруари 2019 г., предоставя извест</w:t>
      </w:r>
      <w:r>
        <w:rPr>
          <w:noProof/>
        </w:rPr>
        <w:t>на информация за адаптирането на системата за социална сигурност, така че да съчетава по-ефективно обезщетенията с доходите.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(11)</w:t>
      </w:r>
      <w:r>
        <w:tab/>
      </w:r>
      <w:r>
        <w:rPr>
          <w:noProof/>
        </w:rPr>
        <w:t>Инвестициите в активното приобщаване, особено по отношение на групите, които са най-отдалечени от пазара на труда, са необходи</w:t>
      </w:r>
      <w:r>
        <w:rPr>
          <w:noProof/>
        </w:rPr>
        <w:t>ми за увеличаване на процента на участие сега, когато процентите на активност и заетост са близки до предкризисните равнища. Всеобхватни реформи, които имат за цел да стимулират участието в пазара на труда, биха могли да подобрят възможностите на пазара на</w:t>
      </w:r>
      <w:r>
        <w:rPr>
          <w:noProof/>
        </w:rPr>
        <w:t xml:space="preserve"> труда за някои групи от населението. Това се отнася за хората с мигрантски произход, жените в детеродна възраст, нискоквалифицираните мъже, частично работоспособните и хората с увреждания. Някои услуги за безработните и неактивните лица са разпръснати меж</w:t>
      </w:r>
      <w:r>
        <w:rPr>
          <w:noProof/>
        </w:rPr>
        <w:t xml:space="preserve">ду различни органи и доставчици. За да се помогне на тези групи да достигнат и да останат на пазара на труда са необходими индивидуализирани и интегрирани услуги и политики за активиране и рехабилитация. Дълготрайното полагане на грижи от страна на жените </w:t>
      </w:r>
      <w:r>
        <w:rPr>
          <w:noProof/>
        </w:rPr>
        <w:t>допринася за разликата в заетостта между половете и разликата в заплащането между жените и мъжете. Правителството започна процес за реформа на отпуска по семейни причини, но не го приключи.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(12)</w:t>
      </w:r>
      <w:r>
        <w:tab/>
      </w:r>
      <w:r>
        <w:rPr>
          <w:noProof/>
        </w:rPr>
        <w:t>Осигуряването на предлагане на работна ръка в период на демог</w:t>
      </w:r>
      <w:r>
        <w:rPr>
          <w:noProof/>
        </w:rPr>
        <w:t>рафски и технологични промени е от възлово значение за насърчаването на устойчив и приобщаващ растеж във Финландия. Инвестирането в умения, особено в онези, които са от значение за пазара на труда, ще помогне да се отговори на предизвикателствата, възникна</w:t>
      </w:r>
      <w:r>
        <w:rPr>
          <w:noProof/>
        </w:rPr>
        <w:t>ли в резултат на структурна промяна в икономиката. Технологичните промени налагат непрекъснато обучение и преквалификация на работната сила чрез гъвкави форми на учене, включително чрез насочване на вниманието към учене, образование и обучение в зряла възр</w:t>
      </w:r>
      <w:r>
        <w:rPr>
          <w:noProof/>
        </w:rPr>
        <w:t xml:space="preserve">аст. Това би трябвало да увеличи професионалната мобилност, да намали несъответствията между търсените и предлаганите умения и да спомогне за посрещане на бъдещите нужди на пазара на труда. 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lastRenderedPageBreak/>
        <w:t>(13)</w:t>
      </w:r>
      <w:r>
        <w:tab/>
      </w:r>
      <w:r>
        <w:rPr>
          <w:noProof/>
        </w:rPr>
        <w:t>За Финландия има риск да не постигне целта от 50 % за рецикл</w:t>
      </w:r>
      <w:r>
        <w:rPr>
          <w:noProof/>
        </w:rPr>
        <w:t>иране на битовите отпадъци за 2020 г. По-конкретно, битовите отпадъци все повече се изгарят (60 % през 2017 г. в сравнение с 55 % през 2016 г.).</w:t>
      </w:r>
    </w:p>
    <w:p w:rsidR="00941D01" w:rsidRDefault="005D2BB5">
      <w:pPr>
        <w:pStyle w:val="ManualConsidrant"/>
        <w:rPr>
          <w:noProof/>
          <w:sz w:val="22"/>
        </w:rPr>
      </w:pPr>
      <w:r>
        <w:t>(14)</w:t>
      </w:r>
      <w:r>
        <w:tab/>
      </w:r>
      <w:r>
        <w:rPr>
          <w:noProof/>
        </w:rPr>
        <w:t>Въпреки че публичните разходи за научно-изследователска и развойна дейност понастоящем се стабилизират, Фи</w:t>
      </w:r>
      <w:r>
        <w:rPr>
          <w:noProof/>
        </w:rPr>
        <w:t>нландия отчете най-резкия спад сред всички държави — членки на ЕС, от 2009 г. насам в инвестициите на частния сектор в научноизследователска и развойна дейност. Въпреки подобрението на макроикономическата ситуация през последните години инвестициите на час</w:t>
      </w:r>
      <w:r>
        <w:rPr>
          <w:noProof/>
        </w:rPr>
        <w:t>тния сектор в научноизследователска и развойна дейност все още не са се възстановили. По-големият интензитет на инвестициите в научноизследователска и развойна дейност е възлов фактор, позволяващ на структурната промяна да благоприятства икономическите сек</w:t>
      </w:r>
      <w:r>
        <w:rPr>
          <w:noProof/>
        </w:rPr>
        <w:t>тори с интензивно използване на знания, както и да укрепи потенциала за дългосрочен растеж. Освен това сътрудничеството между висшите учебни заведения и стопанския сектор продължава да бъде една от основните пречки пред стимулирането на иновациите и пазарн</w:t>
      </w:r>
      <w:r>
        <w:rPr>
          <w:noProof/>
        </w:rPr>
        <w:t xml:space="preserve">ата им реализация. 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(15)</w:t>
      </w:r>
      <w:r>
        <w:tab/>
      </w:r>
      <w:r>
        <w:rPr>
          <w:noProof/>
        </w:rPr>
        <w:t>Поради разпръснато население, слабостите в областта на транспорта могат да попречат на хората да се местят, за да намерят работа. Стратегическите инвестиции в транспортната инфраструктура може да подобрят трудовата мобилност и по т</w:t>
      </w:r>
      <w:r>
        <w:rPr>
          <w:noProof/>
        </w:rPr>
        <w:t xml:space="preserve">ози начин да укрепят функционирането на пазарите на труда. Едновременно с това, тъй като транспортните разходи се отразяват относително силно на крайната цена на продуктите във Финландия в сравнение с други държави — членки на ЕС, инфраструктурните връзки </w:t>
      </w:r>
      <w:r>
        <w:rPr>
          <w:noProof/>
        </w:rPr>
        <w:t>може да повишат достъпа до пазари в чужбина.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(16)</w:t>
      </w:r>
      <w:r>
        <w:tab/>
      </w:r>
      <w:r>
        <w:rPr>
          <w:noProof/>
        </w:rPr>
        <w:t>Стратегическите инвестиции в декарбонизация на енергоемките отрасли и транспортния сектор ще спомогнат за постигането на дългосрочните икономически цели и целите по отношение на климата. Финландия е лидер в</w:t>
      </w:r>
      <w:r>
        <w:rPr>
          <w:noProof/>
        </w:rPr>
        <w:t xml:space="preserve"> иновациите в областта на чистата енергия и в частните разходи за научноизследователски и развойни дейности в тази област. Допълнителни инвестиции в някои от нейните програми за чиста енергия до 2021 г., както са планирани в бюджета, биха помогнали на Финл</w:t>
      </w:r>
      <w:r>
        <w:rPr>
          <w:noProof/>
        </w:rPr>
        <w:t>андия да постигне своите цели за постигане на въглеродна неутралност. Освен амбициозните цели на Финландия да увеличи дела на биогоривата, електрификацията е икономически ефективен вариант да намали въглеродните емисии в транспорта, предвид напредъка, пост</w:t>
      </w:r>
      <w:r>
        <w:rPr>
          <w:noProof/>
        </w:rPr>
        <w:t>игнат в намаляването на въглеродните емисии в производството на електроенергия.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(17)</w:t>
      </w:r>
      <w:r>
        <w:tab/>
      </w:r>
      <w:r>
        <w:rPr>
          <w:noProof/>
        </w:rPr>
        <w:t>Ниските лихвени проценти и подобрената икономическа перспектива увеличиха общия обем на кредитирането, особено чрез дружества за жилищно настаняване (които предлагат разли</w:t>
      </w:r>
      <w:r>
        <w:rPr>
          <w:noProof/>
        </w:rPr>
        <w:t>чна форма на собственост върху жилище). Едновременно с това потребителските кредити се увеличават бързо и все по-голям дял от това кредитиране се отпуска от чуждестранни банки, финансови институции, различни от кредитните институции, дружества, предоставящ</w:t>
      </w:r>
      <w:r>
        <w:rPr>
          <w:noProof/>
        </w:rPr>
        <w:t>и малки заеми, и чрез кредитиране между физически лица. Поради това дългът на домакинствата продължава да е на изключително високо равнище (67 % от БВП през 2017 г.). Дългът е предимно с променлив лихвен процент, което представлява риск, в случай че лихвен</w:t>
      </w:r>
      <w:r>
        <w:rPr>
          <w:noProof/>
        </w:rPr>
        <w:t>ите проценти се увеличат в средносрочен план. Финансовият надзорен орган на Финландия прие редица мерки за ограничаване нарастването на равнището на задлъжнялост на домакинствата. Въпреки това не се очаква скоро активно намаляване на задлъжнялостта, особен</w:t>
      </w:r>
      <w:r>
        <w:rPr>
          <w:noProof/>
        </w:rPr>
        <w:t xml:space="preserve">о като се има предвид, че </w:t>
      </w:r>
      <w:r>
        <w:rPr>
          <w:noProof/>
        </w:rPr>
        <w:lastRenderedPageBreak/>
        <w:t>лихвените проценти продължават да бъдат ниски и доверието на потребителите е все още е относително силно.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(18)</w:t>
      </w:r>
      <w:r>
        <w:tab/>
      </w:r>
      <w:r>
        <w:rPr>
          <w:noProof/>
        </w:rPr>
        <w:t>На този етап Финландия не разполага с всеобхватен (т.е. събиране както на положителни, така и на отрицателни данни за д</w:t>
      </w:r>
      <w:r>
        <w:rPr>
          <w:noProof/>
        </w:rPr>
        <w:t>лъжниците) кредитен регистър, в който да попадат основните ѝ банки. Неговата липса може да попречи на банките да имат ясна представа за общата задлъжнялост на домакинствата. През последната година бе извършена подготвителна работа за създаването на регистъ</w:t>
      </w:r>
      <w:r>
        <w:rPr>
          <w:noProof/>
        </w:rPr>
        <w:t>р от този вид.</w:t>
      </w:r>
    </w:p>
    <w:p w:rsidR="00941D01" w:rsidRDefault="005D2BB5">
      <w:pPr>
        <w:pStyle w:val="ManualConsidrant"/>
        <w:rPr>
          <w:rFonts w:eastAsia="Times New Roman"/>
          <w:noProof/>
          <w:szCs w:val="24"/>
        </w:rPr>
      </w:pPr>
      <w:r>
        <w:t>(19)</w:t>
      </w:r>
      <w:r>
        <w:tab/>
      </w:r>
      <w:r>
        <w:rPr>
          <w:noProof/>
        </w:rPr>
        <w:t>Програмирането на средства от ЕС за периода 2021—2027 г. спомогна за справяне с някои от пропуските, установени в препоръките, по-специално в областите, обхванати от приложение Г към доклада за държавата</w:t>
      </w:r>
      <w:r>
        <w:rPr>
          <w:rStyle w:val="FootnoteReference"/>
          <w:noProof/>
        </w:rPr>
        <w:footnoteReference w:id="7"/>
      </w:r>
      <w:r>
        <w:rPr>
          <w:noProof/>
        </w:rPr>
        <w:t>. Това ще даде на Финландия възм</w:t>
      </w:r>
      <w:r>
        <w:rPr>
          <w:noProof/>
        </w:rPr>
        <w:t>ожност да използва оптимално тези фондове в определените сектори, като взима предвид регионалните различия.</w:t>
      </w:r>
    </w:p>
    <w:p w:rsidR="00941D01" w:rsidRDefault="005D2BB5">
      <w:pPr>
        <w:pStyle w:val="ManualConsidrant"/>
        <w:rPr>
          <w:noProof/>
        </w:rPr>
      </w:pPr>
      <w:r>
        <w:t>(20)</w:t>
      </w:r>
      <w:r>
        <w:tab/>
      </w:r>
      <w:r>
        <w:rPr>
          <w:noProof/>
        </w:rPr>
        <w:t>В рамките на европейския семестър за 2019 г. Комисията направи цялостен анализ на икономическата политика на Финландия и го публикува в доклада</w:t>
      </w:r>
      <w:r>
        <w:rPr>
          <w:noProof/>
        </w:rPr>
        <w:t xml:space="preserve"> за страната от 2019 г. Освен това Комисията направи оценка на програмата за стабилност за 2019 г., националната програма за реформи за 2019 г. и последващите действия във връзка с препоръките, отправени към Финландия през предходните години. Комисията взе</w:t>
      </w:r>
      <w:r>
        <w:rPr>
          <w:noProof/>
        </w:rPr>
        <w:t xml:space="preserve"> предвид не само тяхното значение за провеждането на устойчива бюджетна и социално-икономическа политика в Финландия, но и тяхното съответствие с правилата и насоките на Съюза предвид необходимостта от засилване на цялостното икономическо управление на Съю</w:t>
      </w:r>
      <w:r>
        <w:rPr>
          <w:noProof/>
        </w:rPr>
        <w:t xml:space="preserve">за чрез принос на равнище Съюз към бъдещите решения на държавите членки. </w:t>
      </w:r>
    </w:p>
    <w:p w:rsidR="00941D01" w:rsidRDefault="005D2BB5">
      <w:pPr>
        <w:pStyle w:val="ManualConsidrant"/>
        <w:rPr>
          <w:noProof/>
        </w:rPr>
      </w:pPr>
      <w:r>
        <w:t>(21)</w:t>
      </w:r>
      <w:r>
        <w:tab/>
      </w:r>
      <w:r>
        <w:rPr>
          <w:noProof/>
        </w:rPr>
        <w:t>С оглед на тази оценка Съветът разгледа програмата за стабилност за 2019 г., като становището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му е изразено по-специално в препоръка 1 по-долу,</w:t>
      </w:r>
    </w:p>
    <w:p w:rsidR="00941D01" w:rsidRDefault="005D2BB5">
      <w:pPr>
        <w:pStyle w:val="ManualConsidrant"/>
        <w:rPr>
          <w:noProof/>
        </w:rPr>
      </w:pPr>
      <w:r>
        <w:t>(22)</w:t>
      </w:r>
      <w:r>
        <w:tab/>
      </w:r>
      <w:r>
        <w:rPr>
          <w:noProof/>
        </w:rPr>
        <w:t>С оглед на тази оценка Съве</w:t>
      </w:r>
      <w:r>
        <w:rPr>
          <w:noProof/>
        </w:rPr>
        <w:t>тът разгледа националната програма за реформи за 2019 г. и програмата за стабилност за 2019 г. Неговите препоръки по член 6 от Регламент (ЕС) № 1176/2011 са отразени в препоръки 1—4 по-долу.</w:t>
      </w:r>
    </w:p>
    <w:p w:rsidR="00941D01" w:rsidRDefault="005D2BB5">
      <w:pPr>
        <w:pStyle w:val="Formuledadoption"/>
        <w:rPr>
          <w:noProof/>
        </w:rPr>
      </w:pPr>
      <w:r>
        <w:rPr>
          <w:noProof/>
        </w:rPr>
        <w:t>ПРЕПОРЪЧВА на Финландия да предприеме следните действия през 2019</w:t>
      </w:r>
      <w:r>
        <w:rPr>
          <w:noProof/>
        </w:rPr>
        <w:t xml:space="preserve"> и 2020 г.:</w:t>
      </w:r>
    </w:p>
    <w:p w:rsidR="00941D01" w:rsidRDefault="005D2BB5"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 xml:space="preserve">Да гарантира, че номиналният темп на растеж на нетните първични държавни разходи не надвишава 1,9 % през 2020 г., което съответства на годишна корекция на структурното салдо от 0,5 % от БВП. Да подобри разходната ефективност и равния достъп </w:t>
      </w:r>
      <w:r>
        <w:rPr>
          <w:noProof/>
        </w:rPr>
        <w:t>до социалните и здравните услуги.</w:t>
      </w:r>
    </w:p>
    <w:p w:rsidR="00941D01" w:rsidRDefault="005D2BB5"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Да подобри стимулите за приемане на предложена работа и да повиши уменията и активното приобщаване, по-специално чрез адекватни и добре интегрирани услуги за безработните и незаетите лица.</w:t>
      </w:r>
    </w:p>
    <w:p w:rsidR="00941D01" w:rsidRDefault="005D2BB5">
      <w:pPr>
        <w:pStyle w:val="ManualNumPar1"/>
        <w:rPr>
          <w:noProof/>
          <w:sz w:val="22"/>
        </w:rPr>
      </w:pPr>
      <w:r>
        <w:t>3.</w:t>
      </w:r>
      <w:r>
        <w:tab/>
      </w:r>
      <w:r>
        <w:rPr>
          <w:noProof/>
        </w:rPr>
        <w:t>Да ориентира икономическата</w:t>
      </w:r>
      <w:r>
        <w:rPr>
          <w:noProof/>
        </w:rPr>
        <w:t xml:space="preserve"> политика, свързана с инвестициите, към научните изследвания и иновации, ниските въглеродни емисии, енергийния преход и устойчивия транспорт, като вземе предвид регионалните различия.</w:t>
      </w:r>
    </w:p>
    <w:p w:rsidR="00941D01" w:rsidRDefault="005D2BB5">
      <w:pPr>
        <w:pStyle w:val="ManualNumPar1"/>
        <w:keepNext/>
        <w:keepLines/>
        <w:rPr>
          <w:noProof/>
        </w:rPr>
      </w:pPr>
      <w:r>
        <w:lastRenderedPageBreak/>
        <w:t>4.</w:t>
      </w:r>
      <w:r>
        <w:tab/>
      </w:r>
      <w:r>
        <w:rPr>
          <w:noProof/>
        </w:rPr>
        <w:t xml:space="preserve">Да засили наблюдението на дълга на домакинствата и да създаде система на кредитен регистър. </w:t>
      </w:r>
    </w:p>
    <w:p w:rsidR="00941D01" w:rsidRDefault="005D2BB5">
      <w:pPr>
        <w:pStyle w:val="Fait"/>
        <w:rPr>
          <w:noProof/>
        </w:rPr>
      </w:pPr>
      <w:bookmarkStart w:id="1" w:name="_CopyToNewDocument_"/>
      <w:bookmarkEnd w:id="1"/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 w:rsidR="00941D01" w:rsidRDefault="005D2BB5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941D01" w:rsidRDefault="005D2BB5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941D01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01" w:rsidRDefault="005D2BB5">
      <w:pPr>
        <w:spacing w:before="0" w:after="0"/>
      </w:pPr>
      <w:r>
        <w:separator/>
      </w:r>
    </w:p>
  </w:endnote>
  <w:endnote w:type="continuationSeparator" w:id="0">
    <w:p w:rsidR="00941D01" w:rsidRDefault="005D2B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01" w:rsidRDefault="005D2BB5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01" w:rsidRDefault="005D2BB5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01" w:rsidRDefault="00941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01" w:rsidRDefault="005D2BB5">
      <w:pPr>
        <w:spacing w:before="0" w:after="0"/>
      </w:pPr>
      <w:r>
        <w:separator/>
      </w:r>
    </w:p>
  </w:footnote>
  <w:footnote w:type="continuationSeparator" w:id="0">
    <w:p w:rsidR="00941D01" w:rsidRDefault="005D2BB5">
      <w:pPr>
        <w:spacing w:before="0" w:after="0"/>
      </w:pPr>
      <w:r>
        <w:continuationSeparator/>
      </w:r>
    </w:p>
  </w:footnote>
  <w:footnote w:id="1">
    <w:p w:rsidR="00941D01" w:rsidRDefault="005D2BB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 209, 2.8.1997 г., стр. 1.</w:t>
      </w:r>
    </w:p>
  </w:footnote>
  <w:footnote w:id="2">
    <w:p w:rsidR="00941D01" w:rsidRDefault="005D2BB5"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  <w:t>Работен документ на службите н</w:t>
      </w:r>
      <w:r>
        <w:t>а Комисията SWD (2019) 1025 final.</w:t>
      </w:r>
    </w:p>
  </w:footnote>
  <w:footnote w:id="3">
    <w:p w:rsidR="00941D01" w:rsidRDefault="005D2BB5"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  <w:t xml:space="preserve">Регламент (ЕС) № 1303./2013 на Европейския парламент и на Съвета от 17 декември 2013 г. за определяне на общоприложими разпоредби за Европейския фонд за регионално развитие, Европейския социален фонд, Кохезионния фонд, </w:t>
      </w:r>
      <w:r>
        <w:t>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</w:t>
      </w:r>
      <w:r>
        <w:t xml:space="preserve"> дело и рибарство, и за отмяна на Регламент (ЕО) № 1083/2006 на Съвета (ОВ L 347, 20.12.2013 г., стр. 320).</w:t>
      </w:r>
    </w:p>
  </w:footnote>
  <w:footnote w:id="4">
    <w:p w:rsidR="00941D01" w:rsidRDefault="005D2BB5">
      <w:pPr>
        <w:pStyle w:val="FootnoteText"/>
      </w:pPr>
      <w:r>
        <w:rPr>
          <w:rStyle w:val="FootnoteReference"/>
        </w:rPr>
        <w:footnoteRef/>
      </w:r>
      <w:r>
        <w:tab/>
        <w:t>СОМ(2014) 494 final.</w:t>
      </w:r>
    </w:p>
  </w:footnote>
  <w:footnote w:id="5">
    <w:p w:rsidR="00941D01" w:rsidRDefault="005D2BB5">
      <w:pPr>
        <w:pStyle w:val="FootnoteText"/>
      </w:pPr>
      <w:r>
        <w:rPr>
          <w:rStyle w:val="FootnoteReference"/>
        </w:rPr>
        <w:footnoteRef/>
      </w:r>
      <w:r>
        <w:tab/>
        <w:t>Салдо, коригирано спрямо фазата на икономическия цикъл, без еднократните и другите временни мерки, преизчислено от службите</w:t>
      </w:r>
      <w:r>
        <w:t xml:space="preserve"> на Комисията с помощта на общоприетата методология.</w:t>
      </w:r>
    </w:p>
    <w:p w:rsidR="00941D01" w:rsidRDefault="00941D01">
      <w:pPr>
        <w:pStyle w:val="FootnoteText"/>
      </w:pPr>
    </w:p>
  </w:footnote>
  <w:footnote w:id="6">
    <w:p w:rsidR="00941D01" w:rsidRDefault="005D2BB5">
      <w:pPr>
        <w:pStyle w:val="FootnoteText"/>
      </w:pPr>
      <w:r>
        <w:rPr>
          <w:rStyle w:val="FootnoteReference"/>
        </w:rPr>
        <w:footnoteRef/>
      </w:r>
      <w:r>
        <w:tab/>
        <w:t>Нетните първични разходи на държавното управление се състоят от общите държавни разходи с изключение на разходите за лихви, разходите по програми на Съюза, които изцяло се покриват от приходи от фондо</w:t>
      </w:r>
      <w:r>
        <w:t>ве на Съюза, и недискреционните промени в разходите за обезщетения при безработица. Държавните разходи за бруто образуване на основен капитал се изглаждат за период от 4 години. Дискреционните мерки по отношение на приходите и предвиденото по закон увелича</w:t>
      </w:r>
      <w:r>
        <w:t>ване на приходите са взети предвид. Еднократните мерки по отношение както на приходите, така и на разходите, са нетирани.</w:t>
      </w:r>
    </w:p>
    <w:p w:rsidR="00941D01" w:rsidRDefault="00941D01">
      <w:pPr>
        <w:pStyle w:val="FootnoteText"/>
      </w:pPr>
    </w:p>
  </w:footnote>
  <w:footnote w:id="7">
    <w:p w:rsidR="00941D01" w:rsidRDefault="005D2BB5"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  <w:t>Работен документ на службите на Комисията SWD (2019) 1025 final.</w:t>
      </w:r>
    </w:p>
  </w:footnote>
  <w:footnote w:id="8">
    <w:p w:rsidR="00941D01" w:rsidRDefault="005D2BB5">
      <w:pPr>
        <w:pStyle w:val="FootnoteText"/>
      </w:pPr>
      <w:r>
        <w:rPr>
          <w:rStyle w:val="FootnoteReference"/>
        </w:rPr>
        <w:footnoteRef/>
      </w:r>
      <w:r>
        <w:tab/>
        <w:t>Съгласно член 5, параграф 2 от Регламент (ЕО) № 1466/97 на Съвет</w:t>
      </w:r>
      <w:r>
        <w:t>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AE60E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ABCF7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01CC5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3584A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487C50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A8C12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3F4FD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5F845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2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2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activeWritingStyle w:appName="MSWord" w:lang="pt-PT" w:vendorID="64" w:dllVersion="131078" w:nlCheck="1" w:checkStyle="0"/>
  <w:activeWritingStyle w:appName="MSWord" w:lang="en-GB" w:vendorID="64" w:dllVersion="131078" w:nlCheck="1" w:checkStyle="1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12 13:21:5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058738EB-7775-4BBF-A33F-66CFE929E199"/>
    <w:docVar w:name="LW_COVERPAGE_TYPE" w:val="1"/>
    <w:docVar w:name="LW_CROSSREFERENCE" w:val="&lt;UNUSED&gt;"/>
    <w:docVar w:name="LW_DocType" w:val="COM"/>
    <w:docVar w:name="LW_EMISSION" w:val="5.6.2019"/>
    <w:docVar w:name="LW_EMISSION_ISODATE" w:val="2019-06-05"/>
    <w:docVar w:name="LW_EMISSION_LOCATION" w:val="BRX"/>
    <w:docVar w:name="LW_EMISSION_PREFIX" w:val="Брюксел, "/>
    <w:docVar w:name="LW_EMISSION_SUFFIX" w:val=" \u1075?."/>
    <w:docVar w:name="LW_ID_DOCMODEL" w:val="SG-002"/>
    <w:docVar w:name="LW_ID_DOCSIGNATURE" w:val="SG-002"/>
    <w:docVar w:name="LW_ID_DOCSTRUCTURE" w:val="COM/PL/ORG"/>
    <w:docVar w:name="LW_ID_DOCTYPE" w:val="SG-002"/>
    <w:docVar w:name="LW_ID_EXP.MOTIFS.NEW" w:val="EM_PL_"/>
    <w:docVar w:name="LW_ID_STATUT" w:val="SG-002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52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87?\u1086?\u1088?\u1098?\u1082?\u1072? \u1079?\u1072?"/>
    <w:docVar w:name="LW_SUPERTITRE" w:val="&lt;UNUSED&gt;"/>
    <w:docVar w:name="LW_TITRE.OBJ.CP" w:val="\u1086?\u1090?\u1085?\u1086?\u1089?\u1085?\u1086? \u1085?\u1072?\u1094?\u1080?\u1086?\u1085?\u1072?\u1083?\u1085?\u1072?\u1090?\u1072? \u1087?\u1088?\u1086?\u1075?\u1088?\u1072?\u1084?\u1072? \u1079?\u1072? \u1088?\u1077?\u1092?\u1086?\u1088?\u1084?\u1080? \u1085?\u1072? \u1060?\u1080?\u1085?\u1083?\u1072?\u1085?\u1076?\u1080?\u1103? \u1079?\u1072? 2019 \u1075?. \u1080? \u1089?\u1098?\u1076?\u1098?\u1088?\u1078?\u1072?\u1097?\u1072? \u1089?\u1090?\u1072?\u1085?\u1086?\u1074?\u1080?\u1097?\u1077? \u1085?\u1072? \u1057?\u1098?\u1074?\u1077?\u1090?\u1072? \u1086?\u1090?\u1085?\u1086?\u1089?\u1085?\u1086? \u1087?\u1088?\u1086?\u1075?\u1088?\u1072?\u1084?\u1072?\u1090?\u1072? \u1079?\u1072? \u1089?\u1090?\u1072?\u1073?\u1080?\u1083?\u1085?\u1086?\u1089?\u1090? \u1085?\u1072? \u1060?\u1080?\u1085?\u1083?\u1072?\u1085?\u1076?\u1080?\u1103? \u1079?\u1072? 2019 \u1075?._x000b__x000b_"/>
    <w:docVar w:name="LW_TYPE.DOC.CP" w:val="\u1055?\u1056?\u1045?\u1055?\u1054?\u1056?\u1066?\u1050?\u1040? \u1053?\u1040? \u1057?\u1066?\u1042?\u1045?\u1058?\u1040?"/>
  </w:docVars>
  <w:rsids>
    <w:rsidRoot w:val="00941D01"/>
    <w:rsid w:val="005D2BB5"/>
    <w:rsid w:val="0094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61675AC-EBF5-433A-BF16-0783DA24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2">
    <w:name w:val="Dash 2"/>
    <w:basedOn w:val="Normal"/>
    <w:pPr>
      <w:numPr>
        <w:numId w:val="11"/>
      </w:numPr>
      <w:spacing w:line="360" w:lineRule="auto"/>
      <w:jc w:val="lef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A28036F-EBEF-486C-B036-98D35100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1</TotalTime>
  <Pages>8</Pages>
  <Words>2556</Words>
  <Characters>14780</Characters>
  <Application>Microsoft Office Word</Application>
  <DocSecurity>0</DocSecurity>
  <Lines>242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HEILEMANN Stefanie (SG)</cp:lastModifiedBy>
  <cp:revision>20</cp:revision>
  <cp:lastPrinted>2019-05-29T16:22:00Z</cp:lastPrinted>
  <dcterms:created xsi:type="dcterms:W3CDTF">2019-06-06T12:58:00Z</dcterms:created>
  <dcterms:modified xsi:type="dcterms:W3CDTF">2019-06-12T11:48:00Z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SG-002</vt:lpwstr>
  </property>
  <property fmtid="{D5CDD505-2E9C-101B-9397-08002B2CF9AE}" pid="10" name="DQCStatus">
    <vt:lpwstr>Yellow (DQC version 03)</vt:lpwstr>
  </property>
</Properties>
</file>