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F3979F0-995D-4CDA-AD7E-CF52786A4DBA" style="width:450.75pt;height:366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относно националната програма за реформи на Германия за 2019 г. и съдържаща становище на Съвета относно програмата за стабилност на Германия за 2019 г.</w:t>
      </w:r>
      <w:r>
        <w:rPr>
          <w:noProof/>
        </w:rPr>
        <w:br/>
      </w:r>
      <w:r>
        <w:rPr>
          <w:noProof/>
        </w:rPr>
        <w:br/>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121, параграф 2 и член 148, параграф 4 от него,</w:t>
      </w:r>
    </w:p>
    <w:p>
      <w:pPr>
        <w:rPr>
          <w:noProof/>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1"/>
      </w:r>
      <w:r>
        <w:rPr>
          <w:noProof/>
        </w:rPr>
        <w:t>, и по-специално член 5, параграф 2 от него,</w:t>
      </w:r>
    </w:p>
    <w:p>
      <w:pPr>
        <w:rPr>
          <w:noProof/>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2"/>
      </w:r>
      <w:r>
        <w:rPr>
          <w:noProof/>
        </w:rPr>
        <w:t xml:space="preserve">, и по-специално член 6, параграф 1 от него, </w:t>
      </w:r>
    </w:p>
    <w:p>
      <w:pPr>
        <w:rPr>
          <w:noProof/>
        </w:rPr>
      </w:pPr>
      <w:r>
        <w:rPr>
          <w:noProof/>
        </w:rPr>
        <w:t>като взе предвид препоръката на Европейската комисия,</w:t>
      </w:r>
    </w:p>
    <w:p>
      <w:pPr>
        <w:rPr>
          <w:noProof/>
        </w:rPr>
      </w:pPr>
      <w:r>
        <w:rPr>
          <w:noProof/>
        </w:rPr>
        <w:t>като взе предвид резолюциите на Европейския парламент,</w:t>
      </w:r>
    </w:p>
    <w:p>
      <w:pPr>
        <w:outlineLvl w:val="0"/>
        <w:rPr>
          <w:noProof/>
        </w:rPr>
      </w:pPr>
      <w:r>
        <w:rPr>
          <w:noProof/>
        </w:rPr>
        <w:t>като взе предвид заключенията на Европейския съвет,</w:t>
      </w:r>
    </w:p>
    <w:p>
      <w:pPr>
        <w:rPr>
          <w:noProof/>
        </w:rPr>
      </w:pPr>
      <w:r>
        <w:rPr>
          <w:noProof/>
        </w:rPr>
        <w:t>като взе предвид становището на Комитета по заетостта,</w:t>
      </w:r>
    </w:p>
    <w:p>
      <w:pPr>
        <w:rPr>
          <w:noProof/>
        </w:rPr>
      </w:pPr>
      <w:r>
        <w:rPr>
          <w:noProof/>
        </w:rPr>
        <w:t>като взе предвид становището на Икономическия и финансов комитет,</w:t>
      </w:r>
    </w:p>
    <w:p>
      <w:pPr>
        <w:rPr>
          <w:noProof/>
        </w:rPr>
      </w:pPr>
      <w:r>
        <w:rPr>
          <w:noProof/>
        </w:rPr>
        <w:t>като взе предвид становището на Комитета за социална закрила,</w:t>
      </w:r>
    </w:p>
    <w:p>
      <w:pPr>
        <w:rPr>
          <w:noProof/>
        </w:rPr>
      </w:pPr>
      <w:r>
        <w:rPr>
          <w:noProof/>
        </w:rPr>
        <w:t xml:space="preserve">като взе предвид становището на Комитета за икономическа политика, </w:t>
      </w:r>
    </w:p>
    <w:p>
      <w:pPr>
        <w:rPr>
          <w:noProof/>
        </w:rPr>
      </w:pPr>
      <w:r>
        <w:rPr>
          <w:noProof/>
        </w:rPr>
        <w:t>като има предвид, че:</w:t>
      </w:r>
    </w:p>
    <w:p>
      <w:pPr>
        <w:pStyle w:val="ManualConsidrant"/>
        <w:rPr>
          <w:noProof/>
        </w:rPr>
      </w:pPr>
      <w:r>
        <w:t>(1)</w:t>
      </w:r>
      <w:r>
        <w:tab/>
      </w:r>
      <w:r>
        <w:rPr>
          <w:noProof/>
        </w:rPr>
        <w:t xml:space="preserve">На </w:t>
      </w:r>
      <w:r>
        <w:rPr>
          <w:noProof/>
          <w:color w:val="000000" w:themeColor="text1"/>
        </w:rPr>
        <w:t>21 ноември 2018 г. Комисията прие годишния обзор на растежа, с което постави началото на европейския семестър</w:t>
      </w:r>
      <w:r>
        <w:rPr>
          <w:noProof/>
        </w:rPr>
        <w:t xml:space="preserve"> за координация на икономическите политики за 2019 г. Тя надлежно взе предвид Европейският стълб на социалните права, който беше провъзгласен от Европейския парламент, Съвета и Комисията на 17 ноември 2017 г. Приоритетите на годишния обзор на растежа бяха одобрени от Европейския съвет на 21 март 2019 г. Въз основа на Регламент (ЕС) № 1176/2011, на 21 ноември 2018 г. Комисията прие също Доклада за механизма за предупреждение, в който Германия беше посочена като една от държавите членки, за които ще бъде извършен задълбочен преглед. На същата дата Комисията прие и препоръка за препоръка на Съвета относно икономическата политика на еврозоната, която беше одобрена от Европейския съвет на 21 март 2019 г. На 9 април 2019 г. Съветът прие Препоръката относно икономическата политика на еврозоната (наричана по-нататък „Препоръката за еврозоната“). </w:t>
      </w:r>
    </w:p>
    <w:p>
      <w:pPr>
        <w:pStyle w:val="ManualConsidrant"/>
        <w:rPr>
          <w:noProof/>
        </w:rPr>
      </w:pPr>
      <w:r>
        <w:t>(2)</w:t>
      </w:r>
      <w:r>
        <w:tab/>
      </w:r>
      <w:r>
        <w:rPr>
          <w:noProof/>
        </w:rPr>
        <w:t xml:space="preserve">Като държава членка, чиято парична единица е еврото, и с оглед на тясната взаимообвързаност между икономиките в икономическия и паричен съюз Германия следва да гарантира пълното и своевременното изпълнение на Препоръката за еврозоната в съответствие с препоръки 1 и 2 по-долу. По-специално, мерки, свързани с инвестициите, и подкрепа на растежа на заплатите ще спомогнат за изпълнението на първата препоръка за еврозоната относно възстановяването на равновесието в еврозоната, а изместването на данъчната тежест от труда ще спомогне за изпълнението на третата препоръка за еврозоната относно функционирането на пазара на труда. </w:t>
      </w:r>
    </w:p>
    <w:p>
      <w:pPr>
        <w:pStyle w:val="ManualConsidrant"/>
        <w:rPr>
          <w:noProof/>
        </w:rPr>
      </w:pPr>
      <w:r>
        <w:t>(3)</w:t>
      </w:r>
      <w:r>
        <w:tab/>
      </w:r>
      <w:r>
        <w:rPr>
          <w:noProof/>
        </w:rPr>
        <w:t>Докладът за Германия за 2019 г.</w:t>
      </w:r>
      <w:r>
        <w:rPr>
          <w:rStyle w:val="FootnoteReference"/>
          <w:noProof/>
        </w:rPr>
        <w:footnoteReference w:id="3"/>
      </w:r>
      <w:r>
        <w:rPr>
          <w:noProof/>
        </w:rPr>
        <w:t xml:space="preserve"> беше публикуван на 27 февруари 2019 г. В него бе оценен напредъкът на Германия в изпълнението на специфичните за държавата препоръки, приети от Съвета на 13 юли 2018 г., последващите действия във връзка с препоръките, отправени към Германия през предходните години, както и напредъкът на страната по националните ѝ цели по стратегията „Европа 2020“. В него бе включен и задълбочен преглед в съответствие с член 5 от Регламент (ЕС) № 1176/2011, чиито резултати също бяха публикувани на 27 февруари 2019 г.</w:t>
      </w:r>
      <w:r>
        <w:rPr>
          <w:rStyle w:val="FootnoteReference"/>
          <w:noProof/>
        </w:rPr>
        <w:footnoteReference w:id="4"/>
      </w:r>
      <w:r>
        <w:rPr>
          <w:noProof/>
        </w:rPr>
        <w:t xml:space="preserve">. Анализът на Комисията ѝ дава основание да заключи, че в Германия са налице макроикономически дисбаланси. По-специално, бавно намаляващият излишък по текущата сметка продължава да бъде висок и има трансгранично значение. През 2018 г. излишъкът леко намаля вследствие на увеличеното вътрешно търсене и се очаква през следващите години той да продължи постепенно да намалява, като се запази на равнище над прага, определен в рамките на процедурата при макроикономически дисбаланси. Излишъкът отразява по-ниско равнище на вътрешни инвестиции спрямо спестяванията както в частния, така и в публичния сектор. Бяха предприети мерки за насърчаване на частните и публичните инвестиции, които значително нараснаха. Това допринесе за растеж, който се дължи в по-голяма степен на вътрешното търсене. При все това, очакваното нарастване на инвестициите и потреблението като дял от БВП би могло да бъде по-голямо предвид на благоприятните условия за финансиране, изоставането при публичните инвестиции, особено на общинско равнище, както и наличното фискално пространство. Ръстът на заплатите малко се увеличи вследствие на свиването на пазара на труда, но въпреки това реалният ръст на заплатите остава умерен. </w:t>
      </w:r>
    </w:p>
    <w:p>
      <w:pPr>
        <w:pStyle w:val="ManualConsidrant"/>
        <w:rPr>
          <w:noProof/>
        </w:rPr>
      </w:pPr>
      <w:r>
        <w:t>(4)</w:t>
      </w:r>
      <w:r>
        <w:tab/>
      </w:r>
      <w:r>
        <w:rPr>
          <w:noProof/>
        </w:rPr>
        <w:t>На 16 април 2019 г. Германия представи своята национална програма за реформи за 2019 г., а на 17 април 2019 г. — програмата си за стабилност за 2019 г. Двете програми бяха оценени едновременно, за да бъдат отчетени взаимовръзките между тях.</w:t>
      </w:r>
    </w:p>
    <w:p>
      <w:pPr>
        <w:pStyle w:val="ManualConsidrant"/>
        <w:rPr>
          <w:noProof/>
        </w:rPr>
      </w:pPr>
      <w:r>
        <w:t>(5)</w:t>
      </w:r>
      <w:r>
        <w:tab/>
      </w:r>
      <w:r>
        <w:rPr>
          <w:noProof/>
        </w:rPr>
        <w:t>Съответните специфични за всяка държава препоръки бяха взети предвид при програмирането на европейските структурни и инвестиционни фондове (ЕСИ фондове) за периода 2014—2020 г. Както е предвидено в член 23 от Регламент (ЕС) № 1303/2013 на Европейския парламент и на Съвета</w:t>
      </w:r>
      <w:r>
        <w:rPr>
          <w:rStyle w:val="FootnoteReference"/>
          <w:noProof/>
        </w:rPr>
        <w:footnoteReference w:id="5"/>
      </w:r>
      <w:r>
        <w:rPr>
          <w:noProof/>
        </w:rPr>
        <w:t>, когато това е необходимо за подпомагане на изпълнението на съответните препоръки на Съвета, Комисията може да поиска от дадена държава членка да преразгледа своето споразумение за партньорство и съответните програми и да предложи промени в тях. Комисията предостави допълнителни подробности за начина, по който ще използва тази разпоредба, в насоки относно прилагането на мерките, обвързващи ефективността на ЕСИ фондовете с доброто икономическо управление</w:t>
      </w:r>
      <w:r>
        <w:rPr>
          <w:rStyle w:val="FootnoteReference"/>
          <w:noProof/>
        </w:rPr>
        <w:footnoteReference w:id="6"/>
      </w:r>
      <w:r>
        <w:rPr>
          <w:noProof/>
        </w:rPr>
        <w:t xml:space="preserve">. </w:t>
      </w:r>
    </w:p>
    <w:p>
      <w:pPr>
        <w:pStyle w:val="ManualConsidrant"/>
        <w:rPr>
          <w:noProof/>
        </w:rPr>
      </w:pPr>
      <w:r>
        <w:t>(6)</w:t>
      </w:r>
      <w:r>
        <w:tab/>
      </w:r>
      <w:r>
        <w:rPr>
          <w:noProof/>
        </w:rPr>
        <w:t>Спрямо Германия понастоящем се прилагат предпазните мерки на Пакта за стабилност и растеж. В своята програма за стабилност за 2019 г. правителството планира бюджетен излишък между ½ и ¾ % от БВП през периода 2019—2023 г. Съгласно преизчисленото структурно салдо</w:t>
      </w:r>
      <w:r>
        <w:rPr>
          <w:rStyle w:val="FootnoteReference"/>
          <w:rFonts w:eastAsia="Times New Roman"/>
          <w:noProof/>
          <w:lang w:eastAsia="en-GB"/>
        </w:rPr>
        <w:footnoteReference w:id="7"/>
      </w:r>
      <w:r>
        <w:rPr>
          <w:noProof/>
        </w:rPr>
        <w:t xml:space="preserve"> средносрочната бюджетна цел за структурен дефицит от 0,5 % от БВП продължава да е преизпълнена през целия период на програмата. Според програмата за стабилност за 2019 г. съотношението на консолидирания държавен дълг към БВП се очаква през 2019 г. да спадне под референтната стойност в Договора от 60 % от БВП и постепенно да намалее, като достигне 51¼ % от БВП през 2023 г. Макроикономическият сценарий в основата на тези бюджетни прогнози е благоприятен. Според прогнозата на Комисията от пролетта на 2019 г. структурното салдо се очаква да отчете излишък от 1,1 % от БВП през 2019 г. и 0,8 % от БВП през 2020 г., което е над средносрочната бюджетна цел. Очаква се консолидираният държавен дълг да продължи да намалява устойчиво. Като цяло Съветът е на мнение, че се предвижда Германия да спази разпоредбите на Пакта за стабилност и растеж през 2019 и 2020 г. Същевременно, при спазване на средносрочната бюджетна цел, е важно фискалната и структурната политика да се използват с цел постигане на устойчива възходяща тенденция в публичните и частните инвестиции, по-специално на регионално и общинско равнище. </w:t>
      </w:r>
    </w:p>
    <w:p>
      <w:pPr>
        <w:pStyle w:val="ManualConsidrant"/>
        <w:rPr>
          <w:noProof/>
        </w:rPr>
      </w:pPr>
      <w:r>
        <w:t>(7)</w:t>
      </w:r>
      <w:r>
        <w:tab/>
      </w:r>
      <w:r>
        <w:rPr>
          <w:noProof/>
        </w:rPr>
        <w:t>През 2018 г. се наблюдава стабилно увеличение на публичните и частните инвестиции, но съотношението на инвестициите остава под средното равнище за еврозоната. През 2018 г. публичните инвестиции нарастват с 7,7 % в номинално изражение и 3,8 % в реално изражение, но все още са нужни повече усилия за преодоляване на изоставането в областта на инвестициите, особено за големи инвестиции в инфраструктура и образование. След период на отрицателен растеж, през последните 3 години реалният растеж на публичните инвестиции е положителен. Това отразява усилията на правителството за увеличаване на инвестициите. Въпреки това инвестициите на общинско равнище останаха по-ниски от обезценяването и изоставането в областта на инвестициите, натрупано до 2018 г., нарасна до 5 % от БВП. Заедно с благоприятната бюджетна позиция това показва, че са налице възможности за увеличаване на инвестициите на всички равнища на управление, по-специално на регионално и общинско равнище. Инвестициите в публична инфраструктура все още са възпрепятствани от ограничения по отношение на капацитета и планирането на общинско равнище. Бяха въведени мерки за преодоляване на тези ограничения, но все още е нужно време, за да се видят трайни резултати от тях. Освен това съществуват възможности за подобряване на цифровите обществени услуги и обществените поръчки. Частните инвестиции се увеличиха значително, но не за всички видове активи. Инвестициите в оборудване силно нараснаха в отговор на рекордно високото използване на капацитета. Жилищното строителство продължава да процъфтява. Строителният сектор обаче понастоящем отчита недостиг на капацитет и ценови увеличения. Нежилищното строителство нараства бавно в реално изражение, от което може да се предположи, че основната инфраструктура може да не е в крак с потребностите на икономиката.</w:t>
      </w:r>
    </w:p>
    <w:p>
      <w:pPr>
        <w:pStyle w:val="ManualConsidrant"/>
        <w:rPr>
          <w:noProof/>
        </w:rPr>
      </w:pPr>
      <w:r>
        <w:t>(8)</w:t>
      </w:r>
      <w:r>
        <w:tab/>
      </w:r>
      <w:r>
        <w:rPr>
          <w:noProof/>
        </w:rPr>
        <w:t xml:space="preserve">Публичните разходи за образование възлизат на 4,1 % от БВП през 2017 г., което продължава да е под средното за Съюза равнище от 4,6 %. 9,3 % от общите правителствени разходи бяха изразходвани за образование, което е също под средната стойност за ЕС от 10,2 %. Разходите за образование и научни изследвания останаха на равнище 9 % от БВП през 2017 г., което е под националната цел от 10 %. Макар че разходите за образование се увеличиха в реално изражение, голямото изоставане в областта на инвестициите допълнително нарасна вследствие на демографските промени. Законодателните промени, позволяващи преки инвестиции от федералното правителство в областта на цифровото образование, в допълнение към средствата, отпуснати от федералните провинции (DigitalPakt), са обещаващи, но все още трябва да донесат резултати. Предизвикателства като все по-големият брой студенти, недостигът на учители, цифровизацията и по-нататъшното разширяване на образованието и грижите в ранна детска възраст ще изискват подходящо публично финансиране. Допълнителните разходи за образование и научни изследвания и иновации са изключително важни за увеличаване на потенциалния растеж на Германия и за адаптиране към промените в технологиите. </w:t>
      </w:r>
    </w:p>
    <w:p>
      <w:pPr>
        <w:pStyle w:val="ManualConsidrant"/>
        <w:rPr>
          <w:noProof/>
        </w:rPr>
      </w:pPr>
      <w:r>
        <w:t>(9)</w:t>
      </w:r>
      <w:r>
        <w:tab/>
      </w:r>
      <w:r>
        <w:rPr>
          <w:noProof/>
        </w:rPr>
        <w:t>През последните години Германия постигна напредък по отношение на увеличаването на своя интензитет на научноизследователска и развойна дейност, главно в резултат на увеличение на разходите за научноизследователска и развойна дейност от страна на големите дружества, особено в секторите на средновисокотехнологичното производство, и по-специално в автомобилния сектор. Интензитетът на научноизследователска и развойна дейност на малките и средните предприятия е значително под средния за ЕС и продължава да изостава. Малките и средните предприятия се възползват в по-малка степен от сътрудничество с публичните научноизследователски институти в сравнение с големите предприятия. Тези два фактора водят до понижаване на равнището на бизнес иновациите, които са с тенденция към спад в дългосрочен план. Допълнителните инвестиции в научноизследователска и развойна дейност са от съществено значение не само с оглед на засилването на иновационния капацитет на икономиката и повишаването на производителността, но също така и за улесняване на прехода към нисковъглеродна и кръгова икономика</w:t>
      </w:r>
      <w:r>
        <w:rPr>
          <w:noProof/>
          <w:color w:val="000000"/>
        </w:rPr>
        <w:t>, по-специално по отношение на устойчивия транспорт, зелените енергийни технологии, екоиновациите и рециклирането, и за по-нататъшно подобряване на резултатите в сектора за публични научни изследвания и неговия принос за постигането на тези цели</w:t>
      </w:r>
      <w:r>
        <w:rPr>
          <w:noProof/>
        </w:rPr>
        <w:t xml:space="preserve">. </w:t>
      </w:r>
    </w:p>
    <w:p>
      <w:pPr>
        <w:pStyle w:val="ManualConsidrant"/>
        <w:rPr>
          <w:noProof/>
        </w:rPr>
      </w:pPr>
      <w:r>
        <w:t>(10)</w:t>
      </w:r>
      <w:r>
        <w:tab/>
      </w:r>
      <w:r>
        <w:rPr>
          <w:noProof/>
        </w:rPr>
        <w:t>Цифровизацията на германската икономика напредва бавно и малките и средните предприятия продължават да въвеждат цифрови технологии с бавни темпове. Германия изостава в разгръщането на широколентов достъп с много голям капацитет (гигабитови скорости) на национално равнище, и по-специално в селските райони, където по-големи инвестиции биха могли да подобрят растежа на производителността. Само 9 % от домакинствата в Германия (в средата на 2018 г.) са покрити от висококачествени оптични кабелни мрежи за достъп в сравнение със средната за Съюза стойност от 30 %. Вместо това, модернизирането на съществуващите медни кабелни мрежи (векториране) продължава да бъде предпочитаното технологично решение на заварения оператор. Въпреки че много от услугите се основават на много високоскоростна свързаност, през 2017 г. 23 700 бизнес парка не са свързани с оптична кабелна мрежа, а 28 % от всички дружества не разполагат с достъп до мрежи от поне 50 Mbps. Липсата на такава свързаност пречи на инвестициите, особено на малките и средните предприятия, много от които са разположени в селските и крайградските райони. Публичната намеса в разгръщането на свръхвисокоскоростна (≥ 100 Mbps) широколентова инфраструктура в селските райони продължава да бъде от решаващо значение и биха могли да бъдат проучени различни варианти извън субсидиите. Резултатите при цифровите публични услуги и в електронното здравеопазване също са много под средните за ЕС. През 2018 г. само 43 % от интернет потребителите в Германия са използвали електронни административни услуги (в сравнение със средно 64 % за ЕС). По отношение на електронното здравеопазване, 7 % от германците са използвали услуги в областта на здравеопазването и грижите, предоставяни онлайн (в сравнение със средно 18 % за ЕС). Електронната рецепта се използва от 19 % от общопрактикуващите лекари (в сравнение със средно 50 % за ЕС).</w:t>
      </w:r>
    </w:p>
    <w:p>
      <w:pPr>
        <w:pStyle w:val="ManualConsidrant"/>
        <w:rPr>
          <w:noProof/>
        </w:rPr>
      </w:pPr>
      <w:r>
        <w:t>(11)</w:t>
      </w:r>
      <w:r>
        <w:tab/>
      </w:r>
      <w:r>
        <w:rPr>
          <w:noProof/>
        </w:rPr>
        <w:t>Необходими са повече инвестиции в транспортна инфраструктура и решения за екологично чиста мобилност, за да може Германия да се справи с предизвикателствата, свързани с качеството на въздуха и мобилността, както и за оказване на подкрепа за смекчаване на последиците от изменението на климата и адаптирането към него. Емисиите на парникови газове от автомобилния транспорт през последните 5 години се увеличават. Качеството на въздуха в Германия дава сериозна причина за безпокойство, особено в градските райони, където на пътното движение се падат около 60 % от вредните емисии на NOx. Товарният транспорт може да се възползва от по-развити интермодални решения. Автомобилът остава най-често използваното превозно средство за ежедневно пътуване до работното място и средната продължителност на времето, прекарано в задръствания, е около 30 часа годишно. Според оценките задръстванията и търсенето на места за паркиране струват 110 млрд. евро годишно, или около 4 % от БВП на Германия. Въпреки че в броя на новите регистрации на превозните средства, задвижвани с алтернативни горива, се наблюдава най-голямо увеличение, техният брой остава нисък. Съвместното ползване на автомобили и споделеното пътуване все още са малко разпространени. Съществени по размер публични и частни инвестиции ще бъдат необходими и с оглед на новите вериги за доставка на батерии и суровини от изключителна важност.</w:t>
      </w:r>
    </w:p>
    <w:p>
      <w:pPr>
        <w:pStyle w:val="ManualConsidrant"/>
        <w:rPr>
          <w:noProof/>
        </w:rPr>
      </w:pPr>
      <w:r>
        <w:t>(12)</w:t>
      </w:r>
      <w:r>
        <w:tab/>
      </w:r>
      <w:r>
        <w:rPr>
          <w:noProof/>
        </w:rPr>
        <w:t xml:space="preserve">Електроенергийните мрежи на Германия се адаптират бавно към производството на енергия от възобновяеми източници и продължават да са необходими значителни инвестиции в мрежи за пренос и разпределение. Значителното забавяне при изпълнението на много проекти доведе до съществени разходи за германските и европейските електроенергийни мрежи и електроенергийните пазари. От 1 800-те километра проекти за мрежа, определени в Закона за разширяване на енергийната мрежа от 2009 г., едва около 800 км са изпълнени до второто тримесечие на 2018 г., отчасти вследствие на обществена съпротива. Закъснения в разширяването на мрежата ще доведат до по-високи разходи, свързани със задръствания, и до повече нарушения във функционирането на пазара както в Германия, така и в чужбина. Инвестициите в енергийни мрежи, които насърчават секторната интеграция, диверсификацията и подходящата мрежова инфраструктура са от решаващо значение за гъвкавостта на енергийната система и за по-добрата интеграция между различните сектори на икономиката с оглед на постигането на целите в областта на енергетиката и климата. </w:t>
      </w:r>
    </w:p>
    <w:p>
      <w:pPr>
        <w:pStyle w:val="ManualConsidrant"/>
        <w:rPr>
          <w:rFonts w:eastAsia="Times New Roman"/>
          <w:noProof/>
        </w:rPr>
      </w:pPr>
      <w:r>
        <w:t>(13)</w:t>
      </w:r>
      <w:r>
        <w:tab/>
      </w:r>
      <w:r>
        <w:rPr>
          <w:noProof/>
        </w:rPr>
        <w:t>Жилищата в Германия са станали по-малко достъпни. От 2015 г. насам наемите и цените на жилищата са нараснали по-бързо от дългосрочната средна стойност, по-специално в големите градове. През 2017 г. 20 % от хората на възраст над 65 години в Германия са изправени пред прекомерни жилищни разходи (т.е. общите жилищни разходи представляват над 40 % от разполагаемия им доход), в сравнение с 10 % от европейците на възраст 65 и повече години. За населението с най-ниски доходи коефициентът на прекомерни жилищни разходи беше с 10 процентни пункта над средното равнище за ЕС от 35,3 %. В отговор правителството предприе някои мерки, в т.ч. въвеждането на „спирачка“ с цел ограничаване на нарастването на наемите (</w:t>
      </w:r>
      <w:r>
        <w:rPr>
          <w:i/>
          <w:noProof/>
        </w:rPr>
        <w:t>Mietpreisbremse</w:t>
      </w:r>
      <w:r>
        <w:rPr>
          <w:noProof/>
        </w:rPr>
        <w:t>), схема за подпомагане за закупуване на ново жилище(</w:t>
      </w:r>
      <w:r>
        <w:rPr>
          <w:i/>
          <w:noProof/>
        </w:rPr>
        <w:t>Baukindergeld</w:t>
      </w:r>
      <w:r>
        <w:rPr>
          <w:noProof/>
        </w:rPr>
        <w:t>), както и изменение на основния закон на федерално равнище за финансова подкрепа за изграждане на социални жилища. При все това изграждането на нови жилища изостава значително от търсенето и е доста под целта на правителството от 375 000 нови жилища на година. Може да са необходими допълнителни мерки, като например ускоряване на изграждането на социални жилища, подобряване на възможностите за транспорт, както и реформиране на законодателството в областта на земеползването и строителството.</w:t>
      </w:r>
    </w:p>
    <w:p>
      <w:pPr>
        <w:pStyle w:val="ManualConsidrant"/>
        <w:rPr>
          <w:noProof/>
        </w:rPr>
      </w:pPr>
      <w:r>
        <w:t>(14)</w:t>
      </w:r>
      <w:r>
        <w:tab/>
      </w:r>
      <w:r>
        <w:rPr>
          <w:noProof/>
        </w:rPr>
        <w:t xml:space="preserve">Германия се възползва в особено голяма степен от интеграцията в единния пазар и играе важна роля в по-нататъшното му развитие. Въпреки това, пречките пред конкуренцията в сектора на бизнес услугите в Германия остават високи в сравнение с други държави — членки на ЕС. Това засяга различни области, в това число </w:t>
      </w:r>
      <w:r>
        <w:rPr>
          <w:noProof/>
          <w:color w:val="000000"/>
        </w:rPr>
        <w:t>регулирани професии като</w:t>
      </w:r>
      <w:r>
        <w:rPr>
          <w:noProof/>
        </w:rPr>
        <w:t xml:space="preserve"> архитектура, инженерство и правни услуги, където </w:t>
      </w:r>
      <w:r>
        <w:rPr>
          <w:noProof/>
          <w:color w:val="000000"/>
        </w:rPr>
        <w:t xml:space="preserve">регулаторните ограничения, като например запазването на дейности и регулирането на цените и таксите ограничават конкуренцията. Нерегулираните бизнес услуги обаче също срещат повече ограничения на общата бизнес среда в сравнение с други държави членки. </w:t>
      </w:r>
      <w:r>
        <w:rPr>
          <w:noProof/>
        </w:rPr>
        <w:t xml:space="preserve">Изменения в регулирането на бизнес услугите с цел увеличаване на конкуренцията ще повишат ефикасността и ефективността на инвестиционната и икономическата активност. </w:t>
      </w:r>
    </w:p>
    <w:p>
      <w:pPr>
        <w:pStyle w:val="ManualConsidrant"/>
        <w:rPr>
          <w:noProof/>
        </w:rPr>
      </w:pPr>
      <w:r>
        <w:t>(15)</w:t>
      </w:r>
      <w:r>
        <w:tab/>
      </w:r>
      <w:r>
        <w:rPr>
          <w:noProof/>
        </w:rPr>
        <w:t xml:space="preserve">След като през предходните години бяха направени някои подобрения, през изминалата година напредъкът в реформата на данъчната система на Германия с цел насърчаване на вътрешните частни инвестиции и растеж беше слаб. Данъчната система продължава да е сложна, тя изкривява процеса на вземане на решения, например по отношение на участието на пазара на труда, инвестициите и финансирането, и би могла да предоставя по-ефикасни стимули за инвестиции и потребление. Повече напредък бе отбелязан в областта на данъчното облагане на труда, но той все още не е отразен в данните. Все още съществува потенциал за намаляване на данъчното облагане на труда с изкривяващ ефект чрез пренасочване на данъчното облагане от труда към източници на приходи, които са по-стимулиращи за приобщаващ и устойчив растеж. Данъчното облагане на доходите от труд през 2018 г. (данъчната тежест) продължи да бъде сред най-високите в ЕС, както за лицата със средни, така и за лицата с ниски доходи. Социалноосигурителните вноски на заетите лица са особено високи в международно сравнение и вноските за социално осигуряване като цяло представляват около две трети от данъчната тежест, докато подоходното облагане е една трета. От своя страна, приходите от екологичните данъци като дял от БВП са сред най-ниските в ЕС. Цената на капитала и средната ефективна ставка на корпоративния данък, които се различават в отделните региони, са сред най-високите в ЕС. Средната ефективна данъчна ставка възлизаше на 28,8 % (национална агрегирана стойност) в сравнение със средната стойност за ЕС от 20 %. Комбинацията от корпоративния подоходен данък, местния занаятчийски данък и данък „солидарност“ прави системата за корпоративно данъчно облагане сложна, с големи административни разходи и с изкривяващ ефект по отношение на равнището и местоположението на инвестициите. Освен това корпоративният данък изкривява решенията за финансиране в посока към финансиране с дълг, като според данни от 2017 г. то на третото най-високо ниво в ЕС. Намаляването на капиталовите разходи за собствен капитал може да увеличи частните инвестиции и да засили сравнително неразвития пазар на рисков капитал. </w:t>
      </w:r>
    </w:p>
    <w:p>
      <w:pPr>
        <w:pStyle w:val="ManualConsidrant"/>
        <w:rPr>
          <w:noProof/>
        </w:rPr>
      </w:pPr>
      <w:r>
        <w:t>(16)</w:t>
      </w:r>
      <w:r>
        <w:tab/>
      </w:r>
      <w:r>
        <w:rPr>
          <w:noProof/>
        </w:rPr>
        <w:t xml:space="preserve">Ситуацията на пазара на труда остава стабилна, макар че потенциалът на пазара на труда на някои групи не се оползотворява достатъчно. Равнището на заетостта при хората на възраст 20—64 години през четвъртото тримесечие на 2018 г. е сред най-високите в ЕС, като достигна 79,9 %. </w:t>
      </w:r>
      <w:r>
        <w:rPr>
          <w:noProof/>
          <w:color w:val="000000"/>
        </w:rPr>
        <w:t>В началото на</w:t>
      </w:r>
      <w:r>
        <w:rPr>
          <w:noProof/>
        </w:rPr>
        <w:t xml:space="preserve"> 2019 г. безработицата намаля до рекордно ниско равнище от 3,2 %. Високият процент свободни работни места и недостигът на работна ръка стават все по-очевидни и ограничават в значителна степен производството в някои региони и сектори. При все това потенциалът на някои групи на пазара на труда</w:t>
      </w:r>
      <w:r>
        <w:rPr>
          <w:noProof/>
          <w:color w:val="000000"/>
        </w:rPr>
        <w:t>, като например жените и хората с мигрантски произход,</w:t>
      </w:r>
      <w:r>
        <w:rPr>
          <w:noProof/>
        </w:rPr>
        <w:t xml:space="preserve"> не се използва достатъчно. Процентът на заетост на непълно работно време при жените в Германия е много висок — 46,7 %. Данъците върху труда в Германия остават относително високи, включително за лицата с по-ниски доходи. Специалните правила, уреждащи съвместното подоходно облагане на брачните двойки (</w:t>
      </w:r>
      <w:r>
        <w:rPr>
          <w:i/>
          <w:noProof/>
        </w:rPr>
        <w:t>Ehegattensplitting</w:t>
      </w:r>
      <w:r>
        <w:rPr>
          <w:noProof/>
        </w:rPr>
        <w:t xml:space="preserve">), намаляват стимулите за вторите работещи членове на домакинството да работят повече часове. Процентът на заетост сред хората с мигрантски произход е много по-нисък отколкото сред хората с местен произход, като тази разлика е особено голяма при жените. Бяха предприети мерки в подкрепа на интеграцията на бежанците на пазара на труда, но липсата на владеене на немски език, липсващите или непрехвърлими квалификации, отговорностите за полагане на грижи за деца и роднини, както и липсата на опит с неофициалните правила на германския пазар на труда продължават да са предизвикателство. </w:t>
      </w:r>
    </w:p>
    <w:p>
      <w:pPr>
        <w:pStyle w:val="ManualConsidrant"/>
        <w:rPr>
          <w:noProof/>
        </w:rPr>
      </w:pPr>
      <w:r>
        <w:t>(17)</w:t>
      </w:r>
      <w:r>
        <w:tab/>
      </w:r>
      <w:r>
        <w:rPr>
          <w:noProof/>
        </w:rPr>
        <w:t xml:space="preserve">Пенсионирането на поколението на демографския бум има по-голямо отражение в Германия отколкото в други държави от ЕС. В дългосрочен план тези демографските промени ще обременят германските публични финанси, могат да поставят под въпрос адекватността на пенсиите и да увеличат сегашния ограничен дял на възрастното население (над 65 години), което е изложено на риск от бедност или социално приобщаване. До 2040 г. се очаква страната да бъде изправена пред едно от най-големите увеличения на разходите за публични пенсии </w:t>
      </w:r>
      <w:r>
        <w:rPr>
          <w:noProof/>
          <w:color w:val="000000"/>
        </w:rPr>
        <w:t>като дял от БВП</w:t>
      </w:r>
      <w:r>
        <w:rPr>
          <w:noProof/>
        </w:rPr>
        <w:t xml:space="preserve"> в ЕС (увеличение с 1,9 процентни пункта от БВП), докато съотношението на обезщетенията в общественото пенсионно осигуряване се очаква да намалее с 4,4 процентни пункта и да достигне 37,6 % според Доклада за застаряването за 2018 г. (Европейска комисия, 2018d). Благодарение на неотдавнашните пенсионни реформи равнищата на обезщетенията за определени групи нараснаха, но все още не е ясно дали постигнатите социални ползи са съизмерими със значителните фискални разходи, свързани с тях. Правителството също определи двоен праг (</w:t>
      </w:r>
      <w:r>
        <w:rPr>
          <w:i/>
          <w:noProof/>
        </w:rPr>
        <w:t>doppelte Haltelinie</w:t>
      </w:r>
      <w:r>
        <w:rPr>
          <w:noProof/>
        </w:rPr>
        <w:t>): максимален размер на вноската в пенсионноосигурителната схема в размер на 20 % и минимални коефициенти на заместване на дохода в размер на 48 % до 2025 г. Очаква се поддържането на тези прагове да изисква значителни фискални трансфери, с което бремето за по-младите поколения допълнително ще нарасне. В допълнение адекватността на доходите след пенсиониране на работниците с ниски доходи продължава да бъде проблем.</w:t>
      </w:r>
    </w:p>
    <w:p>
      <w:pPr>
        <w:pStyle w:val="ManualConsidrant"/>
        <w:rPr>
          <w:noProof/>
        </w:rPr>
      </w:pPr>
      <w:r>
        <w:t>(18)</w:t>
      </w:r>
      <w:r>
        <w:tab/>
      </w:r>
      <w:r>
        <w:rPr>
          <w:noProof/>
        </w:rPr>
        <w:t xml:space="preserve">Въпреки нарастващия недостиг на работна ръка ръстът на реалните заплати остана умерен, докато номиналните доходи нараснаха с 3,1 % през 2018 г. В допълнение, концентрацията на ръст на заетостта при по-добре платените работни места на пълно работно време и намаляването на дела на пределната заетост на непълно работно време в общата заетост допринесоха за общия ръст на заплатите през 2018 г., който също малко надвишава ръста на производителността. Покритието на колективното договаряне продължи да намалява (с 2 процентни пункта от 2016 г. до 2017 г.) и достигна 49 % в западната и 34 % в източната част на страната. </w:t>
      </w:r>
      <w:r>
        <w:rPr>
          <w:noProof/>
          <w:color w:val="000000"/>
        </w:rPr>
        <w:t xml:space="preserve">Покритието между отделните сектори се различава значително, като в публичния сектор и промишлеността то е по-добро, докато услугите са с много по-ниско покритие. </w:t>
      </w:r>
      <w:r>
        <w:rPr>
          <w:noProof/>
        </w:rPr>
        <w:t>Минималната работна заплата, която беше въведена през 2015 г., като цяло има положителен ефект върху нископлатените работници. Почасовите възнаграждения, които са в най-долната част на разпределението на заплатите, по-специално двата най-долни децила, се увеличиха значително. Въпреки това делът на нископлатените работници, който е 22,5 % през 2017 г., остава значително над средното за ЕС равнище. Броят на заетите лица само на т.нар. мини-работни места е намалял с 6,8 % през периода 2010—2018 г., а заетостта, която подлежи на социално осигуряване, е нараснала с около 18,1 % през същия период. Укрепването на условията за насърчаване на увеличаването на заплатите ще подкрепи вътрешното търсене и ще допринесе за възстановяването на равновесието в еврозоната.</w:t>
      </w:r>
    </w:p>
    <w:p>
      <w:pPr>
        <w:pStyle w:val="ManualConsidrant"/>
        <w:rPr>
          <w:noProof/>
        </w:rPr>
      </w:pPr>
      <w:r>
        <w:t>(19)</w:t>
      </w:r>
      <w:r>
        <w:tab/>
      </w:r>
      <w:r>
        <w:rPr>
          <w:noProof/>
        </w:rPr>
        <w:t>Възходящата социална мобилност в сферата на образованието в Германия е ниска. Националните източници потвърждават наличието на слаб напредък в намаляването на влиянието на социално-икономическия произход върху образователните резултати. В миналото Германия постигна добри резултати в интегрирането на наскоро пристигнали мигранти и бежанци в образованието и обучението. Хората с мигрантски произход обаче обикновено са изправени пред по-големи предизвикателства, отколкото учениците с местен произход (напр. процент на преждевременно напускащите училище и трудности при намирането на места за чиракуване). Все по-хетерогенните класни стаи изискват решителни усилия за укрепване на учителската професия в условията на вече значителен недостиг на учители. Участието на работещите в обучение за възрастни е повод за безпокойство относно бъдещото функциониране на пазара на труда за работниците, по-специално за нискоквалифицираното възрастно население от 7,5 милиона души, което не разполага с основни умения за четене и писане.</w:t>
      </w:r>
    </w:p>
    <w:p>
      <w:pPr>
        <w:pStyle w:val="ManualConsidrant"/>
        <w:rPr>
          <w:noProof/>
        </w:rPr>
      </w:pPr>
      <w:r>
        <w:t>(20)</w:t>
      </w:r>
      <w:r>
        <w:tab/>
      </w:r>
      <w:r>
        <w:rPr>
          <w:noProof/>
        </w:rPr>
        <w:t xml:space="preserve">Въпреки че броят на хората, изложени на риск от бедност или социално изключване, намаля от най-високата си стойност през 2014 г., продължават да съществуват предизвикателства в областта на равните възможности. По-специално, рискът от бедност или социално изключване през 2017 г. е бил с 67 процентни пункта по-голям за децата на нискоквалифицирани родители отколкото за децата на висококвалифицирани родители. Тази разлика е значително по-висока от средната разлика в ЕС (53,9 процентни пункта). </w:t>
      </w:r>
    </w:p>
    <w:p>
      <w:pPr>
        <w:pStyle w:val="ManualConsidrant"/>
        <w:rPr>
          <w:noProof/>
        </w:rPr>
      </w:pPr>
      <w:r>
        <w:t>(21)</w:t>
      </w:r>
      <w:r>
        <w:tab/>
      </w:r>
      <w:r>
        <w:rPr>
          <w:noProof/>
        </w:rPr>
        <w:t>Програмирането на средствата от ЕС за периода 2021—2027 г. би могло да спомогне за справяне с някои от слабостите, установени в препоръките, по-специално в областите, обхванати от приложение Г към доклада за страната</w:t>
      </w:r>
      <w:r>
        <w:rPr>
          <w:rStyle w:val="FootnoteReference"/>
          <w:noProof/>
        </w:rPr>
        <w:footnoteReference w:id="8"/>
      </w:r>
      <w:r>
        <w:rPr>
          <w:noProof/>
        </w:rPr>
        <w:t>. Това ще даде възможност на Германия да се възползва по най-добрия начин от тези фондове по отношение на идентифицираните сектори, като вземе предвид регионалните различия.</w:t>
      </w:r>
    </w:p>
    <w:p>
      <w:pPr>
        <w:pStyle w:val="ManualConsidrant"/>
        <w:rPr>
          <w:noProof/>
        </w:rPr>
      </w:pPr>
      <w:r>
        <w:t>(22)</w:t>
      </w:r>
      <w:r>
        <w:tab/>
      </w:r>
      <w:r>
        <w:rPr>
          <w:noProof/>
        </w:rPr>
        <w:t xml:space="preserve">В рамките на европейския семестър за 2019 г. Комисията извърши цялостен анализ на икономическата политика на Германия и го публикува в доклада за страната за 2019 г. Тя оцени също програмата за стабилност за 2019 г., националната програма за реформи за 2019 г. и предприетите последващи действия във връзка с препоръките към Германия, отправени през предходните години. Комисията взе предвид не само тяхното значение за провеждането на устойчива бюджетна и социално-икономическа политика в Германия, но и тяхното съответствие с правилата и насоките на Съюза предвид необходимостта от засилване на цялостното икономическо управление на Съюза чрез принос на равнище Съюз към бъдещите решения на държавите членки. </w:t>
      </w:r>
    </w:p>
    <w:p>
      <w:pPr>
        <w:pStyle w:val="ManualConsidrant"/>
        <w:rPr>
          <w:noProof/>
        </w:rPr>
      </w:pPr>
      <w:r>
        <w:t>(23)</w:t>
      </w:r>
      <w:r>
        <w:tab/>
      </w:r>
      <w:r>
        <w:rPr>
          <w:noProof/>
        </w:rPr>
        <w:t>Предвид на тази оценка Съветът разгледа програмата за стабилност за 2019 г. и е на мнение, че се очаква Германия да спази разпоредбите на Пакта за стабилност и растеж.</w:t>
      </w:r>
    </w:p>
    <w:p>
      <w:pPr>
        <w:pStyle w:val="ManualConsidrant"/>
        <w:rPr>
          <w:noProof/>
        </w:rPr>
      </w:pPr>
      <w:r>
        <w:t>(24)</w:t>
      </w:r>
      <w:r>
        <w:tab/>
      </w:r>
      <w:r>
        <w:rPr>
          <w:noProof/>
        </w:rPr>
        <w:t>С оглед на задълбочения преглед, направен от Комисията, и тази оценка Съветът разгледа националната програма за реформи за 2019 г. и програмата за стабилност за 2019 г. Неговите препоръки съгласно член 6 от Регламент (ЕС) № 1176/2011 са отразени в препоръки 1 и 2 по-долу,</w:t>
      </w:r>
    </w:p>
    <w:p>
      <w:pPr>
        <w:pStyle w:val="Formuledadoption"/>
        <w:rPr>
          <w:noProof/>
        </w:rPr>
      </w:pPr>
      <w:r>
        <w:rPr>
          <w:noProof/>
        </w:rPr>
        <w:t>ПРЕПОРЪЧВА на Германия да предприеме следните действия през 2019 и 2020 г.:</w:t>
      </w:r>
    </w:p>
    <w:p>
      <w:pPr>
        <w:pStyle w:val="ManualNumPar1"/>
        <w:rPr>
          <w:noProof/>
          <w:sz w:val="22"/>
        </w:rPr>
      </w:pPr>
      <w:bookmarkStart w:id="1" w:name="_CopyToNewDocument_"/>
      <w:bookmarkEnd w:id="1"/>
      <w:r>
        <w:t>1.</w:t>
      </w:r>
      <w:r>
        <w:tab/>
      </w:r>
      <w:r>
        <w:rPr>
          <w:noProof/>
        </w:rPr>
        <w:t xml:space="preserve">като спазва средносрочната бюджетна цел, да използва фискалната и структурната политика за постигане на устойчива възходяща тенденция в публичните и частните инвестиции, по-специално на регионално и общинско равнище; да съсредоточи инвестиционната икономическа политика върху образованието, научните изследвания и иновациите, цифровизацията и свръхвисокоскоростния широколентов капацитет, устойчивия транспорт, както и енергийните мрежи и жилищата на достъпни цени, като отчита регионалните различия; да измести данъчната тежест от труда към източници, които подкрепят в по-голяма степен приобщаващия и устойчив растеж; да укрепи конкуренцията в сектора на услугите за предприятията и регулираните професии; </w:t>
      </w:r>
    </w:p>
    <w:p>
      <w:pPr>
        <w:pStyle w:val="ManualNumPar1"/>
        <w:rPr>
          <w:noProof/>
        </w:rPr>
      </w:pPr>
      <w:r>
        <w:t>2.</w:t>
      </w:r>
      <w:r>
        <w:tab/>
      </w:r>
      <w:r>
        <w:rPr>
          <w:noProof/>
        </w:rPr>
        <w:t>да намали демотивиращите фактори за тези, които искат да работят повече часове, включително голямата данъчна тежест, особено за хората с ниски възнаграждения и втория работещ член на домакинството; да предприеме мерки за гарантиране на дългосрочната устойчивост на пенсионната система, като същевременно се запази нейната адекватност; да подобри условията за насърчаване на по-голям растеж на заплатите, като в същото време се зачита ролята на социалните партньори; да подобри резултатите от образованието и равнището на уменията на групите в неравностойно положение.</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ОВ L 209, 2.8.1997 г., стр. 1.</w:t>
      </w:r>
    </w:p>
  </w:footnote>
  <w:footnote w:id="2">
    <w:p>
      <w:pPr>
        <w:pStyle w:val="FootnoteText"/>
      </w:pPr>
      <w:r>
        <w:rPr>
          <w:rStyle w:val="FootnoteReference"/>
        </w:rPr>
        <w:footnoteRef/>
      </w:r>
      <w:r>
        <w:tab/>
        <w:t>ОВ L 306, 23.11.2011 г., стр. 25.</w:t>
      </w:r>
    </w:p>
  </w:footnote>
  <w:footnote w:id="3">
    <w:p>
      <w:pPr>
        <w:pStyle w:val="FootnoteText"/>
      </w:pPr>
      <w:r>
        <w:rPr>
          <w:rStyle w:val="FootnoteReference"/>
        </w:rPr>
        <w:footnoteRef/>
      </w:r>
      <w:r>
        <w:tab/>
        <w:t>SWD(2019) 1004 final.</w:t>
      </w:r>
    </w:p>
  </w:footnote>
  <w:footnote w:id="4">
    <w:p>
      <w:pPr>
        <w:pStyle w:val="FootnoteText"/>
        <w:tabs>
          <w:tab w:val="left" w:pos="709"/>
        </w:tabs>
      </w:pPr>
      <w:r>
        <w:rPr>
          <w:rStyle w:val="FootnoteReference"/>
        </w:rPr>
        <w:footnoteRef/>
      </w:r>
      <w:r>
        <w:tab/>
        <w:t>COM(2019) 150 final.</w:t>
      </w:r>
    </w:p>
  </w:footnote>
  <w:footnote w:id="5">
    <w:p>
      <w:pPr>
        <w:pStyle w:val="FootnoteText"/>
        <w:ind w:left="709" w:hanging="709"/>
      </w:pPr>
      <w:r>
        <w:rPr>
          <w:rStyle w:val="FootnoteReference"/>
        </w:rPr>
        <w:footnoteRef/>
      </w:r>
      <w:r>
        <w:tab/>
        <w:t>Регламент (ЕС) № 1303/2013 на Европейския парламент и на Съвета от 17 декември 2013 г.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(ОВ L 347, 20.12.2013 г., стр. 320).</w:t>
      </w:r>
    </w:p>
  </w:footnote>
  <w:footnote w:id="6">
    <w:p>
      <w:pPr>
        <w:pStyle w:val="FootnoteText"/>
      </w:pPr>
      <w:r>
        <w:rPr>
          <w:rStyle w:val="FootnoteReference"/>
        </w:rPr>
        <w:footnoteRef/>
      </w:r>
      <w:r>
        <w:tab/>
        <w:t>COM(2014) 494 final.</w:t>
      </w:r>
    </w:p>
  </w:footnote>
  <w:footnote w:id="7">
    <w:p>
      <w:pPr>
        <w:pStyle w:val="FootnoteText"/>
      </w:pPr>
      <w:r>
        <w:rPr>
          <w:rStyle w:val="FootnoteReference"/>
        </w:rPr>
        <w:footnoteRef/>
      </w:r>
      <w:r>
        <w:tab/>
        <w:t>Салдо, коригирано спрямо фазата на икономическия цикъл и без отчитане на еднократните и временните мерки, преизчислено от службите на Комисията с помощта на общоприетата методология.</w:t>
      </w:r>
    </w:p>
  </w:footnote>
  <w:footnote w:id="8">
    <w:p>
      <w:pPr>
        <w:pStyle w:val="FootnoteText"/>
      </w:pPr>
      <w:r>
        <w:rPr>
          <w:rStyle w:val="FootnoteReference"/>
        </w:rPr>
        <w:footnoteRef/>
      </w:r>
      <w:r>
        <w:tab/>
        <w:t>SWD(2019) 1004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9AE60E5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ABCF774"/>
    <w:lvl w:ilvl="0">
      <w:start w:val="1"/>
      <w:numFmt w:val="decimal"/>
      <w:pStyle w:val="ListNumber3"/>
      <w:lvlText w:val="%1."/>
      <w:lvlJc w:val="left"/>
      <w:pPr>
        <w:tabs>
          <w:tab w:val="num" w:pos="926"/>
        </w:tabs>
        <w:ind w:left="926" w:hanging="360"/>
      </w:pPr>
    </w:lvl>
  </w:abstractNum>
  <w:abstractNum w:abstractNumId="2">
    <w:nsid w:val="FFFFFF7F"/>
    <w:multiLevelType w:val="singleLevel"/>
    <w:tmpl w:val="501CC5BE"/>
    <w:lvl w:ilvl="0">
      <w:start w:val="1"/>
      <w:numFmt w:val="decimal"/>
      <w:pStyle w:val="ListNumber2"/>
      <w:lvlText w:val="%1."/>
      <w:lvlJc w:val="left"/>
      <w:pPr>
        <w:tabs>
          <w:tab w:val="num" w:pos="643"/>
        </w:tabs>
        <w:ind w:left="643" w:hanging="360"/>
      </w:pPr>
    </w:lvl>
  </w:abstractNum>
  <w:abstractNum w:abstractNumId="3">
    <w:nsid w:val="FFFFFF81"/>
    <w:multiLevelType w:val="singleLevel"/>
    <w:tmpl w:val="83584A1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487C503C"/>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A8C12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03F4FD84"/>
    <w:lvl w:ilvl="0">
      <w:start w:val="1"/>
      <w:numFmt w:val="decimal"/>
      <w:pStyle w:val="ListNumber"/>
      <w:lvlText w:val="%1."/>
      <w:lvlJc w:val="left"/>
      <w:pPr>
        <w:tabs>
          <w:tab w:val="num" w:pos="360"/>
        </w:tabs>
        <w:ind w:left="360" w:hanging="360"/>
      </w:pPr>
    </w:lvl>
  </w:abstractNum>
  <w:abstractNum w:abstractNumId="7">
    <w:nsid w:val="FFFFFF89"/>
    <w:multiLevelType w:val="singleLevel"/>
    <w:tmpl w:val="D5F8456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22">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2"/>
    <w:lvlOverride w:ilvl="0">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1"/>
  </w:num>
  <w:num w:numId="12">
    <w:abstractNumId w:val="9"/>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ctiveWritingStyle w:appName="MSWord" w:lang="pt-PT" w:vendorID="64" w:dllVersion="131078" w:nlCheck="1" w:checkStyle="0"/>
  <w:activeWritingStyle w:appName="MSWord" w:lang="en-GB" w:vendorID="64" w:dllVersion="131078" w:nlCheck="1" w:checkStyle="1"/>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6-12 13:47:06"/>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9F3979F0-995D-4CDA-AD7E-CF52786A4DBA"/>
    <w:docVar w:name="LW_COVERPAGE_TYPE" w:val="1"/>
    <w:docVar w:name="LW_CROSSREFERENCE" w:val="&lt;UNUSED&gt;"/>
    <w:docVar w:name="LW_DocType" w:val="COM"/>
    <w:docVar w:name="LW_EMISSION" w:val="5.6.2019"/>
    <w:docVar w:name="LW_EMISSION_ISODATE" w:val="2019-06-05"/>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EXP.MOTIFS.NEW" w:val="EM_PL_"/>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50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87?\u1086?\u1088?\u1098?\u1082?\u1072? \u1079?\u1072?"/>
    <w:docVar w:name="LW_SUPERTITRE" w:val="&lt;UNUSED&gt;"/>
    <w:docVar w:name="LW_TITRE.OBJ.CP" w:val="\u1086?\u1090?\u1085?\u1086?\u1089?\u1085?\u1086? \u1085?\u1072?\u1094?\u1080?\u1086?\u1085?\u1072?\u1083?\u1085?\u1072?\u1090?\u1072? \u1087?\u1088?\u1086?\u1075?\u1088?\u1072?\u1084?\u1072? \u1079?\u1072? \u1088?\u1077?\u1092?\u1086?\u1088?\u1084?\u1080? \u1085?\u1072? \u1043?\u1077?\u1088?\u1084?\u1072?\u1085?\u1080?\u1103? \u1079?\u1072? 2019 \u1075?. \u1080? \u1089?\u1098?\u1076?\u1098?\u1088?\u1078?\u1072?\u1097?\u1072? \u1089?\u1090?\u1072?\u1085?\u1086?\u1074?\u1080?\u1097?\u1077? \u1085?\u1072? \u1057?\u1098?\u1074?\u1077?\u1090?\u1072? \u1086?\u1090?\u1085?\u1086?\u1089?\u1085?\u1086? \u1087?\u1088?\u1086?\u1075?\u1088?\u1072?\u1084?\u1072?\u1090?\u1072? \u1079?\u1072? \u1089?\u1090?\u1072?\u1073?\u1080?\u1083?\u1085?\u1086?\u1089?\u1090? \u1085?\u1072? \u1043?\u1077?\u1088?\u1084?\u1072?\u1085?\u1080?\u1103? \u1079?\u1072? 2019 \u1075?._x000b__x000b_"/>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character" w:styleId="Hyperlink">
    <w:name w:val="Hyperlink"/>
    <w:basedOn w:val="DefaultParagraphFont"/>
    <w:uiPriority w:val="99"/>
    <w:unhideWhenUsed/>
    <w:rPr>
      <w:color w:val="0000FF" w:themeColor="hyperlink"/>
      <w:u w:val="single"/>
    </w:rPr>
  </w:style>
  <w:style w:type="paragraph" w:customStyle="1" w:styleId="Dash2">
    <w:name w:val="Dash 2"/>
    <w:basedOn w:val="Normal"/>
    <w:pPr>
      <w:numPr>
        <w:numId w:val="11"/>
      </w:numPr>
      <w:spacing w:line="360" w:lineRule="auto"/>
      <w:jc w:val="left"/>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30FA058-1C59-4485-AF51-48BE586F3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4277</Words>
  <Characters>24811</Characters>
  <Application>Microsoft Office Word</Application>
  <DocSecurity>0</DocSecurity>
  <Lines>427</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29036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WES PDFC Administrator</cp:lastModifiedBy>
  <cp:revision>19</cp:revision>
  <cp:lastPrinted>2019-05-24T12:28:00Z</cp:lastPrinted>
  <dcterms:created xsi:type="dcterms:W3CDTF">2019-06-07T12:07:00Z</dcterms:created>
  <dcterms:modified xsi:type="dcterms:W3CDTF">2019-06-12T11:47:00Z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 Build 20171009</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SG-002</vt:lpwstr>
  </property>
  <property fmtid="{D5CDD505-2E9C-101B-9397-08002B2CF9AE}" pid="10" name="DQCStatus">
    <vt:lpwstr>Green (DQC version 03)</vt:lpwstr>
  </property>
</Properties>
</file>