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BE2958-AF1F-49D0-AA6D-71DDFB22CD8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Ирландия за 2019 г. и съдържаща становище на Съвета относно програмата за стабилност на Ирландия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доклада за механизма за предупреждение, в който беше посочено, че Ирландия ще бъде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w:t>
      </w:r>
      <w:r>
        <w:rPr>
          <w:noProof/>
        </w:rPr>
        <w:lastRenderedPageBreak/>
        <w:t xml:space="preserve">април 2019 г. Съветът прие препоръката относно икономическата политика на еврозоната (наричана по-долу „препоръка за еврозоната“). </w:t>
      </w:r>
    </w:p>
    <w:p>
      <w:pPr>
        <w:pStyle w:val="ManualConsidrant"/>
        <w:rPr>
          <w:noProof/>
        </w:rPr>
      </w:pPr>
      <w:r>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Ирландия следва да гарантира пълното и навременно изпълнение на препоръката за еврозоната, както е посочено в препоръки 1 и 3 по-долу. По-специално съсредоточаването на икономическата политика, свързана с инвестиции, в посочените области и въвеждането на данъчни мерки ще спомогнат по отношение на втората препоръка за еврозоната, що се отнася до подкрепата на инвестициите, подобрението на публичните финанси и борбата с агресивното данъчно планиране.</w:t>
      </w:r>
    </w:p>
    <w:p>
      <w:pPr>
        <w:pStyle w:val="ManualConsidrant"/>
        <w:rPr>
          <w:noProof/>
        </w:rPr>
      </w:pPr>
      <w:r>
        <w:t>(3)</w:t>
      </w:r>
      <w:r>
        <w:tab/>
      </w:r>
      <w:r>
        <w:rPr>
          <w:noProof/>
        </w:rPr>
        <w:t>Докладът за Ирландия за 2019 г.</w:t>
      </w:r>
      <w:r>
        <w:rPr>
          <w:rStyle w:val="FootnoteReference"/>
          <w:noProof/>
        </w:rPr>
        <w:footnoteReference w:id="3"/>
      </w:r>
      <w:r>
        <w:rPr>
          <w:noProof/>
        </w:rPr>
        <w:t xml:space="preserve"> беше публикуван на 27 февруари 2019 г. В него бе оценен напредъкът на Ирландия в изпълнението на специфичните за държавата препоръки, приети от Съвета на 13 юли 2018 г., последващите действия във връзка с препоръките, отправени към Ирландия през предходните години, както и напредъкът на страната по националните ѝ цели по стратегията „Европа 2020“. В него бе включен и задълбоченият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я доведе до заключението, че в Ирландия са налице прекомерни дисбаланси. По-специално натрупаният висок частен и публичен дълг и нетните външни задължения правят Ирландия уязвима на сътресения, но променливите на потоците продължават да се подобряват. Размерът на частния дълг остава голям, но икономическият растеж продължава да спомага за намаляването му. Дейностите на многонационалните предприятия продължават да оказват влияние върху корпоративния дълг. Задлъжнялостта на домакинствата изглежда като цяло в съответствие с основните икономически показатели, въпреки че е голяма в сравнение с разполагаемия доход. Държавният дълг се очаква да остане низходящ, като дефицитът се приближава към балансирана позиция. В продължение на няколко години се наблюдаваше бързо увеличение на цените на жилищата, но напоследък темповете се забавиха. Цените на жилищата се обуславят до голяма степен от ограниченото предлагане, без да има явни признаци за надценяване. Макар и все още голям, размерът на необслужваните заеми намаля още повече, при все че дългосрочните просрочени задължения намаляват с по-бавни темпове. </w:t>
      </w:r>
    </w:p>
    <w:p>
      <w:pPr>
        <w:pStyle w:val="ManualConsidrant"/>
        <w:rPr>
          <w:noProof/>
        </w:rPr>
      </w:pPr>
      <w:r>
        <w:t>(4)</w:t>
      </w:r>
      <w:r>
        <w:tab/>
      </w:r>
      <w:r>
        <w:rPr>
          <w:noProof/>
        </w:rPr>
        <w:t>На 17 април 2019 г. Ирландия представи своята национална програма за реформи за 2019 г., а на 29 април 2019 г.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страната препоръки бяха отразени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xml:space="preserve">, когато това е </w:t>
      </w:r>
      <w:r>
        <w:rPr>
          <w:noProof/>
        </w:rPr>
        <w:lastRenderedPageBreak/>
        <w:t>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EСИ фондовете с доброто икономическо управление</w:t>
      </w:r>
      <w:r>
        <w:rPr>
          <w:rStyle w:val="FootnoteReference"/>
          <w:noProof/>
        </w:rPr>
        <w:footnoteReference w:id="6"/>
      </w:r>
      <w:r>
        <w:rPr>
          <w:noProof/>
        </w:rPr>
        <w:t xml:space="preserve">. </w:t>
      </w:r>
    </w:p>
    <w:p>
      <w:pPr>
        <w:pStyle w:val="ManualConsidrant"/>
        <w:rPr>
          <w:noProof/>
        </w:rPr>
      </w:pPr>
      <w:r>
        <w:t>(6)</w:t>
      </w:r>
      <w:r>
        <w:tab/>
      </w:r>
      <w:r>
        <w:rPr>
          <w:noProof/>
        </w:rPr>
        <w:t>Спрямо Ирландия понастоящем се прилагат предпазните мерки на Пакта за стабилност и растеж и тя подлежи на правилото за дълга. В своята програма за стабилност за 2019 г. правителството очаква номиналният дефицит да се подобри до 0,2 % от БВП през 2019 г. и след това да продължи да се подобрява постепенно до 1,3 % от БВП през 2023 г. Въз основа на преизчисленото структурно салдо</w:t>
      </w:r>
      <w:r>
        <w:rPr>
          <w:rStyle w:val="FootnoteReference"/>
          <w:noProof/>
        </w:rPr>
        <w:footnoteReference w:id="7"/>
      </w:r>
      <w:r>
        <w:rPr>
          <w:noProof/>
        </w:rPr>
        <w:t xml:space="preserve"> средносрочната бюджетна цел, която е структурен дефицит от 0,5 % от БВП, може да бъде постигната до 2022 г. Според програмата за стабилност съотношението на консолидирания държавен дълг към БВП се очаква да спадне до 61,1 % през 2019 г. и да продължи да намалява, като достигне 51,6 % от БВП през 2021 г. Макроикономическият сценарий в основата на тези бюджетни прогнози е реалистичен. В същото време мерките, необходими за подкрепа на планираните цели за дефицита от 2020 г. нататък, не са все още напълно конкретизирани.</w:t>
      </w:r>
    </w:p>
    <w:p>
      <w:pPr>
        <w:pStyle w:val="ManualConsidrant"/>
        <w:rPr>
          <w:noProof/>
        </w:rPr>
      </w:pPr>
      <w:r>
        <w:t>(7)</w:t>
      </w:r>
      <w:r>
        <w:tab/>
      </w:r>
      <w:r>
        <w:rPr>
          <w:noProof/>
        </w:rPr>
        <w:t>На 13 юли 2018 г. Съветът препоръча Ирландия да постигне своята средносрочна бюджетна цел през 2019 г. Това е съвместимо с максимален номинален темп на растеж на нетните първични държавни разходи</w:t>
      </w:r>
      <w:r>
        <w:rPr>
          <w:rStyle w:val="FootnoteReference"/>
          <w:noProof/>
        </w:rPr>
        <w:footnoteReference w:id="8"/>
      </w:r>
      <w:r>
        <w:rPr>
          <w:noProof/>
        </w:rPr>
        <w:t xml:space="preserve"> в размер на 7,0 % през 2019 г., което съответства на допустимо влошаване на структурното салдо с 0,3 % от БВП. Въз основа на прогнозата на Комисията от пролетта на 2019 г. Ирландия се очаква да се съобрази с препоръчаната фискална корекция през 2019 г.</w:t>
      </w:r>
    </w:p>
    <w:p>
      <w:pPr>
        <w:pStyle w:val="ManualConsidrant"/>
        <w:rPr>
          <w:noProof/>
        </w:rPr>
      </w:pPr>
      <w:r>
        <w:t>(8)</w:t>
      </w:r>
      <w:r>
        <w:tab/>
      </w:r>
      <w:r>
        <w:rPr>
          <w:noProof/>
        </w:rPr>
        <w:t>През 2020 г. Ирландия би трябвало да постигне своята средносрочна бюджетна цел. Въз основа на прогнозата на Комисията от пролетта на 2019 г. това е съвместимо с максимален номинален темп на растеж на нетните първични държавни разходи в размер на 3,7 % през 2019 г.</w:t>
      </w:r>
      <w:r>
        <w:rPr>
          <w:rStyle w:val="FootnoteReference"/>
          <w:noProof/>
        </w:rPr>
        <w:footnoteReference w:id="9"/>
      </w:r>
      <w:r>
        <w:rPr>
          <w:noProof/>
        </w:rPr>
        <w:t xml:space="preserve">, което съответства на годишна структурна корекция от 0,7 % от БВП. Според прогнозите Ирландия ще </w:t>
      </w:r>
      <w:r>
        <w:rPr>
          <w:noProof/>
        </w:rPr>
        <w:lastRenderedPageBreak/>
        <w:t>постигне средносрочната бюджетна цел. Очаква се консолидираният държавен дълг да продължи да намалява устойчиво, надхвърляйки изискванията на правилото за дълга. Като цяло Съветът е на мнение, че се предвижда Ирландия да спази разпоредбите на Пакта за стабилност и растеж през 2019 г. и 2020 г. С оглед на разликата в измерванията на БВП и вътрешното производство в Ирландия и свързаното с него въздействие върху съотношението на дълга към БВП на Ирландия, настоящите циклични условия в Ирландия и повишените външни рискове за страната, би било разумно да се използват всякакви извънредни приходи за по-нататъшното намаляване на съотношението на консолидирания държавен дълг към БВП.</w:t>
      </w:r>
    </w:p>
    <w:p>
      <w:pPr>
        <w:pStyle w:val="ManualConsidrant"/>
        <w:rPr>
          <w:noProof/>
        </w:rPr>
      </w:pPr>
      <w:r>
        <w:t>(9)</w:t>
      </w:r>
      <w:r>
        <w:tab/>
      </w:r>
      <w:r>
        <w:rPr>
          <w:noProof/>
        </w:rPr>
        <w:t>Публичните финанси бяха подобрени в контекста на здрав растеж на производството, но остават рискове от нестабилност на приходите и има възможност приходите да станат по-устойчиви на икономическите колебания и сътресения. Ограничаването на обхвата и на броя на данъчните разходи и разширяването на данъчната основа ще подобрят стабилността на данъчните постъпления в условията на икономическа нестабилност. Макар че Ирландия увеличи по-ниската ставка на данък добавена стойност върху туристическите дейности, някои от последните данъчни мерки бяха съсредоточени върху намаления и облекчения. Освен това Ирландия има допълнителен потенциал да подобри начина, по който нейната данъчна система може да подкрепя целите в областта на екологията. Тези усилия биха могли да включват намаляване на субсидиите за изкопаеми горива и отправянето на по-силен ценови сигнал към инвеститорите посредством ангажимент за планово увеличение на данъка върху въглеродните емисии през следващото десетилетие.</w:t>
      </w:r>
    </w:p>
    <w:p>
      <w:pPr>
        <w:pStyle w:val="ManualConsidrant"/>
        <w:rPr>
          <w:noProof/>
        </w:rPr>
      </w:pPr>
      <w:r>
        <w:t>(10)</w:t>
      </w:r>
      <w:r>
        <w:tab/>
      </w:r>
      <w:r>
        <w:rPr>
          <w:noProof/>
        </w:rPr>
        <w:t>Борбата срещу агресивното данъчно планиране е от съществено значение за това данъчните системи да станат по-ефикасни и справедливи, както бе отбелязано в препоръките за еврозоната от 2019 г. Разпространението между държавите членки на ефектите от стратегиите на данъкоплатците за агресивно данъчно планиране налага координирани действия на националните политики, които да допълват законодателството на ЕС. Ирландия предприе мерки против агресивното данъчно планиране, но високото равнище на плащанията за дивиденти и авторски и лицензионни възнаграждения като процент от БВП показват, че данъчните правила на Ирландия се използват от предприятията, които прибягват към агресивно данъчно планиране. Ограниченото прилагане на данъци, удържани при източника (т.е от лица пребиваващи в ЕС към такива, които пребивават в трети държави) върху дивиденти и авторски и лицензионни възнаграждения, направени от дружества със седалище в Ирландия, може да доведе до пълно избягване на данъчно облагане върху тези плащания, ако те не са обложени също в държавата на местоназначение.</w:t>
      </w:r>
    </w:p>
    <w:p>
      <w:pPr>
        <w:pStyle w:val="ManualConsidrant"/>
        <w:rPr>
          <w:noProof/>
        </w:rPr>
      </w:pPr>
      <w:r>
        <w:t>(11)</w:t>
      </w:r>
      <w:r>
        <w:tab/>
      </w:r>
      <w:r>
        <w:rPr>
          <w:noProof/>
        </w:rPr>
        <w:t xml:space="preserve">Остават рискове за дългосрочната фискална устойчивост, породени от разходите, свързани със застаряването. Предвижда се разходите за здравеопазване да се повишат от 4,1 % от БВП през 2016 г. до 5,1 % през 2070 г., като през 2063 г. достигнат пиков дял от 5,2 %. При все че съществуват аспекти на системата за здравеопазване в Ирландия, които функционират добре или са се подобрили, системата е неефективна, изпитва трудности да отговори на търсенето и не предоставя координирано, интегрирано здравно обслужване. За да смекчи ескалиращия натиск на търсенето, ирландското правителство одобри стратегия за изпълнение Sláintecare, както и създаде служба за изпълнението на програмата Sláintecare, която през следващите 10 години да реформира и </w:t>
      </w:r>
      <w:r>
        <w:rPr>
          <w:noProof/>
        </w:rPr>
        <w:lastRenderedPageBreak/>
        <w:t xml:space="preserve">модернизира всеобхватно услугите на здравеопазването и социалните грижи на Ирландия. Планираната реформа представлява надеждна концепция за достъпна за всички и устойчива система на здравеопазването, за посрещане на нуждите на застаряващото население и за пренасочване на грижите в общността, като се поставя по-силен акцент върху превенцията. Това вероятно ще има положително въздействие за намаляване ролята на активното лечение, като по този начин здравеопазването стане по-ефективно от гледна точка на разходите. Изпълнението на тази стратегия обаче е застрашено от трудностите на здравната система по отношение на пазара на двойно здравно осигуряване, както и на ефективното управление на собствения бюджет, резултати и работна сила в краткосрочен план. За да се реализира концепцията Sláintecare в дългосрочен план, краткосрочните разходи също ще трябва да бъдат ограничени. </w:t>
      </w:r>
    </w:p>
    <w:p>
      <w:pPr>
        <w:pStyle w:val="ManualConsidrant"/>
        <w:rPr>
          <w:noProof/>
        </w:rPr>
      </w:pPr>
      <w:r>
        <w:t>(12)</w:t>
      </w:r>
      <w:r>
        <w:tab/>
      </w:r>
      <w:r>
        <w:rPr>
          <w:noProof/>
        </w:rPr>
        <w:t>Въпреки положените от правителството усилия за ограничаване на публичните разходи за пенсии, очаква се общият дефицит на пенсионната система да нарасне значително в дългосрочен план, в резултат на което пенсионните разходи да се увеличат от 5 % от БВП през 2016 г. до 6,6 % през 2070 г., като през 2053 г. достигнат пикова стойност от 7,5 %. Своевременното и пълно прилагане на представената пътна карта за реформа на пенсионната система е от възлово значение за повишаването на фискалната устойчивост на ирландската пенсионна система.</w:t>
      </w:r>
    </w:p>
    <w:p>
      <w:pPr>
        <w:pStyle w:val="ManualConsidrant"/>
        <w:rPr>
          <w:noProof/>
        </w:rPr>
      </w:pPr>
      <w:r>
        <w:t>(13)</w:t>
      </w:r>
      <w:r>
        <w:tab/>
      </w:r>
      <w:r>
        <w:rPr>
          <w:noProof/>
        </w:rPr>
        <w:t>Увеличаването на инвестициите в умения, образование и обучение, както и в социално приобщаване е от съществено значение за подобряване на производителността и дългосрочния приобщаващ растеж на Ирландия. Затягането на пазара на труда и очертаващите се в някои сектори недостиг на умения и несъответствие между търсените и предлаганите умения изискват усилия за ангажиране на неактивните групи от потенциални работници и за инвестиране в неизползвания човешки капитал. Съществува възможност за насърчаване на повишаване на уменията, както и по-добро адаптиране на образователните програми и професионалното обучение към нуждите на пазара на труда. Ниският процент на работната сила с основни цифрови умения налага допълнителни инвестиции в обучение на работното място и повишаване на уменията на по-възрастните работници. Инвестирането в достъп до качествени грижи за децата на приемливи цени, както и въвеждането на националната схема за грижи за децата ще спомогне за увеличаването на доста ниския процент на заетост на жените. Процентът на участие на хората с увреждания на пазара на труда е сред най-ниските в Европа. Броят на хората, които живеят в домакинства с нисък интензитет на икономическа активност, продължава да бъде един от най-високите в ЕС, поради което изпъква необходимостта от по-интегрирани и целенасочени стратегии за активизиране в подкрепа на тази конкретна група.</w:t>
      </w:r>
    </w:p>
    <w:p>
      <w:pPr>
        <w:pStyle w:val="ManualConsidrant"/>
        <w:rPr>
          <w:noProof/>
        </w:rPr>
      </w:pPr>
      <w:r>
        <w:t>(14)</w:t>
      </w:r>
      <w:r>
        <w:tab/>
      </w:r>
      <w:r>
        <w:rPr>
          <w:noProof/>
        </w:rPr>
        <w:t xml:space="preserve">Годините на слаби инвестиции след икономическия срив оказват своето влияние върху наличието на достъпни и социални жилища, както и на подходяща инфраструктура в областите на чистия транспорт и енергия, вода и свръхвисокоскоростни широколентови мрежи, като това, на свой ред, създава пречки пред стопанските инвестиции. Освен това емисиите на парникови газове от автомобилния транспорт са се увеличили значително през последните 5 години. Подобряването на инфраструктурата, в съчетание с териториалното устройство, може да бъде решаващ фактор за подобряване на предлагането на жилища, засилването на частните инвестиции, насърчаването на производителността и гарантирането на балансирано регионално икономическо </w:t>
      </w:r>
      <w:r>
        <w:rPr>
          <w:noProof/>
        </w:rPr>
        <w:lastRenderedPageBreak/>
        <w:t xml:space="preserve">развитие. Съобразената с бъдещето развитие свързаност и достатъчните умения в областта на цифровите технологии продължават да са от решаващо значение за ефективното използване на цифровите технологии от местните дружества, както и за процъфтяването на националния сектор на информационните и комуникационните технологии. Остават значителни предизвикателства по отношение на достъпа до свръхвисокоскоростни широколентови услуги, по-специално в селските райони. По-големите инфраструктурни инвестиции в чиста енергия, чисти обществен транспорт и водоснабдяване, както и по-интензивните усилия в областта на декарбонизацията, енергийната ефективност, възобновяемите енергийни източници и кръговата икономика биха подпомогнали Ирландия в нейния преход към нисковъглеродна и устойчива по отношение на околната среда икономика. </w:t>
      </w:r>
    </w:p>
    <w:p>
      <w:pPr>
        <w:pStyle w:val="ManualConsidrant"/>
        <w:rPr>
          <w:noProof/>
        </w:rPr>
      </w:pPr>
      <w:r>
        <w:t>(15)</w:t>
      </w:r>
      <w:r>
        <w:tab/>
      </w:r>
      <w:r>
        <w:rPr>
          <w:noProof/>
        </w:rPr>
        <w:t xml:space="preserve">Макар че в резултат на стартиралия национален план за развитие би могло да се стигне до осигуряването на допълнителна основна инфраструктура, слабият капацитет на строителния сектор може да се превърне в пречка пред своевременното ѝ предоставяне. Освен това диверсифицирането на морския транспорт и енергийните връзки с континентална Европа би могло да повиши устойчивостта на икономиката спрямо външни сътресения. Ирландия досега не успява да премахне зависимостта между своя икономически растеж и емисиите на парникови газове и замърсители на въздуха. Емисиите на парникови газове постоянно нарастват, по-специално в транспорта, селското стопанство, енергетиката и застроената среда. Липсата на напредък в тази област ще направи по-трудно за Ирландия да изпълни своите задължения по линия на ЕС, като същевременно увеличава цената на бъдещите действия. </w:t>
      </w:r>
    </w:p>
    <w:p>
      <w:pPr>
        <w:pStyle w:val="ManualConsidrant"/>
        <w:rPr>
          <w:noProof/>
        </w:rPr>
      </w:pPr>
      <w:r>
        <w:t>(16)</w:t>
      </w:r>
      <w:r>
        <w:tab/>
      </w:r>
      <w:r>
        <w:rPr>
          <w:noProof/>
        </w:rPr>
        <w:t>Трайният недостиг на предлагането в съчетание с нарастващо търсене продължават да подхранват покачвания на цените на имотите. Въпреки че през 2017 г. цените не изглеждаха завишени, достъпността се превръща в повод за безпокойство. Недостигът на предлагане на жилища засяга също и социалното жилищно настаняване поради недостатъчните инвестиции и строежи през последното десетилетие. Докато годишното търсене се оценява на около 72 000 жилищни единици, за 2019 г. е планирано завършването на само 10 000. Предвидено е подпомагането на още 17 000 лица чрез действащата в Ирландия схема за подпомагане на наемателите и на жилищното настаняване (Housing Assistance Payment or Rental Accommodation Scheme), но с това се рискува повишаване на наемите на частния пазар, на който предлагането и без това е ограничено. Голям брой социални жилища са недостатъчно заети, особено в района на Дъблин, отчасти поради остарели практики на „наследяване“ на жилището. Неадекватните комбинации на предоставяните видове социални жилища заедно с много ниския брой на достъпни жилища, чийто наем покрива единствено разходите за построяването им, са фактори, които допълнително усложняват положението. Това има за резултат постоянното нарастване на броя на хората и семействата, живеещи в места за спешно настаняване, като бездомността достигна нови максимални стойности през февруари 2019 г.</w:t>
      </w:r>
    </w:p>
    <w:p>
      <w:pPr>
        <w:pStyle w:val="ManualConsidrant"/>
        <w:rPr>
          <w:noProof/>
        </w:rPr>
      </w:pPr>
      <w:r>
        <w:t>(17)</w:t>
      </w:r>
      <w:r>
        <w:tab/>
      </w:r>
      <w:r>
        <w:rPr>
          <w:noProof/>
        </w:rPr>
        <w:t xml:space="preserve">Насърчаването на производителността на местните предприятия чрез иновации е от решаващо значение за поддържането на по-солиден и устойчив растеж на производителността в страната. Разходите за научноизследователска и развойна дейност на предприятията продължава да нарастват, но са все още под средното за ЕС и са силно концентрирани в предприятията, които са чужда собственост. Има възможности за адаптиране на политиките в областта на иновациите, така </w:t>
      </w:r>
      <w:r>
        <w:rPr>
          <w:noProof/>
        </w:rPr>
        <w:lastRenderedPageBreak/>
        <w:t xml:space="preserve">че да оказват по-добра подкрепа на ирландските малки и средни предприятия. Непряката подкрепа (т.е. данъчни кредити) остава основният инструмент на публична подкрепа за научноизследователската и развойната дейност в Ирландия (възлиза на 80 % от общото публично финансиране). Засилването на връзките между мултинационалните дружества и националните предприятия би могло да спомогне за подобряване на разпространението на иновациите в икономиката. Освен това по-тясното сътрудничество между предприятията и публичните научноизследователски центрове също би довело до увеличаване на потенциала за иновации. </w:t>
      </w:r>
    </w:p>
    <w:p>
      <w:pPr>
        <w:pStyle w:val="ManualConsidrant"/>
        <w:rPr>
          <w:noProof/>
        </w:rPr>
      </w:pPr>
      <w:r>
        <w:t>(18)</w:t>
      </w:r>
      <w:r>
        <w:tab/>
      </w:r>
      <w:r>
        <w:rPr>
          <w:noProof/>
        </w:rPr>
        <w:t>Въпреки че ниските нива на публичната научноизследователска и развойна дейност продължават да предизвикват загриженост (1,05 % от БВП в сравнение със средно 2 % за ЕС), наскоро приетата програма „Бъдещи работни места — Ирландия (2019 г.)“ осигурява перспективна рамка за стимулиране на иновациите и технологичната промяна и подобряване на производителността на малките и средни предприятия. Нейното цялостно изпълнение обаче ще зависи от значително увеличение на публичните разходи за научни изследвания и иновации и превръщането на наскоро приетата програма в конкретни политически мерки. В сегашния му вид в този амбициозен списък от мерки все още липсват важни подробности и точни дати за изпълнение. Например за действия, които следва да бъдат предприети през 2019 г., не са определени мерки за повишаване на наличността на дългосрочни инвестиции в собствен капитал с цел подкрепа на местни дружества при разгръщането на тяхната стопанска дейност; съчетанието от политики за насърчаване на малките и средните предприятия да инвестират в нови технологии е комбинация от данъчен кредит и неданъчни стимули за насърчаване на малките и средните предприятия да инвестират в иновации, но относителният размер на тези мерки остава неизвестен. Макар че стратегията отчита значението на широколентовата инфраструктура за производителността, не са планирани конкретни действия и резултати, за да се преодолее разликата между Ирландия и другите държави членки на ЕС, когато става въпрос за внедряването на съобразени с бъдещето широколентови мрежи в съответствие с целите за общество на гигабитов интернет „ЕС 2025“.</w:t>
      </w:r>
    </w:p>
    <w:p>
      <w:pPr>
        <w:pStyle w:val="ManualConsidrant"/>
        <w:rPr>
          <w:noProof/>
        </w:rPr>
      </w:pPr>
      <w:r>
        <w:t>(19)</w:t>
      </w:r>
      <w:r>
        <w:tab/>
      </w:r>
      <w:r>
        <w:rPr>
          <w:noProof/>
        </w:rPr>
        <w:t>Регионалните различия в Ирландия са значителни и нарастват през последното десетилетие. В Ирландия са налице доста високи регионалните икономически различия в сравнение с други държави — членки на ЕС, по отношение на БВП на глава от населението. В периода 2000 — 2016 г. БВП на глава от населението в южния и източния регион се е увеличил с 74 %, което е с 63 процентни пункта повече, отколкото в пограничния, централния и западния регион, като разликата се ускорила след 2012 г. През 2016 г. БВП на глава от населението в южния и източния регион е 2,6 пъти по-висок от този в пограничния, централния и западния регион. Регионът на Дъблин, където живеят 40 % от населението на Ирландия, е допринесъл с 62 процентни пункта за ръста на БВП през периода 2000—2016 г.</w:t>
      </w:r>
    </w:p>
    <w:p>
      <w:pPr>
        <w:pStyle w:val="ManualConsidrant"/>
        <w:rPr>
          <w:noProof/>
        </w:rPr>
      </w:pPr>
      <w:r>
        <w:t>(20)</w:t>
      </w:r>
      <w:r>
        <w:tab/>
      </w:r>
      <w:r>
        <w:rPr>
          <w:noProof/>
        </w:rPr>
        <w:t xml:space="preserve">Регулаторните пречки пред предприемачеството (и по-специално някои правила, свързани с търговските имоти и правните услуги) засягат отрицателно навлизането и излизането на фирми на пазара, като по този начин се накърнява производителността на местните ирландски предприятия. Препятствията пред навлизането на пазарите на дребно представляват предизвикателство. Ирландия се класира сред първите пет държави с най-голям брой процедурни изисквания </w:t>
      </w:r>
      <w:r>
        <w:rPr>
          <w:noProof/>
        </w:rPr>
        <w:lastRenderedPageBreak/>
        <w:t xml:space="preserve">по отношение на откриването на обекти за търговия на дребно. Търговците на дребно са изправени пред процедурни пречки, които забавят и увеличават разходите за отварянето на нови магазини и могат да имат отрицателно въздействие върху пазарната структура и динамика. </w:t>
      </w:r>
    </w:p>
    <w:p>
      <w:pPr>
        <w:pStyle w:val="ManualConsidrant"/>
        <w:rPr>
          <w:noProof/>
        </w:rPr>
      </w:pPr>
      <w:r>
        <w:t>(21)</w:t>
      </w:r>
      <w:r>
        <w:tab/>
      </w:r>
      <w:r>
        <w:rPr>
          <w:noProof/>
        </w:rPr>
        <w:t>Новият закон за регулиране на правните услуги остава да бъде приложен, тъй като въвеждането на разпоредбите е все още засегнато от значителни закъснения, независимо че продължават подготвителни консултации. Остават несигурни възможностите за допускането на пряк достъп до услугите на баристър във връзка със спорове, както и на това юридически лица да стават партньори във всички видове адвокатски дружества. От друга страна, трябва да се избягват прекалено сложните правила за дейността и управлението на мултидисциплинарните дружества. Амбициозното прилагане на безсрочните трудови реформи е въпрос от първостепенен приоритет. „Амбиция 2.3“ в програмата „Бъдещи работни места — Ирландия (2019 г.)“ се отнася до справянето с проблемите, свързани с разходите за правни услуги, но единственият резултат, предвиден за 2019 г., е ориентировъчен, а сроковете — неясни. Забавянето в прилагането на тази реформа допринася за високите разходи за правни услуги в Ирландия, което е в ущърб на предприятията, по-конкретно на малките и средни предприятия, както и на физическите лица. Тъй като правните услуги са значителен разход за другите бизнес услуги, ограниченията в този сектор допринасят за високите цени на другите услуги (например застраховките).</w:t>
      </w:r>
    </w:p>
    <w:p>
      <w:pPr>
        <w:pStyle w:val="ManualConsidrant"/>
        <w:rPr>
          <w:noProof/>
        </w:rPr>
      </w:pPr>
      <w:r>
        <w:t>(22)</w:t>
      </w:r>
      <w:r>
        <w:tab/>
      </w:r>
      <w:r>
        <w:rPr>
          <w:noProof/>
        </w:rPr>
        <w:t xml:space="preserve">Процентите на необслужваните кредити продължава да намаляват, като са намалели с 3,4 процентни пункта до 7,8 % през годината до третото тримесечие на 2018 г. Банките са на път да изпълнят своите цели за намаляване, подпомагани в това отношение от продажби на пакети от необслужваните кредити, усилия за преструктурирането им и повишение на цените на недвижимите имоти. Просрочията по дългосрочни ипотеки (над 2 години) остават относително високи, което води до запазването на процентите на необслужваните кредити над средното равнище за еврозоната. Бяха предложени няколко инициативи и проектозакони, като например закона „няма продажба при несъгласие“, с цел справяне със социалните и икономическите последици от преструктурирането на необслужваните кредити, включително за уязвимите домакинства. През 2018 г. кредитният регистър започна да функционира изцяло по отношение на потребителските заеми, като той ще бъде от решаващо значение за оценката на това, дали кредитополучателите могат да обслужват своите дългове. Процедурите по несъстоятелност и използването на съдебните и извънсъдебните варианти за преструктуриране на просрочени кредити остават ограничени. По-нататъшното намаляване на дългосрочните просрочени задължения, като същевременно се доразвиват инициативите относно уязвимите домакинства, без да се създават ненужни препятствия пред преструктурирането на необслужваните кредити, остава предизвикателство и изисква постоянно наблюдение. </w:t>
      </w:r>
    </w:p>
    <w:p>
      <w:pPr>
        <w:pStyle w:val="ManualConsidrant"/>
        <w:rPr>
          <w:noProof/>
        </w:rPr>
      </w:pPr>
      <w:r>
        <w:t>(23)</w:t>
      </w:r>
      <w:r>
        <w:tab/>
      </w:r>
      <w:r>
        <w:rPr>
          <w:noProof/>
        </w:rPr>
        <w:t>Програмирането на средствата от ЕС за периода 2021—2027 г. би могло да спомогне за справяне с някои от пропуските, установени в препоръките, по-специално в областите, обхванати от приложение Г към доклада за страната</w:t>
      </w:r>
      <w:r>
        <w:rPr>
          <w:rStyle w:val="FootnoteReference"/>
          <w:noProof/>
        </w:rPr>
        <w:footnoteReference w:id="10"/>
      </w:r>
      <w:r>
        <w:rPr>
          <w:noProof/>
        </w:rPr>
        <w:t xml:space="preserve">. </w:t>
      </w:r>
      <w:r>
        <w:rPr>
          <w:noProof/>
        </w:rPr>
        <w:lastRenderedPageBreak/>
        <w:t>Това би позволило на Ирландия да използва по най-добър начин тези средства по отношение на посочените сектори, като се отчитат регионалните различия.</w:t>
      </w:r>
    </w:p>
    <w:p>
      <w:pPr>
        <w:pStyle w:val="ManualConsidrant"/>
        <w:rPr>
          <w:noProof/>
        </w:rPr>
      </w:pPr>
      <w:r>
        <w:t>(24)</w:t>
      </w:r>
      <w:r>
        <w:tab/>
      </w:r>
      <w:r>
        <w:rPr>
          <w:noProof/>
        </w:rPr>
        <w:t xml:space="preserve">В контекста на европейския семестър за 2019 г. Комисията направи цялостен анализ на икономическата политика на Ирландия и го публикува в доклада за страната за 2019 г. Тя оцени също програмата за стабилност за 2019 г., националната програма за реформи за 2019 г., както и предприетите последващи действия във връзка с препоръките към Ирландия, отправени през предходните години. Комисията взе предвид не само тяхното значение за провеждането на устойчива бюджетна и социално-икономическа политика в Ирландия, но и тяхното съответствие с правилата и насоките на Съюза предвид необходимостта от засилване на цялостното икономическо управление на Съюза на равнището на Съюза за бъдещите решения на държавите членки. </w:t>
      </w:r>
    </w:p>
    <w:p>
      <w:pPr>
        <w:pStyle w:val="ManualConsidrant"/>
        <w:rPr>
          <w:noProof/>
        </w:rPr>
      </w:pPr>
      <w:r>
        <w:t>(25)</w:t>
      </w:r>
      <w:r>
        <w:tab/>
      </w:r>
      <w:r>
        <w:rPr>
          <w:noProof/>
        </w:rPr>
        <w:t>Предвид тази оценка Съветът разгледа програмата за стабилност за 2019 г. и е на мнение, че Ирландия се очаква да спази разпоредбите на Пакта за стабилност и растеж.</w:t>
      </w:r>
    </w:p>
    <w:p>
      <w:pPr>
        <w:pStyle w:val="ManualConsidrant"/>
        <w:rPr>
          <w:noProof/>
        </w:rPr>
      </w:pPr>
      <w:r>
        <w:t>(26)</w:t>
      </w:r>
      <w:r>
        <w:tab/>
      </w:r>
      <w:r>
        <w:rPr>
          <w:noProof/>
        </w:rPr>
        <w:t>С оглед на задълбочения преглед, направен от Комисията, и на тази оценка Съветът разгледа националната програма за реформи за 2019 г. и програмата за стабилност за 2019 г. Неговите препоръки по член 6 от Регламент (ЕС) № 1176/2011 са отразени в препоръки 1—3 по-долу.</w:t>
      </w:r>
    </w:p>
    <w:p>
      <w:pPr>
        <w:pStyle w:val="Formuledadoption"/>
        <w:rPr>
          <w:noProof/>
        </w:rPr>
      </w:pPr>
      <w:r>
        <w:rPr>
          <w:noProof/>
        </w:rPr>
        <w:t>ПРЕПОРЪЧВА на Ирландия да предприеме следните действия през 2019 г. и 2020 г.:</w:t>
      </w:r>
    </w:p>
    <w:p>
      <w:pPr>
        <w:pStyle w:val="ManualNumPar1"/>
        <w:rPr>
          <w:noProof/>
        </w:rPr>
      </w:pPr>
      <w:r>
        <w:t>1.</w:t>
      </w:r>
      <w:r>
        <w:tab/>
      </w:r>
      <w:r>
        <w:rPr>
          <w:noProof/>
        </w:rPr>
        <w:t xml:space="preserve">Да постигне средносрочната бюджетна цел през 2020 г. Да използва извънредните приходи, за да ускори намаляването на съотношението на консолидирания държавен дълг към БВП. Да ограничи обхвата и броя на данъчните разходи и да разшири данъчната основа. Да продължи с действията по отношение на характеристиките на данъчната система, които потенциално улесняват агресивното данъчно планиране, като се съсредоточи по-специално върху изходящите плащания. Да се справи с очакваното увеличение на разходите, свързани със застаряването на населението, като увеличи ефективността на разходите в здравеопазването и като осъществи напълно планираните пенсионни реформи. </w:t>
      </w:r>
    </w:p>
    <w:p>
      <w:pPr>
        <w:pStyle w:val="ManualNumPar1"/>
        <w:rPr>
          <w:noProof/>
        </w:rPr>
      </w:pPr>
      <w:r>
        <w:t>2.</w:t>
      </w:r>
      <w:r>
        <w:tab/>
      </w:r>
      <w:r>
        <w:rPr>
          <w:noProof/>
        </w:rPr>
        <w:t xml:space="preserve">Да предоставя персонализирана активна подкрепа за интеграцията и да способства за повишаване на квалификациите, по-специално за уязвимите групи и хората, живеещи в домакинства с нисък интензитет на икономическа активност. Да подобри наличността на достъпни и качествени грижи за децата. </w:t>
      </w:r>
    </w:p>
    <w:p>
      <w:pPr>
        <w:pStyle w:val="ManualNumPar1"/>
        <w:keepNext/>
        <w:keepLines/>
        <w:rPr>
          <w:noProof/>
        </w:rPr>
      </w:pPr>
      <w:r>
        <w:lastRenderedPageBreak/>
        <w:t>3.</w:t>
      </w:r>
      <w:r>
        <w:tab/>
      </w:r>
      <w:r>
        <w:rPr>
          <w:noProof/>
        </w:rPr>
        <w:t xml:space="preserve">Да съсредоточи икономическите политики, свързани с инвестиции, върху ниските въглеродни емисии и енергийния преход, намаляването на емисиите на парникови газове, устойчивия транспорт, водоснабдяването, цифровата инфраструктура и достъпните и социални жилища, като се вземат предвид регионалните различия. Да прилага мерки, включително предвидените в стратегията за бъдещите работни места, за диверсификация на икономиката и подобряване на производителността на ирландските предприятия — по-специално малките и средните предприятия, чрез стимулиране на научните изследвания и иновациите и чрез намаляване на регулаторните пречки пред предприемачеството.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OВ L 306, 23.11.2011 г., стр. 25.</w:t>
      </w:r>
    </w:p>
  </w:footnote>
  <w:footnote w:id="3">
    <w:p>
      <w:pPr>
        <w:pStyle w:val="FootnoteText"/>
        <w:rPr>
          <w:rStyle w:val="FootnoteReference"/>
        </w:rPr>
      </w:pPr>
      <w:r>
        <w:rPr>
          <w:rStyle w:val="FootnoteReference"/>
        </w:rPr>
        <w:footnoteRef/>
      </w:r>
      <w:r>
        <w:tab/>
        <w:t>SWD(2019) 1006 final.</w:t>
      </w:r>
    </w:p>
  </w:footnote>
  <w:footnote w:id="4">
    <w:p>
      <w:pPr>
        <w:pStyle w:val="FootnoteText"/>
        <w:rPr>
          <w:rStyle w:val="FootnoteReference"/>
        </w:rPr>
      </w:pPr>
      <w:r>
        <w:rPr>
          <w:rStyle w:val="FootnoteReference"/>
        </w:rPr>
        <w:footnoteRef/>
      </w:r>
      <w:r>
        <w:tab/>
        <w:t>COM(2019) 150 final.</w:t>
      </w:r>
    </w:p>
  </w:footnote>
  <w:footnote w:id="5">
    <w:p>
      <w:pPr>
        <w:pStyle w:val="FootnoteText"/>
        <w:rPr>
          <w:rStyle w:val="FootnoteReference"/>
        </w:rPr>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(ЕС) № 1083/2006 на Съвета (ОВ L 347, 20.12.2013 г., стр.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методика.</w:t>
      </w:r>
    </w:p>
  </w:footnote>
  <w:footnote w:id="8">
    <w:p>
      <w:pPr>
        <w:pStyle w:val="FootnoteText"/>
      </w:pPr>
      <w:r>
        <w:rPr>
          <w:rStyle w:val="FootnoteReference"/>
        </w:rPr>
        <w:footnoteRef/>
      </w:r>
      <w:r>
        <w:tab/>
        <w:t>Нетните първични разходи на държавното управление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 Целевият показател за разходите за Ирландия отразява корекция с цел да се коригира изкривяване в 10-годишния референтен темп на потенциалния растеж, породено от изключително високия ръст на растежа на реалния БВП през 2015 г. Следвайки подхода, възприет от ирландските органи в техните изчисления за бюджета за 2017 г., Комисията използва средната стойност на потенциалния растеж през 2014 г. и 2016 г.</w:t>
      </w:r>
    </w:p>
  </w:footnote>
  <w:footnote w:id="9">
    <w:p>
      <w:pPr>
        <w:pStyle w:val="FootnoteText"/>
      </w:pPr>
      <w:r>
        <w:rPr>
          <w:rStyle w:val="FootnoteReference"/>
        </w:rPr>
        <w:footnoteRef/>
      </w:r>
      <w:r>
        <w:tab/>
        <w:t>От 2019 г. нататък целевият показател за разходите отразява корекция с цел да се коригира изкривяване в 10-годишния референтен темп на потенциалния растеж, породено от изключително високия ръст на растежа на реалния БВП през 2015 г.</w:t>
      </w:r>
    </w:p>
  </w:footnote>
  <w:footnote w:id="10">
    <w:p>
      <w:pPr>
        <w:pStyle w:val="FootnoteText"/>
        <w:rPr>
          <w:rStyle w:val="FootnoteReference"/>
        </w:rPr>
      </w:pPr>
      <w:r>
        <w:rPr>
          <w:rStyle w:val="FootnoteReference"/>
        </w:rPr>
        <w:footnoteRef/>
      </w:r>
      <w:r>
        <w:tab/>
        <w:t>SWD(2019) 1006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4:36: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BE2958-AF1F-49D0-AA6D-71DDFB22CD84"/>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8?\u1088?\u1083?\u1072?\u1085?\u1076?\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88?\u1083?\u1072?\u1085?\u1076?\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3077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A85653-9E85-48CE-BAE4-81053E6F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3958</Words>
  <Characters>23435</Characters>
  <Application>Microsoft Office Word</Application>
  <DocSecurity>0</DocSecurity>
  <Lines>404</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2019-05-24T12:29:00Z</cp:lastPrinted>
  <dcterms:created xsi:type="dcterms:W3CDTF">2019-06-11T08:35:00Z</dcterms:created>
  <dcterms:modified xsi:type="dcterms:W3CDTF">2019-06-12T12:36:00Z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