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57B0CEAE-2972-4415-88DB-271D2CD722B0" style="width:450.4pt;height:411.0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В приложение I към Регламент (ЕО) № 715/2007 се добавя следната таблица:</w:t>
      </w:r>
    </w:p>
    <w:p>
      <w:pPr>
        <w:jc w:val="center"/>
        <w:rPr>
          <w:i/>
          <w:noProof/>
        </w:rPr>
      </w:pPr>
      <w:r>
        <w:rPr>
          <w:i/>
          <w:noProof/>
        </w:rPr>
        <w:t xml:space="preserve"> </w:t>
      </w:r>
      <w:r>
        <w:rPr>
          <w:noProof/>
        </w:rPr>
        <w:t>„</w:t>
      </w:r>
      <w:r>
        <w:rPr>
          <w:i/>
          <w:noProof/>
        </w:rPr>
        <w:t xml:space="preserve">Таблица 2a </w:t>
      </w:r>
    </w:p>
    <w:p>
      <w:pPr>
        <w:jc w:val="center"/>
        <w:rPr>
          <w:b/>
          <w:noProof/>
        </w:rPr>
      </w:pPr>
      <w:r>
        <w:rPr>
          <w:b/>
          <w:noProof/>
        </w:rPr>
        <w:t xml:space="preserve">Коефициенти на съответствие на емисиите в реални условия на движение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1560"/>
        <w:gridCol w:w="1275"/>
        <w:gridCol w:w="1276"/>
        <w:gridCol w:w="1276"/>
        <w:gridCol w:w="2090"/>
      </w:tblGrid>
      <w:tr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Азотни оксиди (NO</w:t>
            </w:r>
            <w:r>
              <w:rPr>
                <w:noProof/>
                <w:vertAlign w:val="subscript"/>
              </w:rPr>
              <w:t>Х</w:t>
            </w:r>
            <w:r>
              <w:rPr>
                <w:noProof/>
              </w:rPr>
              <w:t>);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Брой на частиците (PN)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Въглероден оксид (СО)</w:t>
            </w:r>
            <w:r>
              <w:rPr>
                <w:noProof/>
                <w:vertAlign w:val="superscript"/>
              </w:rPr>
              <w:t>(</w:t>
            </w:r>
            <w:r>
              <w:rPr>
                <w:rStyle w:val="FootnoteReference"/>
                <w:noProof/>
              </w:rPr>
              <w:footnoteReference w:id="1"/>
            </w:r>
            <w:r>
              <w:rPr>
                <w:noProof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Общо въглеводороди (THC)</w:t>
            </w:r>
          </w:p>
        </w:tc>
        <w:tc>
          <w:tcPr>
            <w:tcW w:w="2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  <w:r>
              <w:rPr>
                <w:noProof/>
              </w:rPr>
              <w:t>Общо въглеводороди и азотни оксиди (THC + NO</w:t>
            </w:r>
            <w:r>
              <w:rPr>
                <w:noProof/>
                <w:vertAlign w:val="subscript"/>
              </w:rPr>
              <w:t>x</w:t>
            </w:r>
            <w:r>
              <w:rPr>
                <w:noProof/>
              </w:rPr>
              <w:t>)</w:t>
            </w:r>
          </w:p>
        </w:tc>
      </w:tr>
      <w:tr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i/>
                <w:noProof/>
              </w:rPr>
              <w:t>CF</w:t>
            </w:r>
            <w:r>
              <w:rPr>
                <w:i/>
                <w:noProof/>
                <w:vertAlign w:val="subscript"/>
              </w:rPr>
              <w:t>pollutant</w:t>
            </w:r>
            <w:r>
              <w:rPr>
                <w:i/>
                <w:noProof/>
              </w:rPr>
              <w:t>-</w:t>
            </w:r>
            <w:r>
              <w:rPr>
                <w:i/>
                <w:noProof/>
                <w:vertAlign w:val="subscript"/>
              </w:rPr>
              <w:t xml:space="preserve">final </w:t>
            </w:r>
            <w:r>
              <w:rPr>
                <w:i/>
                <w:noProof/>
                <w:vertAlign w:val="superscript"/>
              </w:rPr>
              <w:t>(2)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center"/>
              <w:rPr>
                <w:noProof/>
              </w:rPr>
            </w:pPr>
            <w:r>
              <w:rPr>
                <w:noProof/>
              </w:rPr>
              <w:t>1,43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center"/>
              <w:rPr>
                <w:noProof/>
              </w:rPr>
            </w:pPr>
            <w:r>
              <w:rPr>
                <w:noProof/>
              </w:rPr>
              <w:t>1,5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i/>
                <w:iCs/>
                <w:noProof/>
              </w:rPr>
            </w:pPr>
            <w:r>
              <w:rPr>
                <w:i/>
                <w:noProof/>
              </w:rPr>
              <w:t xml:space="preserve">CF </w:t>
            </w:r>
            <w:r>
              <w:rPr>
                <w:i/>
                <w:noProof/>
                <w:vertAlign w:val="subscript"/>
              </w:rPr>
              <w:t>pollutant</w:t>
            </w:r>
            <w:r>
              <w:rPr>
                <w:i/>
                <w:noProof/>
              </w:rPr>
              <w:t>-</w:t>
            </w:r>
            <w:r>
              <w:rPr>
                <w:i/>
                <w:noProof/>
                <w:vertAlign w:val="subscript"/>
              </w:rPr>
              <w:t>temp</w:t>
            </w:r>
            <w:r>
              <w:rPr>
                <w:noProof/>
                <w:vertAlign w:val="subscript"/>
              </w:rPr>
              <w:t xml:space="preserve"> </w:t>
            </w:r>
            <w:r>
              <w:rPr>
                <w:noProof/>
                <w:vertAlign w:val="superscript"/>
              </w:rPr>
              <w:t>(3)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center"/>
              <w:rPr>
                <w:noProof/>
              </w:rPr>
            </w:pPr>
            <w:r>
              <w:rPr>
                <w:noProof/>
              </w:rPr>
              <w:t>2,1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center"/>
              <w:rPr>
                <w:noProof/>
              </w:rPr>
            </w:pPr>
            <w:r>
              <w:rPr>
                <w:noProof/>
              </w:rPr>
              <w:t>1,5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  <w:r>
        <w:rPr>
          <w:noProof/>
          <w:vertAlign w:val="superscript"/>
        </w:rPr>
        <w:t>(1)</w:t>
      </w:r>
      <w:r>
        <w:rPr>
          <w:noProof/>
        </w:rPr>
        <w:t xml:space="preserve"> Емисиите на CO трябва да са определени и записани при изпитвания за емисии в реални условия на движение.</w:t>
      </w:r>
    </w:p>
    <w:p>
      <w:pPr>
        <w:rPr>
          <w:noProof/>
        </w:rPr>
      </w:pPr>
      <w:r>
        <w:rPr>
          <w:noProof/>
          <w:vertAlign w:val="superscript"/>
        </w:rPr>
        <w:t xml:space="preserve"> (2) </w:t>
      </w:r>
      <w:r>
        <w:rPr>
          <w:i/>
          <w:noProof/>
        </w:rPr>
        <w:t>CF</w:t>
      </w:r>
      <w:r>
        <w:rPr>
          <w:i/>
          <w:noProof/>
          <w:vertAlign w:val="subscript"/>
        </w:rPr>
        <w:t>pollutant</w:t>
      </w:r>
      <w:r>
        <w:rPr>
          <w:i/>
          <w:noProof/>
        </w:rPr>
        <w:t>-</w:t>
      </w:r>
      <w:r>
        <w:rPr>
          <w:i/>
          <w:noProof/>
          <w:vertAlign w:val="subscript"/>
        </w:rPr>
        <w:t>final</w:t>
      </w:r>
      <w:r>
        <w:rPr>
          <w:noProof/>
        </w:rPr>
        <w:t xml:space="preserve"> е коефициентът на съответствие, използван за определяне на съответствието с граничните стойности на емисиите съгласно стандарта Евро 6, като са отчетени проблемите с техническата неопределеност, свързани с използването на преносими системи за измерване на емисиите (PEMS).</w:t>
      </w:r>
    </w:p>
    <w:p>
      <w:pPr>
        <w:rPr>
          <w:noProof/>
        </w:rPr>
      </w:pPr>
      <w:r>
        <w:rPr>
          <w:noProof/>
          <w:vertAlign w:val="superscript"/>
        </w:rPr>
        <w:t xml:space="preserve"> (3)</w:t>
      </w:r>
      <w:r>
        <w:rPr>
          <w:noProof/>
        </w:rPr>
        <w:t xml:space="preserve"> CF </w:t>
      </w:r>
      <w:r>
        <w:rPr>
          <w:i/>
          <w:noProof/>
          <w:vertAlign w:val="subscript"/>
        </w:rPr>
        <w:t>pollutant</w:t>
      </w:r>
      <w:r>
        <w:rPr>
          <w:i/>
          <w:noProof/>
        </w:rPr>
        <w:t>-</w:t>
      </w:r>
      <w:r>
        <w:rPr>
          <w:i/>
          <w:noProof/>
          <w:vertAlign w:val="subscript"/>
        </w:rPr>
        <w:t>temp</w:t>
      </w:r>
      <w:r>
        <w:rPr>
          <w:noProof/>
        </w:rPr>
        <w:t xml:space="preserve"> е временният коефициент на съответствие, който може да се използва при поискване от производителя вместо </w:t>
      </w:r>
      <w:r>
        <w:rPr>
          <w:i/>
          <w:noProof/>
        </w:rPr>
        <w:t>CF</w:t>
      </w:r>
      <w:r>
        <w:rPr>
          <w:i/>
          <w:noProof/>
          <w:vertAlign w:val="subscript"/>
        </w:rPr>
        <w:t>pollutant</w:t>
      </w:r>
      <w:r>
        <w:rPr>
          <w:i/>
          <w:noProof/>
        </w:rPr>
        <w:t>-</w:t>
      </w:r>
      <w:r>
        <w:rPr>
          <w:i/>
          <w:noProof/>
          <w:vertAlign w:val="subscript"/>
        </w:rPr>
        <w:t>final</w:t>
      </w:r>
      <w:r>
        <w:rPr>
          <w:noProof/>
        </w:rPr>
        <w:t xml:space="preserve"> през периода от 5 години и 4 месеца след датите, посочени в член 10, параграфи 4 и 5.“.</w:t>
      </w:r>
    </w:p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r>
        <w:rPr>
          <w:rStyle w:val="FootnoteReference"/>
        </w:rPr>
        <w:footnoteRef/>
      </w: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E209D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03C764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A5A3A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36E2B7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6E2568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8C8CCB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DA646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78080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hideSpellingErrors/>
  <w:hideGrammaticalErrors/>
  <w:attachedTemplate r:id="rId1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6-12 11:42:4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5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57B0CEAE-2972-4415-88DB-271D2CD722B0"/>
    <w:docVar w:name="LW_COVERPAGE_TYPE" w:val="1"/>
    <w:docVar w:name="LW_CROSSREFERENCE" w:val="&lt;UNUSED&gt;"/>
    <w:docVar w:name="LW_DocType" w:val="ANNEX"/>
    <w:docVar w:name="LW_EMISSION" w:val="14.6.2019"/>
    <w:docVar w:name="LW_EMISSION_ISODATE" w:val="2019-06-14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0?\u1079?\u1084?\u1077?\u1085?\u1077?\u1085?\u1080?\u1077? \u1085?\u1072? \u1056?\u1077?\u1075?\u1083?\u1072?\u1084?\u1077?\u1085?\u1090? (\u1045?\u1054?) \u8470? 715/2007 \u1079?\u1072? \u1090?\u1080?\u1087?\u1086?\u1074?\u1086? \u1086?\u1076?\u1086?\u1073?\u1088?\u1077?\u1085?\u1080?\u1077? \u1085?\u1072? \u1084?\u1086?\u1090?\u1086?\u1088?\u1085?\u1080? \u1087?\u1088?\u1077?\u1074?\u1086?\u1079?\u1085?\u1080? \u1089?\u1088?\u1077?\u1076?\u1089?\u1090?\u1074?\u1072? \u1087?\u1086? \u1086?\u1090?\u1085?\u1086?\u1096?\u1077?\u1085?\u1080?\u1077? \u1085?\u1072? \u1077?\u1084?\u1080?\u1089?\u1080?\u1080?\u1090?\u1077? \u1086?\u1090? \u1083?\u1077?\u1082?\u1080? \u1087?\u1088?\u1077?\u1074?\u1086?\u1079?\u1085?\u1080? \u1089?\u1088?\u1077?\u1076?\u1089?\u1090?\u1074?\u1072? \u1079?\u1072? \u1087?\u1088?\u1077?\u1074?\u1086?\u1079? \u1085?\u1072? \u1087?\u1098?\u1090?\u1085?\u1080?\u1094?\u1080? \u1080? \u1090?\u1086?\u1074?\u1072?\u1088?\u1080? (\u1045?\u1074?\u1088?\u1086? 5 \u1080? \u1045?\u1074?\u1088?\u1086? 6) \u1080? \u1079?\u1072? \u1076?\u1086?\u1089?\u1090?\u1098?\u1087?\u1072? \u1076?\u1086? \u1080?\u1085?\u1092?\u1086?\u1088?\u1084?\u1072?\u1094?\u1080?\u1103? \u1079?\u1072? \u1088?\u1077?\u1084?\u1086?\u1085?\u1090? \u1080? \u1090?\u1077?\u1093?\u1085?\u1080?\u1095?\u1077?\u1089?\u1082?\u1086? \u1086?\u1073?\u1089?\u1083?\u1091?\u1078?\u1074?\u1072?\u1085?\u1077? \u1085?\u1072? \u1087?\u1088?\u1077?\u1074?\u1086?\u1079?\u1085?\u1080? \u1089?\u1088?\u1077?\u1076?\u1089?\u1090?\u1074?\u1072?"/>
    <w:docVar w:name="LW_OBJETACTEPRINCIPAL.CP" w:val="\u1079?\u1072? \u1080?\u1079?\u1084?\u1077?\u1085?\u1077?\u1085?\u1080?\u1077? \u1085?\u1072? \u1056?\u1077?\u1075?\u1083?\u1072?\u1084?\u1077?\u1085?\u1090? (\u1045?\u1054?) \u8470? 715/2007 \u1079?\u1072? \u1090?\u1080?\u1087?\u1086?\u1074?\u1086? \u1086?\u1076?\u1086?\u1073?\u1088?\u1077?\u1085?\u1080?\u1077? \u1085?\u1072? \u1084?\u1086?\u1090?\u1086?\u1088?\u1085?\u1080? \u1087?\u1088?\u1077?\u1074?\u1086?\u1079?\u1085?\u1080? \u1089?\u1088?\u1077?\u1076?\u1089?\u1090?\u1074?\u1072? \u1087?\u1086? \u1086?\u1090?\u1085?\u1086?\u1096?\u1077?\u1085?\u1080?\u1077? \u1085?\u1072? \u1077?\u1084?\u1080?\u1089?\u1080?\u1080?\u1090?\u1077? \u1086?\u1090? \u1083?\u1077?\u1082?\u1080? \u1087?\u1088?\u1077?\u1074?\u1086?\u1079?\u1085?\u1080? \u1089?\u1088?\u1077?\u1076?\u1089?\u1090?\u1074?\u1072? \u1079?\u1072? \u1087?\u1088?\u1077?\u1074?\u1086?\u1079? \u1085?\u1072? \u1087?\u1098?\u1090?\u1085?\u1080?\u1094?\u1080? \u1080? \u1090?\u1086?\u1074?\u1072?\u1088?\u1080? (\u1045?\u1074?\u1088?\u1086? 5 \u1080? \u1045?\u1074?\u1088?\u1086? 6) \u1080? \u1079?\u1072? \u1076?\u1086?\u1089?\u1090?\u1098?\u1087?\u1072? \u1076?\u1086? \u1080?\u1085?\u1092?\u1086?\u1088?\u1084?\u1072?\u1094?\u1080?\u1103? \u1079?\u1072? \u1088?\u1077?\u1084?\u1086?\u1085?\u1090? \u1080? \u1090?\u1077?\u1093?\u1085?\u1080?\u1095?\u1077?\u1089?\u1082?\u1086? \u1086?\u1073?\u1089?\u1083?\u1091?\u1078?\u1074?\u1072?\u1085?\u1077? \u1085?\u1072? \u1087?\u1088?\u1077?\u1074?\u1086?\u1079?\u1085?\u1080? \u1089?\u1088?\u1077?\u1076?\u1089?\u1090?\u1074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9) 20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  <w:docVar w:name="LW_TYPEACTEPRINCIPAL.CP" w:val="\u1055?\u1088?\u1077?\u1076?\u1083?\u1086?\u1078?\u1077?\u1085?\u1080?\u1077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RMarker">
    <w:name w:val="CR Marker"/>
    <w:basedOn w:val="DefaultParagraphFont"/>
    <w:uiPriority w:val="99"/>
    <w:rPr>
      <w:rFonts w:ascii="Wingdings" w:hAnsi="Wingdings" w:cs="Wingdings"/>
    </w:rPr>
  </w:style>
  <w:style w:type="character" w:customStyle="1" w:styleId="CRRefNum">
    <w:name w:val="CR RefNum"/>
    <w:basedOn w:val="DefaultParagraphFont"/>
    <w:uiPriority w:val="99"/>
    <w:rPr>
      <w:vertAlign w:val="subscript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RMarker">
    <w:name w:val="CR Marker"/>
    <w:basedOn w:val="DefaultParagraphFont"/>
    <w:uiPriority w:val="99"/>
    <w:rPr>
      <w:rFonts w:ascii="Wingdings" w:hAnsi="Wingdings" w:cs="Wingdings"/>
    </w:rPr>
  </w:style>
  <w:style w:type="character" w:customStyle="1" w:styleId="CRRefNum">
    <w:name w:val="CR RefNum"/>
    <w:basedOn w:val="DefaultParagraphFont"/>
    <w:uiPriority w:val="99"/>
    <w:rPr>
      <w:vertAlign w:val="subscript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3B565B2-A952-4BEF-8A0E-FD4D3A03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158</Words>
  <Characters>873</Characters>
  <Application>Microsoft Office Word</Application>
  <DocSecurity>0</DocSecurity>
  <Lines>48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TELES ROMAO Margarida (GROW)</dc:creator>
  <cp:lastModifiedBy>WES PDFC Administrator</cp:lastModifiedBy>
  <cp:revision>8</cp:revision>
  <cp:lastPrinted>2019-03-06T17:01:00Z</cp:lastPrinted>
  <dcterms:created xsi:type="dcterms:W3CDTF">2019-04-16T13:42:00Z</dcterms:created>
  <dcterms:modified xsi:type="dcterms:W3CDTF">2019-06-12T09:42:00Z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