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382E33F1-091C-449A-AB05-700D4705036F" style="width:450.8pt;height:397.5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Dans l’annexe I du règlement (CE) nº 715/2007, le tableau 2a suivant est inséré:</w:t>
      </w:r>
    </w:p>
    <w:p>
      <w:pPr>
        <w:jc w:val="center"/>
        <w:rPr>
          <w:i/>
          <w:noProof/>
        </w:rPr>
      </w:pPr>
      <w:r>
        <w:rPr>
          <w:i/>
          <w:noProof/>
        </w:rPr>
        <w:t xml:space="preserve"> </w:t>
      </w:r>
      <w:r>
        <w:rPr>
          <w:noProof/>
        </w:rPr>
        <w:t>«</w:t>
      </w:r>
      <w:r>
        <w:rPr>
          <w:i/>
          <w:noProof/>
        </w:rPr>
        <w:t xml:space="preserve">Tableau 2a 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Facteurs de conformité des émissions en conditions de conduite réelles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275"/>
        <w:gridCol w:w="1276"/>
        <w:gridCol w:w="1559"/>
        <w:gridCol w:w="1807"/>
      </w:tblGrid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Oxydes d’azote (NO</w:t>
            </w:r>
            <w:r>
              <w:rPr>
                <w:noProof/>
                <w:sz w:val="22"/>
                <w:vertAlign w:val="subscript"/>
              </w:rPr>
              <w:t>x</w:t>
            </w:r>
            <w:r>
              <w:rPr>
                <w:noProof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Nombre de particules (PN)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Monoxyde de carbone (CO)</w:t>
            </w:r>
            <w:r>
              <w:rPr>
                <w:noProof/>
                <w:sz w:val="22"/>
                <w:vertAlign w:val="superscript"/>
              </w:rPr>
              <w:t>(</w:t>
            </w:r>
            <w:r>
              <w:rPr>
                <w:rStyle w:val="FootnoteReference"/>
                <w:noProof/>
                <w:sz w:val="22"/>
              </w:rPr>
              <w:footnoteReference w:id="1"/>
            </w:r>
            <w:r>
              <w:rPr>
                <w:noProof/>
                <w:sz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Hydrocarbures totaux (THC)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Centered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Hydrocarbures et oxydes d’azote combinés (THC + NO</w:t>
            </w:r>
            <w:r>
              <w:rPr>
                <w:noProof/>
                <w:sz w:val="22"/>
                <w:vertAlign w:val="subscript"/>
              </w:rPr>
              <w:t>x</w:t>
            </w:r>
            <w:r>
              <w:rPr>
                <w:noProof/>
                <w:sz w:val="22"/>
              </w:rPr>
              <w:t>)</w:t>
            </w:r>
          </w:p>
        </w:tc>
      </w:tr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noProof/>
              </w:rPr>
            </w:pPr>
            <w:r>
              <w:rPr>
                <w:i/>
                <w:noProof/>
              </w:rPr>
              <w:t>CF</w:t>
            </w:r>
            <w:r>
              <w:rPr>
                <w:i/>
                <w:noProof/>
                <w:vertAlign w:val="subscript"/>
              </w:rPr>
              <w:t>pollutant</w:t>
            </w:r>
            <w:r>
              <w:rPr>
                <w:i/>
                <w:noProof/>
              </w:rPr>
              <w:t>-</w:t>
            </w:r>
            <w:r>
              <w:rPr>
                <w:i/>
                <w:noProof/>
                <w:vertAlign w:val="subscript"/>
              </w:rPr>
              <w:t xml:space="preserve">final </w:t>
            </w:r>
            <w:r>
              <w:rPr>
                <w:i/>
                <w:noProof/>
                <w:vertAlign w:val="superscript"/>
              </w:rPr>
              <w:t>(2)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rPr>
                <w:i/>
                <w:iCs/>
                <w:noProof/>
              </w:rPr>
            </w:pPr>
            <w:r>
              <w:rPr>
                <w:i/>
                <w:noProof/>
              </w:rPr>
              <w:t xml:space="preserve">CF </w:t>
            </w:r>
            <w:r>
              <w:rPr>
                <w:i/>
                <w:noProof/>
                <w:vertAlign w:val="subscript"/>
              </w:rPr>
              <w:t>pollutant</w:t>
            </w:r>
            <w:r>
              <w:rPr>
                <w:i/>
                <w:noProof/>
              </w:rPr>
              <w:t>-</w:t>
            </w:r>
            <w:r>
              <w:rPr>
                <w:i/>
                <w:noProof/>
                <w:vertAlign w:val="subscript"/>
              </w:rPr>
              <w:t>temp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  <w:vertAlign w:val="superscript"/>
              </w:rPr>
              <w:t>(3)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pStyle w:val="NormalLeft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  <w:vertAlign w:val="superscript"/>
        </w:rPr>
        <w:t>(1)</w:t>
      </w:r>
      <w:r>
        <w:rPr>
          <w:noProof/>
        </w:rPr>
        <w:t xml:space="preserve"> Les émissions de CO doivent être mesurées et enregistrées pour tous les essais RDE.</w:t>
      </w:r>
    </w:p>
    <w:p>
      <w:pPr>
        <w:rPr>
          <w:noProof/>
        </w:rPr>
      </w:pPr>
      <w:r>
        <w:rPr>
          <w:noProof/>
          <w:vertAlign w:val="superscript"/>
        </w:rPr>
        <w:t xml:space="preserve"> (2) </w:t>
      </w:r>
      <w:r>
        <w:rPr>
          <w:i/>
          <w:noProof/>
        </w:rPr>
        <w:t>CF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final</w:t>
      </w:r>
      <w:r>
        <w:rPr>
          <w:noProof/>
        </w:rPr>
        <w:t xml:space="preserve"> est le facteur de conformité utilisé pour déterminer le respect des limites d’émissions Euro 6 en tenant compte des incertitudes techniques liées à l’utilisation des systèmes portables de mesure des émissions (PEMS).</w:t>
      </w:r>
    </w:p>
    <w:p>
      <w:pPr>
        <w:rPr>
          <w:noProof/>
        </w:rPr>
      </w:pPr>
      <w:r>
        <w:rPr>
          <w:noProof/>
          <w:vertAlign w:val="superscript"/>
        </w:rPr>
        <w:t xml:space="preserve"> (3)</w:t>
      </w:r>
      <w:r>
        <w:rPr>
          <w:noProof/>
        </w:rPr>
        <w:t xml:space="preserve"> CF 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temp</w:t>
      </w:r>
      <w:r>
        <w:rPr>
          <w:noProof/>
        </w:rPr>
        <w:t xml:space="preserve"> est le facteur de conformité temporaire qui peut être utilisé à la demande du constructeur à la place de </w:t>
      </w:r>
      <w:r>
        <w:rPr>
          <w:i/>
          <w:noProof/>
        </w:rPr>
        <w:t>CF</w:t>
      </w:r>
      <w:r>
        <w:rPr>
          <w:i/>
          <w:noProof/>
          <w:vertAlign w:val="subscript"/>
        </w:rPr>
        <w:t>pollutant</w:t>
      </w:r>
      <w:r>
        <w:rPr>
          <w:i/>
          <w:noProof/>
        </w:rPr>
        <w:t>-</w:t>
      </w:r>
      <w:r>
        <w:rPr>
          <w:i/>
          <w:noProof/>
          <w:vertAlign w:val="subscript"/>
        </w:rPr>
        <w:t>final</w:t>
      </w:r>
      <w:r>
        <w:rPr>
          <w:noProof/>
        </w:rPr>
        <w:t xml:space="preserve"> pendant une période de 5 années et 4 mois après les dates spécifiées à l’article 10, paragraphes 4 et 5.».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r>
        <w:rPr>
          <w:rStyle w:val="FootnoteReference"/>
        </w:rP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E209D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03C76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A5A3A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36E2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E2568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8C8C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DA64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78080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4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2 11:40:4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82E33F1-091C-449A-AB05-700D4705036F"/>
    <w:docVar w:name="LW_COVERPAGE_TYPE" w:val="1"/>
    <w:docVar w:name="LW_CROSSREFERENCE" w:val="&lt;UNUSED&gt;"/>
    <w:docVar w:name="LW_DocType" w:val="ANNEX"/>
    <w:docVar w:name="LW_EMISSION" w:val="14.6.2019"/>
    <w:docVar w:name="LW_EMISSION_ISODATE" w:val="2019-06-1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CE) nº&lt;LWCR:NBS&gt;715/2007 relatif à la réception des véhicules à moteur au regard des émissions des véhicules particuliers et utilitaires légers (Euro 5 et Euro 6) et aux informations sur la réparation et l\u8217?entretien des véhicules"/>
    <w:docVar w:name="LW_OBJETACTEPRINCIPAL.CP" w:val="modifiant le règlement (CE) nº 715/2007 relatif à la réception des véhicules à moteur au regard des émissions des véhicules particuliers et utilitaires légers (Euro 5 et Euro 6) et aux informations sur la réparation et l\u8217?entretien des véhicules"/>
    <w:docVar w:name="LW_PART_NBR" w:val="1"/>
    <w:docVar w:name="LW_PART_NBR_TOTAL" w:val="1"/>
    <w:docVar w:name="LW_REF.INST.NEW" w:val="COM"/>
    <w:docVar w:name="LW_REF.INST.NEW_ADOPTED" w:val="final"/>
    <w:docVar w:name="LW_REF.INST.NEW_TEXT" w:val="(2019) 20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character" w:customStyle="1" w:styleId="CRRefNum">
    <w:name w:val="CR RefNum"/>
    <w:basedOn w:val="DefaultParagraphFont"/>
    <w:uiPriority w:val="99"/>
    <w:rPr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character" w:customStyle="1" w:styleId="CRRefNum">
    <w:name w:val="CR RefNum"/>
    <w:basedOn w:val="DefaultParagraphFont"/>
    <w:uiPriority w:val="99"/>
    <w:rPr>
      <w:vertAlign w:val="subscript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D88A23-BCA6-47EC-9F35-0CCA341B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159</Words>
  <Characters>834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 ROMAO Margarida (GROW)</dc:creator>
  <cp:lastModifiedBy>WES PDFC Administrator</cp:lastModifiedBy>
  <cp:revision>8</cp:revision>
  <cp:lastPrinted>2019-03-06T17:01:00Z</cp:lastPrinted>
  <dcterms:created xsi:type="dcterms:W3CDTF">2019-04-16T14:43:00Z</dcterms:created>
  <dcterms:modified xsi:type="dcterms:W3CDTF">2019-06-12T09:40:00Z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