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902942B-1B89-4C24-BEBB-A5F71FD45B26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In Annex I to Regulation (EC) No 715/2007, the following Table 2a is inserted:</w:t>
      </w:r>
    </w:p>
    <w:p>
      <w:pPr>
        <w:jc w:val="center"/>
        <w:rPr>
          <w:i/>
          <w:noProof/>
        </w:rPr>
      </w:pPr>
      <w:r>
        <w:rPr>
          <w:i/>
          <w:noProof/>
        </w:rPr>
        <w:t xml:space="preserve"> </w:t>
      </w:r>
      <w:r>
        <w:rPr>
          <w:noProof/>
        </w:rPr>
        <w:t>“</w:t>
      </w:r>
      <w:r>
        <w:rPr>
          <w:i/>
          <w:noProof/>
        </w:rPr>
        <w:t xml:space="preserve">Table 2a 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Real Driving Emissions Conformity Factors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275"/>
        <w:gridCol w:w="1276"/>
        <w:gridCol w:w="1276"/>
        <w:gridCol w:w="2090"/>
      </w:tblGrid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Oxides of nitrogen (NO</w:t>
            </w:r>
            <w:r>
              <w:rPr>
                <w:noProof/>
                <w:vertAlign w:val="subscript"/>
              </w:rPr>
              <w:t>x</w:t>
            </w:r>
            <w:r>
              <w:rPr>
                <w:noProof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Number of particles (PN)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Carbon monoxide (CO)</w:t>
            </w:r>
            <w:r>
              <w:rPr>
                <w:noProof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Total hydrocarbons (THC)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Combined hydrocarbons and oxides of nitrogen (THC + NO</w:t>
            </w:r>
            <w:r>
              <w:rPr>
                <w:noProof/>
                <w:vertAlign w:val="subscript"/>
              </w:rPr>
              <w:t>x</w:t>
            </w:r>
            <w:r>
              <w:rPr>
                <w:noProof/>
              </w:rPr>
              <w:t>)</w:t>
            </w:r>
          </w:p>
        </w:tc>
      </w:tr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i/>
                <w:iCs/>
                <w:noProof/>
              </w:rPr>
              <w:t>CF</w:t>
            </w:r>
            <w:r>
              <w:rPr>
                <w:i/>
                <w:iCs/>
                <w:noProof/>
                <w:vertAlign w:val="subscript"/>
              </w:rPr>
              <w:t>pollutant</w:t>
            </w:r>
            <w:r>
              <w:rPr>
                <w:i/>
                <w:noProof/>
              </w:rPr>
              <w:t>-</w:t>
            </w:r>
            <w:r>
              <w:rPr>
                <w:i/>
                <w:noProof/>
                <w:vertAlign w:val="subscript"/>
              </w:rPr>
              <w:t>final</w:t>
            </w:r>
            <w:r>
              <w:rPr>
                <w:i/>
                <w:iCs/>
                <w:noProof/>
                <w:vertAlign w:val="subscript"/>
              </w:rPr>
              <w:t xml:space="preserve"> </w:t>
            </w:r>
            <w:r>
              <w:rPr>
                <w:i/>
                <w:iCs/>
                <w:noProof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 xml:space="preserve">CF </w:t>
            </w:r>
            <w:r>
              <w:rPr>
                <w:i/>
                <w:noProof/>
                <w:vertAlign w:val="subscript"/>
              </w:rPr>
              <w:t>pollutant</w:t>
            </w:r>
            <w:r>
              <w:rPr>
                <w:i/>
                <w:noProof/>
              </w:rPr>
              <w:t>-</w:t>
            </w:r>
            <w:r>
              <w:rPr>
                <w:i/>
                <w:noProof/>
                <w:vertAlign w:val="subscript"/>
              </w:rPr>
              <w:t>temp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  <w:vertAlign w:val="superscript"/>
              </w:rPr>
              <w:t>(3)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  <w:vertAlign w:val="superscript"/>
        </w:rPr>
        <w:t>(1)</w:t>
      </w:r>
      <w:r>
        <w:rPr>
          <w:noProof/>
        </w:rPr>
        <w:t xml:space="preserve"> CO emissions shall be measured and recorded for all RDE tests.</w:t>
      </w:r>
    </w:p>
    <w:p>
      <w:pPr>
        <w:rPr>
          <w:noProof/>
        </w:rPr>
      </w:pPr>
      <w:r>
        <w:rPr>
          <w:noProof/>
          <w:vertAlign w:val="superscript"/>
        </w:rPr>
        <w:t xml:space="preserve"> (2) </w:t>
      </w:r>
      <w:r>
        <w:rPr>
          <w:i/>
          <w:iCs/>
          <w:noProof/>
        </w:rPr>
        <w:t>CF</w:t>
      </w:r>
      <w:r>
        <w:rPr>
          <w:i/>
          <w:iCs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final</w:t>
      </w:r>
      <w:r>
        <w:rPr>
          <w:noProof/>
        </w:rPr>
        <w:t xml:space="preserve"> is the conformity factor used to determine compliance with the Euro 6 emission limits by taking into account the technical uncertainties linked with the use of the Portable Emission Measurement Systems (PEMS).</w:t>
      </w:r>
    </w:p>
    <w:p>
      <w:pPr>
        <w:rPr>
          <w:noProof/>
        </w:rPr>
      </w:pPr>
      <w:r>
        <w:rPr>
          <w:noProof/>
          <w:vertAlign w:val="superscript"/>
        </w:rPr>
        <w:t xml:space="preserve"> (3)</w:t>
      </w:r>
      <w:r>
        <w:rPr>
          <w:noProof/>
        </w:rPr>
        <w:t xml:space="preserve"> CF 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temp</w:t>
      </w:r>
      <w:r>
        <w:rPr>
          <w:noProof/>
        </w:rPr>
        <w:t xml:space="preserve"> is the temporary conformity factor that may be used upon request of the manufacturer as an alternative to </w:t>
      </w:r>
      <w:r>
        <w:rPr>
          <w:i/>
          <w:noProof/>
        </w:rPr>
        <w:t>CF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final</w:t>
      </w:r>
      <w:r>
        <w:rPr>
          <w:noProof/>
        </w:rPr>
        <w:t xml:space="preserve"> during a period of 5 years and 4 months following the dates specified in Article 10(4) and (5).”.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r>
        <w:rPr>
          <w:rStyle w:val="FootnoteReference"/>
        </w:rP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E209D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03C76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A5A3A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36E2B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E256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8C8CC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DA64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78080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12 11:40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902942B-1B89-4C24-BEBB-A5F71FD45B26"/>
    <w:docVar w:name="LW_COVERPAGE_TYPE" w:val="1"/>
    <w:docVar w:name="LW_CROSSREFERENCE" w:val="&lt;UNUSED&gt;"/>
    <w:docVar w:name="LW_DocType" w:val="ANNEX"/>
    <w:docVar w:name="LW_EMISSION" w:val="14.6.2019"/>
    <w:docVar w:name="LW_EMISSION_ISODATE" w:val="2019-06-1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C) No 715/2007 on type approval of motor vehicles with respect to emissions from light passenger and commercial vehicles (Euro 5 and Euro 6) and on access to vehicle repair and maintenance information"/>
    <w:docVar w:name="LW_OBJETACTEPRINCIPAL.CP" w:val="amending Regulation (EC) No 715/2007 on type approval of motor vehicles with respect to emissions from light passenger and commercial vehicles (Euro 5 and Euro 6) and on access to vehicle repair and maintenance inform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9) 2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character" w:customStyle="1" w:styleId="CRRefNum">
    <w:name w:val="CR RefNum"/>
    <w:basedOn w:val="DefaultParagraphFont"/>
    <w:uiPriority w:val="99"/>
    <w:rPr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character" w:customStyle="1" w:styleId="CRRefNum">
    <w:name w:val="CR RefNum"/>
    <w:basedOn w:val="DefaultParagraphFont"/>
    <w:uiPriority w:val="99"/>
    <w:rPr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A00B83F-9EE6-47EB-84CA-F3749440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149</Words>
  <Characters>775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 ROMAO Margarida (GROW)</dc:creator>
  <cp:lastModifiedBy>WES PDFC Administrator</cp:lastModifiedBy>
  <cp:revision>8</cp:revision>
  <cp:lastPrinted>2019-03-06T17:01:00Z</cp:lastPrinted>
  <dcterms:created xsi:type="dcterms:W3CDTF">2019-04-16T12:07:00Z</dcterms:created>
  <dcterms:modified xsi:type="dcterms:W3CDTF">2019-06-12T09:40:00Z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