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3CC96D9B-D7EC-480C-BF95-CF65D1043C37" style="width:450.75pt;height:438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t>ПРИЛОЖЕНИЕ</w:t>
      </w:r>
    </w:p>
    <w:p>
      <w:pPr>
        <w:pStyle w:val="Titrearticle"/>
        <w:jc w:val="both"/>
        <w:rPr>
          <w:b/>
          <w:i w:val="0"/>
          <w:noProof/>
          <w:u w:val="single"/>
        </w:rPr>
      </w:pPr>
      <w:r>
        <w:rPr>
          <w:b/>
          <w:i w:val="0"/>
          <w:noProof/>
          <w:u w:val="single"/>
        </w:rPr>
        <w:t>Указания за водене на преговори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Целта на преговорите е да се сключат Споразумение за партньорство в областта на устойчивото рибарство и съответен протокол между Европейския съюз и Република Сейшели в съответствие с Регламент (ЕС) № 1380/2013 относно общата политика в областта на рибарството и със заключенията на Съвета от 19 март 2012 г. във връзка със Съобщението на Комисията от 13 юли 2011 г. относно външното измерение на общата политика в областта на рибарството.</w:t>
      </w:r>
    </w:p>
    <w:p>
      <w:pPr>
        <w:pStyle w:val="Tiret0"/>
        <w:numPr>
          <w:ilvl w:val="0"/>
          <w:numId w:val="1"/>
        </w:numPr>
        <w:rPr>
          <w:noProof/>
        </w:rPr>
      </w:pPr>
      <w:r>
        <w:rPr>
          <w:noProof/>
        </w:rPr>
        <w:t>Поради това в Споразумението за партньорство в областта на устойчивото рибарство следва да се определят общата рамка, общите принципи и целите, които ще бъдат в основата на партньорството с Република Сейшели. В него следва да се съдържа клауза за отмяна на действащото понастоящем Споразумение за партньорство в областта на рибарството между Европейската общност и Република Сейшели</w:t>
      </w:r>
      <w:r>
        <w:rPr>
          <w:rStyle w:val="FootnoteReference"/>
          <w:noProof/>
        </w:rPr>
        <w:footnoteReference w:id="1"/>
      </w:r>
      <w:r>
        <w:rPr>
          <w:noProof/>
        </w:rPr>
        <w:t>.</w:t>
      </w:r>
    </w:p>
    <w:p>
      <w:pPr>
        <w:pStyle w:val="Tiret0"/>
        <w:rPr>
          <w:noProof/>
        </w:rPr>
      </w:pPr>
      <w:r>
        <w:rPr>
          <w:noProof/>
        </w:rPr>
        <w:t>За да се насърчи устойчивото и отговорно рибарство, като в същото време се осигурят ползи както за ЕС, така и за Република Сейшели, произтичащи от новото споразумение и съответния протокол, по време на преговорите Комисията ще се ръководи от следните цели:</w:t>
      </w:r>
    </w:p>
    <w:p>
      <w:pPr>
        <w:pStyle w:val="Bullet1"/>
        <w:numPr>
          <w:ilvl w:val="0"/>
          <w:numId w:val="2"/>
        </w:numPr>
        <w:rPr>
          <w:noProof/>
        </w:rPr>
      </w:pPr>
      <w:r>
        <w:rPr>
          <w:noProof/>
        </w:rPr>
        <w:t>да се осигурят достъп до риболовната зона на Република Сейшели и необходимите разрешения за риболов в тази зона за корабите от флота на ЕС, като по този начин, наред с другото, се разшири мрежата от споразумения за партньорство в областта на устойчивото рибарство, които са на разположение на операторите от ЕС в Индийския океан;</w:t>
      </w:r>
    </w:p>
    <w:p>
      <w:pPr>
        <w:pStyle w:val="Bullet1"/>
        <w:rPr>
          <w:noProof/>
          <w:sz w:val="22"/>
        </w:rPr>
      </w:pPr>
      <w:r>
        <w:rPr>
          <w:noProof/>
        </w:rPr>
        <w:t>да бъдат взети под внимание най-добрите налични научни становища и съответните планове за управление, приети от регионалните организации за управление на рибарството, за да се гарантира екологичната устойчивост на риболовните дейности и да се насърчи управлението на океаните на международно равнище. Риболовните дейности следва да бъдат насочени изключително към наличните ресурси, като се вземе предвид риболовният капацитет на местния флот и същевременно се отдели специално внимание на далекомигриращия характер на съответните запаси;</w:t>
      </w:r>
    </w:p>
    <w:p>
      <w:pPr>
        <w:pStyle w:val="Bullet1"/>
        <w:rPr>
          <w:noProof/>
          <w:szCs w:val="24"/>
        </w:rPr>
      </w:pPr>
      <w:r>
        <w:rPr>
          <w:noProof/>
        </w:rPr>
        <w:t>да се осигури подходящ дял от рибните ресурси, който да е изцяло съобразен с интересите на флотовете на ЕС, когато тези ресурси представляват интерес и за други чуждестранни флотове, и да се прилагат едни и същи технически условия спрямо всички чуждестранни флотове;</w:t>
      </w:r>
    </w:p>
    <w:p>
      <w:pPr>
        <w:pStyle w:val="Bullet1"/>
        <w:rPr>
          <w:noProof/>
        </w:rPr>
      </w:pPr>
      <w:r>
        <w:rPr>
          <w:noProof/>
        </w:rPr>
        <w:t>да се гарантира, че достъпът до рибните ресурси се основава на досегашната и на очакваната бъдеща дейност на флота на ЕС в региона, като се отчитат най-добрите и най-актуални налични научни становища, както и интересите на най-отдалечените региони на ЕС;</w:t>
      </w:r>
    </w:p>
    <w:p>
      <w:pPr>
        <w:pStyle w:val="Bullet1"/>
        <w:rPr>
          <w:noProof/>
        </w:rPr>
      </w:pPr>
      <w:r>
        <w:rPr>
          <w:noProof/>
        </w:rPr>
        <w:t>да бъде установен диалог за укрепване на секторната политика с цел да се насърчи провеждането на отговорна политика в областта на рибарството във връзка с целите за развитие на държавата, по-специално по отношение на управлението на рибарството, борбата с незаконния, недеклариран и нерегулиран риболов, както и контрола, наблюдението и надзора на риболовните дейности и предоставянето на научни становища; и да се насърчи икономическата дейност;</w:t>
      </w:r>
    </w:p>
    <w:p>
      <w:pPr>
        <w:pStyle w:val="Bullet1"/>
        <w:rPr>
          <w:noProof/>
        </w:rPr>
      </w:pPr>
      <w:r>
        <w:rPr>
          <w:noProof/>
        </w:rPr>
        <w:t>да се гарантира, че протоколът ще помогне за насърчаването на растежа и достойните условия на труд в морския сектор, като се вземат предвид съответните конвенции на Международната организация на труда;</w:t>
      </w:r>
    </w:p>
    <w:p>
      <w:pPr>
        <w:pStyle w:val="Bullet1"/>
        <w:rPr>
          <w:noProof/>
        </w:rPr>
      </w:pPr>
      <w:r>
        <w:rPr>
          <w:noProof/>
        </w:rPr>
        <w:t>да бъде включена клауза относно последиците в случай на нарушаване на правата на човека и демократичните принципи.</w:t>
      </w:r>
    </w:p>
    <w:p>
      <w:pPr>
        <w:pStyle w:val="Tiret0"/>
        <w:rPr>
          <w:noProof/>
        </w:rPr>
      </w:pPr>
      <w:r>
        <w:rPr>
          <w:noProof/>
        </w:rPr>
        <w:t>По-конкретно, в протокола следва да се определят:</w:t>
      </w:r>
    </w:p>
    <w:p>
      <w:pPr>
        <w:pStyle w:val="Bullet1"/>
        <w:rPr>
          <w:noProof/>
        </w:rPr>
      </w:pPr>
      <w:r>
        <w:rPr>
          <w:noProof/>
        </w:rPr>
        <w:t>възможностите за риболов, които ще бъдат предоставени на корабите на Европейския съюз;</w:t>
      </w:r>
    </w:p>
    <w:p>
      <w:pPr>
        <w:pStyle w:val="Bullet1"/>
        <w:rPr>
          <w:noProof/>
        </w:rPr>
      </w:pPr>
      <w:r>
        <w:rPr>
          <w:noProof/>
        </w:rPr>
        <w:t>финансовата компенсация и условията за нейното изплащане; както и</w:t>
      </w:r>
    </w:p>
    <w:p>
      <w:pPr>
        <w:pStyle w:val="Bullet1"/>
        <w:rPr>
          <w:noProof/>
        </w:rPr>
      </w:pPr>
      <w:r>
        <w:rPr>
          <w:noProof/>
        </w:rPr>
        <w:t>механизмите за осъществяване на секторната подкрепа.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0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>
        <w:tab/>
        <w:t>ОВ L 290, 20.10.2006 г., стр. 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FB1AA92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E14299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1C8F6E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23A77D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5140904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CD6E7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E5651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81C252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16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9-06-11 14:35:36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3CC96D9B-D7EC-480C-BF95-CF65D1043C37"/>
    <w:docVar w:name="LW_COVERPAGE_TYPE" w:val="1"/>
    <w:docVar w:name="LW_CROSSREFERENCE" w:val="{SWD(2019) 209 final} - {SWD(2019) 210 final}"/>
    <w:docVar w:name="LW_DocType" w:val="ANNEX"/>
    <w:docVar w:name="LW_EMISSION" w:val="18.6.2019"/>
    <w:docVar w:name="LW_EMISSION_ISODATE" w:val="2019-06-18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7?\u1077?\u1081?\u1096?\u1077?\u1083?\u1080? \u1080? \u1085?\u1072? \u1089?\u1098?\u1086?\u1090?\u1074?\u1077?\u1090?\u1077?\u1085? \u1087?\u1088?\u1086?\u1090?\u1086?\u1082?\u1086?\u1083?_x000b__x000b_"/>
    <w:docVar w:name="LW_OBJETACTEPRINCIPAL.CP" w:val="\u1079?\u1072? \u1056?\u1077?\u1096?\u1077?\u1085?\u1080?\u1077? \u1085?\u1072? \u1057?\u1098?\u1074?\u1077?\u1090?\u1072? 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6?\u1090? \u1080?\u1084?\u1077?\u1090?\u1086? \u1085?\u1072? \u1045?\u1074?\u1088?\u1086?\u1087?\u1077?\u1081?\u1089?\u1082?\u1080?\u1103? \u1089?\u1098?\u1102?\u1079? \u1079?\u1072? \u1089?\u1082?\u1083?\u1102?\u1095?\u1074?\u1072?\u1085?\u1077? \u1085?\u1072? \u1057?\u1087?\u1086?\u1088?\u1072?\u1079?\u1091?\u1084?\u1077?\u1085?\u1080?\u1077? \u1079?\u1072? \u1087?\u1072?\u1088?\u1090?\u1085?\u1100?\u1086?\u1088?\u1089?\u1090?\u1074?\u1086? \u1074? \u1086?\u1073?\u1083?\u1072?\u1089?\u1090?\u1090?\u1072? \u1085?\u1072? \u1091?\u1089?\u1090?\u1086?\u1081?\u1095?\u1080?\u1074?\u1086?\u1090?\u1086? \u1088?\u1080?\u1073?\u1072?\u1088?\u1089?\u1090?\u1074?\u1086? \u1089? \u1056?\u1077?\u1087?\u1091?\u1073?\u1083?\u1080?\u1082?\u1072? \u1057?\u1077?\u1081?\u1096?\u1077?\u1083?\u1080? \u1080? \u1085?\u1072? \u1089?\u1098?\u1086?\u1090?\u1074?\u1077?\u1090?\u1077?\u1085? \u1087?\u1088?\u1086?\u1090?\u1086?\u1082?\u1086?\u1083?_x000b_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9) 281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88?\u1077?\u1087?\u1086?\u1088?\u1098?\u1082?\u1072?"/>
    <w:docVar w:name="LW_TYPEACTEPRINCIPAL.CP" w:val="\u1055?\u1088?\u1077?\u1087?\u1086?\u1088?\u1098?\u1082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BB1DB55-E96B-4EAC-B140-D18963B32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0</TotalTime>
  <Pages>3</Pages>
  <Words>524</Words>
  <Characters>3014</Characters>
  <Application>Microsoft Office Word</Application>
  <DocSecurity>0</DocSecurity>
  <Lines>60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FERRARA Maria (MARE)</dc:creator>
  <cp:keywords/>
  <dc:description/>
  <cp:lastModifiedBy>WES PDFC Administrator</cp:lastModifiedBy>
  <cp:revision>9</cp:revision>
  <dcterms:created xsi:type="dcterms:W3CDTF">2019-06-07T10:12:00Z</dcterms:created>
  <dcterms:modified xsi:type="dcterms:W3CDTF">2019-06-11T12:35:00Z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6.0.1.0</vt:lpwstr>
  </property>
  <property fmtid="{D5CDD505-2E9C-101B-9397-08002B2CF9AE}" pid="4" name="Last edited using">
    <vt:lpwstr>LW 6.0.1, Build 20180503</vt:lpwstr>
  </property>
  <property fmtid="{D5CDD505-2E9C-101B-9397-08002B2CF9AE}" pid="5" name="Created using">
    <vt:lpwstr>LW 6.0.1, Build 20180503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