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55CD515-3397-44A3-BAAD-C36A5EA2BB07"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60" w:after="60"/>
        <w:rPr>
          <w:rFonts w:eastAsia="Arial Unicode MS"/>
          <w:noProof/>
        </w:rPr>
      </w:pPr>
      <w:r>
        <w:rPr>
          <w:noProof/>
        </w:rPr>
        <w:t>Комисията предлага да се проведат преговори за ново Споразумение за партньорство в областта на устойчивото рибарство с Република Сейшели и на съответен нов протокол, като двата документа да отговарят на нуждите на риболовния флот на Съюза и да са в съответствие с Регламент (ЕС) № 1380/2013 относно общата политика в областта на рибарството и със заключенията на Съвета от 19 март 2012 г. във връзка със Съобщението на Комисията относно външното измерение на общата политика в областта на рибарството.</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szCs w:val="24"/>
        </w:rPr>
      </w:pPr>
      <w:r>
        <w:rPr>
          <w:noProof/>
        </w:rPr>
        <w:t>Действащото понастоящем Споразумение за партньорство в областта на рибарството между Европейския съюз и Република Сейшели</w:t>
      </w:r>
      <w:r>
        <w:rPr>
          <w:rStyle w:val="FootnoteReference"/>
          <w:noProof/>
        </w:rPr>
        <w:footnoteReference w:id="1"/>
      </w:r>
      <w:r>
        <w:rPr>
          <w:noProof/>
        </w:rPr>
        <w:t xml:space="preserve"> беше подписано на 28 февруари 2007 г.</w:t>
      </w:r>
      <w:r>
        <w:rPr>
          <w:rStyle w:val="FootnoteReference"/>
          <w:noProof/>
        </w:rPr>
        <w:footnoteReference w:id="2"/>
      </w:r>
      <w:r>
        <w:rPr>
          <w:noProof/>
        </w:rPr>
        <w:t xml:space="preserve"> и влезе в сила на 2 ноември 2007 г., като срокът му на действие е 6 години. То подлежи на подновяване с мълчаливо съгласие и понастоящем се прилага до 1 ноември 2019 г. В препоръката се предлага да се проведат преговори за ново Споразумение за партньорство в областта на устойчивото рибарство, за да може в него да се включат някои разпоредби на Регламент (ЕС) № 1380/2013</w:t>
      </w:r>
      <w:r>
        <w:rPr>
          <w:rStyle w:val="FootnoteReference"/>
          <w:noProof/>
        </w:rPr>
        <w:footnoteReference w:id="3"/>
      </w:r>
      <w:r>
        <w:rPr>
          <w:noProof/>
        </w:rPr>
        <w:t>, които не се обхванати от действащото понастоящем споразумение. Действащият понастоящем протокол</w:t>
      </w:r>
      <w:r>
        <w:rPr>
          <w:rStyle w:val="FootnoteReference"/>
          <w:noProof/>
        </w:rPr>
        <w:footnoteReference w:id="4"/>
      </w:r>
      <w:r>
        <w:rPr>
          <w:noProof/>
        </w:rPr>
        <w:t xml:space="preserve"> към споразумението, който е със срок на действие шест години, влезе в сила на 18 януари 2014 г. и изтича на 17 януари 2020 г. В него се определят възможностите за риболов, които се предоставят на флота на Съюза, и съответното финансово участие от Съюза и корабособствениците.</w:t>
      </w:r>
    </w:p>
    <w:p>
      <w:pPr>
        <w:pBdr>
          <w:top w:val="nil"/>
          <w:left w:val="nil"/>
          <w:bottom w:val="nil"/>
          <w:right w:val="nil"/>
          <w:between w:val="nil"/>
          <w:bar w:val="nil"/>
        </w:pBdr>
        <w:spacing w:before="0" w:after="240"/>
        <w:rPr>
          <w:rFonts w:eastAsia="Arial Unicode MS"/>
          <w:noProof/>
          <w:szCs w:val="24"/>
        </w:rPr>
      </w:pPr>
      <w:r>
        <w:rPr>
          <w:noProof/>
        </w:rPr>
        <w:t>Дължимото на Република Сейшели годишно финансово участие от публичните средства на ЕС възлиза на 5 000 000 EUR</w:t>
      </w:r>
      <w:r>
        <w:rPr>
          <w:rStyle w:val="FootnoteReference"/>
          <w:noProof/>
        </w:rPr>
        <w:footnoteReference w:id="5"/>
      </w:r>
      <w:r>
        <w:rPr>
          <w:noProof/>
        </w:rPr>
        <w:t>, от които 2 500 000 EUR са предназначени за секторна подкрепа.</w:t>
      </w:r>
    </w:p>
    <w:p>
      <w:pPr>
        <w:spacing w:before="60" w:after="240"/>
        <w:rPr>
          <w:rFonts w:eastAsia="Arial Unicode MS"/>
          <w:noProof/>
        </w:rPr>
      </w:pPr>
      <w:r>
        <w:rPr>
          <w:noProof/>
        </w:rPr>
        <w:t>По силата на Споразумението за партньорство в областта на рибарството със Сейшeлите се осигуряват възможности за риболов на риба тон и далекомигриращи видове за кораби на ЕС от четири държави членки (Испания, Франция, Италия и Португалия). Европейският съюз вече разработи мрежа от двустранни споразумения за партньорство в областта на устойчивото рибарство (СПОУР) в Индийския океан — по-конкретно с Мавриций и Мадагаскар.</w:t>
      </w:r>
    </w:p>
    <w:p>
      <w:pPr>
        <w:spacing w:before="60" w:after="240"/>
        <w:rPr>
          <w:rFonts w:eastAsia="Arial Unicode MS"/>
          <w:noProof/>
        </w:rPr>
      </w:pPr>
      <w:r>
        <w:rPr>
          <w:noProof/>
        </w:rPr>
        <w:t xml:space="preserve">СПОУР допринасят за утвърждаването в международен аспект на целите на общата политика в областта на рибарството, като гарантират, че риболовните дейности на Съюза извън неговите води се основават на същите принципи и стандарти като принципите и стандартите, прилагани съгласно правото на Съюза, и като насърчават устойчивото управление на океаните във всичките му измерения. Наред с това те </w:t>
      </w:r>
      <w:r>
        <w:rPr>
          <w:noProof/>
        </w:rPr>
        <w:lastRenderedPageBreak/>
        <w:t>стимулират научното сътрудничество между ЕС и неговите партньори, насърчават прозрачността и устойчивостта с оглед на по-доброто управление на рибните ресурси, както и управлението чрез подкрепа за наблюдението, контрола и надзора на дейностите на националните и чуждестранните флотове и чрез финансиране на борбата с незаконния, недеклариран и нерегулиран риболов. СПОУР допринасят също така за устойчивото развитие на риболовната промишленост на местно равнище и за насърчаване на растежа и достойните условия на труд при риболовните дейности. СПОУР укрепват позициите на Европейския съюз в международните и регионалните риболовни организации: в конкретния случай на Сейшелите това е Комисията по рибата тон в Индийския океан (IOTC)</w:t>
      </w:r>
      <w:r>
        <w:rPr>
          <w:rStyle w:val="FootnoteReference"/>
          <w:noProof/>
        </w:rPr>
        <w:footnoteReference w:id="6"/>
      </w:r>
      <w:r>
        <w:rPr>
          <w:noProof/>
        </w:rPr>
        <w:t>.</w:t>
      </w:r>
    </w:p>
    <w:p>
      <w:pPr>
        <w:pBdr>
          <w:top w:val="nil"/>
          <w:left w:val="nil"/>
          <w:bottom w:val="nil"/>
          <w:right w:val="nil"/>
          <w:between w:val="nil"/>
          <w:bar w:val="nil"/>
        </w:pBdr>
        <w:spacing w:before="0" w:after="240"/>
        <w:rPr>
          <w:rFonts w:eastAsia="Arial Unicode MS"/>
          <w:noProof/>
          <w:szCs w:val="24"/>
        </w:rPr>
      </w:pP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Преговорите за ново споразумение и нов протокол със Сейшелите са съгласувани с външната дейност на ЕС, насочена към държавите от Африка, Карибите и Тихоокеанския басейн, и по-конкретно с целите на Съюза по отношение на спазването на демократичните принципи и правата на човека.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за решението се съдържа в част пета — „Външна дейност на Съюза“, дял V — „Международни споразумения“, член 218 от Договора за функционирането на Европейския съюз (ДФЕС), в който се описва процедурата за водене на преговори и сключване на споразумения между ЕС и трети държави.</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е приложимо — изключителна компетентност.</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Решението е пропорционално на целта.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Инструментът е предвиден по силата на член 218, параграфи 3 и 4 от ДФЕС.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През 2019 г. Комисията извърши последваща оценка на действащия понастоящем протокол към Споразумението за партньорство в областта на рибарството с Република Сейшели, както и предварителна оценка на евентуалното подновяване на този протокол. Заключенията от оценката са изложени в отделен работен документ на службите на Комисията.</w:t>
      </w:r>
    </w:p>
    <w:p>
      <w:pPr>
        <w:pBdr>
          <w:top w:val="nil"/>
          <w:left w:val="nil"/>
          <w:bottom w:val="nil"/>
          <w:right w:val="nil"/>
          <w:between w:val="nil"/>
          <w:bar w:val="nil"/>
        </w:pBdr>
        <w:spacing w:before="0" w:after="240"/>
        <w:rPr>
          <w:rFonts w:eastAsia="Arial Unicode MS"/>
          <w:noProof/>
        </w:rPr>
      </w:pPr>
      <w:r>
        <w:rPr>
          <w:noProof/>
        </w:rPr>
        <w:lastRenderedPageBreak/>
        <w:t>В заключенията от оценката се посочва, че риболовните сектори на ЕС проявяват силен интерес към извършването на риболов в Сейшелите и че подновяването на протокола е в интерес на двете страни. Подновяването на протокола освен това ще допринесе за засилване на наблюдението, контрола и надзора, както и за по-доброто управление на рибарството в региона.</w:t>
      </w:r>
    </w:p>
    <w:p>
      <w:pPr>
        <w:pBdr>
          <w:top w:val="nil"/>
          <w:left w:val="nil"/>
          <w:bottom w:val="nil"/>
          <w:right w:val="nil"/>
          <w:between w:val="nil"/>
          <w:bar w:val="nil"/>
        </w:pBdr>
        <w:spacing w:before="0" w:after="240"/>
        <w:rPr>
          <w:rFonts w:eastAsia="Arial Unicode MS"/>
          <w:noProof/>
        </w:rPr>
      </w:pPr>
      <w:r>
        <w:rPr>
          <w:noProof/>
        </w:rPr>
        <w:t>За ЕС е важно да поддържа инструмент, позволяващ задълбочено секторно сътрудничество с държава, която — поради обхвата на риболовната зона под нейната юрисдикция — е водещ фактор в управлението на океаните в съответния подрегион. Укрепването на отношенията със Сейшелите е от полза и за намирането на съмишленици в рамките на IOTC. Освен това за флота на ЕС това означава запазване на достъпа до риболовна зона, която е важна за използването на риболовни стратегии съгласно многогодишна международна правна рамка. Също така значението на Виктория като едно от основните пристанища за разтоварване допринася за важността на предвидения нов протокол както за риболовния сектор на ЕС, така и за държавата партньор. Що се отнася до органите на Сейшелите, тяхната цел е да запазят отношенията си с ЕС с оглед укрепване на управлението на океаните, като се ползват от специална секторна подкрепа, предвиждаща възможности за многогодишно финансиране.</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рамките на оценката бяха проведени консултации с държавите членки, представители на сектора и международни организации на гражданското общество, както и с представители на органа за управление на рибарството и гражданското общество на Сейшелите. Бяха проведени също така консултации в рамките на Консултативния съвет по далечно плаване, и по-специално на неговото заседание на 27 март 2019 г.</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В указанията за водене на преговори, предложени като приложение към решението, се препоръчва да се разреши започването на преговори, като се включи клауза относно последиците в случай на нарушаване на правата на човека и демократичните принципи.</w:t>
      </w:r>
    </w:p>
    <w:p>
      <w:pPr>
        <w:pStyle w:val="ManualHeading1"/>
        <w:rPr>
          <w:noProof/>
        </w:rPr>
      </w:pPr>
      <w:r>
        <w:rPr>
          <w:noProof/>
        </w:rPr>
        <w:t>4.</w:t>
      </w:r>
      <w:r>
        <w:rPr>
          <w:noProof/>
        </w:rPr>
        <w:tab/>
        <w:t>ОТРАЖЕНИЕ ВЪРХУ БЮДЖЕТА</w:t>
      </w:r>
    </w:p>
    <w:p>
      <w:pPr>
        <w:rPr>
          <w:noProof/>
        </w:rPr>
      </w:pPr>
      <w:r>
        <w:rPr>
          <w:noProof/>
        </w:rPr>
        <w:t xml:space="preserve">Отражението върху бюджета, свързано с новия протокол, се изразява в плащането на Република Сейшели на финансово участие. Съответните бюджетни средства под формата на бюджетни кредити за поети задължения и бюджетни кредити за плащания трябва да бъдат включвани ежегодно в бюджетния ред за споразуменията за партньорство в областта на устойчивото рибарство (11 03 01) и трябва също така да са </w:t>
      </w:r>
      <w:r>
        <w:rPr>
          <w:noProof/>
        </w:rPr>
        <w:lastRenderedPageBreak/>
        <w:t>съвместими с финансовото програмиране на многогодишната финансова рамка за периода 2014—2020 г. Годишните суми за поетите задължения и плащанията са установени в годишната бюджетна процедура, включително в бюджетен ред „Резерви“ по отношение на протоколите, които не са влезли в сила към началото на годината</w:t>
      </w:r>
      <w:r>
        <w:rPr>
          <w:rStyle w:val="FootnoteReference"/>
          <w:noProof/>
        </w:rPr>
        <w:footnoteReference w:id="7"/>
      </w:r>
      <w:r>
        <w:rPr>
          <w:noProof/>
        </w:rPr>
        <w:t>.</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Очаква се преговорите да започнат през второто тримесечие на 2019 г.</w:t>
      </w:r>
    </w:p>
    <w:p>
      <w:pPr>
        <w:pStyle w:val="ManualHeading2"/>
        <w:rPr>
          <w:rFonts w:eastAsia="Arial Unicode MS"/>
          <w:noProof/>
          <w:u w:color="000000"/>
          <w:bdr w:val="nil"/>
        </w:rPr>
      </w:pPr>
      <w:r>
        <w:rPr>
          <w:noProof/>
        </w:rPr>
        <w:t>•</w:t>
      </w:r>
      <w:r>
        <w:rPr>
          <w:noProof/>
        </w:rPr>
        <w:tab/>
        <w:t>Подробно разяснение на специфичните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Комисията препоръчва следното:</w:t>
      </w:r>
    </w:p>
    <w:p>
      <w:pPr>
        <w:pBdr>
          <w:top w:val="nil"/>
          <w:left w:val="nil"/>
          <w:bottom w:val="nil"/>
          <w:right w:val="nil"/>
          <w:between w:val="nil"/>
          <w:bar w:val="nil"/>
        </w:pBdr>
        <w:spacing w:before="0" w:after="240"/>
        <w:rPr>
          <w:rFonts w:eastAsia="Arial Unicode MS"/>
          <w:noProof/>
        </w:rPr>
      </w:pPr>
      <w:r>
        <w:rPr>
          <w:noProof/>
        </w:rPr>
        <w:t>— Съветът да упълномощи Комисията да започне и проведе преговори за сключването на ново Споразумение за партньорство в областта на устойчивото рибарство с Република Сейшели и на съответен протокол,</w:t>
      </w:r>
    </w:p>
    <w:p>
      <w:pPr>
        <w:pBdr>
          <w:top w:val="nil"/>
          <w:left w:val="nil"/>
          <w:bottom w:val="nil"/>
          <w:right w:val="nil"/>
          <w:between w:val="nil"/>
          <w:bar w:val="nil"/>
        </w:pBdr>
        <w:spacing w:before="0" w:after="240"/>
        <w:rPr>
          <w:rFonts w:eastAsia="Arial Unicode MS"/>
          <w:noProof/>
        </w:rPr>
      </w:pPr>
      <w:r>
        <w:rPr>
          <w:noProof/>
        </w:rPr>
        <w:t>— Комисията да бъде определена за преговарящ на ЕС по този въпрос,</w:t>
      </w:r>
    </w:p>
    <w:p>
      <w:pPr>
        <w:pBdr>
          <w:top w:val="nil"/>
          <w:left w:val="nil"/>
          <w:bottom w:val="nil"/>
          <w:right w:val="nil"/>
          <w:between w:val="nil"/>
          <w:bar w:val="nil"/>
        </w:pBdr>
        <w:spacing w:before="0" w:after="240"/>
        <w:rPr>
          <w:rFonts w:eastAsia="Arial Unicode MS"/>
          <w:noProof/>
        </w:rPr>
      </w:pPr>
      <w:r>
        <w:rPr>
          <w:noProof/>
        </w:rPr>
        <w:t>— Комисията да води преговорите в консултация със специалния комитет, създаден в съответствие с Договора за функционирането на Европейския съюз,</w:t>
      </w:r>
    </w:p>
    <w:p>
      <w:pPr>
        <w:pBdr>
          <w:top w:val="nil"/>
          <w:left w:val="nil"/>
          <w:bottom w:val="nil"/>
          <w:right w:val="nil"/>
          <w:between w:val="nil"/>
          <w:bar w:val="nil"/>
        </w:pBdr>
        <w:spacing w:before="0" w:after="240"/>
        <w:rPr>
          <w:noProof/>
        </w:rPr>
      </w:pPr>
      <w:r>
        <w:rPr>
          <w:noProof/>
        </w:rPr>
        <w:t>— Съветът да одобри указанията за водене на преговори, приложени към настоящата препоръка.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Препоръка за</w:t>
      </w:r>
    </w:p>
    <w:p>
      <w:pPr>
        <w:pStyle w:val="Typedudocument"/>
        <w:rPr>
          <w:noProof/>
        </w:rPr>
      </w:pPr>
      <w:r>
        <w:rPr>
          <w:noProof/>
        </w:rPr>
        <w:t>РЕШЕНИЕ НА СЪВЕТА</w:t>
      </w:r>
    </w:p>
    <w:p>
      <w:pPr>
        <w:pStyle w:val="Titreobjet"/>
        <w:rPr>
          <w:noProof/>
        </w:rPr>
      </w:pPr>
      <w:r>
        <w:rPr>
          <w:noProof/>
        </w:rPr>
        <w:t>за упълномощаване на Комисията да започне преговори от името на Европейския съюз за сключване на Споразумение за партньорство в областта на устойчивото рибарство с Република Сейшели и на съответен протокол</w:t>
      </w:r>
      <w:r>
        <w:rPr>
          <w:noProof/>
        </w:rPr>
        <w:br/>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като взе предвид препоръката на Европейската комисия,</w:t>
      </w:r>
    </w:p>
    <w:p>
      <w:pPr>
        <w:rPr>
          <w:noProof/>
          <w:szCs w:val="24"/>
        </w:rPr>
      </w:pPr>
      <w:r>
        <w:rPr>
          <w:noProof/>
        </w:rPr>
        <w:t>като има предвид, че следва да започнат преговори с цел сключване на ново Споразумение за партньорство в областта на устойчивото рибарство с Република Сейшели и на съответен нов протокол,</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noProof/>
        </w:rPr>
      </w:pPr>
      <w:bookmarkStart w:id="1" w:name="_CopyToNewDocument_"/>
      <w:bookmarkEnd w:id="1"/>
      <w:r>
        <w:rPr>
          <w:noProof/>
        </w:rPr>
        <w:t>Комисията се упълномощава да започне преговори с Република Сейшели с цел сключване на ново Споразумение за партньорство в областта на устойчивото рибарство с Република Сейшели и на съответен нов протокол.</w:t>
      </w:r>
    </w:p>
    <w:p>
      <w:pPr>
        <w:pStyle w:val="Titrearticle"/>
        <w:rPr>
          <w:noProof/>
        </w:rPr>
      </w:pPr>
      <w:r>
        <w:rPr>
          <w:noProof/>
        </w:rPr>
        <w:t>Член 2</w:t>
      </w:r>
    </w:p>
    <w:p>
      <w:pPr>
        <w:rPr>
          <w:noProof/>
        </w:rPr>
      </w:pPr>
      <w:r>
        <w:rPr>
          <w:noProof/>
        </w:rPr>
        <w:t>Преговорите се водят в консултация с [наименованието на специалния комитет, определен от Съвета] и въз основа на указанията за водене на преговори, които се съдържат в приложението към настоящото решение.</w:t>
      </w:r>
    </w:p>
    <w:p>
      <w:pPr>
        <w:pStyle w:val="Titrearticle"/>
        <w:rPr>
          <w:noProof/>
        </w:rPr>
      </w:pPr>
      <w:r>
        <w:rPr>
          <w:noProof/>
        </w:rPr>
        <w:t>Член 3</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ОВ L 290, 20.10.2006 г., стр. 2.</w:t>
      </w:r>
    </w:p>
  </w:footnote>
  <w:footnote w:id="2">
    <w:p>
      <w:pPr>
        <w:pStyle w:val="FootnoteText"/>
        <w:rPr>
          <w:lang w:val="en-IE"/>
        </w:rPr>
      </w:pPr>
      <w:r>
        <w:rPr>
          <w:rStyle w:val="FootnoteReference"/>
        </w:rPr>
        <w:footnoteRef/>
      </w:r>
      <w:r>
        <w:tab/>
      </w:r>
      <w:hyperlink r:id="rId1">
        <w:r>
          <w:rPr>
            <w:rStyle w:val="Hyperlink"/>
          </w:rPr>
          <w:t>https://www.consilium.europa.eu/bg/documents-publications/treaties-agreements/agreement/?id=2006084&amp;DocLanguage=bg</w:t>
        </w:r>
      </w:hyperlink>
    </w:p>
    <w:p>
      <w:pPr>
        <w:pStyle w:val="FootnoteText"/>
        <w:ind w:left="0" w:firstLine="0"/>
        <w:rPr>
          <w:lang w:val="en-IE"/>
        </w:rPr>
      </w:pPr>
    </w:p>
  </w:footnote>
  <w:footnote w:id="3">
    <w:p>
      <w:pPr>
        <w:pStyle w:val="FootnoteText"/>
      </w:pPr>
      <w:r>
        <w:rPr>
          <w:rStyle w:val="FootnoteReference"/>
        </w:rPr>
        <w:footnoteRef/>
      </w:r>
      <w:r>
        <w:tab/>
        <w:t>Вж. Регламент (ЕС) № 1380/2013, част VI, дял II.</w:t>
      </w:r>
    </w:p>
  </w:footnote>
  <w:footnote w:id="4">
    <w:p>
      <w:pPr>
        <w:pStyle w:val="FootnoteText"/>
      </w:pPr>
      <w:r>
        <w:rPr>
          <w:rStyle w:val="FootnoteReference"/>
        </w:rPr>
        <w:footnoteRef/>
      </w:r>
      <w:r>
        <w:tab/>
        <w:t>OВ L 4, 9.1.2014 г., стр. 3.</w:t>
      </w:r>
    </w:p>
  </w:footnote>
  <w:footnote w:id="5">
    <w:p>
      <w:pPr>
        <w:pStyle w:val="FootnoteText"/>
      </w:pPr>
      <w:r>
        <w:rPr>
          <w:rStyle w:val="FootnoteReference"/>
        </w:rPr>
        <w:footnoteRef/>
      </w:r>
      <w:r>
        <w:tab/>
        <w:t>За последните 4 години от срока на действие на протокола. За първите 2 години то възлизаше на 5 350 000 EUR.</w:t>
      </w:r>
    </w:p>
  </w:footnote>
  <w:footnote w:id="6">
    <w:p>
      <w:pPr>
        <w:pStyle w:val="FootnoteText"/>
        <w:ind w:firstLine="0"/>
      </w:pPr>
      <w:r>
        <w:rPr>
          <w:rStyle w:val="FootnoteReference"/>
        </w:rPr>
        <w:footnoteRef/>
      </w:r>
      <w:r>
        <w:tab/>
      </w:r>
      <w:hyperlink r:id="rId2">
        <w:r>
          <w:rPr>
            <w:rStyle w:val="Hyperlink"/>
          </w:rPr>
          <w:t>https://iotc.org/</w:t>
        </w:r>
      </w:hyperlink>
      <w:r>
        <w:t>, междуправителствена организация, която отговаря за управлението на рибата тон и тоноподобните видове в Индийския океан.</w:t>
      </w:r>
    </w:p>
  </w:footnote>
  <w:footnote w:id="7">
    <w:p>
      <w:pPr>
        <w:pStyle w:val="FootnoteText"/>
      </w:pPr>
      <w:r>
        <w:rPr>
          <w:rStyle w:val="FootnoteReference"/>
        </w:rPr>
        <w:footnoteRef/>
      </w:r>
      <w:r>
        <w:tab/>
        <w:t>Глава 40 (бюджетен ред 40 02 41 — „Резерви“) в съответствие с междуинституционалното споразумение относно МФР (2013/C 373/01).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D8639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DE89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98DE3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93A10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560D6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AA4B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0E8FF24"/>
    <w:lvl w:ilvl="0">
      <w:start w:val="1"/>
      <w:numFmt w:val="decimal"/>
      <w:pStyle w:val="ListNumber"/>
      <w:lvlText w:val="%1."/>
      <w:lvlJc w:val="left"/>
      <w:pPr>
        <w:tabs>
          <w:tab w:val="num" w:pos="360"/>
        </w:tabs>
        <w:ind w:left="360" w:hanging="360"/>
      </w:pPr>
    </w:lvl>
  </w:abstractNum>
  <w:abstractNum w:abstractNumId="7">
    <w:nsid w:val="FFFFFF89"/>
    <w:multiLevelType w:val="singleLevel"/>
    <w:tmpl w:val="39BEBA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1 14:33:3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55CD515-3397-44A3-BAAD-C36A5EA2BB07"/>
    <w:docVar w:name="LW_COVERPAGE_TYPE" w:val="1"/>
    <w:docVar w:name="LW_CROSSREFERENCE" w:val="{SWD(2019) 209 final} - {SWD(2019) 210 final}"/>
    <w:docVar w:name="LW_DocType" w:val="COM"/>
    <w:docVar w:name="LW_EMISSION" w:val="18.6.2019"/>
    <w:docVar w:name="LW_EMISSION_ISODATE" w:val="2019-06-18"/>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79?\u1072? \u1091?\u1087?\u1098?\u1083?\u1085?\u1086?\u1084?\u1086?\u1097?\u1072?\u1074?\u1072?\u1085?\u1077? \u1085?\u1072? \u1050?\u1086?\u1084?\u1080?\u1089?\u1080?\u1103?\u1090?\u1072? \u1076?\u1072? \u1079?\u1072?\u1087?\u1086?\u1095?\u1085?\u1077? \u1087?\u1088?\u1077?\u1075?\u1086?\u1074?\u1086?\u1088?\u1080? \u1086?\u1090? \u1080?\u1084?\u1077?\u1090?\u1086? \u1085?\u1072? \u1045?\u1074?\u1088?\u1086?\u1087?\u1077?\u1081?\u1089?\u1082?\u1080?\u1103? \u1089?\u1098?\u1102?\u1079? \u1079?\u1072? \u1089?\u1082?\u1083?\u1102?\u1095?\u1074?\u1072?\u1085?\u1077? \u1085?\u1072? \u1057?\u1087?\u1086?\u1088?\u1072?\u1079?\u1091?\u1084?\u1077?\u1085?\u1080?\u1077? \u1079?\u1072? \u1087?\u1072?\u1088?\u1090?\u1085?\u1100?\u1086?\u1088?\u1089?\u1090?\u1074?\u1086? \u1074? \u1086?\u1073?\u1083?\u1072?\u1089?\u1090?\u1090?\u1072? \u1085?\u1072? \u1091?\u1089?\u1090?\u1086?\u1081?\u1095?\u1080?\u1074?\u1086?\u1090?\u1086? \u1088?\u1080?\u1073?\u1072?\u1088?\u1089?\u1090?\u1074?\u1086? \u1089? \u1056?\u1077?\u1087?\u1091?\u1073?\u1083?\u1080?\u1082?\u1072? \u1057?\u1077?\u1081?\u1096?\u1077?\u1083?\u1080? \u1080? \u1085?\u1072? \u1089?\u1098?\u1086?\u1090?\u1074?\u1077?\u1090?\u1077?\u1085? \u1087?\u1088?\u1086?\u1090?\u1086?\u1082?\u1086?\u1083?_x000b__x000b_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iotc.org/" TargetMode="External"/><Relationship Id="rId1" Type="http://schemas.openxmlformats.org/officeDocument/2006/relationships/hyperlink" Target="https://www.consilium.europa.eu/bg/documents-publications/treaties-agreements/agreement/?id=2006084&amp;DocLanguage=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2ABDFB-7DF1-4363-8AB8-7DCD0D53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1407</Words>
  <Characters>8181</Characters>
  <Application>Microsoft Office Word</Application>
  <DocSecurity>0</DocSecurity>
  <Lines>166</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2019-06-07T10:16:00Z</dcterms:created>
  <dcterms:modified xsi:type="dcterms:W3CDTF">2019-06-11T12:33:00Z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