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A862777-D899-409E-A57C-09F633887A47"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60" w:after="60"/>
        <w:rPr>
          <w:rFonts w:eastAsia="Arial Unicode MS"/>
          <w:noProof/>
        </w:rPr>
      </w:pPr>
      <w:r>
        <w:rPr>
          <w:rFonts w:eastAsia="Arial Unicode MS"/>
          <w:noProof/>
        </w:rPr>
        <w:t xml:space="preserve">The Commission proposes to negotiate a new Sustainable Fisheries Partnership Agreement and a new protocol with the Republic of </w:t>
      </w:r>
      <w:r>
        <w:rPr>
          <w:noProof/>
          <w:szCs w:val="24"/>
        </w:rPr>
        <w:t>Seychelles,</w:t>
      </w:r>
      <w:r>
        <w:rPr>
          <w:b/>
          <w:noProof/>
          <w:szCs w:val="24"/>
        </w:rPr>
        <w:t xml:space="preserve"> </w:t>
      </w:r>
      <w:r>
        <w:rPr>
          <w:rFonts w:eastAsia="Arial Unicode MS"/>
          <w:noProof/>
        </w:rPr>
        <w:t>which both meet the needs of the Union fleet and are in line with Regulation (EU) No1380/2013 on the Common Fisheries Policy (CFP) and the 19 March 2012 Council Conclusions on a Communication from the Commission on the External dimension of the Common Fisheries Policy.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szCs w:val="24"/>
        </w:rPr>
      </w:pPr>
      <w:r>
        <w:rPr>
          <w:noProof/>
        </w:rPr>
        <w:t>The current Fisheries Partnership Agreement (FPA) between the European Union and Seychelles</w:t>
      </w:r>
      <w:r>
        <w:rPr>
          <w:rStyle w:val="FootnoteReference"/>
          <w:rFonts w:eastAsia="Arial Unicode MS"/>
          <w:noProof/>
        </w:rPr>
        <w:footnoteReference w:id="1"/>
      </w:r>
      <w:r>
        <w:rPr>
          <w:noProof/>
        </w:rPr>
        <w:t xml:space="preserve"> was signed on 28 February 2007</w:t>
      </w:r>
      <w:r>
        <w:rPr>
          <w:rStyle w:val="FootnoteReference"/>
          <w:rFonts w:eastAsia="Arial Unicode MS"/>
          <w:noProof/>
        </w:rPr>
        <w:footnoteReference w:id="2"/>
      </w:r>
      <w:r>
        <w:rPr>
          <w:noProof/>
        </w:rPr>
        <w:t xml:space="preserve"> and entered into force on 2 November 2007 for a duration of 6 years. The agreement is tacitly renewable, and currently applies until 1 November 2019. It is hereby proposed to negotiate a new Sustainable Fisheries Partnership Agreement in order to integrate some provisions included in </w:t>
      </w:r>
      <w:r>
        <w:rPr>
          <w:rFonts w:eastAsia="Arial Unicode MS"/>
          <w:noProof/>
        </w:rPr>
        <w:t>Regulation (EU) No1380/2013</w:t>
      </w:r>
      <w:r>
        <w:rPr>
          <w:rStyle w:val="FootnoteReference"/>
          <w:rFonts w:eastAsia="Arial Unicode MS"/>
          <w:noProof/>
        </w:rPr>
        <w:footnoteReference w:id="3"/>
      </w:r>
      <w:r>
        <w:rPr>
          <w:rFonts w:eastAsia="Arial Unicode MS"/>
          <w:noProof/>
        </w:rPr>
        <w:t>, which are not covered by the current FPA. The current 6-year Protocol</w:t>
      </w:r>
      <w:r>
        <w:rPr>
          <w:rStyle w:val="FootnoteReference"/>
          <w:rFonts w:eastAsia="Arial Unicode MS"/>
          <w:noProof/>
        </w:rPr>
        <w:footnoteReference w:id="4"/>
      </w:r>
      <w:r>
        <w:rPr>
          <w:rFonts w:eastAsia="Arial Unicode MS"/>
          <w:noProof/>
        </w:rPr>
        <w:t xml:space="preserve"> to the FPA entered into application on 18</w:t>
      </w:r>
      <w:r>
        <w:rPr>
          <w:rFonts w:eastAsia="Arial Unicode MS"/>
          <w:noProof/>
          <w:vertAlign w:val="superscript"/>
        </w:rPr>
        <w:t>th</w:t>
      </w:r>
      <w:r>
        <w:rPr>
          <w:rFonts w:eastAsia="Arial Unicode MS"/>
          <w:noProof/>
        </w:rPr>
        <w:t xml:space="preserve"> January 2014 and will expire on 17</w:t>
      </w:r>
      <w:r>
        <w:rPr>
          <w:rFonts w:eastAsia="Arial Unicode MS"/>
          <w:noProof/>
          <w:vertAlign w:val="superscript"/>
        </w:rPr>
        <w:t>th</w:t>
      </w:r>
      <w:r>
        <w:rPr>
          <w:rFonts w:eastAsia="Arial Unicode MS"/>
          <w:noProof/>
        </w:rPr>
        <w:t xml:space="preserve"> January 2020. This Protocol fixes the fishing opportunities provided to the Union fleet and the corresponding financial contribution paid by the </w:t>
      </w:r>
      <w:r>
        <w:rPr>
          <w:rFonts w:eastAsia="Arial Unicode MS"/>
          <w:noProof/>
          <w:szCs w:val="24"/>
        </w:rPr>
        <w:t xml:space="preserve">Union and the ship-owners.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annual EU public financial contribution due to Seychelles amounts to 5 000 000 EUR</w:t>
      </w:r>
      <w:r>
        <w:rPr>
          <w:rStyle w:val="FootnoteReference"/>
          <w:rFonts w:eastAsia="Arial Unicode MS"/>
          <w:noProof/>
          <w:szCs w:val="24"/>
        </w:rPr>
        <w:footnoteReference w:id="5"/>
      </w:r>
      <w:r>
        <w:rPr>
          <w:rFonts w:eastAsia="Arial Unicode MS"/>
          <w:noProof/>
          <w:szCs w:val="24"/>
        </w:rPr>
        <w:t>, out of which 2 500 000 are earmarked for sectoral support.</w:t>
      </w:r>
    </w:p>
    <w:p>
      <w:pPr>
        <w:spacing w:before="60" w:after="240"/>
        <w:rPr>
          <w:rFonts w:eastAsia="Arial Unicode MS"/>
          <w:noProof/>
        </w:rPr>
      </w:pPr>
      <w:r>
        <w:rPr>
          <w:rFonts w:eastAsia="Arial Unicode MS"/>
          <w:noProof/>
          <w:szCs w:val="24"/>
        </w:rPr>
        <w:t>The FPA with Seychelles provides fishing opportunities targeting tuna and highly migratory species for EU vessels from 4 Member States (Spain, France, Italy and Portugal). The European Union has already developed a network of bilateral Sustainable Fisheries Partnership Agreements (SFPAs) in the Indian Ocean, namely with Mauritius and Madagascar</w:t>
      </w:r>
      <w:r>
        <w:rPr>
          <w:rFonts w:eastAsia="Arial Unicode MS"/>
          <w:noProof/>
        </w:rPr>
        <w:t>.</w:t>
      </w:r>
    </w:p>
    <w:p>
      <w:pPr>
        <w:spacing w:before="60" w:after="240"/>
        <w:rPr>
          <w:rFonts w:eastAsia="Arial Unicode MS"/>
          <w:noProof/>
        </w:rPr>
      </w:pPr>
      <w:r>
        <w:rPr>
          <w:rFonts w:eastAsia="Arial Unicode MS"/>
          <w:noProof/>
        </w:rPr>
        <w:t xml:space="preserve">SFPAs contribute to promote the objectives of the CFP internationally, ensuring that Union fishing activities outside Union waters are based on the same principles and standards as those applicable under Union law and promoting the sustainable management of oceans in all its dimensions. In addition, SFPAs foster scientific cooperation between the EU and its partner, promote transparency and sustainability for a better management of fishing resources and encourage governance by supporting monitoring, control and surveillance of national and foreign fleets' activities and providing funding to fight against illegal, unreported and unregulated (IUU) fishing. SFPAs contribute also to the sustainable development of local fishing industry and to the promotion of growth and decent work linked to fishing activities. SFPAs strengthen the European Union’s position in international and regional fishing </w:t>
      </w:r>
      <w:r>
        <w:rPr>
          <w:rFonts w:eastAsia="Arial Unicode MS"/>
          <w:noProof/>
        </w:rPr>
        <w:lastRenderedPageBreak/>
        <w:t>organisations: in the case of Seychelles, in particular in the Indian Ocean Tuna Commission (IOTC)</w:t>
      </w:r>
      <w:r>
        <w:rPr>
          <w:rStyle w:val="FootnoteReference"/>
          <w:rFonts w:eastAsia="Arial Unicode MS"/>
          <w:noProof/>
        </w:rPr>
        <w:footnoteReference w:id="6"/>
      </w:r>
      <w:r>
        <w:rPr>
          <w:rFonts w:eastAsia="Arial Unicode MS"/>
          <w:noProof/>
        </w:rPr>
        <w:t>.</w:t>
      </w:r>
    </w:p>
    <w:p>
      <w:pPr>
        <w:pBdr>
          <w:top w:val="nil"/>
          <w:left w:val="nil"/>
          <w:bottom w:val="nil"/>
          <w:right w:val="nil"/>
          <w:between w:val="nil"/>
          <w:bar w:val="nil"/>
        </w:pBdr>
        <w:spacing w:before="0" w:after="240"/>
        <w:rPr>
          <w:rFonts w:eastAsia="Arial Unicode MS"/>
          <w:noProof/>
          <w:szCs w:val="24"/>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negotiation of a new Agreement and protocol with Seychelles is in line with the EU’s external action towards African, Caribbean and Pacific (ACP) countries, and in particular with the Union objectives regarding the respect of democratic principles and human rights.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the decision is provided by Article 218 of the Treaty on the Functioning of the European Union (TFEU), in Part Five on the Union’s external action, Title V on international agreements, which sets out the procedure for negotiating and concluding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Not applicable,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is proportional to the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is provided for under Article 218(3) and Article 218(4) of the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The Commission carried out in 2019 an </w:t>
      </w:r>
      <w:r>
        <w:rPr>
          <w:rFonts w:eastAsia="Arial Unicode MS"/>
          <w:i/>
          <w:noProof/>
        </w:rPr>
        <w:t>ex-post</w:t>
      </w:r>
      <w:r>
        <w:rPr>
          <w:rFonts w:eastAsia="Arial Unicode MS"/>
          <w:noProof/>
        </w:rPr>
        <w:t xml:space="preserve"> evaluation of the current protocol to the FPA </w:t>
      </w:r>
      <w:r>
        <w:rPr>
          <w:noProof/>
          <w:szCs w:val="24"/>
        </w:rPr>
        <w:t>Seychelles</w:t>
      </w:r>
      <w:r>
        <w:rPr>
          <w:b/>
          <w:noProof/>
          <w:szCs w:val="24"/>
        </w:rPr>
        <w:t xml:space="preserve"> </w:t>
      </w:r>
      <w:r>
        <w:rPr>
          <w:rFonts w:eastAsia="Arial Unicode MS"/>
          <w:noProof/>
        </w:rPr>
        <w:t xml:space="preserve">as well as an </w:t>
      </w:r>
      <w:r>
        <w:rPr>
          <w:rFonts w:eastAsia="Arial Unicode MS"/>
          <w:i/>
          <w:noProof/>
        </w:rPr>
        <w:t>ex-ante</w:t>
      </w:r>
      <w:r>
        <w:rPr>
          <w:rFonts w:eastAsia="Arial Unicode MS"/>
          <w:noProof/>
        </w:rPr>
        <w:t xml:space="preserve"> evaluation of a possible renewal of the protocol. The conclusions of the evaluation are set out in a separate Staff Working Document.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 concluded that the EU fishing sectors are firmly interested in fishing in Seychelles and that the renewal of the Protocol is in the interest of both parties. Furthermore, the renewal of the Protocol would help strengthening monitoring, control and surveillance and would contribute to improved governance of the fisheries in the region.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For the EU, it is important to maintain an instrument allowing a deep sectoral cooperation with a major player in ocean governance at the sub-regional level because of the extent of its fishing area under its jurisdiction. Strengthening the relationship with Seychelles is also functional to build alliances in the framework of the IOTC. Furthermore, for the EU fleet this means maintaining access to an important fishing area for the deployment of harvesting strategies under a multi-year international legal framework. Moreover, the importance of Victoria as one of the main landing ports contributes to the relevance of the envisaged new </w:t>
      </w:r>
      <w:r>
        <w:rPr>
          <w:rFonts w:eastAsia="Arial Unicode MS"/>
          <w:noProof/>
        </w:rPr>
        <w:lastRenderedPageBreak/>
        <w:t>Protocol, both for the EU fishing industry and for the partner country. For Seychelles’ authorities, the aim is to continue relations with the EU for strengthening ocean governance, benefiting from dedicated sectoral support that provides for multi-year funding opportunities.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as well as </w:t>
      </w:r>
      <w:r>
        <w:rPr>
          <w:noProof/>
          <w:szCs w:val="24"/>
        </w:rPr>
        <w:t>Seychelles</w:t>
      </w:r>
      <w:r>
        <w:rPr>
          <w:rFonts w:eastAsia="Arial Unicode MS"/>
          <w:noProof/>
        </w:rPr>
        <w:t xml:space="preserve"> </w:t>
      </w:r>
      <w:r>
        <w:rPr>
          <w:noProof/>
        </w:rPr>
        <w:t>fisheries administration and civil society, were consulted as part of the evaluation. Consultations have also taken place in the framework of the Long Distance Advisory Council, notably at the occasion of its meeting on 27 March 2019.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negotiating directives, proposed as an annex to the decision, recommend authorising the opening of negotiations including a clause on the consequences of violations of human rights and democratic principles.</w:t>
      </w:r>
    </w:p>
    <w:p>
      <w:pPr>
        <w:pStyle w:val="ManualHeading1"/>
        <w:rPr>
          <w:noProof/>
        </w:rPr>
      </w:pPr>
      <w:r>
        <w:rPr>
          <w:noProof/>
        </w:rPr>
        <w:t>4.</w:t>
      </w:r>
      <w:r>
        <w:rPr>
          <w:noProof/>
        </w:rPr>
        <w:tab/>
        <w:t>BUDGETARY IMPLICATIONS</w:t>
      </w:r>
    </w:p>
    <w:p>
      <w:pPr>
        <w:rPr>
          <w:noProof/>
        </w:rPr>
      </w:pPr>
      <w:r>
        <w:rPr>
          <w:noProof/>
        </w:rPr>
        <w:t>The budgetary implications connected with the new Protocol include the payment of a financial contribution to the Republic of Seychelles. The related budgetary allocations in terms of commitment and payment appropriations need to be included each year in the budget line for Sustainable Fisheries Partnership Agreements (11 03 01) as well as being compatible with the financial programming of the Multiannual Financial Framework for 2014-2020. The annual amounts for commitments and payments are established in the yearly budgetary procedure including the reserve line for protocols not entered into force in the beginning of the year.</w:t>
      </w:r>
      <w:r>
        <w:rPr>
          <w:rStyle w:val="FootnoteReference"/>
          <w:noProof/>
        </w:rPr>
        <w:footnoteReference w:id="7"/>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Negotiations are expected to open in the second quarter of 2019.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Commission recommends that: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 The Council should authorise the Commission to open and conduct negotiations for the conclusion of a new Sustainable Fisheries Partnership Agreement and a protocol with the Republic of </w:t>
      </w:r>
      <w:r>
        <w:rPr>
          <w:noProof/>
          <w:szCs w:val="24"/>
        </w:rPr>
        <w:t>Seychelles</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be nominated as the EU negotiator on this subject;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conduct the negotiations in consultation with the special committee, as set out in the Treaty on the Functioning of the European Union;</w:t>
      </w:r>
    </w:p>
    <w:p>
      <w:pPr>
        <w:pBdr>
          <w:top w:val="nil"/>
          <w:left w:val="nil"/>
          <w:bottom w:val="nil"/>
          <w:right w:val="nil"/>
          <w:between w:val="nil"/>
          <w:bar w:val="nil"/>
        </w:pBdr>
        <w:spacing w:before="0" w:after="240"/>
        <w:rPr>
          <w:noProof/>
        </w:rPr>
      </w:pPr>
      <w:r>
        <w:rPr>
          <w:rFonts w:eastAsia="Arial Unicode MS"/>
          <w:noProof/>
        </w:rPr>
        <w:t>- The Council should approve the negotiating directives annexed to this recommendation.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to authorise the Commission to open negotiations on behalf of the European Union for the conclusion of a Sustainable Fisheries Partnership Agreement and a protocol with the Republic of Seychelles</w:t>
      </w:r>
      <w:r>
        <w:rPr>
          <w:noProof/>
        </w:rPr>
        <w:br/>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paragraphs 3 and 4,</w:t>
      </w:r>
    </w:p>
    <w:p>
      <w:pPr>
        <w:rPr>
          <w:noProof/>
        </w:rPr>
      </w:pPr>
      <w:r>
        <w:rPr>
          <w:noProof/>
        </w:rPr>
        <w:t>Having regard to the recommendation from the European Commission,</w:t>
      </w:r>
    </w:p>
    <w:p>
      <w:pPr>
        <w:rPr>
          <w:noProof/>
          <w:szCs w:val="24"/>
        </w:rPr>
      </w:pPr>
      <w:r>
        <w:rPr>
          <w:noProof/>
        </w:rPr>
        <w:t xml:space="preserve">Whereas negotiations should be opened with a view to concluding a new Sustainable Fisheries Partnership Agreement and a new protocol with </w:t>
      </w:r>
      <w:r>
        <w:rPr>
          <w:noProof/>
          <w:szCs w:val="24"/>
        </w:rPr>
        <w:t>the Republic of Seychelles,</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bookmarkStart w:id="1" w:name="_CopyToNewDocument_"/>
      <w:bookmarkEnd w:id="1"/>
      <w:r>
        <w:rPr>
          <w:noProof/>
        </w:rPr>
        <w:t xml:space="preserve">The Commission is hereby authorised to open negotiations with the Republic of Seychelles, with a view to conclude a new Sustainable Fisheries Partnership Agreement and a new protocol with the Republic of </w:t>
      </w:r>
      <w:r>
        <w:rPr>
          <w:noProof/>
          <w:szCs w:val="24"/>
        </w:rPr>
        <w:t>Seychelles</w:t>
      </w:r>
      <w:r>
        <w:rPr>
          <w:noProof/>
        </w:rPr>
        <w:t>.</w:t>
      </w:r>
    </w:p>
    <w:p>
      <w:pPr>
        <w:pStyle w:val="Titrearticle"/>
        <w:rPr>
          <w:noProof/>
        </w:rPr>
      </w:pPr>
      <w:r>
        <w:rPr>
          <w:noProof/>
        </w:rPr>
        <w:t>Article 2</w:t>
      </w:r>
    </w:p>
    <w:p>
      <w:pPr>
        <w:rPr>
          <w:noProof/>
        </w:rPr>
      </w:pPr>
      <w:r>
        <w:rPr>
          <w:noProof/>
        </w:rPr>
        <w:t>The negotiations shall be conducted in consultation with the  [name of the special committee designated by the Council] and on the basis of the negotiating directives set out in the annex to this Decision.</w:t>
      </w:r>
    </w:p>
    <w:p>
      <w:pPr>
        <w:pStyle w:val="Titrearticle"/>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OJ L 290 of 20.10.2006, p. 2</w:t>
      </w:r>
    </w:p>
  </w:footnote>
  <w:footnote w:id="2">
    <w:p>
      <w:pPr>
        <w:pStyle w:val="FootnoteText"/>
        <w:rPr>
          <w:lang w:val="en-IE"/>
        </w:rPr>
      </w:pPr>
      <w:r>
        <w:rPr>
          <w:rStyle w:val="FootnoteReference"/>
        </w:rPr>
        <w:footnoteRef/>
      </w:r>
      <w:r>
        <w:rPr>
          <w:rStyle w:val="Hyperlink"/>
          <w:lang w:val="en-IE"/>
        </w:rPr>
        <w:tab/>
      </w:r>
      <w:hyperlink r:id="rId1" w:history="1">
        <w:r>
          <w:rPr>
            <w:rStyle w:val="Hyperlink"/>
            <w:lang w:val="en-IE"/>
          </w:rPr>
          <w:t>https://www.consilium.europa.eu/en/documents-publications/treaties-agreements/agreement/?id=2006084&amp;DocLanguage=en</w:t>
        </w:r>
      </w:hyperlink>
    </w:p>
    <w:p>
      <w:pPr>
        <w:pStyle w:val="FootnoteText"/>
        <w:ind w:left="0" w:firstLine="0"/>
        <w:rPr>
          <w:lang w:val="en-IE"/>
        </w:rPr>
      </w:pPr>
    </w:p>
  </w:footnote>
  <w:footnote w:id="3">
    <w:p>
      <w:pPr>
        <w:pStyle w:val="FootnoteText"/>
      </w:pPr>
      <w:r>
        <w:rPr>
          <w:rStyle w:val="FootnoteReference"/>
        </w:rPr>
        <w:footnoteRef/>
      </w:r>
      <w:r>
        <w:tab/>
        <w:t>Ref. Reg. (EU) No 1380/2013, Part VI, Title II.</w:t>
      </w:r>
    </w:p>
  </w:footnote>
  <w:footnote w:id="4">
    <w:p>
      <w:pPr>
        <w:pStyle w:val="FootnoteText"/>
        <w:rPr>
          <w:lang w:val="en-IE"/>
        </w:rPr>
      </w:pPr>
      <w:r>
        <w:rPr>
          <w:rStyle w:val="FootnoteReference"/>
        </w:rPr>
        <w:footnoteRef/>
      </w:r>
      <w:r>
        <w:tab/>
      </w:r>
      <w:r>
        <w:rPr>
          <w:lang w:val="en-IE"/>
        </w:rPr>
        <w:t>OJ L 4 of 9.01.2014, p. 3</w:t>
      </w:r>
    </w:p>
  </w:footnote>
  <w:footnote w:id="5">
    <w:p>
      <w:pPr>
        <w:pStyle w:val="FootnoteText"/>
        <w:rPr>
          <w:lang w:val="en-IE"/>
        </w:rPr>
      </w:pPr>
      <w:r>
        <w:rPr>
          <w:rStyle w:val="FootnoteReference"/>
        </w:rPr>
        <w:footnoteRef/>
      </w:r>
      <w:r>
        <w:tab/>
      </w:r>
      <w:r>
        <w:rPr>
          <w:lang w:val="en-IE"/>
        </w:rPr>
        <w:t>For the last 4 years of the Protocol. For the 2 first years, it was 5 350 000.</w:t>
      </w:r>
    </w:p>
  </w:footnote>
  <w:footnote w:id="6">
    <w:p>
      <w:pPr>
        <w:pStyle w:val="FootnoteText"/>
        <w:ind w:firstLine="0"/>
        <w:rPr>
          <w:lang w:val="en-IE"/>
        </w:rPr>
      </w:pPr>
      <w:r>
        <w:rPr>
          <w:rStyle w:val="FootnoteReference"/>
        </w:rPr>
        <w:footnoteRef/>
      </w:r>
      <w:r>
        <w:tab/>
      </w:r>
      <w:hyperlink r:id="rId2" w:history="1">
        <w:r>
          <w:rPr>
            <w:rStyle w:val="Hyperlink"/>
          </w:rPr>
          <w:t>https://iotc.org/</w:t>
        </w:r>
      </w:hyperlink>
      <w:r>
        <w:t xml:space="preserve"> , intergovernmental organisation responsible for the management of tuna and tuna-like species in the Indian Ocean.</w:t>
      </w:r>
    </w:p>
  </w:footnote>
  <w:footnote w:id="7">
    <w:p>
      <w:pPr>
        <w:pStyle w:val="FootnoteText"/>
      </w:pPr>
      <w:r>
        <w:rPr>
          <w:rStyle w:val="FootnoteReference"/>
        </w:rPr>
        <w:footnoteRef/>
      </w:r>
      <w:r>
        <w:tab/>
      </w:r>
      <w:r>
        <w:rPr>
          <w:rFonts w:eastAsia="Arial Unicode MS"/>
        </w:rPr>
        <w:t>Chapter 40 (reserve line 40 02 41) in line with the MFF inter-institutional agreement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639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DE89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98D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A10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60D6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AA4B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E8FF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9BEBA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34: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862777-D899-409E-A57C-09F633887A47"/>
    <w:docVar w:name="LW_COVERPAGE_TYPE" w:val="1"/>
    <w:docVar w:name="LW_CROSSREFERENCE" w:val="{SWD(2019) 209 final} - {SWD(2019) 210 final}"/>
    <w:docVar w:name="LW_DocType" w:val="COM"/>
    <w:docVar w:name="LW_EMISSION" w:val="18.6.2019"/>
    <w:docVar w:name="LW_EMISSION_ISODATE" w:val="2019-06-18"/>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to authorise the Commission to open negotiations on behalf of the European Union for the conclusion of a Sustainable Fisheries Partnership Agreement and a protocol with the Republic of Seychelles_x000b__x000b_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otc.org/" TargetMode="External"/><Relationship Id="rId1" Type="http://schemas.openxmlformats.org/officeDocument/2006/relationships/hyperlink" Target="https://www.consilium.europa.eu/en/documents-publications/treaties-agreements/agreement/?id=2006084&amp;Doc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931A7C-698E-4608-B5D7-1587DFA9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1326</Words>
  <Characters>7523</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2019-06-04T08:19:00Z</dcterms:created>
  <dcterms:modified xsi:type="dcterms:W3CDTF">2019-06-11T12:34:00Z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