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B66C760-1EC9-45E4-89D7-DB4BAF95C1D3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ПРЕПОРЪКАТА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spacing w:before="60" w:after="60"/>
        <w:rPr>
          <w:rFonts w:eastAsia="Arial Unicode MS"/>
          <w:noProof/>
        </w:rPr>
      </w:pPr>
      <w:r>
        <w:rPr>
          <w:noProof/>
        </w:rPr>
        <w:t>Комисията предлага да се проведат преговори за нов протокол към Споразумението за партньорство в областта на устойчивото рибарство с Република Сенегал, който да отговаря на нуждите на риболовния флот на Съюза и да е в съответствие с Регламент (ЕС) № 1380/2013 относно общата политика в областта на рибарството и със заключенията на Съвета от 19 март 2012 г. във връзка със Съобщението на Комисията относно външното измерение на общата политика в областта на рибарството.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Съгласуваност с действащите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szCs w:val="24"/>
        </w:rPr>
      </w:pPr>
      <w:r>
        <w:rPr>
          <w:noProof/>
        </w:rPr>
        <w:t>Действащото понастоящем Споразумение за партньорство в областта на устойчивото рибарство (СПОУР) между Европейския съюз и Сенегал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беше подписано на 20 ноември 2014 г.</w:t>
      </w:r>
      <w:r>
        <w:rPr>
          <w:rStyle w:val="FootnoteReference"/>
          <w:noProof/>
        </w:rPr>
        <w:footnoteReference w:id="2"/>
      </w:r>
      <w:r>
        <w:rPr>
          <w:noProof/>
        </w:rPr>
        <w:t>. Действащият понастоящем протокол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към споразумението, който е със срок на действие пет години, влезе в сила на 20 ноември 2014 г.</w:t>
      </w:r>
      <w:r>
        <w:rPr>
          <w:rStyle w:val="FootnoteReference"/>
          <w:noProof/>
        </w:rPr>
        <w:footnoteReference w:id="4"/>
      </w:r>
      <w:r>
        <w:rPr>
          <w:noProof/>
        </w:rPr>
        <w:t xml:space="preserve"> и изтича на 19 ноември 2019 г. В него се определят възможностите за риболов, които се предоставят на флота на Съюза, и съответното финансово участие от Съюза и корабособствениците.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  <w:szCs w:val="24"/>
        </w:rPr>
      </w:pPr>
      <w:r>
        <w:rPr>
          <w:noProof/>
        </w:rPr>
        <w:t>Дължимото на Сенегал годишно финансово участие от публичните средства на ЕС възлиза на 1 058 000 EUR за първата година, 988 000 EUR за втората, третата и четвъртата година и 918 000 EUR за петата година за общ референтен тонаж 14 000 тона годишно. Освен това за период от 5 години е предназначена сума в размер на 750 000 EUR годишно за секторна подкрепа.</w:t>
      </w:r>
    </w:p>
    <w:p>
      <w:pPr>
        <w:spacing w:before="60" w:after="240"/>
        <w:rPr>
          <w:rFonts w:eastAsia="Arial Unicode MS"/>
          <w:noProof/>
        </w:rPr>
      </w:pPr>
      <w:r>
        <w:rPr>
          <w:noProof/>
        </w:rPr>
        <w:t>По силата на СПОУР със Сенегал се осигуряват възможности за риболов на риба тон и далекомигриращи видове за кораби на ЕС от две държави членки (Испания и Франция) и възможности за риболов на дънни видове за два кораба (от Испания). Европейският съюз вече разработи мрежа от двустранни СПОУР с редица западноафрикански държави с излаз на Атлантическия океан — по-конкретно с Мароко, Мавритания, Гамбия, Гвинея Бисау, Либерия и Кот д’Ивоар.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СПОУР допринасят за утвърждаването в международен аспект на целите на общата политика в областта на рибарството, като гарантират, че риболовните дейности на Съюза извън неговите води се основават на същите принципи и стандарти като принципите и стандартите, прилагани съгласно правото на Съюза. Наред с това те стимулират научното сътрудничество между ЕС и неговите партньори, насърчават прозрачността и устойчивостта с оглед на по-доброто управление на рибните ресурси, както и управлението чрез подкрепа за наблюдението, контрола и надзора на дейностите на националните и чуждестранните флотове и чрез финансиране на борбата с незаконния, недеклариран и нерегулиран риболов, за да се допринесе за устойчивото развитие на местната риболовна промишленост. СПОУР укрепват позициите на Европейския съюз в международните и регионалните риболовни организации: в конкретния случай на Сенегал това е Международната комисия за опазване на рибата тон в Атлантическия океан (ICCAT)</w:t>
      </w:r>
      <w:r>
        <w:rPr>
          <w:rStyle w:val="FootnoteReference"/>
          <w:noProof/>
        </w:rPr>
        <w:footnoteReference w:id="5"/>
      </w:r>
      <w:r>
        <w:rPr>
          <w:noProof/>
        </w:rPr>
        <w:t>. Същевременно СПОУР се основават на най-добрите налични научни становища и спомагат да се подобри изпълнението на международните мерки, включително за борба срещу незаконния, недеклариран и нерегулиран риболов.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Съгласуваност с други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Преговорите за нов протокол със Сенегал са съгласувани с външната дейност на ЕС, насочена към държавите от Африка, Карибите и Тихоокеанския басейн, и по-конкретно с целите на Съюза по отношение на спазването на демократичните принципи и правата на човека.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Макар и в локален мащаб, икономическата дейност, генерирана от сектора на рибарството в Сенегал, ще допринесе за отстраняване на причините за незаконната миграция от страната.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ПРАВНИ ЕЛЕМЕНТИ НА ПРЕПОРЪКАТА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Правното основание за решението се съдържа в част пета — „Външна дейност на Съюза“, дял V — „Международни споразумения“, член 218 от Договора за функционирането на Европейския съюз (ДФЕС), в който се описва процедурата за водене на преговори и сключване на споразумения между ЕС и трети държави.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Субсидиарност (при неизключителна компетентност)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 — изключителна компетентност.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Решението е пропорционално на целта.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Инструментът е предвиден по силата на член 218, параграфи 3 и 4 от ДФЕС.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През 2019 г. Комисията извърши последваща оценка на действащия понастоящем протокол към Споразумението за партньорство в областта на устойчивото рибарство със Сенегал, както и предварителна оценка на евентуалното подновяване на този протокол. Заключенията от оценката са изложени в отделен работен документ на службите на Комисията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заключенията от оценката се посочва, че секторите на ЕС за улов както на риба тон, така и на дънни видове проявяват силен интерес към извършването на риболов в Сенегал и че подновяването на протокола ще допринесе за засилване на наблюдението, контрола и надзора, както и за по-доброто управление на рибарството в региона. За ЕС е важно да поддържа инструмент, позволяващ секторно сътрудничество със Сенегал — държава, която е водещ фактор в съответния подрегион. Освен това значението на Дакар като едно от основните пристанища за разтоварване допринася за важността на предвидения нов протокол както за риболовния сектор на ЕС, така и за държавата партньор. Що се отнася до органите на Сенегал, тяхната цел е да запазят отношенията си с ЕС с оглед укрепване на управлението на океаните, като се ползват от специална секторна подкрепа, предвиждаща възможности за многогодишно финансиране.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рамките на оценката бяха проведени консултации с държавите членки, с представители на сектора, с международни организации на гражданското общество, както и с представители на органа за управление на рибарството и с гражданското общество на Сенегал. Бяха проведени също така консултации в рамките на Консултативния съвет по далечно плаване.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указанията за водене на преговори, предложени като приложение към решението, се препоръчва да се разреши започването на преговори, като се включи клауза относно последиците в случай на нарушаване на правата на човека и демократичните принципи.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  <w:szCs w:val="24"/>
        </w:rPr>
      </w:pPr>
      <w:r>
        <w:rPr>
          <w:noProof/>
        </w:rPr>
        <w:t>Отражението върху бюджета, свързано с новия протокол, се изразява в плащането на Република Сенегал на финансово участие, което е съвместимо с многогодишната финансова рамка за периода 2014—2020 г., и по-конкретно средства по бюджетния ред за споразуменията за партньорство в областта на устойчивото рибарство. Годишните суми за поетите задължения и плащанията са установени в годишната бюджетна процедура, включително в бюджетен ред „Резерви“ по отношение на предложенията, които не са влезли в сила към началото на годината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механизми за наблюдение,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Очаква се преговорите да започнат през второто тримесечие на 2019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специфичните разпоредби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Комисията препоръчва следното: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Съветът да упълномощи Комисията да започне и проведе преговори за сключването на нов протокол към Споразумението за партньорство в областта на устойчивото рибарство с Република Сенегал,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Комисията да бъде определена за преговарящ на ЕС по този въпрос,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Комисията да води преговорите в консултация със специалния комитет, създаден в съответствие с Договора за функционирането на Европейския съюз,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— Съветът да одобри указанията за водене на преговори, приложени към настоящата препоръка.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Statut"/>
        <w:rPr>
          <w:noProof/>
        </w:rPr>
      </w:pPr>
      <w:r>
        <w:rPr>
          <w:noProof/>
        </w:rPr>
        <w:t>Препоръка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упълномощаване на Комисията да започне преговори от името на Европейския съюз за сключване на протокол към Споразумението за партньорство в областта на устойчивото рибарство с Република Сенегал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218, параграфи 3 и 4 от него,</w:t>
      </w:r>
    </w:p>
    <w:p>
      <w:pPr>
        <w:rPr>
          <w:noProof/>
        </w:rPr>
      </w:pPr>
      <w:r>
        <w:rPr>
          <w:noProof/>
        </w:rPr>
        <w:t>като взе предвид препоръката на Европейската комисия,</w:t>
      </w:r>
    </w:p>
    <w:p>
      <w:pPr>
        <w:rPr>
          <w:noProof/>
          <w:szCs w:val="24"/>
        </w:rPr>
      </w:pPr>
      <w:r>
        <w:rPr>
          <w:noProof/>
        </w:rPr>
        <w:t>като има предвид, че следва да се започнат преговори с цел сключване на нов протокол към Споразумението за партньорство в областта на устойчивото рибарство с Република Сенегал,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bookmarkStart w:id="1" w:name="_CopyToNewDocument_"/>
      <w:bookmarkEnd w:id="1"/>
      <w:r>
        <w:rPr>
          <w:noProof/>
        </w:rPr>
        <w:t>Комисията се упълномощава да започне преговори с Република Сенегал с цел сключване на нов протокол към Споразумението за партньорство в областта на устойчивото рибарство с Република Сенегал.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Преговорите се водят в консултация с [наименованието на специалния комитет да се впише от Съвета] и въз основа на указанията за водене на преговори, които се съдържат в приложението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>
      <w:pPr>
        <w:rPr>
          <w:noProof/>
        </w:rPr>
      </w:pP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nn-NO"/>
        </w:rPr>
      </w:pPr>
      <w:r>
        <w:rPr>
          <w:rStyle w:val="FootnoteReference"/>
        </w:rPr>
        <w:footnoteRef/>
      </w:r>
      <w:r>
        <w:tab/>
        <w:t>OВ L 304, 23.10.2014 г., стр. 3.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Hyperlink"/>
        </w:rPr>
        <w:t>https://www.consilium.europa.eu/bg/documents-publications/treaties-agreements/agreement/?id=2014055&amp;DocLanguage=bg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OВ L 304, 23.10.2014 г., стр. 9.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</w:r>
      <w:r>
        <w:rPr>
          <w:rStyle w:val="Hyperlink"/>
        </w:rPr>
        <w:t>https://www.consilium.europa.eu/bg/documents-publications/treaties-agreements/agreement/?id=2014056&amp;DocLanguage=bg</w:t>
      </w:r>
      <w:r>
        <w:t xml:space="preserve"> 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</w:r>
      <w:hyperlink r:id="rId1">
        <w:r>
          <w:rPr>
            <w:rStyle w:val="Hyperlink"/>
          </w:rPr>
          <w:t>http://www.fao.org/fishery/rfb/iccat/en</w:t>
        </w:r>
      </w:hyperlink>
      <w:r>
        <w:t>, създаден по силата на международното право орган за опазване и управление на далекомигриращите видове в региона.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SWD(2019)208.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Вж. глава 40 (бюджетен ред 40 02 41 — „Резерви“) в съответствие с междуинституционалното споразумение относно МФР (2013/C 373/01).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A49C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1AE58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9FAF56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A2C7E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C3E4A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F7CB8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65620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4BC2F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</w:num>
  <w:num w:numId="10">
    <w:abstractNumId w:val="19"/>
  </w:num>
  <w:num w:numId="11">
    <w:abstractNumId w:val="13"/>
  </w:num>
  <w:num w:numId="12">
    <w:abstractNumId w:val="21"/>
  </w:num>
  <w:num w:numId="13">
    <w:abstractNumId w:val="11"/>
  </w:num>
  <w:num w:numId="14">
    <w:abstractNumId w:val="14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17"/>
  </w:num>
  <w:num w:numId="20">
    <w:abstractNumId w:val="18"/>
  </w:num>
  <w:num w:numId="21">
    <w:abstractNumId w:val="10"/>
  </w:num>
  <w:num w:numId="22">
    <w:abstractNumId w:val="16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11 14:44:3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5B66C760-1EC9-45E4-89D7-DB4BAF95C1D3"/>
    <w:docVar w:name="LW_COVERPAGE_TYPE" w:val="1"/>
    <w:docVar w:name="LW_CROSSREFERENCE" w:val="{SWD(2019) 207 final} - {SWD(2019) 208 final}"/>
    <w:docVar w:name="LW_DocType" w:val="COM"/>
    <w:docVar w:name="LW_EMISSION" w:val="18.6.2019"/>
    <w:docVar w:name="LW_EMISSION_ISODATE" w:val="2019-06-18"/>
    <w:docVar w:name="LW_EMISSION_LOCATION" w:val="BRX"/>
    <w:docVar w:name="LW_EMISSION_PREFIX" w:val="Брюксел, "/>
    <w:docVar w:name="LW_EMISSION_SUFFIX" w:val=" 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9"/>
    <w:docVar w:name="LW_REF.INST.NEW" w:val="COM"/>
    <w:docVar w:name="LW_REF.INST.NEW_ADOPTED" w:val="final"/>
    <w:docVar w:name="LW_REF.INST.NEW_TEXT" w:val="(2019) 28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87?\u1088?\u1086?\u1090?\u1086?\u1082?\u1086?\u1083? \u1082?\u1098?\u1084? \u1057?\u1087?\u1086?\u1088?\u1072?\u1079?\u1091?\u1084?\u1077?\u1085?\u1080?\u1077?\u1090?\u1086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57?\u1077?\u1085?\u1077?\u1075?\u1072?\u1083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line="36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LegalNumPar">
    <w:name w:val="LegalNumPar"/>
    <w:basedOn w:val="Normal"/>
    <w:pPr>
      <w:numPr>
        <w:numId w:val="9"/>
      </w:numPr>
      <w:spacing w:line="360" w:lineRule="auto"/>
    </w:pPr>
  </w:style>
  <w:style w:type="paragraph" w:customStyle="1" w:styleId="LegalNumPar2">
    <w:name w:val="LegalNumPar2"/>
    <w:basedOn w:val="Normal"/>
    <w:pPr>
      <w:numPr>
        <w:ilvl w:val="1"/>
        <w:numId w:val="9"/>
      </w:numPr>
      <w:spacing w:line="360" w:lineRule="auto"/>
    </w:pPr>
  </w:style>
  <w:style w:type="paragraph" w:customStyle="1" w:styleId="LegalNumPar3">
    <w:name w:val="LegalNumPar3"/>
    <w:basedOn w:val="Normal"/>
    <w:pPr>
      <w:numPr>
        <w:ilvl w:val="2"/>
        <w:numId w:val="9"/>
      </w:numPr>
      <w:spacing w:line="36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o.org/fishery/rfb/iccat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DD70-34D3-4CE9-B08A-434BAE92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1295</Words>
  <Characters>7541</Characters>
  <Application>Microsoft Office Word</Application>
  <DocSecurity>0</DocSecurity>
  <Lines>153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cp:lastPrinted>2019-04-03T11:16:00Z</cp:lastPrinted>
  <dcterms:created xsi:type="dcterms:W3CDTF">2019-06-07T13:18:00Z</dcterms:created>
  <dcterms:modified xsi:type="dcterms:W3CDTF">2019-06-11T12:44:00Z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5.84.2.0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SG-001</vt:lpwstr>
  </property>
  <property fmtid="{D5CDD505-2E9C-101B-9397-08002B2CF9AE}" pid="9" name="Level of sensitivity">
    <vt:lpwstr>Standard treatment</vt:lpwstr>
  </property>
  <property fmtid="{D5CDD505-2E9C-101B-9397-08002B2CF9AE}" pid="10" name="DQCStatus">
    <vt:lpwstr>Green (DQC version 03)</vt:lpwstr>
  </property>
</Properties>
</file>