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FC9BC54-FF91-4101-8AFE-9ABAC435AD98" style="width:450pt;height:32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СЪОБЩЕНИЕ НА КОМИСИЯТА ДО ЕВРОПЕЙСКИЯ ПАРЛАМЕНТ, ЕВРОПЕЙСКИЯ СЪВЕТ, СЪВЕТА И ЕВРОПЕЙСКАТА ЦЕНТРАЛНА БАНКА</w:t>
      </w:r>
    </w:p>
    <w:p>
      <w:pPr>
        <w:pStyle w:val="Titreobjet"/>
        <w:rPr>
          <w:noProof/>
        </w:rPr>
      </w:pPr>
      <w:r>
        <w:rPr>
          <w:noProof/>
        </w:rPr>
        <w:t>Четвърти доклад относно напредъка по намаляване на необслужваните кредити и допълнително намаляване на риска в банковия съюз</w:t>
      </w:r>
    </w:p>
    <w:p>
      <w:pPr>
        <w:jc w:val="center"/>
        <w:rPr>
          <w:noProof/>
        </w:rPr>
      </w:pPr>
    </w:p>
    <w:p>
      <w:pPr>
        <w:pStyle w:val="Heading1"/>
        <w:numPr>
          <w:ilvl w:val="0"/>
          <w:numId w:val="0"/>
        </w:numPr>
        <w:spacing w:before="360"/>
        <w:rPr>
          <w:rFonts w:ascii="Times New Roman" w:hAnsi="Times New Roman"/>
          <w:noProof/>
          <w:szCs w:val="24"/>
        </w:rPr>
      </w:pPr>
      <w:r>
        <w:rPr>
          <w:rFonts w:ascii="Times New Roman" w:hAnsi="Times New Roman"/>
          <w:noProof/>
        </w:rPr>
        <w:t>Въведение</w:t>
      </w:r>
    </w:p>
    <w:p>
      <w:pPr>
        <w:spacing w:after="240"/>
        <w:jc w:val="both"/>
        <w:rPr>
          <w:rFonts w:ascii="Times New Roman" w:eastAsia="Times New Roman" w:hAnsi="Times New Roman"/>
          <w:noProof/>
          <w:sz w:val="24"/>
          <w:szCs w:val="24"/>
        </w:rPr>
      </w:pPr>
      <w:r>
        <w:rPr>
          <w:rFonts w:ascii="Times New Roman" w:hAnsi="Times New Roman"/>
          <w:noProof/>
          <w:sz w:val="24"/>
        </w:rPr>
        <w:t>Напълно функциониращият банков съюз, позволяващ споделянето на повече рискове през границите, е фактор от съществено значение, гарантиращ по</w:t>
      </w:r>
      <w:r>
        <w:rPr>
          <w:rFonts w:ascii="Times New Roman" w:hAnsi="Times New Roman"/>
          <w:noProof/>
          <w:sz w:val="24"/>
        </w:rPr>
        <w:noBreakHyphen/>
        <w:t>добрата</w:t>
      </w:r>
      <w:r>
        <w:rPr>
          <w:noProof/>
        </w:rPr>
        <w:t xml:space="preserve"> </w:t>
      </w:r>
      <w:r>
        <w:rPr>
          <w:rFonts w:ascii="Times New Roman" w:hAnsi="Times New Roman"/>
          <w:noProof/>
          <w:sz w:val="24"/>
        </w:rPr>
        <w:t xml:space="preserve">устойчивост на Икономическия и паричен съюз на бъдещи неблагоприятни икономически сътресения. Както бе посочено в Съобщението „Задълбочаване на европейския икономически и паричен съюз: равносметка на постигнатото четири години след доклада на петимата председатели“, завършването на банковия съюз ще увеличи допълнително доверието в банковия сектор и в Икономическия и паричен съюз. </w:t>
      </w:r>
    </w:p>
    <w:p>
      <w:pPr>
        <w:spacing w:after="240"/>
        <w:jc w:val="both"/>
        <w:rPr>
          <w:rFonts w:ascii="Times New Roman" w:eastAsia="Times New Roman" w:hAnsi="Times New Roman"/>
          <w:noProof/>
          <w:sz w:val="24"/>
          <w:szCs w:val="24"/>
        </w:rPr>
      </w:pPr>
      <w:r>
        <w:rPr>
          <w:rFonts w:ascii="Times New Roman" w:hAnsi="Times New Roman"/>
          <w:noProof/>
          <w:sz w:val="24"/>
        </w:rPr>
        <w:t>За да бъде възможен този напредък, Съюзът и държавите членки положиха значителни усилия за намаляване на рисковете. Това даде резултати, както става ясно от настоящия доклад за постигнатия напредък. В него са представени решителните действия, предприети през последните години за справяне с предизвикателството, което поставят необслужваните кредити — една от ключовите области за намаляване на риска в европейския банков сектор. Поради различни причини, включително финансовата криза и последвалите я рецесии, но също и неразумното кредитиране и неадекватната оценка на кредитоспособността, за много кредитополучатели (както физически лица, така и дружества), особено в държави членки, които преживяха продължителен или дълбок икономически спад, се оказа невъзможно да изплащат заемите си и те дори бяха изправени пред несъстоятелност. Вследствие на това в счетоводните баланси на много банки се натрупаха необслужвани кредити.</w:t>
      </w:r>
    </w:p>
    <w:p>
      <w:pPr>
        <w:spacing w:after="240"/>
        <w:jc w:val="both"/>
        <w:rPr>
          <w:rFonts w:ascii="Times New Roman" w:eastAsia="Times New Roman" w:hAnsi="Times New Roman"/>
          <w:noProof/>
          <w:sz w:val="24"/>
          <w:szCs w:val="24"/>
        </w:rPr>
      </w:pPr>
      <w:r>
        <w:rPr>
          <w:rFonts w:ascii="Times New Roman" w:hAnsi="Times New Roman"/>
          <w:noProof/>
          <w:sz w:val="24"/>
        </w:rPr>
        <w:t>Положените през последните години усилия и резултатите, които бяха постигнати (и ще продължават да бъдат постигани), се коренят в цялостния набор от мерки, очертани в „Плана за действие на Съвета за справяне с необслужваните кредити в Европа“</w:t>
      </w:r>
      <w:r>
        <w:rPr>
          <w:rFonts w:ascii="Times New Roman" w:hAnsi="Times New Roman"/>
          <w:noProof/>
          <w:sz w:val="24"/>
          <w:vertAlign w:val="superscript"/>
        </w:rPr>
        <w:footnoteReference w:id="2"/>
      </w:r>
      <w:r>
        <w:rPr>
          <w:rFonts w:ascii="Times New Roman" w:hAnsi="Times New Roman"/>
          <w:noProof/>
          <w:sz w:val="24"/>
        </w:rPr>
        <w:t>, който е почти напълно изпълнен. В отговор на този план за действие и следвайки по</w:t>
      </w:r>
      <w:r>
        <w:rPr>
          <w:noProof/>
        </w:rPr>
        <w:noBreakHyphen/>
      </w:r>
      <w:r>
        <w:rPr>
          <w:rFonts w:ascii="Times New Roman" w:hAnsi="Times New Roman"/>
          <w:noProof/>
          <w:sz w:val="24"/>
        </w:rPr>
        <w:t>амбициозни от заложените в пътната карта на Съвета от 2016 г. цели, през март 2018 г. Комисията представи специален всеобхватен пакет от мерки за по</w:t>
      </w:r>
      <w:r>
        <w:rPr>
          <w:noProof/>
        </w:rPr>
        <w:noBreakHyphen/>
      </w:r>
      <w:r>
        <w:rPr>
          <w:rFonts w:ascii="Times New Roman" w:hAnsi="Times New Roman"/>
          <w:noProof/>
          <w:sz w:val="24"/>
        </w:rPr>
        <w:t>нататъшно намаляване на необслужваните кредити. Съветът също така прие да разгледа отново въпроса за необслужваните кредити и да оцени постигнатия напредък въз основа на направен от Комисията преглед. Настоящото съобщение е четвъртият доклад на Комисията за постигнатия в тази област напредък. То е документ, изготвен като принос за Европейския съвет през юни, в рамките на който ще бъде обсъдена стратегическата програма на ЕС за периода 2019—2024 г., както и Икономическият и паричен съюз.</w:t>
      </w:r>
    </w:p>
    <w:p>
      <w:pPr>
        <w:spacing w:after="240"/>
        <w:jc w:val="both"/>
        <w:rPr>
          <w:rFonts w:ascii="Times New Roman" w:eastAsia="Times New Roman" w:hAnsi="Times New Roman"/>
          <w:noProof/>
          <w:sz w:val="24"/>
          <w:szCs w:val="24"/>
        </w:rPr>
      </w:pPr>
      <w:r>
        <w:rPr>
          <w:rFonts w:ascii="Times New Roman" w:hAnsi="Times New Roman"/>
          <w:noProof/>
          <w:sz w:val="24"/>
        </w:rPr>
        <w:t>Бяха направени важни стъпки за намаляване на съществуващите равнища на необслужвани кредити и оказване на подкрепа за предотвратяване на ново натрупване на такива в бъдеще. Въпреки че в някои държави членки равнищата на необслужваните кредити остават високи, следва да се подчертае постигнатият напредък при тяхното намаляване. От решаващо значение е всички заинтересовани страни да подкрепят тези усилия, за да може с течение на времето този проблем да бъде напълно преодолян.</w:t>
      </w:r>
    </w:p>
    <w:p>
      <w:pPr>
        <w:pStyle w:val="Heading1"/>
        <w:spacing w:before="360" w:after="240"/>
        <w:ind w:left="714" w:hanging="357"/>
        <w:rPr>
          <w:rFonts w:ascii="Times New Roman" w:hAnsi="Times New Roman"/>
          <w:noProof/>
        </w:rPr>
      </w:pPr>
      <w:r>
        <w:rPr>
          <w:rFonts w:ascii="Times New Roman" w:hAnsi="Times New Roman"/>
          <w:noProof/>
        </w:rPr>
        <w:t>По-широк контекст: намаляване на риска в Съюза</w:t>
      </w:r>
    </w:p>
    <w:p>
      <w:pPr>
        <w:spacing w:after="240"/>
        <w:jc w:val="both"/>
        <w:rPr>
          <w:rFonts w:ascii="Times New Roman" w:eastAsia="Times New Roman" w:hAnsi="Times New Roman"/>
          <w:noProof/>
          <w:sz w:val="24"/>
          <w:szCs w:val="24"/>
        </w:rPr>
      </w:pPr>
      <w:r>
        <w:rPr>
          <w:rFonts w:ascii="Times New Roman" w:hAnsi="Times New Roman"/>
          <w:noProof/>
          <w:sz w:val="24"/>
        </w:rPr>
        <w:t>През последното десетилетие Съюзът и държавите членки положиха значителни усилия за намаляване на риска в банковия сектор</w:t>
      </w:r>
      <w:r>
        <w:rPr>
          <w:rFonts w:ascii="Times New Roman" w:hAnsi="Times New Roman"/>
          <w:noProof/>
          <w:sz w:val="24"/>
          <w:vertAlign w:val="superscript"/>
        </w:rPr>
        <w:footnoteReference w:id="3"/>
      </w:r>
      <w:r>
        <w:rPr>
          <w:rFonts w:ascii="Times New Roman" w:hAnsi="Times New Roman"/>
          <w:noProof/>
          <w:sz w:val="24"/>
        </w:rPr>
        <w:t>. Въведеният след финансовата криза широк набор от мерки: 1) укрепи значително и по прагматичен начин платежоспособността, равнището на задлъжнялост и ликвидността на банките; 2) подобри съществено управлението в банковия сектор и надзора над банковия сектор; и 3) увеличи значително възможността за преструктуриране на банките. През четвъртото тримесечие на 2018 г. средните коефициенти на капитала от първи ред</w:t>
      </w:r>
      <w:r>
        <w:rPr>
          <w:rStyle w:val="FootnoteReference"/>
          <w:rFonts w:ascii="Times New Roman" w:hAnsi="Times New Roman"/>
          <w:noProof/>
          <w:sz w:val="24"/>
        </w:rPr>
        <w:footnoteReference w:id="4"/>
      </w:r>
      <w:r>
        <w:rPr>
          <w:rFonts w:ascii="Times New Roman" w:hAnsi="Times New Roman"/>
          <w:noProof/>
          <w:sz w:val="24"/>
        </w:rPr>
        <w:t xml:space="preserve"> на банките от еврозоната, попадащи под прекия надзор на единния надзорен механизъм, останаха стабилни в размер на 15,54 % спрямо 15,63 % през четвъртото тримесечие на 2017 г</w:t>
      </w:r>
      <w:r>
        <w:rPr>
          <w:rStyle w:val="FootnoteReference"/>
          <w:rFonts w:ascii="Times New Roman" w:hAnsi="Times New Roman"/>
          <w:noProof/>
          <w:sz w:val="24"/>
        </w:rPr>
        <w:footnoteReference w:id="5"/>
      </w:r>
      <w:r>
        <w:rPr>
          <w:rFonts w:ascii="Times New Roman" w:hAnsi="Times New Roman"/>
          <w:noProof/>
          <w:sz w:val="24"/>
        </w:rPr>
        <w:t>. Тези по</w:t>
      </w:r>
      <w:r>
        <w:rPr>
          <w:noProof/>
        </w:rPr>
        <w:noBreakHyphen/>
      </w:r>
      <w:r>
        <w:rPr>
          <w:rFonts w:ascii="Times New Roman" w:hAnsi="Times New Roman"/>
          <w:noProof/>
          <w:sz w:val="24"/>
        </w:rPr>
        <w:t>стабилни капиталови позиции доведоха също така до по</w:t>
      </w:r>
      <w:r>
        <w:rPr>
          <w:noProof/>
        </w:rPr>
        <w:noBreakHyphen/>
      </w:r>
      <w:r>
        <w:rPr>
          <w:rFonts w:ascii="Times New Roman" w:hAnsi="Times New Roman"/>
          <w:noProof/>
          <w:sz w:val="24"/>
        </w:rPr>
        <w:t>високи коефициенти на ливъридж. Средният коефициент на ливъридж</w:t>
      </w:r>
      <w:r>
        <w:rPr>
          <w:rFonts w:ascii="Times New Roman" w:hAnsi="Times New Roman"/>
          <w:noProof/>
          <w:sz w:val="24"/>
          <w:vertAlign w:val="superscript"/>
        </w:rPr>
        <w:footnoteReference w:id="6"/>
      </w:r>
      <w:r>
        <w:rPr>
          <w:rFonts w:ascii="Times New Roman" w:hAnsi="Times New Roman"/>
          <w:noProof/>
          <w:sz w:val="24"/>
        </w:rPr>
        <w:t xml:space="preserve"> продължи да е значително над изисквания (3 %) и през четвъртото тримесечие на 2018 г. беше 5,28 % спрямо на 5,41 % през четвъртото тримесечие на 2017 г. Банките от еврозоната поддържат своята устойчивост на шокове на ликвидността, като коефициентът на ликвидно покритие е висок — 145,61 % през четвъртото тримесечие на 2018 г. спрямо 143,56% през четвъртото тримесечие на 2017 г. Всичко това свидетелства за предприетите решителни действия за намаляване на риска в еврозоната.</w:t>
      </w:r>
    </w:p>
    <w:p>
      <w:pPr>
        <w:spacing w:after="240"/>
        <w:jc w:val="both"/>
        <w:rPr>
          <w:rFonts w:ascii="Times New Roman" w:eastAsia="Times New Roman" w:hAnsi="Times New Roman"/>
          <w:noProof/>
          <w:sz w:val="24"/>
          <w:szCs w:val="24"/>
        </w:rPr>
      </w:pPr>
      <w:r>
        <w:rPr>
          <w:rFonts w:ascii="Times New Roman" w:hAnsi="Times New Roman"/>
          <w:noProof/>
          <w:sz w:val="24"/>
        </w:rPr>
        <w:t>Както бе посочено в Съобщението за банковия съюз от 2017 г.</w:t>
      </w:r>
      <w:r>
        <w:rPr>
          <w:rStyle w:val="FootnoteReference"/>
          <w:rFonts w:ascii="Times New Roman" w:hAnsi="Times New Roman"/>
          <w:noProof/>
          <w:sz w:val="24"/>
        </w:rPr>
        <w:footnoteReference w:id="7"/>
      </w:r>
      <w:r>
        <w:rPr>
          <w:rFonts w:ascii="Times New Roman" w:hAnsi="Times New Roman"/>
          <w:noProof/>
          <w:sz w:val="24"/>
        </w:rPr>
        <w:t xml:space="preserve"> и потвърдено във Втория и Третия доклад относно напредъка по намаляване на необслужваните кредити</w:t>
      </w:r>
      <w:r>
        <w:rPr>
          <w:rStyle w:val="FootnoteReference"/>
          <w:rFonts w:ascii="Times New Roman" w:hAnsi="Times New Roman"/>
          <w:noProof/>
          <w:sz w:val="24"/>
        </w:rPr>
        <w:footnoteReference w:id="8"/>
      </w:r>
      <w:r>
        <w:rPr>
          <w:rFonts w:ascii="Times New Roman" w:hAnsi="Times New Roman"/>
          <w:noProof/>
          <w:sz w:val="24"/>
        </w:rPr>
        <w:t>, Комисията предложи няколко съществени и допълващи мерки за намаляване на риска и повишаване на устойчивостта на европейския банков сектор. По</w:t>
      </w:r>
      <w:r>
        <w:rPr>
          <w:noProof/>
        </w:rPr>
        <w:noBreakHyphen/>
      </w:r>
      <w:r>
        <w:rPr>
          <w:rFonts w:ascii="Times New Roman" w:hAnsi="Times New Roman"/>
          <w:noProof/>
          <w:sz w:val="24"/>
        </w:rPr>
        <w:t>специално, в допълнение към конкретните мерки във връзка с необслужваните кредити, посочени подробно по</w:t>
      </w:r>
      <w:r>
        <w:rPr>
          <w:noProof/>
        </w:rPr>
        <w:noBreakHyphen/>
      </w:r>
      <w:r>
        <w:rPr>
          <w:rFonts w:ascii="Times New Roman" w:hAnsi="Times New Roman"/>
          <w:noProof/>
          <w:sz w:val="24"/>
        </w:rPr>
        <w:t>долу, през последните месеци бяха приключени няколко основни етапа, които са част от усилията на Комисията:</w:t>
      </w:r>
    </w:p>
    <w:p>
      <w:pPr>
        <w:pStyle w:val="ListParagraph"/>
        <w:numPr>
          <w:ilvl w:val="0"/>
          <w:numId w:val="42"/>
        </w:numPr>
        <w:spacing w:after="240"/>
        <w:jc w:val="both"/>
        <w:rPr>
          <w:rFonts w:eastAsia="Times New Roman"/>
          <w:noProof/>
        </w:rPr>
      </w:pPr>
      <w:r>
        <w:rPr>
          <w:noProof/>
        </w:rPr>
        <w:t>На първо място, Европейският парламент и Съветът постигнаха съгласие по „банковия пакет“, който на практика създаде по</w:t>
      </w:r>
      <w:r>
        <w:rPr>
          <w:noProof/>
        </w:rPr>
        <w:noBreakHyphen/>
        <w:t>стабилна рамка за регулиране и надзор на банките</w:t>
      </w:r>
      <w:r>
        <w:rPr>
          <w:noProof/>
          <w:vertAlign w:val="superscript"/>
        </w:rPr>
        <w:footnoteReference w:id="9"/>
      </w:r>
      <w:r>
        <w:rPr>
          <w:noProof/>
        </w:rPr>
        <w:t>. Това е важен етап в прилагането на международните стандарти и завършването на регулаторната програма след кризата. Този пакет повишава устойчивостта на банките в ЕС и увеличава капацитета им да отпускат кредити в подкрепа на реалната икономика на Съюза; и</w:t>
      </w:r>
    </w:p>
    <w:p>
      <w:pPr>
        <w:pStyle w:val="ListParagraph"/>
        <w:numPr>
          <w:ilvl w:val="0"/>
          <w:numId w:val="42"/>
        </w:numPr>
        <w:spacing w:after="240"/>
        <w:jc w:val="both"/>
        <w:rPr>
          <w:rFonts w:eastAsia="Times New Roman"/>
          <w:noProof/>
        </w:rPr>
      </w:pPr>
      <w:r>
        <w:rPr>
          <w:noProof/>
        </w:rPr>
        <w:t>На второ място, съзаконодателите постигнаха съгласие по Директивата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 с която се надграждат добре функциониращите в държавите членки системи</w:t>
      </w:r>
      <w:r>
        <w:rPr>
          <w:noProof/>
          <w:vertAlign w:val="superscript"/>
        </w:rPr>
        <w:footnoteReference w:id="10"/>
      </w:r>
      <w:r>
        <w:rPr>
          <w:noProof/>
        </w:rPr>
        <w:t>. Директивата насърчава ранното преструктуриране на жизнеспособните предприятия, така че да може да се минимизират потенциалните загуби и да се спасят повече работни места. Тя също така дава на почтените предприемачи втори шанс да започнат нова стопанска дейност, вместо да бъдат наказвани в случай на фалит. Това означава, че е предприета важна стъпка, тъй като правилата за ефективно преструктуриране и несъстоятелност са от съществено значение за предотвратяване и намаляване на необслужваните кредити.</w:t>
      </w:r>
    </w:p>
    <w:p>
      <w:pPr>
        <w:spacing w:after="240"/>
        <w:jc w:val="both"/>
        <w:rPr>
          <w:rFonts w:ascii="Times New Roman" w:eastAsia="Times New Roman" w:hAnsi="Times New Roman"/>
          <w:noProof/>
          <w:sz w:val="24"/>
          <w:szCs w:val="24"/>
        </w:rPr>
      </w:pPr>
      <w:r>
        <w:rPr>
          <w:rFonts w:ascii="Times New Roman" w:hAnsi="Times New Roman"/>
          <w:noProof/>
          <w:sz w:val="24"/>
        </w:rPr>
        <w:t>Комисията приветства приемането на двете предложения и призовава за своевременното им прилагане.</w:t>
      </w:r>
    </w:p>
    <w:p>
      <w:pPr>
        <w:pStyle w:val="Heading1"/>
        <w:spacing w:before="360" w:after="240"/>
        <w:ind w:left="714" w:hanging="357"/>
        <w:rPr>
          <w:rFonts w:ascii="Times New Roman" w:hAnsi="Times New Roman"/>
          <w:noProof/>
        </w:rPr>
      </w:pPr>
      <w:r>
        <w:rPr>
          <w:rFonts w:ascii="Times New Roman" w:hAnsi="Times New Roman"/>
          <w:noProof/>
        </w:rPr>
        <w:t>Скорошни инициативи във връзка с необслужваните кредити</w:t>
      </w:r>
    </w:p>
    <w:p>
      <w:pPr>
        <w:spacing w:after="240"/>
        <w:jc w:val="both"/>
        <w:rPr>
          <w:rFonts w:ascii="Times New Roman" w:eastAsia="Times New Roman" w:hAnsi="Times New Roman"/>
          <w:noProof/>
          <w:sz w:val="24"/>
          <w:szCs w:val="24"/>
        </w:rPr>
      </w:pPr>
      <w:r>
        <w:rPr>
          <w:rFonts w:ascii="Times New Roman" w:hAnsi="Times New Roman"/>
          <w:noProof/>
          <w:sz w:val="24"/>
        </w:rPr>
        <w:t>Отношенията на необслужваните кредити продължиха да намаляват през третото тримесечие на 2018 г. Последните данни показват, че отношението на необслужваните кредити за всички банки в ЕС е намаляло допълнително до 3,3 % (третото тримесечие на 2018 г.) ‒ с 1.1 процентни пункта по-малко спрямо предходната година (вж. фигура 1), следвайки и потвърждавайки общата тенденция на спад, започнала от четвъртото тримесечие на 2014 г. Така средното отношение на необслужваните кредити за ЕС се доближава до равнищата отпреди кризата (вж. фигура 2). Коефициентът на провизиране</w:t>
      </w:r>
      <w:r>
        <w:rPr>
          <w:rStyle w:val="FootnoteReference"/>
          <w:rFonts w:ascii="Times New Roman" w:hAnsi="Times New Roman"/>
          <w:noProof/>
          <w:sz w:val="24"/>
        </w:rPr>
        <w:footnoteReference w:id="11"/>
      </w:r>
      <w:r>
        <w:rPr>
          <w:rFonts w:ascii="Times New Roman" w:hAnsi="Times New Roman"/>
          <w:noProof/>
          <w:sz w:val="24"/>
        </w:rPr>
        <w:t xml:space="preserve"> също се увеличи допълнително, като през третото тримесечие на 2018 г. беше 59,4 % .</w:t>
      </w:r>
    </w:p>
    <w:p>
      <w:pPr>
        <w:keepNext/>
        <w:jc w:val="both"/>
        <w:rPr>
          <w:rFonts w:ascii="Times New Roman" w:hAnsi="Times New Roman"/>
          <w:b/>
          <w:noProof/>
          <w:sz w:val="20"/>
        </w:rPr>
      </w:pPr>
      <w:r>
        <w:rPr>
          <w:rFonts w:ascii="Times New Roman" w:hAnsi="Times New Roman"/>
          <w:b/>
          <w:noProof/>
          <w:sz w:val="20"/>
        </w:rPr>
        <w:t>Фигури 1 и 2: Отношение на необслужваните кредити в Съюза</w:t>
      </w:r>
    </w:p>
    <w:p>
      <w:pPr>
        <w:spacing w:after="240"/>
        <w:jc w:val="both"/>
        <w:rPr>
          <w:rFonts w:ascii="Times New Roman" w:eastAsia="Times New Roman" w:hAnsi="Times New Roman"/>
          <w:noProof/>
          <w:sz w:val="24"/>
          <w:szCs w:val="24"/>
        </w:rPr>
      </w:pPr>
      <w:r>
        <w:rPr>
          <w:noProof/>
          <w:lang w:val="en-GB" w:eastAsia="en-GB" w:bidi="ar-SA"/>
        </w:rPr>
        <w:drawing>
          <wp:inline distT="0" distB="0" distL="0" distR="0">
            <wp:extent cx="5652770" cy="1982783"/>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2770" cy="1982783"/>
                    </a:xfrm>
                    <a:prstGeom prst="rect">
                      <a:avLst/>
                    </a:prstGeom>
                    <a:noFill/>
                  </pic:spPr>
                </pic:pic>
              </a:graphicData>
            </a:graphic>
          </wp:inline>
        </w:drawing>
      </w:r>
    </w:p>
    <w:p>
      <w:pPr>
        <w:spacing w:after="240"/>
        <w:jc w:val="both"/>
        <w:rPr>
          <w:rFonts w:ascii="Times New Roman" w:eastAsia="Times New Roman" w:hAnsi="Times New Roman"/>
          <w:noProof/>
          <w:sz w:val="24"/>
          <w:szCs w:val="24"/>
        </w:rPr>
      </w:pPr>
      <w:r>
        <w:rPr>
          <w:rFonts w:ascii="Times New Roman" w:hAnsi="Times New Roman"/>
          <w:noProof/>
          <w:sz w:val="24"/>
        </w:rPr>
        <w:t>Последните данни по тримесечия показват, че отношенията на необслужваните кредити продължават да спадат в почти всички държави членки. Ситуацията обаче все още се различава значително в отделните държави членки (вж. таблица 2). В края на третото тримесечие на 2018 г. отношенията на необслужваните кредити на банките в 14 държави членки бяха доста ниски — под 3 %, докато в същото време този показател продължава да бъде значително по-висок в някои държави членки, като в 3 от тях стойността му бе над 10 %</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Дори в държавите членки с относително високи отношения на необслужваните кредити в повечето случаи се наблюдава окуражаващ и устойчив напредък, който се дължи на комбинация от политически действия и икономически растеж.</w:t>
      </w:r>
    </w:p>
    <w:p>
      <w:pPr>
        <w:pStyle w:val="Heading1"/>
        <w:numPr>
          <w:ilvl w:val="0"/>
          <w:numId w:val="0"/>
        </w:numPr>
        <w:spacing w:before="120" w:after="60"/>
        <w:ind w:left="1021" w:hanging="1021"/>
        <w:rPr>
          <w:noProof/>
          <w:sz w:val="20"/>
          <w:szCs w:val="20"/>
        </w:rPr>
      </w:pPr>
      <w:r>
        <w:rPr>
          <w:rFonts w:ascii="Times New Roman" w:hAnsi="Times New Roman"/>
          <w:smallCaps w:val="0"/>
          <w:noProof/>
          <w:sz w:val="20"/>
        </w:rPr>
        <w:t>Таблица 2: Необслужвани кредити и провизии по държави членки</w:t>
      </w:r>
      <w:r>
        <w:rPr>
          <w:rFonts w:ascii="Times New Roman" w:hAnsi="Times New Roman"/>
          <w:smallCaps w:val="0"/>
          <w:noProof/>
          <w:sz w:val="20"/>
          <w:vertAlign w:val="superscript"/>
        </w:rPr>
        <w:footnoteReference w:id="13"/>
      </w:r>
    </w:p>
    <w:p>
      <w:pPr>
        <w:keepNext/>
        <w:rPr>
          <w:rFonts w:ascii="Times New Roman" w:eastAsia="Times New Roman" w:hAnsi="Times New Roman"/>
          <w:i/>
          <w:noProof/>
          <w:sz w:val="18"/>
          <w:szCs w:val="24"/>
        </w:rPr>
      </w:pPr>
      <w:r>
        <w:rPr>
          <w:rFonts w:ascii="Times New Roman" w:hAnsi="Times New Roman"/>
          <w:i/>
          <w:noProof/>
          <w:sz w:val="18"/>
        </w:rPr>
        <w:t xml:space="preserve"> </w:t>
      </w:r>
      <w:r>
        <w:rPr>
          <w:noProof/>
          <w:lang w:val="en-GB" w:eastAsia="en-GB" w:bidi="ar-SA"/>
        </w:rPr>
        <w:drawing>
          <wp:inline distT="0" distB="0" distL="0" distR="0">
            <wp:extent cx="5652770" cy="520164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2770" cy="5201645"/>
                    </a:xfrm>
                    <a:prstGeom prst="rect">
                      <a:avLst/>
                    </a:prstGeom>
                    <a:noFill/>
                    <a:ln>
                      <a:noFill/>
                    </a:ln>
                  </pic:spPr>
                </pic:pic>
              </a:graphicData>
            </a:graphic>
          </wp:inline>
        </w:drawing>
      </w:r>
    </w:p>
    <w:p>
      <w:pPr>
        <w:spacing w:before="60" w:after="300"/>
        <w:rPr>
          <w:rFonts w:ascii="Times New Roman" w:eastAsia="Times New Roman" w:hAnsi="Times New Roman"/>
          <w:noProof/>
          <w:sz w:val="18"/>
          <w:szCs w:val="24"/>
        </w:rPr>
      </w:pPr>
      <w:r>
        <w:rPr>
          <w:rFonts w:ascii="Times New Roman" w:hAnsi="Times New Roman"/>
          <w:noProof/>
          <w:sz w:val="18"/>
        </w:rPr>
        <w:t>Източник</w:t>
      </w:r>
      <w:r>
        <w:rPr>
          <w:rFonts w:ascii="Times New Roman" w:hAnsi="Times New Roman"/>
          <w:i/>
          <w:noProof/>
          <w:sz w:val="18"/>
        </w:rPr>
        <w:t xml:space="preserve">: </w:t>
      </w:r>
      <w:r>
        <w:rPr>
          <w:rFonts w:ascii="Times New Roman" w:hAnsi="Times New Roman"/>
          <w:noProof/>
          <w:sz w:val="18"/>
        </w:rPr>
        <w:t>Европейска централна банка, Консолидирани банкови данни. Изчисления на службите на Комисията (ГД „Финансова стабилност, финансови услуги и съюз на капиталовите пазари“).</w:t>
      </w:r>
    </w:p>
    <w:p>
      <w:pPr>
        <w:spacing w:after="240"/>
        <w:jc w:val="both"/>
        <w:rPr>
          <w:rFonts w:ascii="Times New Roman" w:eastAsia="Times New Roman" w:hAnsi="Times New Roman"/>
          <w:noProof/>
          <w:sz w:val="24"/>
          <w:szCs w:val="24"/>
        </w:rPr>
      </w:pPr>
      <w:r>
        <w:rPr>
          <w:rFonts w:ascii="Times New Roman" w:hAnsi="Times New Roman"/>
          <w:noProof/>
          <w:sz w:val="24"/>
        </w:rPr>
        <w:t>Решителните действия от страна на банките и вземащите политически решения лица, особено в държавите членки със сравнително високи равнища на необслужвани кредити, помогнаха за намаляването на необслужваните кредити и на отношенията на необслужваните кредити. Освен това Комисията продължи да работи конструктивно с държавите членки за намирането на решения за конкретни случаи за банките в рамките на правилата на ЕС за държавните помощи и банковото дело с ясната цел разходите за данъкоплатците да бъдат ограничени, като същевременно се запазва пълна и постоянна защита на вложителите. Така бе създадена възможност за осъществяване на сделки, с които балансите на банките се освободиха от необслужвани кредити с брутен размер от около 112 милиарда евро през последните три години (в т.ч. приблизително 82 милиарда евро в Италия, около 24 милиарда евро в Португалия и около 6 милиарда евро в Кипър)</w:t>
      </w:r>
    </w:p>
    <w:p>
      <w:pPr>
        <w:spacing w:after="240"/>
        <w:jc w:val="both"/>
        <w:rPr>
          <w:rFonts w:ascii="Times New Roman" w:eastAsia="Times New Roman" w:hAnsi="Times New Roman"/>
          <w:noProof/>
          <w:sz w:val="24"/>
          <w:szCs w:val="24"/>
        </w:rPr>
      </w:pPr>
      <w:r>
        <w:rPr>
          <w:rFonts w:ascii="Times New Roman" w:hAnsi="Times New Roman"/>
          <w:noProof/>
          <w:sz w:val="24"/>
        </w:rPr>
        <w:t>Независимо от това Съюзът и неговите държави членки трябва да продължат своите усилия. Не трябва да забравяме потенциалните последици от евентуална рецесия. За справянето с необслужваните кредити през последните години помогна добрата икономическа конюнктура. Продължаването на колективните ни усилия ще даде възможност за справяне с необслужваните кредити по възможно най</w:t>
      </w:r>
      <w:r>
        <w:rPr>
          <w:noProof/>
        </w:rPr>
        <w:noBreakHyphen/>
      </w:r>
      <w:r>
        <w:rPr>
          <w:rFonts w:ascii="Times New Roman" w:hAnsi="Times New Roman"/>
          <w:noProof/>
          <w:sz w:val="24"/>
        </w:rPr>
        <w:t>решителен начин, като това ще увеличи устойчивостта ни на потенциални отрицателни сътресения в бъдеще.</w:t>
      </w:r>
    </w:p>
    <w:p>
      <w:pPr>
        <w:spacing w:after="240"/>
        <w:jc w:val="both"/>
        <w:rPr>
          <w:rFonts w:ascii="Times New Roman" w:eastAsia="Times New Roman" w:hAnsi="Times New Roman"/>
          <w:noProof/>
          <w:sz w:val="24"/>
          <w:szCs w:val="24"/>
        </w:rPr>
      </w:pPr>
      <w:r>
        <w:rPr>
          <w:rFonts w:ascii="Times New Roman" w:hAnsi="Times New Roman"/>
          <w:noProof/>
          <w:sz w:val="24"/>
        </w:rPr>
        <w:t>Разликата в отношението на необслужваните кредити в държавите членки отразява продължаващото асиметрично въздействие на финансовата криза. Въпреки цялостния обнадеждаващ напредък необслужваните кредити продължават да представляват риск (макар и намаляващ) за жизнеспособността на най</w:t>
      </w:r>
      <w:r>
        <w:rPr>
          <w:noProof/>
        </w:rPr>
        <w:noBreakHyphen/>
      </w:r>
      <w:r>
        <w:rPr>
          <w:rFonts w:ascii="Times New Roman" w:hAnsi="Times New Roman"/>
          <w:noProof/>
          <w:sz w:val="24"/>
        </w:rPr>
        <w:t>засегнатите банки и за икономическия растеж и финансовата стабилност в някои държави членки. Чрез по</w:t>
      </w:r>
      <w:r>
        <w:rPr>
          <w:noProof/>
        </w:rPr>
        <w:noBreakHyphen/>
      </w:r>
      <w:r>
        <w:rPr>
          <w:rFonts w:ascii="Times New Roman" w:hAnsi="Times New Roman"/>
          <w:noProof/>
          <w:sz w:val="24"/>
        </w:rPr>
        <w:t>нататъшно намаляване на необслужваните кредити може да се постигне по</w:t>
      </w:r>
      <w:r>
        <w:rPr>
          <w:noProof/>
        </w:rPr>
        <w:noBreakHyphen/>
      </w:r>
      <w:r>
        <w:rPr>
          <w:rFonts w:ascii="Times New Roman" w:hAnsi="Times New Roman"/>
          <w:noProof/>
          <w:sz w:val="24"/>
        </w:rPr>
        <w:t>голямо сближаване между държавите членки. Общият обем на необслужваните кредити в Съюза в момента възлиза на 786 милиарда евро</w:t>
      </w:r>
      <w:r>
        <w:rPr>
          <w:rFonts w:ascii="Times New Roman" w:hAnsi="Times New Roman"/>
          <w:noProof/>
          <w:sz w:val="24"/>
          <w:vertAlign w:val="superscript"/>
        </w:rPr>
        <w:footnoteReference w:id="14"/>
      </w:r>
      <w:r>
        <w:rPr>
          <w:rFonts w:ascii="Times New Roman" w:hAnsi="Times New Roman"/>
          <w:noProof/>
          <w:sz w:val="24"/>
        </w:rPr>
        <w:t>. Следва да се отделя непрекъснато внимание на преструктурирането на дълга, производствата по несъстоятелност и процедурите по събиране на вземания, които в много случаи биха могли да бъдат оптимизирани чрез допълнителни реформи. Ефективните и предвидими рамки за принудително изпълнение и несъстоятелност са от ключово значение за подпомагане на банките за ограничаване на равнищата на необслужвани кредити и избягване натрупването на такива в бъдеще. Справянето с този важен проблем по ефективен начин би довело до подем в по</w:t>
      </w:r>
      <w:r>
        <w:rPr>
          <w:noProof/>
        </w:rPr>
        <w:noBreakHyphen/>
      </w:r>
      <w:r>
        <w:rPr>
          <w:rFonts w:ascii="Times New Roman" w:hAnsi="Times New Roman"/>
          <w:noProof/>
          <w:sz w:val="24"/>
        </w:rPr>
        <w:t>нататъшното намаляване на необслужваните кредити. Хармонизирането на законодателството в тази област е предизвикателство предвид тясната връзка с различни области на правото, които попадат в обхвата на националната компетентност, както и с избора на публична политика, излизащ извън обхвата на въпроса за необслужваните кредити.</w:t>
      </w:r>
    </w:p>
    <w:p>
      <w:pPr>
        <w:spacing w:after="240"/>
        <w:jc w:val="both"/>
        <w:rPr>
          <w:rFonts w:ascii="Times New Roman" w:eastAsia="Times New Roman" w:hAnsi="Times New Roman"/>
          <w:noProof/>
          <w:sz w:val="24"/>
          <w:szCs w:val="24"/>
        </w:rPr>
      </w:pPr>
      <w:r>
        <w:rPr>
          <w:rFonts w:ascii="Times New Roman" w:hAnsi="Times New Roman"/>
          <w:noProof/>
          <w:sz w:val="24"/>
        </w:rPr>
        <w:t>Устойчивият растеж на вторичните пазари на необслужвани кредити е също толкова важен фактор. Фокусът на колективните усилия на държавите членки и на органите на ЕС не трябва да се измества от все още неизползвания потенциал на добре функциониращия вторичен пазар — не само за справяне с натрупаните към момента необслужвани кредити, но и за осигуряване на възможности за пласиране на бъдещи потоци, а оттук и за решително предотвратяване на ново натрупване на необслужвани кредити в балансите на банките. За да се стимулира и поддържа настоящата динамика в някои държави членки, по-нататъшното развитие на вторичния пазар следва непрекъснато да бъде обект на подходящи политически действия (вж. също по долу).</w:t>
      </w:r>
    </w:p>
    <w:p>
      <w:pPr>
        <w:pStyle w:val="Heading1"/>
        <w:spacing w:before="360" w:after="240"/>
        <w:ind w:left="714" w:hanging="357"/>
        <w:rPr>
          <w:rFonts w:ascii="Times New Roman" w:hAnsi="Times New Roman"/>
          <w:noProof/>
        </w:rPr>
      </w:pPr>
      <w:r>
        <w:rPr>
          <w:rFonts w:ascii="Times New Roman" w:hAnsi="Times New Roman"/>
          <w:noProof/>
        </w:rPr>
        <w:t xml:space="preserve">Напредък по отношение на изпълнението на плана за действие на Съвета </w:t>
      </w:r>
    </w:p>
    <w:p>
      <w:pPr>
        <w:spacing w:after="240"/>
        <w:jc w:val="both"/>
        <w:rPr>
          <w:rFonts w:ascii="Times New Roman" w:eastAsia="Times New Roman" w:hAnsi="Times New Roman"/>
          <w:noProof/>
          <w:sz w:val="24"/>
          <w:szCs w:val="24"/>
        </w:rPr>
      </w:pPr>
      <w:r>
        <w:rPr>
          <w:rFonts w:ascii="Times New Roman" w:hAnsi="Times New Roman"/>
          <w:noProof/>
          <w:sz w:val="24"/>
        </w:rPr>
        <w:t>В своя план за действие Съветът прие да разгледа отново въпроса за необслужваните кредити, в т.ч. развитието им в Съюза, както и да оцени постигнатия напредък въз основа на изготвения от Комисията преглед. Таблица 3 свидетелства за предприетите важни стъпки към пълно изпълнение на плана за действие.</w:t>
      </w:r>
    </w:p>
    <w:p>
      <w:pPr>
        <w:pStyle w:val="Heading1"/>
        <w:numPr>
          <w:ilvl w:val="0"/>
          <w:numId w:val="0"/>
        </w:numPr>
        <w:spacing w:before="120" w:after="60"/>
        <w:ind w:left="1021" w:hanging="1021"/>
        <w:rPr>
          <w:rFonts w:ascii="Times New Roman" w:hAnsi="Times New Roman"/>
          <w:bCs w:val="0"/>
          <w:smallCaps w:val="0"/>
          <w:noProof/>
          <w:sz w:val="20"/>
          <w:szCs w:val="20"/>
        </w:rPr>
      </w:pPr>
      <w:r>
        <w:rPr>
          <w:rFonts w:ascii="Times New Roman" w:hAnsi="Times New Roman"/>
          <w:smallCaps w:val="0"/>
          <w:noProof/>
          <w:sz w:val="20"/>
        </w:rPr>
        <w:t>Таблица 3: Напредък в изпълнението на плана за действие</w:t>
      </w:r>
    </w:p>
    <w:p>
      <w:pPr>
        <w:keepNext/>
        <w:rPr>
          <w:noProof/>
          <w:lang w:val="en-GB"/>
        </w:rPr>
      </w:pPr>
      <w:r>
        <w:rPr>
          <w:noProof/>
          <w:lang w:val="en-GB" w:eastAsia="en-GB" w:bidi="ar-SA"/>
        </w:rPr>
        <w:drawing>
          <wp:inline distT="0" distB="0" distL="0" distR="0">
            <wp:extent cx="5652770" cy="4417930"/>
            <wp:effectExtent l="0" t="0" r="508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2770" cy="4417930"/>
                    </a:xfrm>
                    <a:prstGeom prst="rect">
                      <a:avLst/>
                    </a:prstGeom>
                    <a:noFill/>
                    <a:ln>
                      <a:noFill/>
                    </a:ln>
                  </pic:spPr>
                </pic:pic>
              </a:graphicData>
            </a:graphic>
          </wp:inline>
        </w:drawing>
      </w:r>
    </w:p>
    <w:p>
      <w:pPr>
        <w:spacing w:before="60" w:after="240"/>
        <w:jc w:val="center"/>
        <w:rPr>
          <w:rFonts w:ascii="Times New Roman" w:eastAsia="Times New Roman" w:hAnsi="Times New Roman"/>
          <w:noProof/>
          <w:sz w:val="24"/>
          <w:szCs w:val="24"/>
        </w:rPr>
      </w:pPr>
      <w:r>
        <w:rPr>
          <w:rFonts w:ascii="Times New Roman" w:eastAsia="Times New Roman" w:hAnsi="Times New Roman"/>
          <w:noProof/>
          <w:sz w:val="24"/>
          <w:szCs w:val="24"/>
          <w:lang w:val="en-GB" w:eastAsia="en-GB" w:bidi="ar-SA"/>
        </w:rPr>
        <w:drawing>
          <wp:inline distT="0" distB="0" distL="0" distR="0">
            <wp:extent cx="1877695" cy="72517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7695" cy="725170"/>
                    </a:xfrm>
                    <a:prstGeom prst="rect">
                      <a:avLst/>
                    </a:prstGeom>
                    <a:noFill/>
                  </pic:spPr>
                </pic:pic>
              </a:graphicData>
            </a:graphic>
          </wp:inline>
        </w:drawing>
      </w:r>
    </w:p>
    <w:p>
      <w:pPr>
        <w:keepNext/>
        <w:keepLines/>
        <w:numPr>
          <w:ilvl w:val="1"/>
          <w:numId w:val="3"/>
        </w:numPr>
        <w:spacing w:before="300" w:after="160"/>
        <w:ind w:left="993" w:hanging="567"/>
        <w:outlineLvl w:val="1"/>
        <w:rPr>
          <w:rFonts w:ascii="Times New Roman" w:eastAsiaTheme="majorEastAsia" w:hAnsi="Times New Roman"/>
          <w:b/>
          <w:bCs/>
          <w:smallCaps/>
          <w:noProof/>
          <w:sz w:val="26"/>
          <w:szCs w:val="26"/>
        </w:rPr>
      </w:pPr>
      <w:r>
        <w:rPr>
          <w:rFonts w:ascii="Times New Roman" w:eastAsiaTheme="majorEastAsia" w:hAnsi="Times New Roman"/>
          <w:b/>
          <w:smallCaps/>
          <w:noProof/>
          <w:sz w:val="26"/>
        </w:rPr>
        <w:t>Достатъчно покритие от страна на банките на свързаните с кредити загуби за бъдещи необслужвани кредити</w:t>
      </w:r>
    </w:p>
    <w:p>
      <w:pPr>
        <w:spacing w:after="240"/>
        <w:jc w:val="both"/>
        <w:rPr>
          <w:rFonts w:ascii="Times New Roman" w:eastAsia="Times New Roman" w:hAnsi="Times New Roman"/>
          <w:noProof/>
          <w:sz w:val="24"/>
          <w:szCs w:val="24"/>
        </w:rPr>
      </w:pPr>
      <w:r>
        <w:rPr>
          <w:rFonts w:ascii="Times New Roman" w:hAnsi="Times New Roman"/>
          <w:noProof/>
          <w:sz w:val="24"/>
        </w:rPr>
        <w:t>Като част от представения през март 2018 г. пакет с предложения във връзка с необслужваните кредити, Комисията предложи Регламент за изменение на Регламента за капиталовите изисквания (РКИ)</w:t>
      </w:r>
      <w:r>
        <w:rPr>
          <w:rFonts w:ascii="Times New Roman" w:hAnsi="Times New Roman"/>
          <w:noProof/>
          <w:sz w:val="24"/>
          <w:vertAlign w:val="superscript"/>
        </w:rPr>
        <w:footnoteReference w:id="15"/>
      </w:r>
      <w:r>
        <w:rPr>
          <w:rFonts w:ascii="Times New Roman" w:hAnsi="Times New Roman"/>
          <w:noProof/>
          <w:sz w:val="24"/>
        </w:rPr>
        <w:t>, с който се въвеждат „законоустановени пруденциални предпазни механизми“, за да се предотврати евентуалното недостатъчно обезпечаване на бъдещи необслужвани кредити, и който бе приет през април 2019 г</w:t>
      </w:r>
      <w:r>
        <w:rPr>
          <w:rStyle w:val="FootnoteReference"/>
          <w:rFonts w:ascii="Times New Roman" w:hAnsi="Times New Roman"/>
          <w:noProof/>
          <w:sz w:val="24"/>
        </w:rPr>
        <w:footnoteReference w:id="16"/>
      </w:r>
      <w:r>
        <w:rPr>
          <w:rFonts w:ascii="Times New Roman" w:hAnsi="Times New Roman"/>
          <w:noProof/>
          <w:sz w:val="24"/>
        </w:rPr>
        <w:t>.</w:t>
      </w:r>
    </w:p>
    <w:p>
      <w:pPr>
        <w:spacing w:after="240"/>
        <w:jc w:val="both"/>
        <w:rPr>
          <w:rFonts w:ascii="Times New Roman" w:eastAsia="Times New Roman" w:hAnsi="Times New Roman"/>
          <w:noProof/>
          <w:sz w:val="24"/>
          <w:szCs w:val="24"/>
        </w:rPr>
      </w:pPr>
      <w:r>
        <w:rPr>
          <w:rFonts w:ascii="Times New Roman" w:hAnsi="Times New Roman"/>
          <w:noProof/>
          <w:sz w:val="24"/>
        </w:rPr>
        <w:t>Регламентът изисква банките да разполагат с достатъчно покритие за кредитни загуби (т.е. общи минимални нива на покритие) по новоотпускани заеми, в случай че те се превърнат в необслужвани експозиции</w:t>
      </w:r>
      <w:r>
        <w:rPr>
          <w:rFonts w:ascii="Times New Roman" w:hAnsi="Times New Roman"/>
          <w:i/>
          <w:noProof/>
          <w:sz w:val="24"/>
        </w:rPr>
        <w:t xml:space="preserve">. </w:t>
      </w:r>
      <w:r>
        <w:rPr>
          <w:rFonts w:ascii="Times New Roman" w:hAnsi="Times New Roman"/>
          <w:noProof/>
          <w:sz w:val="24"/>
        </w:rPr>
        <w:t>Ако дадена банка не удовлетворява приложимия минимален размер на покритие, тя трябва да приспадне недостига от собствените си средства.</w:t>
      </w:r>
    </w:p>
    <w:p>
      <w:pPr>
        <w:spacing w:after="60"/>
        <w:jc w:val="both"/>
        <w:rPr>
          <w:rFonts w:ascii="Times New Roman" w:eastAsia="Times New Roman" w:hAnsi="Times New Roman"/>
          <w:noProof/>
          <w:sz w:val="24"/>
          <w:szCs w:val="24"/>
        </w:rPr>
      </w:pPr>
      <w:r>
        <w:rPr>
          <w:rFonts w:ascii="Times New Roman" w:hAnsi="Times New Roman"/>
          <w:noProof/>
          <w:sz w:val="24"/>
        </w:rPr>
        <w:t>Съгласно пруденциалния предпазен механизъм приложимото изискване за минимално покритие зависи от две основни входни променливи:</w:t>
      </w:r>
    </w:p>
    <w:p>
      <w:pPr>
        <w:numPr>
          <w:ilvl w:val="0"/>
          <w:numId w:val="33"/>
        </w:numPr>
        <w:spacing w:after="60"/>
        <w:jc w:val="both"/>
        <w:rPr>
          <w:rFonts w:ascii="Times New Roman" w:eastAsia="Times New Roman" w:hAnsi="Times New Roman"/>
          <w:noProof/>
          <w:sz w:val="24"/>
          <w:szCs w:val="24"/>
        </w:rPr>
      </w:pPr>
      <w:r>
        <w:rPr>
          <w:rFonts w:ascii="Times New Roman" w:hAnsi="Times New Roman"/>
          <w:noProof/>
          <w:sz w:val="24"/>
        </w:rPr>
        <w:t>дали необслужваният кредит или част от него е обезпечен с приемлива кредитна защита (както е определена в РКИ); и</w:t>
      </w:r>
    </w:p>
    <w:p>
      <w:pPr>
        <w:numPr>
          <w:ilvl w:val="0"/>
          <w:numId w:val="33"/>
        </w:numPr>
        <w:spacing w:after="240"/>
        <w:ind w:left="714" w:hanging="357"/>
        <w:jc w:val="both"/>
        <w:rPr>
          <w:rFonts w:ascii="Times New Roman" w:eastAsia="Times New Roman" w:hAnsi="Times New Roman"/>
          <w:noProof/>
          <w:sz w:val="24"/>
          <w:szCs w:val="24"/>
        </w:rPr>
      </w:pPr>
      <w:r>
        <w:rPr>
          <w:rFonts w:ascii="Times New Roman" w:hAnsi="Times New Roman"/>
          <w:noProof/>
          <w:sz w:val="24"/>
        </w:rPr>
        <w:t>периода от време, през който експозицията е била класифицирана като необслужвана.</w:t>
      </w:r>
    </w:p>
    <w:p>
      <w:pPr>
        <w:spacing w:after="240"/>
        <w:jc w:val="both"/>
        <w:rPr>
          <w:rFonts w:ascii="Times New Roman" w:eastAsia="Times New Roman" w:hAnsi="Times New Roman"/>
          <w:noProof/>
          <w:sz w:val="24"/>
          <w:szCs w:val="24"/>
        </w:rPr>
      </w:pPr>
      <w:r>
        <w:rPr>
          <w:rFonts w:ascii="Times New Roman" w:hAnsi="Times New Roman"/>
          <w:noProof/>
          <w:sz w:val="24"/>
        </w:rPr>
        <w:t>За необезпечените необслужвани кредити изискванията за покритие за банките нарастват постепенно до 100 % след 3 години, а за необслужваните кредити, обезпечени с недвижимо имущество, и за необезпечените кредити, обезпечени с друга приемлива кредитна защита, съответно  след 9 и 7 години. Този подход отразява увеличения риск, произтичащ от „остарелите“ необслужвани кредити, дори когато тези кредити са обезпечени: колкото по</w:t>
      </w:r>
      <w:r>
        <w:rPr>
          <w:noProof/>
        </w:rPr>
        <w:noBreakHyphen/>
      </w:r>
      <w:r>
        <w:rPr>
          <w:rFonts w:ascii="Times New Roman" w:hAnsi="Times New Roman"/>
          <w:noProof/>
          <w:sz w:val="24"/>
        </w:rPr>
        <w:t>дълго необслужваните кредити останат в балансите на банките, толкова по</w:t>
      </w:r>
      <w:r>
        <w:rPr>
          <w:noProof/>
        </w:rPr>
        <w:noBreakHyphen/>
      </w:r>
      <w:r>
        <w:rPr>
          <w:rFonts w:ascii="Times New Roman" w:hAnsi="Times New Roman"/>
          <w:noProof/>
          <w:sz w:val="24"/>
        </w:rPr>
        <w:t>малко вероятно е банките да успеят да възстановят средствата си. Целта на мярката е да насърчи банките към активно и своевременно управление на необслужваните кредити. Това е важно, тъй като успешното събиране на вземанията и изпълнимите мерки за преструктуриране обикновено се осъществяват през първите години след класифицирането на експозицията като необслужвана.</w:t>
      </w:r>
    </w:p>
    <w:p>
      <w:pPr>
        <w:spacing w:after="240"/>
        <w:jc w:val="both"/>
        <w:rPr>
          <w:rFonts w:ascii="Times New Roman" w:eastAsia="Times New Roman" w:hAnsi="Times New Roman"/>
          <w:noProof/>
          <w:sz w:val="24"/>
          <w:szCs w:val="24"/>
        </w:rPr>
      </w:pPr>
      <w:r>
        <w:rPr>
          <w:rFonts w:ascii="Times New Roman" w:hAnsi="Times New Roman"/>
          <w:noProof/>
          <w:sz w:val="24"/>
        </w:rPr>
        <w:t>За да се осигури правна сигурност и съгласуваност на нормативната рамка за пруденциален надзор, регламентът също така въвежда общо определение за необслужвани експозиции (НОЕ) в съответствие с вече използваното определение за целите на докладването пред надзорните органи.</w:t>
      </w:r>
    </w:p>
    <w:p>
      <w:pPr>
        <w:spacing w:after="240"/>
        <w:jc w:val="both"/>
        <w:rPr>
          <w:rFonts w:ascii="Times New Roman" w:eastAsia="Times New Roman" w:hAnsi="Times New Roman"/>
          <w:noProof/>
          <w:sz w:val="24"/>
          <w:szCs w:val="24"/>
        </w:rPr>
      </w:pPr>
      <w:r>
        <w:rPr>
          <w:rFonts w:ascii="Times New Roman" w:hAnsi="Times New Roman"/>
          <w:noProof/>
          <w:sz w:val="24"/>
        </w:rPr>
        <w:t>Пруденциалният предпазен механизъм ще намали рисковете за финансовата стабилност, произтичащи от високите нива на необслужваните експозиции, за които не е заделено достатъчно покритие, като възпрепятства натрупването или увеличаването на необслужвани експозиции, които при неблагоприятни пазарни условия биха могли потенциално да доведат до „ефекта на доминото“. Същевременно той също така ще гарантира, че институциите разполагат с достатъчно покритие на загубите за необслужваните експозиции, като по този начин ще защити рентабилността, капитала и разходите им за финансиране в неблагоприятни икономически периоди. Това на свой ред ще допринесе за осигуряването на стабилно и по-необременено от фазите на икономическия цикъл финансиране за домакинствата и предприятията.</w:t>
      </w:r>
    </w:p>
    <w:p>
      <w:pPr>
        <w:keepNext/>
        <w:keepLines/>
        <w:numPr>
          <w:ilvl w:val="1"/>
          <w:numId w:val="3"/>
        </w:numPr>
        <w:spacing w:before="300" w:after="160"/>
        <w:ind w:left="993" w:hanging="567"/>
        <w:outlineLvl w:val="1"/>
        <w:rPr>
          <w:rFonts w:ascii="Times New Roman" w:eastAsiaTheme="majorEastAsia" w:hAnsi="Times New Roman"/>
          <w:b/>
          <w:bCs/>
          <w:smallCaps/>
          <w:noProof/>
          <w:sz w:val="26"/>
          <w:szCs w:val="26"/>
        </w:rPr>
      </w:pPr>
      <w:r>
        <w:rPr>
          <w:rFonts w:ascii="Times New Roman" w:eastAsiaTheme="majorEastAsia" w:hAnsi="Times New Roman"/>
          <w:b/>
          <w:smallCaps/>
          <w:noProof/>
          <w:sz w:val="26"/>
          <w:szCs w:val="26"/>
        </w:rPr>
        <w:t>Директива относно лицата, обслужващи кредити, купувачите на кредити и събирането на обезпечения</w:t>
      </w:r>
    </w:p>
    <w:p>
      <w:pPr>
        <w:spacing w:after="240"/>
        <w:jc w:val="both"/>
        <w:rPr>
          <w:rFonts w:ascii="Times New Roman" w:eastAsia="Times New Roman" w:hAnsi="Times New Roman"/>
          <w:noProof/>
          <w:sz w:val="24"/>
          <w:szCs w:val="24"/>
        </w:rPr>
      </w:pPr>
      <w:r>
        <w:rPr>
          <w:rFonts w:ascii="Times New Roman" w:hAnsi="Times New Roman"/>
          <w:noProof/>
          <w:sz w:val="24"/>
        </w:rPr>
        <w:t>Предложената директива</w:t>
      </w:r>
      <w:r>
        <w:rPr>
          <w:rStyle w:val="FootnoteReference"/>
          <w:rFonts w:ascii="Times New Roman" w:hAnsi="Times New Roman"/>
          <w:noProof/>
          <w:sz w:val="24"/>
        </w:rPr>
        <w:footnoteReference w:id="17"/>
      </w:r>
      <w:r>
        <w:rPr>
          <w:rFonts w:ascii="Times New Roman" w:hAnsi="Times New Roman"/>
          <w:noProof/>
          <w:sz w:val="24"/>
        </w:rPr>
        <w:t xml:space="preserve"> ще позволи на банките да се справят по по</w:t>
      </w:r>
      <w:r>
        <w:rPr>
          <w:noProof/>
        </w:rPr>
        <w:noBreakHyphen/>
      </w:r>
      <w:r>
        <w:rPr>
          <w:rFonts w:ascii="Times New Roman" w:hAnsi="Times New Roman"/>
          <w:noProof/>
          <w:sz w:val="24"/>
        </w:rPr>
        <w:t xml:space="preserve">ефективен начин с кредитите, които вече не се обслужват, като подобри условията: 1) за продажба на кредитите на вторичен пазар на трети лица; или 2) за изпълнение по обезпеченията, предоставени за обезпечаване на кредита. </w:t>
      </w:r>
    </w:p>
    <w:p>
      <w:pPr>
        <w:spacing w:after="240"/>
        <w:jc w:val="both"/>
        <w:rPr>
          <w:rFonts w:ascii="Times New Roman" w:eastAsia="Times New Roman" w:hAnsi="Times New Roman"/>
          <w:noProof/>
          <w:sz w:val="24"/>
          <w:szCs w:val="24"/>
        </w:rPr>
      </w:pPr>
      <w:r>
        <w:rPr>
          <w:rFonts w:ascii="Times New Roman" w:hAnsi="Times New Roman"/>
          <w:noProof/>
          <w:sz w:val="24"/>
        </w:rPr>
        <w:t>Една от основните цели на предложението е да насърчи развитието на вторичните пазари, на които банките могат да продават необслужвани кредити както на национално равнище, така и в други държави членки, като същевременно се поддържа високо ниво на защита на длъжниците. За да се постигне тази цел, директивата въвежда хармонизиран и по-малко рестриктивен режим за купувачите на кредити и лицата, обслужващи кредити, и премахва излишните пречки за трансграничната дейност. Това ще стимулира бъдещто изграждане на добре функциониращ вторичен пазар и следователно ще допринесе значително за намаляването на съществуващите равнища на необслужвани кредити.</w:t>
      </w:r>
    </w:p>
    <w:p>
      <w:pPr>
        <w:spacing w:after="240"/>
        <w:jc w:val="both"/>
        <w:rPr>
          <w:rFonts w:ascii="Times New Roman" w:eastAsia="Times New Roman" w:hAnsi="Times New Roman"/>
          <w:noProof/>
          <w:sz w:val="24"/>
          <w:szCs w:val="24"/>
        </w:rPr>
      </w:pPr>
      <w:r>
        <w:rPr>
          <w:rFonts w:ascii="Times New Roman" w:hAnsi="Times New Roman"/>
          <w:noProof/>
          <w:sz w:val="24"/>
        </w:rPr>
        <w:t xml:space="preserve">За да постигне втората основна цел, Комисията предложи допълнителен механизъм за ускорено извънсъдебно изпълнение по обезпеченията. Механизмът ще позволи на банките и кредитополучателите – стопански субекти (не потребители), да заложат предварително с договор метод за бързо изпълнение по обезпеченията от страна на кредитора в случай на неизпълнение на кредитополучател — стопански субект. Този механизъм ще увеличи възможността на кредиторите с обезпечени вземания да си възстановят средствата и има за цел да помогне за избягване на бъдещото натрупване на необслужвани кредити. </w:t>
      </w:r>
    </w:p>
    <w:p>
      <w:pPr>
        <w:spacing w:after="240"/>
        <w:jc w:val="both"/>
        <w:rPr>
          <w:rFonts w:ascii="Times New Roman" w:eastAsia="Times New Roman" w:hAnsi="Times New Roman"/>
          <w:noProof/>
          <w:sz w:val="24"/>
          <w:szCs w:val="24"/>
        </w:rPr>
      </w:pPr>
      <w:r>
        <w:rPr>
          <w:rFonts w:ascii="Times New Roman" w:hAnsi="Times New Roman"/>
          <w:noProof/>
          <w:sz w:val="24"/>
        </w:rPr>
        <w:t>Двата въведени с тази директива способа, чрез които банките</w:t>
      </w:r>
      <w:r>
        <w:rPr>
          <w:rStyle w:val="FootnoteReference"/>
          <w:rFonts w:ascii="Times New Roman" w:hAnsi="Times New Roman"/>
          <w:noProof/>
          <w:sz w:val="24"/>
        </w:rPr>
        <w:footnoteReference w:id="18"/>
      </w:r>
      <w:r>
        <w:rPr>
          <w:rFonts w:ascii="Times New Roman" w:hAnsi="Times New Roman"/>
          <w:noProof/>
          <w:sz w:val="24"/>
        </w:rPr>
        <w:t xml:space="preserve"> да се справят с необслужваните кредити, ще се допълват взаимно. По</w:t>
      </w:r>
      <w:r>
        <w:rPr>
          <w:noProof/>
        </w:rPr>
        <w:noBreakHyphen/>
      </w:r>
      <w:r>
        <w:rPr>
          <w:rFonts w:ascii="Times New Roman" w:hAnsi="Times New Roman"/>
          <w:noProof/>
          <w:sz w:val="24"/>
        </w:rPr>
        <w:t>краткият период за преструктуриране и по</w:t>
      </w:r>
      <w:r>
        <w:rPr>
          <w:noProof/>
        </w:rPr>
        <w:noBreakHyphen/>
      </w:r>
      <w:r>
        <w:rPr>
          <w:rFonts w:ascii="Times New Roman" w:hAnsi="Times New Roman"/>
          <w:noProof/>
          <w:sz w:val="24"/>
        </w:rPr>
        <w:t>високите събрани вземания повишават стойността на необслужваните кредити, както и цената „купува“ при възможни сделки с необслужвани кредити. Също така, определянето на цената на обезпечените необслужвани кредити на вторичните пазари ще бъде по</w:t>
      </w:r>
      <w:r>
        <w:rPr>
          <w:noProof/>
        </w:rPr>
        <w:noBreakHyphen/>
      </w:r>
      <w:r>
        <w:rPr>
          <w:rFonts w:ascii="Times New Roman" w:hAnsi="Times New Roman"/>
          <w:noProof/>
          <w:sz w:val="24"/>
        </w:rPr>
        <w:t>лесно, отколкото на необезпечените, тъй като стойността на обезпечението служи като минимална стойност за съответния необслужван кредит. Следователно това би могло да представлява също мотив за купувачите на кредити да предпочитат необслужвани кредити с договореност за ускорено извънсъдебно изпълнение по обезпечението. Това на свой ред ще създаде допълнителни стимули за  кредитните институции да използват тази възможност при предоставянето на нови кредити. Освен това хармонизирането, постигнато чрез ускореното извънсъдебно изпълнение по обезпеченията, ще насърчи появата на общоевропейски инвеститори в необслужвани кредити, а това ще повиши допълнително ликвидността на пазара.</w:t>
      </w:r>
    </w:p>
    <w:p>
      <w:pPr>
        <w:spacing w:after="240"/>
        <w:jc w:val="both"/>
        <w:rPr>
          <w:rFonts w:ascii="Times New Roman" w:eastAsia="Times New Roman" w:hAnsi="Times New Roman"/>
          <w:noProof/>
          <w:sz w:val="24"/>
          <w:szCs w:val="24"/>
        </w:rPr>
      </w:pPr>
      <w:r>
        <w:rPr>
          <w:rFonts w:ascii="Times New Roman" w:hAnsi="Times New Roman"/>
          <w:noProof/>
          <w:sz w:val="24"/>
        </w:rPr>
        <w:t>Въпреки че Съветът е стигнал до частичен общ подход по отношение на вторичните пазари, преговорите по отношение на изпълнението по обезпеченията продължават. Обсъжданията в Европейския парламент по двата аспекта следва да се разглеждат като приоритет, след като новият парламент започне работа. Бързото приключване на това досие, което е част от плана за действие на Съвета, е от първостепенно значение за приноса към усилията на ЕС за успешно справяне с проблема с необслужваните кредити в цяла Европа. Поради това Комисията призовава съзаконодателите бързо да постигнат съгласие по това важно предложение.</w:t>
      </w:r>
    </w:p>
    <w:p>
      <w:pPr>
        <w:keepNext/>
        <w:keepLines/>
        <w:numPr>
          <w:ilvl w:val="1"/>
          <w:numId w:val="3"/>
        </w:numPr>
        <w:spacing w:before="300" w:after="160"/>
        <w:ind w:left="993" w:hanging="567"/>
        <w:outlineLvl w:val="1"/>
        <w:rPr>
          <w:rFonts w:ascii="Times New Roman" w:eastAsiaTheme="majorEastAsia" w:hAnsi="Times New Roman"/>
          <w:b/>
          <w:bCs/>
          <w:smallCaps/>
          <w:noProof/>
          <w:sz w:val="26"/>
          <w:szCs w:val="26"/>
        </w:rPr>
      </w:pPr>
      <w:r>
        <w:rPr>
          <w:rFonts w:ascii="Times New Roman" w:eastAsiaTheme="majorEastAsia" w:hAnsi="Times New Roman"/>
          <w:b/>
          <w:smallCaps/>
          <w:noProof/>
          <w:sz w:val="26"/>
        </w:rPr>
        <w:t>Сравнителен анализ на националните режими за несъстоятелността</w:t>
      </w:r>
    </w:p>
    <w:p>
      <w:pPr>
        <w:spacing w:after="240"/>
        <w:jc w:val="both"/>
        <w:rPr>
          <w:rFonts w:ascii="Times New Roman" w:eastAsia="Times New Roman" w:hAnsi="Times New Roman"/>
          <w:noProof/>
          <w:sz w:val="24"/>
          <w:szCs w:val="24"/>
        </w:rPr>
      </w:pPr>
      <w:r>
        <w:rPr>
          <w:rFonts w:ascii="Times New Roman" w:hAnsi="Times New Roman"/>
          <w:noProof/>
          <w:sz w:val="24"/>
        </w:rPr>
        <w:t>По-ефективното и предвидимо нормативно уреждане на принудителното изпълнение по кредити и на несъстоятелността би се отразило положително на управлението на необслужваните кредити. Поради това службите на Комисията правят сравнителен анализ на националните режими за принудително изпълнение по кредити, обхващащ както индивидуалните, така и колективните производства за принудително изпълнение или по несъстоятелност. Целта е да се получи достоверна представа за практиката на банките при просрочия и за събирането на вземания в случай на неизпълнение от кредитополучателите. Резултатите зависят в голяма степен от капацитета на съдебната власт в съответните държави членки. На различни заседания с държавите членки, последните от които се проведоха на 13 февруари и 10 април 2019 г., бе представен и обсъден напредъкът по отношение на сравнителния анализ, включително въпросът за липсата на достъп до полезни данни. През януари 2019 г. службите на Комисията отправиха до Европейския банков орган допитване за събиране и анализ на данни от банките относно процента на възстановените средства и скоростта на събиране на вземанията в различните юрисдикции. Това трябва да бъде подкрепено от качествени данни за основните характеристики на националните режими за принудително изпълнение и несъстоятелност. Службите на Комисията поискаха от държавите членки да им предоставят такива качествени данни.</w:t>
      </w:r>
    </w:p>
    <w:p>
      <w:pPr>
        <w:keepNext/>
        <w:keepLines/>
        <w:numPr>
          <w:ilvl w:val="1"/>
          <w:numId w:val="3"/>
        </w:numPr>
        <w:spacing w:before="300" w:after="160"/>
        <w:ind w:left="993" w:hanging="567"/>
        <w:outlineLvl w:val="1"/>
        <w:rPr>
          <w:rFonts w:ascii="Times New Roman" w:eastAsiaTheme="majorEastAsia" w:hAnsi="Times New Roman"/>
          <w:b/>
          <w:bCs/>
          <w:smallCaps/>
          <w:noProof/>
          <w:sz w:val="26"/>
          <w:szCs w:val="26"/>
        </w:rPr>
      </w:pPr>
      <w:r>
        <w:rPr>
          <w:rFonts w:ascii="Times New Roman" w:eastAsiaTheme="majorEastAsia" w:hAnsi="Times New Roman"/>
          <w:b/>
          <w:smallCaps/>
          <w:noProof/>
          <w:sz w:val="26"/>
        </w:rPr>
        <w:t>Технически подробен план за националните дружества за управление на активи</w:t>
      </w:r>
    </w:p>
    <w:p>
      <w:pPr>
        <w:spacing w:after="240"/>
        <w:jc w:val="both"/>
        <w:rPr>
          <w:rFonts w:ascii="Times New Roman" w:eastAsia="Times New Roman" w:hAnsi="Times New Roman"/>
          <w:noProof/>
          <w:sz w:val="24"/>
          <w:szCs w:val="24"/>
        </w:rPr>
      </w:pPr>
      <w:r>
        <w:rPr>
          <w:rFonts w:ascii="Times New Roman" w:hAnsi="Times New Roman"/>
          <w:noProof/>
          <w:sz w:val="24"/>
        </w:rPr>
        <w:t>Като част от пакета за необслужваните кредити Комисията предостави на държавите членки подробен план за дружествата за управление на активи. Този документ дава необвързващи и практически насоки за това как държавите членки могат, ако желаят, да създадат национални дружества за управление на активи в пълно съответствие със законодателството на ЕС. Доколкото е приложимо, той се основава на установените в държавите членки добри практики. В подробния план са описани подробно някои общи принципи, като периметър на съответните активи, съображения относно прага за размер на активите („asset-size threshold“), правила за оценяване на активите, подходяща структура на капитала, както и принципи за управлението и операциите на дружествата за управление на активи. Очевидно е, че може да се наложи някои от предложенията в подробния план да се приспособят към конкретните за всяка държава обстоятелства.</w:t>
      </w:r>
    </w:p>
    <w:p>
      <w:pPr>
        <w:spacing w:after="240"/>
        <w:jc w:val="both"/>
        <w:rPr>
          <w:rFonts w:ascii="Times New Roman" w:eastAsia="Times New Roman" w:hAnsi="Times New Roman"/>
          <w:noProof/>
          <w:sz w:val="24"/>
          <w:szCs w:val="24"/>
        </w:rPr>
      </w:pPr>
      <w:r>
        <w:rPr>
          <w:rFonts w:ascii="Times New Roman" w:hAnsi="Times New Roman"/>
          <w:noProof/>
          <w:sz w:val="24"/>
        </w:rPr>
        <w:t>Комисията отбелязва, че след публикуването на този подробен план нито една държава членка не е пристъпила към създаването на дружество за управление на активи на национално равнище в съответствие с плана. Независимо от това, неформалните дискусии с някои държави членки показаха, че използването на подобни дружества е обект на внимателен анализ. Във всеки случай трябва да се има предвид, че дружествата за управление на активи могат да имат успех единствено ако бъдат подкрепени от 1) подходяща правна и административна рамка, например за улесняване на принудителното събиране на задълженията и достъпа до обезпечения; както и 2) стабилна макрофинансова политика в подкрепа на икономическото възстановяване. Освен това е важно да се припомни, че подробният план изяснява допустимата структура на дружествата за управление на активи с елемент на държавна помощ (която трябва да се разглежда като изключение</w:t>
      </w:r>
      <w:r>
        <w:rPr>
          <w:rStyle w:val="FootnoteReference"/>
          <w:rFonts w:ascii="Times New Roman" w:hAnsi="Times New Roman"/>
          <w:noProof/>
          <w:sz w:val="24"/>
        </w:rPr>
        <w:footnoteReference w:id="19"/>
      </w:r>
      <w:r>
        <w:rPr>
          <w:rFonts w:ascii="Times New Roman" w:hAnsi="Times New Roman"/>
          <w:noProof/>
          <w:sz w:val="24"/>
        </w:rPr>
        <w:t>), в пълно съответствие с правната рамка на ЕС, по-специално Директивата за възстановяване и преструктуриране на банките, Регламента за единния механизъм за преструктуриране и правилата за държавната помощ.</w:t>
      </w:r>
    </w:p>
    <w:p>
      <w:pPr>
        <w:keepNext/>
        <w:keepLines/>
        <w:numPr>
          <w:ilvl w:val="1"/>
          <w:numId w:val="3"/>
        </w:numPr>
        <w:spacing w:before="300" w:after="160"/>
        <w:ind w:left="993" w:hanging="567"/>
        <w:outlineLvl w:val="1"/>
        <w:rPr>
          <w:rFonts w:ascii="Times New Roman" w:eastAsiaTheme="majorEastAsia" w:hAnsi="Times New Roman"/>
          <w:b/>
          <w:bCs/>
          <w:smallCaps/>
          <w:noProof/>
          <w:sz w:val="26"/>
          <w:szCs w:val="26"/>
        </w:rPr>
      </w:pPr>
      <w:r>
        <w:rPr>
          <w:rFonts w:ascii="Times New Roman" w:eastAsiaTheme="majorEastAsia" w:hAnsi="Times New Roman"/>
          <w:b/>
          <w:smallCaps/>
          <w:noProof/>
          <w:sz w:val="26"/>
        </w:rPr>
        <w:t>Европейски платформи за сделки с необслужвани кредити</w:t>
      </w:r>
    </w:p>
    <w:p>
      <w:pPr>
        <w:spacing w:after="240"/>
        <w:jc w:val="both"/>
        <w:rPr>
          <w:rFonts w:ascii="Times New Roman" w:eastAsia="Times New Roman" w:hAnsi="Times New Roman"/>
          <w:noProof/>
          <w:sz w:val="24"/>
          <w:szCs w:val="24"/>
        </w:rPr>
      </w:pPr>
      <w:r>
        <w:rPr>
          <w:rFonts w:ascii="Times New Roman" w:hAnsi="Times New Roman"/>
          <w:noProof/>
          <w:sz w:val="24"/>
        </w:rPr>
        <w:t>В плана за действие Съветът призова Европейската централна банка (ЕЦБ), Европейския банков орган (ЕБО) и Комисията да проучат възможността за създаване на платформи за сделки с необслужвани кредити, за да се стимулира развитието на вторичните пазари. В края на ноември 2018 г. беше публикуван работен документ на службите на Комисията относно потенциалното създаване на такива платформи, изготвен съвместно със служители на ЕЦБ и ЕБО. В него се очертава как такова предприятие може да работи на практика.</w:t>
      </w:r>
    </w:p>
    <w:p>
      <w:pPr>
        <w:spacing w:after="240"/>
        <w:jc w:val="both"/>
        <w:rPr>
          <w:rFonts w:ascii="Times New Roman" w:eastAsia="Times New Roman" w:hAnsi="Times New Roman"/>
          <w:noProof/>
          <w:sz w:val="24"/>
          <w:szCs w:val="24"/>
        </w:rPr>
      </w:pPr>
      <w:r>
        <w:rPr>
          <w:rFonts w:ascii="Times New Roman" w:hAnsi="Times New Roman"/>
          <w:noProof/>
          <w:sz w:val="24"/>
        </w:rPr>
        <w:t>Платформите за сделки с необслужвани кредити, обхващащи целия Съюз, ще бъдат електронни пазари, на които притежателите на необслужвани кредити — банки и небанкови кредитори — и заинтересовани инвеститори ще могат да обменят информация за портфейли от необслужвани кредити и да сключват сделки с тях</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Подобни платформи биха могли да се справят с няколко текущи източника на неефективност на вторичния пазар на необслужвани кредити, включително с асиметрията на информацията между продавачите и купувачите, както и с високите трансакционни разходи. В резултат на това те биха могли да улеснят достъпа на инвеститорите до пазарите на необслужвани кредити и да помогнат на банките да увеличат продажбите на необслужвани кредити и по този начин да им позволят да се освободят от необслужваните кредити и да изчистят балансите си по</w:t>
      </w:r>
      <w:r>
        <w:rPr>
          <w:noProof/>
        </w:rPr>
        <w:noBreakHyphen/>
      </w:r>
      <w:r>
        <w:rPr>
          <w:rFonts w:ascii="Times New Roman" w:hAnsi="Times New Roman"/>
          <w:noProof/>
          <w:sz w:val="24"/>
        </w:rPr>
        <w:t>бързо и при по</w:t>
      </w:r>
      <w:r>
        <w:rPr>
          <w:noProof/>
        </w:rPr>
        <w:noBreakHyphen/>
      </w:r>
      <w:r>
        <w:rPr>
          <w:rFonts w:ascii="Times New Roman" w:hAnsi="Times New Roman"/>
          <w:noProof/>
          <w:sz w:val="24"/>
        </w:rPr>
        <w:t>високи от възможните понастоящем продажни цени. Такива платформи биха могли да помогнат за справянето със съществуващите равнища на необслужваните кредити и да осигурят канал за ефективната продажба на бъдещи необслужвани кредити при възникването им. В този смисъл те биха представлявали важна, макар и малка по размер инфраструктурна инвестиция, която да предотврати ново натрупване на големи равнища на необслужвани кредити</w:t>
      </w:r>
      <w:r>
        <w:rPr>
          <w:noProof/>
        </w:rPr>
        <w:t xml:space="preserve"> </w:t>
      </w:r>
      <w:r>
        <w:rPr>
          <w:rFonts w:ascii="Times New Roman" w:hAnsi="Times New Roman"/>
          <w:noProof/>
          <w:sz w:val="24"/>
        </w:rPr>
        <w:t>в балансите на кредитните институции в бъдеще.</w:t>
      </w:r>
    </w:p>
    <w:p>
      <w:pPr>
        <w:spacing w:after="240"/>
        <w:jc w:val="both"/>
        <w:rPr>
          <w:rFonts w:ascii="Times New Roman" w:eastAsia="Times New Roman" w:hAnsi="Times New Roman"/>
          <w:noProof/>
          <w:sz w:val="24"/>
          <w:szCs w:val="24"/>
        </w:rPr>
      </w:pPr>
      <w:r>
        <w:rPr>
          <w:rFonts w:ascii="Times New Roman" w:hAnsi="Times New Roman"/>
          <w:noProof/>
          <w:sz w:val="24"/>
        </w:rPr>
        <w:t>В изпълнение на своя работен документ Комисията проведе на 15 януари кръгла маса със заинтересовани страни от сектора, ЕБО и ЕЦБ, с оглед създаването на платформи за сделки с необслужвани кредити, обхващащи целия Съюз. Тази среща позволи полезен обмен на информация и мнения със и между заинтересованите страни. За да се постигне напредък към изграждането на такива платформи, заинтересованите страни от частния сектор трябва да се споразумеят по конкретните аспекти на разработване и публикуване на секторни стандарти за европейските платформи за сделките с необслужвани кредити. Предвид посочената цел Комисията, заедно с ЕЦБ и ЕБО, продължава да играе ключова роля за улесняване на конкретния напредък към появата на платформи за сделки с необслужвани кредити, обхващащи целия Съюз. Като следваща стъпка Комисията ще организира втора кръгла маса със заинтересованите страни.</w:t>
      </w:r>
    </w:p>
    <w:p>
      <w:pPr>
        <w:pStyle w:val="Heading1"/>
        <w:spacing w:before="360" w:after="240"/>
        <w:ind w:left="714" w:hanging="357"/>
        <w:rPr>
          <w:rFonts w:ascii="Times New Roman" w:hAnsi="Times New Roman"/>
          <w:noProof/>
        </w:rPr>
      </w:pPr>
      <w:r>
        <w:rPr>
          <w:rFonts w:ascii="Times New Roman" w:hAnsi="Times New Roman"/>
          <w:noProof/>
        </w:rPr>
        <w:t>Заключения</w:t>
      </w:r>
    </w:p>
    <w:p>
      <w:pPr>
        <w:spacing w:after="240"/>
        <w:jc w:val="both"/>
        <w:rPr>
          <w:rFonts w:ascii="Times New Roman" w:eastAsia="Times New Roman" w:hAnsi="Times New Roman"/>
          <w:noProof/>
          <w:sz w:val="24"/>
          <w:szCs w:val="24"/>
        </w:rPr>
      </w:pPr>
      <w:r>
        <w:rPr>
          <w:rFonts w:ascii="Times New Roman" w:hAnsi="Times New Roman"/>
          <w:noProof/>
          <w:sz w:val="24"/>
        </w:rPr>
        <w:t xml:space="preserve">Както ясно бе посочено в настоящия доклад относно напредъка, намаляването на риска в банковия сектор на ЕС продължи с добрите темпове от последните години. Благодарение на икономическия растеж и подходящите политически действия в целия Съюз продължават да се предприемат все по-адекватни и равномерни мерки по отношение на редуцирането на рисковете. Настоящият доклад относно напредъка представлява важен документ за Европейския съвет през юни. </w:t>
      </w:r>
    </w:p>
    <w:p>
      <w:pPr>
        <w:spacing w:after="240"/>
        <w:jc w:val="both"/>
        <w:rPr>
          <w:rFonts w:ascii="Times New Roman" w:eastAsia="Times New Roman" w:hAnsi="Times New Roman"/>
          <w:noProof/>
          <w:sz w:val="24"/>
          <w:szCs w:val="24"/>
        </w:rPr>
      </w:pPr>
      <w:r>
        <w:rPr>
          <w:rFonts w:ascii="Times New Roman" w:hAnsi="Times New Roman"/>
          <w:noProof/>
          <w:sz w:val="24"/>
        </w:rPr>
        <w:t>Необслужваните кредити в Съюза продължават да намаляват, както става ясно от настоящия доклад. Устойчивостта на този процес би трябвало да насърчи Съюза и неговите държави членки да продължат колективните усилия, за да се справят убедително с останалите необслужвани кредити и да предотвратят тяхното бъдещо натрупване. Особено в някои държави членки отношенията на необслужваните кредити все още будят загриженост и заслужават непрекъснато внимание.</w:t>
      </w:r>
    </w:p>
    <w:p>
      <w:pPr>
        <w:spacing w:after="240"/>
        <w:jc w:val="both"/>
        <w:rPr>
          <w:rFonts w:ascii="Times New Roman" w:eastAsia="Times New Roman" w:hAnsi="Times New Roman"/>
          <w:noProof/>
          <w:sz w:val="24"/>
          <w:szCs w:val="24"/>
        </w:rPr>
      </w:pPr>
      <w:r>
        <w:rPr>
          <w:rFonts w:ascii="Times New Roman" w:hAnsi="Times New Roman"/>
          <w:noProof/>
          <w:sz w:val="24"/>
        </w:rPr>
        <w:t>Всички елементи на договорения от Съвета през юли 2017 г. план за действие са изпълнени или в момента се изпълняват. Комисията призовава всички заинтересовани страни, както на национално, така и на европейско равнище, да приключат текущите дейности без отлагане.</w:t>
      </w:r>
    </w:p>
    <w:p>
      <w:pPr>
        <w:spacing w:after="240"/>
        <w:jc w:val="both"/>
        <w:rPr>
          <w:rFonts w:ascii="Times New Roman" w:eastAsia="Times New Roman" w:hAnsi="Times New Roman"/>
          <w:noProof/>
          <w:sz w:val="24"/>
          <w:szCs w:val="24"/>
        </w:rPr>
      </w:pPr>
      <w:r>
        <w:rPr>
          <w:rFonts w:ascii="Times New Roman" w:hAnsi="Times New Roman"/>
          <w:noProof/>
          <w:sz w:val="24"/>
        </w:rPr>
        <w:t>По-специално, Комисията призовава Европейския парламент и Съвета бързо да постигнат споразумение по всички елементи от всеобхватния пакет от законодателни мерки за справяне с необслужваните кредити, предложен през март 2018 г. В допълнение към подчертания напредък по намаляването на необслужваните кредити е наложително този пакет, изготвен в сътрудничество с ЕБО, ЕЦБ и Европейския съвет за системен риск, да окаже подкрепа на колективните усилия за намаляване на останалите рискове в европейския банков сектор, като по</w:t>
      </w:r>
      <w:r>
        <w:rPr>
          <w:noProof/>
        </w:rPr>
        <w:noBreakHyphen/>
      </w:r>
      <w:r>
        <w:rPr>
          <w:rFonts w:ascii="Times New Roman" w:hAnsi="Times New Roman"/>
          <w:noProof/>
          <w:sz w:val="24"/>
        </w:rPr>
        <w:t>специално подпомогне завършването на банковия съюз.</w:t>
      </w:r>
    </w:p>
    <w:sectPr>
      <w:headerReference w:type="even" r:id="rId20"/>
      <w:headerReference w:type="default" r:id="rId21"/>
      <w:footerReference w:type="even" r:id="rId22"/>
      <w:footerReference w:type="default" r:id="rId23"/>
      <w:headerReference w:type="first" r:id="rId24"/>
      <w:footerReference w:type="first" r:id="rId25"/>
      <w:pgSz w:w="11906" w:h="16838"/>
      <w:pgMar w:top="1588" w:right="1416" w:bottom="1588" w:left="1588" w:header="709" w:footer="70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37873" w16cid:durableId="1F8F2AE6"/>
  <w16cid:commentId w16cid:paraId="7600927D" w16cid:durableId="1F8F2AE7"/>
  <w16cid:commentId w16cid:paraId="0F00C6E4" w16cid:durableId="1F8F2AE8"/>
  <w16cid:commentId w16cid:paraId="2BDAC783" w16cid:durableId="1F8F2A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59098"/>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40"/>
      </w:pPr>
      <w:r>
        <w:separator/>
      </w:r>
    </w:p>
  </w:footnote>
  <w:footnote w:type="continuationSeparator" w:id="0">
    <w:p>
      <w:r>
        <w:continuationSeparator/>
      </w:r>
    </w:p>
  </w:footnote>
  <w:footnote w:type="continuationNotice" w:id="1">
    <w:p/>
  </w:footnote>
  <w:footnote w:id="2">
    <w:p>
      <w:pPr>
        <w:pStyle w:val="FootnoteText"/>
        <w:spacing w:before="40"/>
        <w:ind w:left="284" w:hanging="284"/>
        <w:jc w:val="both"/>
        <w:rPr>
          <w:szCs w:val="19"/>
          <w:lang w:val="pt-PT"/>
        </w:rPr>
      </w:pPr>
      <w:r>
        <w:rPr>
          <w:rStyle w:val="FootnoteReference"/>
        </w:rPr>
        <w:footnoteRef/>
      </w:r>
      <w:r>
        <w:t xml:space="preserve"> </w:t>
      </w:r>
      <w:r>
        <w:tab/>
      </w:r>
      <w:hyperlink r:id="rId1">
        <w:r>
          <w:rPr>
            <w:rStyle w:val="Hyperlink"/>
          </w:rPr>
          <w:t>https://www.consilium.europa.eu/bg/press/press-releases/2017/07/11/conclusions-non-performing-loans/</w:t>
        </w:r>
      </w:hyperlink>
      <w:r>
        <w:t>.</w:t>
      </w:r>
    </w:p>
  </w:footnote>
  <w:footnote w:id="3">
    <w:p>
      <w:pPr>
        <w:pStyle w:val="FootnoteText"/>
        <w:spacing w:before="40"/>
        <w:ind w:left="284" w:hanging="284"/>
        <w:jc w:val="both"/>
        <w:rPr>
          <w:sz w:val="20"/>
        </w:rPr>
      </w:pPr>
      <w:r>
        <w:rPr>
          <w:rStyle w:val="FootnoteReference"/>
          <w:sz w:val="20"/>
        </w:rPr>
        <w:footnoteRef/>
      </w:r>
      <w:r>
        <w:rPr>
          <w:sz w:val="20"/>
        </w:rPr>
        <w:t xml:space="preserve"> </w:t>
      </w:r>
      <w:r>
        <w:tab/>
      </w:r>
      <w:r>
        <w:rPr>
          <w:sz w:val="20"/>
        </w:rPr>
        <w:t xml:space="preserve">Вж. също: „Мониторингов доклад за показателите за намаляване на риска“: </w:t>
      </w:r>
      <w:hyperlink r:id="rId2">
        <w:r>
          <w:rPr>
            <w:rStyle w:val="Hyperlink"/>
            <w:sz w:val="20"/>
          </w:rPr>
          <w:t>https://www.consilium.europa.eu/media/37029/joint-risk-reduction-monitoring-report-to-eg_november-2018.pdf</w:t>
        </w:r>
      </w:hyperlink>
      <w:r>
        <w:rPr>
          <w:sz w:val="20"/>
        </w:rPr>
        <w:t xml:space="preserve">. </w:t>
      </w:r>
    </w:p>
  </w:footnote>
  <w:footnote w:id="4">
    <w:p>
      <w:pPr>
        <w:pStyle w:val="FootnoteText"/>
        <w:spacing w:before="40"/>
        <w:ind w:left="284" w:hanging="284"/>
        <w:jc w:val="both"/>
        <w:rPr>
          <w:szCs w:val="19"/>
        </w:rPr>
      </w:pPr>
      <w:r>
        <w:rPr>
          <w:rStyle w:val="FootnoteReference"/>
        </w:rPr>
        <w:footnoteRef/>
      </w:r>
      <w:r>
        <w:t xml:space="preserve"> </w:t>
      </w:r>
      <w:r>
        <w:tab/>
        <w:t>Коефициентът на капитала от първи ред е отношението между основния капитал на банката от първи ред — т.е. нейния собствен капитал и оповестени резерви — към общите рисково претеглени активи.</w:t>
      </w:r>
    </w:p>
  </w:footnote>
  <w:footnote w:id="5">
    <w:p>
      <w:pPr>
        <w:pStyle w:val="FootnoteText"/>
        <w:ind w:left="284" w:hanging="284"/>
        <w:jc w:val="both"/>
      </w:pPr>
      <w:r>
        <w:rPr>
          <w:rStyle w:val="FootnoteReference"/>
        </w:rPr>
        <w:footnoteRef/>
      </w:r>
      <w:r>
        <w:tab/>
        <w:t>Източник на данните в този раздел са статистическите данни на ЕЦБ в областта на банковия надзор.</w:t>
      </w:r>
    </w:p>
  </w:footnote>
  <w:footnote w:id="6">
    <w:p>
      <w:pPr>
        <w:pStyle w:val="FootnoteText"/>
        <w:spacing w:before="40"/>
        <w:ind w:left="284" w:hanging="284"/>
        <w:jc w:val="both"/>
        <w:rPr>
          <w:szCs w:val="19"/>
        </w:rPr>
      </w:pPr>
      <w:r>
        <w:rPr>
          <w:rStyle w:val="FootnoteReference"/>
        </w:rPr>
        <w:footnoteRef/>
      </w:r>
      <w:r>
        <w:t xml:space="preserve"> </w:t>
      </w:r>
      <w:r>
        <w:tab/>
        <w:t>Т.е. максималното равнище на коефициента на ливъридж (капиталът от първи ред, разделен на общите активи на банката), което се изчислява по по-строг метод и се представя преди 2019 г., когато приключва преходната фаза. Смекчаващият ефект на оставащия преходен период на изпълнение не се взема предвид.</w:t>
      </w:r>
    </w:p>
  </w:footnote>
  <w:footnote w:id="7">
    <w:p>
      <w:pPr>
        <w:pStyle w:val="FootnoteText"/>
        <w:spacing w:before="40"/>
        <w:ind w:left="284" w:hanging="284"/>
        <w:jc w:val="both"/>
        <w:rPr>
          <w:szCs w:val="19"/>
        </w:rPr>
      </w:pPr>
      <w:r>
        <w:rPr>
          <w:rStyle w:val="FootnoteReference"/>
        </w:rPr>
        <w:footnoteRef/>
      </w:r>
      <w:r>
        <w:t xml:space="preserve"> </w:t>
      </w:r>
      <w:r>
        <w:tab/>
        <w:t>COM(2017) 592, 11 октомври 2017 г.</w:t>
      </w:r>
    </w:p>
  </w:footnote>
  <w:footnote w:id="8">
    <w:p>
      <w:pPr>
        <w:pStyle w:val="FootnoteText"/>
        <w:spacing w:before="40"/>
        <w:ind w:left="284" w:hanging="284"/>
        <w:jc w:val="both"/>
        <w:rPr>
          <w:szCs w:val="19"/>
        </w:rPr>
      </w:pPr>
      <w:r>
        <w:rPr>
          <w:rStyle w:val="FootnoteReference"/>
        </w:rPr>
        <w:footnoteRef/>
      </w:r>
      <w:r>
        <w:t xml:space="preserve"> </w:t>
      </w:r>
      <w:r>
        <w:tab/>
        <w:t>COM(2018) 133, 14 март 2018 г.</w:t>
      </w:r>
    </w:p>
  </w:footnote>
  <w:footnote w:id="9">
    <w:p>
      <w:pPr>
        <w:pStyle w:val="FootnoteText"/>
        <w:spacing w:before="40"/>
        <w:ind w:left="284" w:hanging="284"/>
        <w:jc w:val="both"/>
        <w:rPr>
          <w:szCs w:val="19"/>
        </w:rPr>
      </w:pPr>
      <w:r>
        <w:rPr>
          <w:rStyle w:val="FootnoteReference"/>
        </w:rPr>
        <w:footnoteRef/>
      </w:r>
      <w:r>
        <w:t xml:space="preserve"> </w:t>
      </w:r>
      <w:r>
        <w:tab/>
        <w:t>С цел по</w:t>
      </w:r>
      <w:r>
        <w:noBreakHyphen/>
        <w:t xml:space="preserve">нататъшно намаляване на рисковете в банковия сектор, през ноември 2016 г. Комисията предложи важен законодателен пакет за преразглеждане на Директивата за възстановяване и преструктуриране на банките (ДВПБ), Регламента за единния механизъм за преструктуриране (РЕМП), Директивата за капиталовите изисквания IV (ДКИ IV) и Регламента за капиталовите изисквания (РКИ). Вж. </w:t>
      </w:r>
      <w:hyperlink r:id="rId3">
        <w:r>
          <w:rPr>
            <w:rStyle w:val="Hyperlink"/>
          </w:rPr>
          <w:t>http://europa.eu/rapid/press-release_IP-16-3731_en.htm</w:t>
        </w:r>
      </w:hyperlink>
      <w:r>
        <w:t>.</w:t>
      </w:r>
    </w:p>
  </w:footnote>
  <w:footnote w:id="10">
    <w:p>
      <w:pPr>
        <w:pStyle w:val="FootnoteText"/>
        <w:spacing w:before="40"/>
        <w:ind w:left="284" w:hanging="284"/>
        <w:jc w:val="both"/>
        <w:rPr>
          <w:szCs w:val="19"/>
        </w:rPr>
      </w:pPr>
      <w:r>
        <w:rPr>
          <w:rStyle w:val="FootnoteReference"/>
        </w:rPr>
        <w:footnoteRef/>
      </w:r>
      <w:r>
        <w:t xml:space="preserve"> </w:t>
      </w:r>
      <w:r>
        <w:tab/>
        <w:t>COM/2016/0723 — 2016/0359 (COD).</w:t>
      </w:r>
    </w:p>
  </w:footnote>
  <w:footnote w:id="11">
    <w:p>
      <w:pPr>
        <w:pStyle w:val="FootnoteText"/>
        <w:spacing w:before="40"/>
        <w:ind w:left="284" w:hanging="284"/>
        <w:jc w:val="both"/>
        <w:rPr>
          <w:szCs w:val="19"/>
        </w:rPr>
      </w:pPr>
      <w:r>
        <w:rPr>
          <w:rStyle w:val="FootnoteReference"/>
        </w:rPr>
        <w:footnoteRef/>
      </w:r>
      <w:r>
        <w:t xml:space="preserve"> </w:t>
      </w:r>
      <w:r>
        <w:tab/>
        <w:t xml:space="preserve">Този коефициент показва </w:t>
      </w:r>
      <w:r>
        <w:rPr>
          <w:rStyle w:val="ilfuvd"/>
        </w:rPr>
        <w:t xml:space="preserve">размера на средствата, заделени от банката за покриване на свързаните с кредити загуби. </w:t>
      </w:r>
      <w:r>
        <w:t>Източник: Европейска централна банка. Поради липсата на данни за обезпечаване на кредитите с провизии коефициентът на покритие със заделени резерви за ЕС беше изчислен, като бяха взети предвид обезценките и необслужваните кредити за всички дългови инструменти (заеми и дългови ценни книжа).</w:t>
      </w:r>
    </w:p>
  </w:footnote>
  <w:footnote w:id="12">
    <w:p>
      <w:pPr>
        <w:pStyle w:val="FootnoteText"/>
        <w:ind w:left="284" w:hanging="284"/>
        <w:jc w:val="both"/>
      </w:pPr>
      <w:r>
        <w:rPr>
          <w:rStyle w:val="FootnoteReference"/>
        </w:rPr>
        <w:footnoteRef/>
      </w:r>
      <w:r>
        <w:t xml:space="preserve"> </w:t>
      </w:r>
      <w:r>
        <w:tab/>
        <w:t>Междувременно се очаква отношението на необслужваните кредити в Португалия да е спаднало под 10 % до края на четвъртото тримесечие на 2018 г. Понастоящем обаче ЕЦБ е все още в процес на валидиране на тези данни за края на тримесечието за всички държави членки.</w:t>
      </w:r>
    </w:p>
  </w:footnote>
  <w:footnote w:id="13">
    <w:p>
      <w:pPr>
        <w:pStyle w:val="FootnoteText"/>
        <w:spacing w:before="40"/>
        <w:ind w:left="227" w:hanging="284"/>
        <w:jc w:val="both"/>
        <w:rPr>
          <w:rFonts w:cs="Arial"/>
          <w:szCs w:val="19"/>
        </w:rPr>
      </w:pPr>
      <w:r>
        <w:rPr>
          <w:rStyle w:val="FootnoteReference"/>
        </w:rPr>
        <w:footnoteRef/>
      </w:r>
      <w:r>
        <w:t xml:space="preserve"> </w:t>
      </w:r>
      <w:r>
        <w:tab/>
        <w:t xml:space="preserve"> </w:t>
      </w:r>
      <w:r>
        <w:rPr>
          <w:i/>
        </w:rPr>
        <w:t xml:space="preserve">Бележки: </w:t>
      </w:r>
      <w:r>
        <w:t xml:space="preserve">Данните се отнасят за местните кредитни институции и дъщерните дружества или клоновете под чуждестранен контрол. </w:t>
      </w:r>
    </w:p>
    <w:p>
      <w:pPr>
        <w:pStyle w:val="FootnoteText"/>
        <w:spacing w:before="40"/>
        <w:ind w:left="227" w:firstLine="0"/>
        <w:jc w:val="both"/>
        <w:rPr>
          <w:rFonts w:cs="Arial"/>
          <w:szCs w:val="19"/>
          <w:highlight w:val="yellow"/>
        </w:rPr>
      </w:pPr>
      <w:r>
        <w:t xml:space="preserve">* </w:t>
      </w:r>
      <w:r>
        <w:tab/>
        <w:t>Не са на разположение специфични за сектора данни за ЕС, за Малта (например за третото тримесечие на 2018 г.) и за Испания (например за третото тримесечие на 2017 г.). Специфични за сектора данни (т.е. обща експозиция към домакинства и нефинансови предприятия) за България, Германия и Унгария са на разположение единствено като балансова стойност.</w:t>
      </w:r>
    </w:p>
    <w:p>
      <w:pPr>
        <w:pStyle w:val="FootnoteText"/>
        <w:spacing w:before="40"/>
        <w:ind w:left="227" w:firstLine="0"/>
        <w:jc w:val="both"/>
        <w:rPr>
          <w:rFonts w:cs="Arial"/>
          <w:szCs w:val="19"/>
        </w:rPr>
      </w:pPr>
      <w:r>
        <w:t>** За България, Германия, Испания (с изключение на третото тримесечие на 2018 г.), Унгария и ЕС няма налични данни за обезпечаването на кредити с провизии. В тези случаи изчисленията са въз основа на обезценките за всички дългови инструменти (заеми и дългови ценни книжа).</w:t>
      </w:r>
    </w:p>
  </w:footnote>
  <w:footnote w:id="14">
    <w:p>
      <w:pPr>
        <w:pStyle w:val="FootnoteText"/>
        <w:spacing w:before="40"/>
        <w:ind w:left="284" w:hanging="284"/>
        <w:jc w:val="both"/>
        <w:rPr>
          <w:szCs w:val="19"/>
        </w:rPr>
      </w:pPr>
      <w:r>
        <w:rPr>
          <w:rStyle w:val="FootnoteReference"/>
        </w:rPr>
        <w:footnoteRef/>
      </w:r>
      <w:r>
        <w:t xml:space="preserve"> </w:t>
      </w:r>
      <w:r>
        <w:tab/>
        <w:t>Източник: Европейска централна банка</w:t>
      </w:r>
    </w:p>
  </w:footnote>
  <w:footnote w:id="15">
    <w:p>
      <w:pPr>
        <w:pStyle w:val="FootnoteText"/>
        <w:spacing w:before="40"/>
        <w:ind w:left="284" w:hanging="284"/>
        <w:jc w:val="both"/>
        <w:rPr>
          <w:szCs w:val="19"/>
        </w:rPr>
      </w:pPr>
      <w:r>
        <w:rPr>
          <w:rStyle w:val="FootnoteReference"/>
        </w:rPr>
        <w:footnoteRef/>
      </w:r>
      <w:r>
        <w:t xml:space="preserve"> </w:t>
      </w:r>
      <w:r>
        <w:tab/>
        <w:t>Регламент (ЕС) № 575/2013 на Европейския парламент и на Съвета от 26 юни 2013 година относно пруденциалните изисквания за кредитните институции и инвестиционните посредници и за изменение на Регламент (ЕС) № 648/2012.</w:t>
      </w:r>
    </w:p>
  </w:footnote>
  <w:footnote w:id="16">
    <w:p>
      <w:pPr>
        <w:pStyle w:val="FootnoteText"/>
        <w:ind w:left="284" w:hanging="284"/>
        <w:jc w:val="both"/>
      </w:pPr>
      <w:r>
        <w:rPr>
          <w:rStyle w:val="FootnoteReference"/>
        </w:rPr>
        <w:footnoteRef/>
      </w:r>
      <w:r>
        <w:t xml:space="preserve"> </w:t>
      </w:r>
      <w:r>
        <w:tab/>
        <w:t>Регламент (ЕС) 2019/630 на Европейския парламент и на Съвета от 17 април 2019 г. за изменение на Регламент (ЕС) № 575/2013 по отношение на минималното покритие за загуби за необслужвани експозиции.</w:t>
      </w:r>
    </w:p>
  </w:footnote>
  <w:footnote w:id="17">
    <w:p>
      <w:pPr>
        <w:pStyle w:val="FootnoteText"/>
        <w:ind w:left="284" w:hanging="284"/>
        <w:jc w:val="both"/>
      </w:pPr>
      <w:r>
        <w:rPr>
          <w:rStyle w:val="FootnoteReference"/>
        </w:rPr>
        <w:footnoteRef/>
      </w:r>
      <w:r>
        <w:t xml:space="preserve"> </w:t>
      </w:r>
      <w:r>
        <w:tab/>
        <w:t>COM/2018/0135 final — 2018/063 (COD).</w:t>
      </w:r>
    </w:p>
  </w:footnote>
  <w:footnote w:id="18">
    <w:p>
      <w:pPr>
        <w:pStyle w:val="FootnoteText"/>
        <w:ind w:left="284" w:hanging="284"/>
        <w:jc w:val="both"/>
      </w:pPr>
      <w:r>
        <w:rPr>
          <w:rStyle w:val="FootnoteReference"/>
        </w:rPr>
        <w:footnoteRef/>
      </w:r>
      <w:r>
        <w:t xml:space="preserve"> </w:t>
      </w:r>
      <w:r>
        <w:tab/>
        <w:t>Освен по отношение на банките, аспектите на предложението, приложими към купувачите на кредити и лицата, обслужващи кредити, също ще се допълват взаимно.</w:t>
      </w:r>
    </w:p>
  </w:footnote>
  <w:footnote w:id="19">
    <w:p>
      <w:pPr>
        <w:pStyle w:val="FootnoteText"/>
        <w:spacing w:before="40"/>
        <w:ind w:left="284" w:hanging="284"/>
        <w:jc w:val="both"/>
      </w:pPr>
      <w:r>
        <w:rPr>
          <w:rStyle w:val="FootnoteReference"/>
        </w:rPr>
        <w:footnoteRef/>
      </w:r>
      <w:r>
        <w:t xml:space="preserve"> </w:t>
      </w:r>
      <w:r>
        <w:tab/>
        <w:t>Дружествата за управление на активи могат да бъдат частни или да се подкрепят (частично) с публични средства, без да е необходима държавна помощ, ако се допусне, че държавата действа като всеки друг стопански субект. Следователно вариантът, при който дружеството за управление на активи ползва държавна помощ, не трябва да се смята за стандартно решение. Във връзка с това в подробния план са описани някои алтернативни мерки за подпомагане във връзка с обезценените активи, които не съставляват държавна помощ, като например съвместими с пазара държавни гаранции, позволяващи секюритизацията на необслужвани кредити.</w:t>
      </w:r>
    </w:p>
  </w:footnote>
  <w:footnote w:id="20">
    <w:p>
      <w:pPr>
        <w:pStyle w:val="FootnoteText"/>
        <w:ind w:left="284" w:hanging="284"/>
        <w:jc w:val="both"/>
      </w:pPr>
      <w:r>
        <w:rPr>
          <w:rStyle w:val="FootnoteReference"/>
        </w:rPr>
        <w:footnoteRef/>
      </w:r>
      <w:r>
        <w:t xml:space="preserve"> </w:t>
      </w:r>
      <w:r>
        <w:tab/>
        <w:t>Доколкото платформите обработват лични данни, те ще трябва да спазват напълно Общия регламент относно защитата на данните (ОРЗД). По</w:t>
      </w:r>
      <w:r>
        <w:noBreakHyphen/>
        <w:t>специално, структурата и функционирането на платформите ще трябва да бъдат уточнени в подробности, за да се гарантира пълно съответствие с ОРЗД.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267B"/>
    <w:multiLevelType w:val="hybridMultilevel"/>
    <w:tmpl w:val="066CD0B2"/>
    <w:lvl w:ilvl="0" w:tplc="0809000F">
      <w:start w:val="1"/>
      <w:numFmt w:val="decimal"/>
      <w:lvlText w:val="%1."/>
      <w:lvlJc w:val="left"/>
      <w:pPr>
        <w:ind w:left="744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85CD0"/>
    <w:multiLevelType w:val="hybridMultilevel"/>
    <w:tmpl w:val="4C48C3DC"/>
    <w:lvl w:ilvl="0" w:tplc="D80016DC">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
    <w:nsid w:val="1A101BF9"/>
    <w:multiLevelType w:val="hybridMultilevel"/>
    <w:tmpl w:val="7430C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D94B73"/>
    <w:multiLevelType w:val="hybridMultilevel"/>
    <w:tmpl w:val="7EA4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B0C25"/>
    <w:multiLevelType w:val="hybridMultilevel"/>
    <w:tmpl w:val="4764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5056C8"/>
    <w:multiLevelType w:val="multilevel"/>
    <w:tmpl w:val="175430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994394"/>
    <w:multiLevelType w:val="hybridMultilevel"/>
    <w:tmpl w:val="8E8E6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56F32FA"/>
    <w:multiLevelType w:val="hybridMultilevel"/>
    <w:tmpl w:val="BC2A4F7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8">
    <w:nsid w:val="38DA32FE"/>
    <w:multiLevelType w:val="hybridMultilevel"/>
    <w:tmpl w:val="052CD4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E45CAB"/>
    <w:multiLevelType w:val="hybridMultilevel"/>
    <w:tmpl w:val="AC2A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363A4C"/>
    <w:multiLevelType w:val="hybridMultilevel"/>
    <w:tmpl w:val="1890CB2A"/>
    <w:lvl w:ilvl="0" w:tplc="08090001">
      <w:start w:val="1"/>
      <w:numFmt w:val="bullet"/>
      <w:lvlText w:val=""/>
      <w:lvlJc w:val="left"/>
      <w:pPr>
        <w:ind w:left="1287" w:hanging="360"/>
      </w:pPr>
      <w:rPr>
        <w:rFonts w:ascii="Symbol" w:hAnsi="Symbol" w:hint="default"/>
      </w:rPr>
    </w:lvl>
    <w:lvl w:ilvl="1" w:tplc="9FCCEAE8">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51F84CD0"/>
    <w:multiLevelType w:val="hybridMultilevel"/>
    <w:tmpl w:val="5C9E9754"/>
    <w:lvl w:ilvl="0" w:tplc="08090001">
      <w:start w:val="1"/>
      <w:numFmt w:val="bullet"/>
      <w:lvlText w:val=""/>
      <w:lvlJc w:val="left"/>
      <w:pPr>
        <w:ind w:left="720" w:hanging="360"/>
      </w:pPr>
      <w:rPr>
        <w:rFonts w:ascii="Symbol" w:hAnsi="Symbol" w:hint="default"/>
      </w:rPr>
    </w:lvl>
    <w:lvl w:ilvl="1" w:tplc="133A08F2">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37374A"/>
    <w:multiLevelType w:val="hybridMultilevel"/>
    <w:tmpl w:val="A6BE6E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FD873B3"/>
    <w:multiLevelType w:val="hybridMultilevel"/>
    <w:tmpl w:val="BDDAC3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7BB0542E"/>
    <w:multiLevelType w:val="hybridMultilevel"/>
    <w:tmpl w:val="5B043F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F622887"/>
    <w:multiLevelType w:val="multilevel"/>
    <w:tmpl w:val="5FF6BB10"/>
    <w:lvl w:ilvl="0">
      <w:start w:val="1"/>
      <w:numFmt w:val="decimal"/>
      <w:pStyle w:val="Heading1"/>
      <w:lvlText w:val="%1."/>
      <w:lvlJc w:val="left"/>
      <w:pPr>
        <w:ind w:left="502" w:hanging="360"/>
      </w:pPr>
    </w:lvl>
    <w:lvl w:ilvl="1">
      <w:start w:val="1"/>
      <w:numFmt w:val="decimal"/>
      <w:pStyle w:val="Heading2"/>
      <w:isLgl/>
      <w:lvlText w:val="%1.%2."/>
      <w:lvlJc w:val="left"/>
      <w:pPr>
        <w:ind w:left="862" w:hanging="720"/>
      </w:pPr>
      <w:rPr>
        <w:rFonts w:eastAsia="Times New Roman" w:hint="default"/>
      </w:rPr>
    </w:lvl>
    <w:lvl w:ilvl="2">
      <w:start w:val="1"/>
      <w:numFmt w:val="decimal"/>
      <w:isLgl/>
      <w:lvlText w:val="%1.%2.%3."/>
      <w:lvlJc w:val="left"/>
      <w:pPr>
        <w:ind w:left="862" w:hanging="720"/>
      </w:pPr>
      <w:rPr>
        <w:rFonts w:eastAsia="Times New Roman" w:hint="default"/>
      </w:rPr>
    </w:lvl>
    <w:lvl w:ilvl="3">
      <w:start w:val="1"/>
      <w:numFmt w:val="decimal"/>
      <w:isLgl/>
      <w:lvlText w:val="%1.%2.%3.%4."/>
      <w:lvlJc w:val="left"/>
      <w:pPr>
        <w:ind w:left="1222" w:hanging="1080"/>
      </w:pPr>
      <w:rPr>
        <w:rFonts w:eastAsia="Times New Roman" w:hint="default"/>
      </w:rPr>
    </w:lvl>
    <w:lvl w:ilvl="4">
      <w:start w:val="1"/>
      <w:numFmt w:val="decimal"/>
      <w:isLgl/>
      <w:lvlText w:val="%1.%2.%3.%4.%5."/>
      <w:lvlJc w:val="left"/>
      <w:pPr>
        <w:ind w:left="1222" w:hanging="1080"/>
      </w:pPr>
      <w:rPr>
        <w:rFonts w:eastAsia="Times New Roman" w:hint="default"/>
      </w:rPr>
    </w:lvl>
    <w:lvl w:ilvl="5">
      <w:start w:val="1"/>
      <w:numFmt w:val="decimal"/>
      <w:isLgl/>
      <w:lvlText w:val="%1.%2.%3.%4.%5.%6."/>
      <w:lvlJc w:val="left"/>
      <w:pPr>
        <w:ind w:left="1582" w:hanging="1440"/>
      </w:pPr>
      <w:rPr>
        <w:rFonts w:eastAsia="Times New Roman" w:hint="default"/>
      </w:rPr>
    </w:lvl>
    <w:lvl w:ilvl="6">
      <w:start w:val="1"/>
      <w:numFmt w:val="decimal"/>
      <w:isLgl/>
      <w:lvlText w:val="%1.%2.%3.%4.%5.%6.%7."/>
      <w:lvlJc w:val="left"/>
      <w:pPr>
        <w:ind w:left="1582" w:hanging="1440"/>
      </w:pPr>
      <w:rPr>
        <w:rFonts w:eastAsia="Times New Roman" w:hint="default"/>
      </w:rPr>
    </w:lvl>
    <w:lvl w:ilvl="7">
      <w:start w:val="1"/>
      <w:numFmt w:val="decimal"/>
      <w:isLgl/>
      <w:lvlText w:val="%1.%2.%3.%4.%5.%6.%7.%8."/>
      <w:lvlJc w:val="left"/>
      <w:pPr>
        <w:ind w:left="1942" w:hanging="1800"/>
      </w:pPr>
      <w:rPr>
        <w:rFonts w:eastAsia="Times New Roman" w:hint="default"/>
      </w:rPr>
    </w:lvl>
    <w:lvl w:ilvl="8">
      <w:start w:val="1"/>
      <w:numFmt w:val="decimal"/>
      <w:isLgl/>
      <w:lvlText w:val="%1.%2.%3.%4.%5.%6.%7.%8.%9."/>
      <w:lvlJc w:val="left"/>
      <w:pPr>
        <w:ind w:left="1942" w:hanging="1800"/>
      </w:pPr>
      <w:rPr>
        <w:rFonts w:eastAsia="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5"/>
  </w:num>
  <w:num w:numId="5">
    <w:abstractNumId w:val="8"/>
  </w:num>
  <w:num w:numId="6">
    <w:abstractNumId w:val="11"/>
  </w:num>
  <w:num w:numId="7">
    <w:abstractNumId w:val="10"/>
  </w:num>
  <w:num w:numId="8">
    <w:abstractNumId w:val="13"/>
  </w:num>
  <w:num w:numId="9">
    <w:abstractNumId w:val="3"/>
  </w:num>
  <w:num w:numId="10">
    <w:abstractNumId w:val="15"/>
  </w:num>
  <w:num w:numId="11">
    <w:abstractNumId w:val="1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 w:numId="20">
    <w:abstractNumId w:val="15"/>
  </w:num>
  <w:num w:numId="21">
    <w:abstractNumId w:val="15"/>
  </w:num>
  <w:num w:numId="22">
    <w:abstractNumId w:val="15"/>
  </w:num>
  <w:num w:numId="23">
    <w:abstractNumId w:val="15"/>
  </w:num>
  <w:num w:numId="24">
    <w:abstractNumId w:val="9"/>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
  </w:num>
  <w:num w:numId="29">
    <w:abstractNumId w:val="15"/>
  </w:num>
  <w:num w:numId="30">
    <w:abstractNumId w:val="15"/>
  </w:num>
  <w:num w:numId="31">
    <w:abstractNumId w:val="15"/>
  </w:num>
  <w:num w:numId="32">
    <w:abstractNumId w:val="15"/>
  </w:num>
  <w:num w:numId="33">
    <w:abstractNumId w:val="14"/>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FC9BC54-FF91-4101-8AFE-9ABAC435AD98"/>
    <w:docVar w:name="LW_COVERPAGE_TYPE" w:val="1"/>
    <w:docVar w:name="LW_CROSSREFERENCE" w:val="&lt;UNUSED&gt;"/>
    <w:docVar w:name="LW_DocType" w:val="NORMAL"/>
    <w:docVar w:name="LW_EMISSION" w:val="12.6.2019"/>
    <w:docVar w:name="LW_EMISSION_ISODATE" w:val="2019-06-12"/>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63?\u1077?\u1090?\u1074?\u1098?\u1088?\u1090?\u1080? \u1076?\u1086?\u1082?\u1083?\u1072?\u1076? \u1086?\u1090?\u1085?\u1086?\u1089?\u1085?\u1086? \u1085?\u1072?\u1087?\u1088?\u1077?\u1076?\u1098?\u1082?\u1072? \u1087?\u1086? \u1085?\u1072?\u1084?\u1072?\u1083?\u1103?\u1074?\u1072?\u1085?\u1077? \u1085?\u1072? \u1085?\u1077?\u1086?\u1073?\u1089?\u1083?\u1091?\u1078?\u1074?\u1072?\u1085?\u1080?\u1090?\u1077? \u1082?\u1088?\u1077?\u1076?\u1080?\u1090?\u1080? \u1080? \u1076?\u1086?\u1087?\u1098?\u1083?\u1085?\u1080?\u1090?\u1077?\u1083?\u1085?\u1086? \u1085?\u1072?\u1084?\u1072?\u1083?\u1103?\u1074?\u1072?\u1085?\u1077? \u1085?\u1072? \u1088?\u1080?\u1089?\u1082?\u1072? \u1074? \u1073?\u1072?\u1085?\u1082?\u1086?\u1074?\u1080?\u1103? \u1089?\u1098?\u1102?\u1079?"/>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8? \u1045?\u1042?\u1056?\u1054?\u1055?\u1045?\u1049?\u1057?\u1050?\u1040?\u1058?\u1040? \u1062?\u1045?\u1053?\u1058?\u1056?\u1040?\u1051?\u1053?\u1040? \u1041?\u1040?\u1053?\u1050?\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bg-BG"/>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bg-BG"/>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bg-BG"/>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bg-BG"/>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bg-BG"/>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bg-BG"/>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bg-BG"/>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bg-BG"/>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bg-BG"/>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bg-BG"/>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4446">
      <w:bodyDiv w:val="1"/>
      <w:marLeft w:val="0"/>
      <w:marRight w:val="0"/>
      <w:marTop w:val="0"/>
      <w:marBottom w:val="0"/>
      <w:divBdr>
        <w:top w:val="none" w:sz="0" w:space="0" w:color="auto"/>
        <w:left w:val="none" w:sz="0" w:space="0" w:color="auto"/>
        <w:bottom w:val="none" w:sz="0" w:space="0" w:color="auto"/>
        <w:right w:val="none" w:sz="0" w:space="0" w:color="auto"/>
      </w:divBdr>
    </w:div>
    <w:div w:id="364644512">
      <w:bodyDiv w:val="1"/>
      <w:marLeft w:val="0"/>
      <w:marRight w:val="0"/>
      <w:marTop w:val="0"/>
      <w:marBottom w:val="0"/>
      <w:divBdr>
        <w:top w:val="none" w:sz="0" w:space="0" w:color="auto"/>
        <w:left w:val="none" w:sz="0" w:space="0" w:color="auto"/>
        <w:bottom w:val="none" w:sz="0" w:space="0" w:color="auto"/>
        <w:right w:val="none" w:sz="0" w:space="0" w:color="auto"/>
      </w:divBdr>
    </w:div>
    <w:div w:id="464086752">
      <w:bodyDiv w:val="1"/>
      <w:marLeft w:val="0"/>
      <w:marRight w:val="0"/>
      <w:marTop w:val="0"/>
      <w:marBottom w:val="0"/>
      <w:divBdr>
        <w:top w:val="none" w:sz="0" w:space="0" w:color="auto"/>
        <w:left w:val="none" w:sz="0" w:space="0" w:color="auto"/>
        <w:bottom w:val="none" w:sz="0" w:space="0" w:color="auto"/>
        <w:right w:val="none" w:sz="0" w:space="0" w:color="auto"/>
      </w:divBdr>
    </w:div>
    <w:div w:id="479537428">
      <w:bodyDiv w:val="1"/>
      <w:marLeft w:val="0"/>
      <w:marRight w:val="0"/>
      <w:marTop w:val="0"/>
      <w:marBottom w:val="0"/>
      <w:divBdr>
        <w:top w:val="none" w:sz="0" w:space="0" w:color="auto"/>
        <w:left w:val="none" w:sz="0" w:space="0" w:color="auto"/>
        <w:bottom w:val="none" w:sz="0" w:space="0" w:color="auto"/>
        <w:right w:val="none" w:sz="0" w:space="0" w:color="auto"/>
      </w:divBdr>
    </w:div>
    <w:div w:id="929238256">
      <w:bodyDiv w:val="1"/>
      <w:marLeft w:val="0"/>
      <w:marRight w:val="0"/>
      <w:marTop w:val="0"/>
      <w:marBottom w:val="0"/>
      <w:divBdr>
        <w:top w:val="none" w:sz="0" w:space="0" w:color="auto"/>
        <w:left w:val="none" w:sz="0" w:space="0" w:color="auto"/>
        <w:bottom w:val="none" w:sz="0" w:space="0" w:color="auto"/>
        <w:right w:val="none" w:sz="0" w:space="0" w:color="auto"/>
      </w:divBdr>
    </w:div>
    <w:div w:id="1003162112">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33713286">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398015266">
      <w:bodyDiv w:val="1"/>
      <w:marLeft w:val="0"/>
      <w:marRight w:val="0"/>
      <w:marTop w:val="0"/>
      <w:marBottom w:val="0"/>
      <w:divBdr>
        <w:top w:val="none" w:sz="0" w:space="0" w:color="auto"/>
        <w:left w:val="none" w:sz="0" w:space="0" w:color="auto"/>
        <w:bottom w:val="none" w:sz="0" w:space="0" w:color="auto"/>
        <w:right w:val="none" w:sz="0" w:space="0" w:color="auto"/>
      </w:divBdr>
    </w:div>
    <w:div w:id="17268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IP-16-3731_en.htm" TargetMode="External"/><Relationship Id="rId2" Type="http://schemas.openxmlformats.org/officeDocument/2006/relationships/hyperlink" Target="https://www.consilium.europa.eu/media/37029/joint-risk-reduction-monitoring-report-to-eg_november-2018.pdf" TargetMode="External"/><Relationship Id="rId1" Type="http://schemas.openxmlformats.org/officeDocument/2006/relationships/hyperlink" Target="https://www.consilium.europa.eu/en/press/press-releases/2017/07/11/conclusions-non-performing-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F9443-ADE6-4B75-9FC1-FFDF9683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3768</Words>
  <Characters>22765</Characters>
  <Application>Microsoft Office Word</Application>
  <DocSecurity>0</DocSecurity>
  <Lines>385</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2019-06-12T14:28:00Z</dcterms:created>
  <dcterms:modified xsi:type="dcterms:W3CDTF">2019-06-19T11:21:00Z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