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485464C7-3453-41F0-9DC9-98AC18E407E3" style="width:450.35pt;height:320.6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pPr>
        <w:spacing w:after="120" w:line="240" w:lineRule="auto"/>
        <w:jc w:val="both"/>
        <w:rPr>
          <w:rFonts w:ascii="Times New Roman" w:eastAsia="Calibri" w:hAnsi="Times New Roman" w:cs="Times New Roman"/>
          <w:noProof/>
          <w:sz w:val="24"/>
        </w:rPr>
      </w:pPr>
      <w:bookmarkStart w:id="1" w:name="_Toc409530214"/>
      <w:bookmarkStart w:id="2" w:name="_Toc438545664"/>
      <w:bookmarkStart w:id="3" w:name="_Toc438548314"/>
      <w:bookmarkStart w:id="4" w:name="_Toc438548500"/>
      <w:bookmarkStart w:id="5" w:name="_Toc440017690"/>
      <w:bookmarkStart w:id="6" w:name="_Toc440018074"/>
      <w:bookmarkStart w:id="7" w:name="_Toc440033372"/>
      <w:bookmarkStart w:id="8" w:name="_Toc440035223"/>
      <w:bookmarkStart w:id="9" w:name="_Toc440036518"/>
      <w:bookmarkStart w:id="10" w:name="_Toc440042460"/>
      <w:bookmarkStart w:id="11" w:name="_Toc440291114"/>
      <w:bookmarkStart w:id="12" w:name="_Toc440294677"/>
      <w:bookmarkStart w:id="13" w:name="_Toc440295179"/>
      <w:bookmarkStart w:id="14" w:name="_Toc440296584"/>
      <w:bookmarkStart w:id="15" w:name="_Toc440625068"/>
      <w:bookmarkStart w:id="16" w:name="_Toc440626398"/>
      <w:bookmarkStart w:id="17" w:name="_Toc440628852"/>
      <w:bookmarkStart w:id="18" w:name="_Toc441571124"/>
      <w:bookmarkStart w:id="19" w:name="_Toc441581626"/>
      <w:bookmarkStart w:id="20" w:name="_Toc441585893"/>
      <w:bookmarkStart w:id="21" w:name="_Toc441595828"/>
      <w:bookmarkStart w:id="22" w:name="_Toc441596005"/>
      <w:bookmarkStart w:id="23" w:name="_Toc441748130"/>
      <w:bookmarkStart w:id="24" w:name="_Toc441755415"/>
      <w:bookmarkStart w:id="25" w:name="_Toc441756452"/>
      <w:bookmarkStart w:id="26" w:name="_Toc441757496"/>
      <w:bookmarkStart w:id="27" w:name="_Toc441766625"/>
      <w:bookmarkStart w:id="28" w:name="_Toc441766964"/>
      <w:bookmarkStart w:id="29" w:name="_Toc442187965"/>
      <w:bookmarkStart w:id="30" w:name="_Toc442262057"/>
      <w:bookmarkStart w:id="31" w:name="_Toc442362464"/>
      <w:bookmarkStart w:id="32" w:name="_Toc442374800"/>
      <w:bookmarkStart w:id="33" w:name="_Toc442425940"/>
      <w:bookmarkStart w:id="34" w:name="_Toc442453066"/>
      <w:bookmarkStart w:id="35" w:name="_Toc443484745"/>
      <w:bookmarkStart w:id="36" w:name="_Toc443509486"/>
      <w:bookmarkStart w:id="37" w:name="_Toc446014815"/>
      <w:bookmarkStart w:id="38" w:name="_GoBack"/>
      <w:bookmarkEnd w:id="38"/>
      <w:r>
        <w:rPr>
          <w:rFonts w:ascii="Times New Roman" w:hAnsi="Times New Roman"/>
          <w:b/>
          <w:smallCaps/>
          <w:noProof/>
          <w:sz w:val="24"/>
          <w:szCs w:val="24"/>
        </w:rPr>
        <w:lastRenderedPageBreak/>
        <w:tab/>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pPr>
        <w:spacing w:after="120" w:line="240" w:lineRule="auto"/>
        <w:jc w:val="right"/>
        <w:rPr>
          <w:rFonts w:ascii="Times New Roman" w:eastAsia="Calibri" w:hAnsi="Times New Roman" w:cs="Times New Roman"/>
          <w:noProof/>
          <w:sz w:val="24"/>
        </w:rPr>
      </w:pPr>
    </w:p>
    <w:p>
      <w:pPr>
        <w:spacing w:after="120" w:line="240" w:lineRule="auto"/>
        <w:jc w:val="right"/>
        <w:rPr>
          <w:rFonts w:ascii="Times New Roman" w:eastAsia="Calibri" w:hAnsi="Times New Roman" w:cs="Times New Roman"/>
          <w:noProof/>
          <w:sz w:val="24"/>
        </w:rPr>
      </w:pPr>
    </w:p>
    <w:p>
      <w:pPr>
        <w:spacing w:after="120" w:line="240" w:lineRule="auto"/>
        <w:jc w:val="right"/>
        <w:rPr>
          <w:rFonts w:ascii="Times New Roman" w:eastAsia="Calibri" w:hAnsi="Times New Roman" w:cs="Times New Roman"/>
          <w:i/>
          <w:noProof/>
          <w:sz w:val="24"/>
        </w:rPr>
      </w:pPr>
      <w:r>
        <w:rPr>
          <w:rFonts w:ascii="Times New Roman" w:hAnsi="Times New Roman"/>
          <w:noProof/>
          <w:sz w:val="24"/>
        </w:rPr>
        <w:t>„</w:t>
      </w:r>
      <w:r>
        <w:rPr>
          <w:rFonts w:ascii="Times New Roman" w:hAnsi="Times New Roman"/>
          <w:i/>
          <w:noProof/>
          <w:sz w:val="24"/>
        </w:rPr>
        <w:t>Европейският съюз е правова общност. Спазването на правните норми и на съдебните решения не е свободно избираемо, а задължително.</w:t>
      </w:r>
      <w:r>
        <w:rPr>
          <w:rFonts w:ascii="Times New Roman" w:hAnsi="Times New Roman"/>
          <w:noProof/>
          <w:sz w:val="24"/>
        </w:rPr>
        <w:t>“</w:t>
      </w:r>
    </w:p>
    <w:p>
      <w:pPr>
        <w:spacing w:after="120" w:line="240" w:lineRule="auto"/>
        <w:jc w:val="right"/>
        <w:rPr>
          <w:rFonts w:ascii="Times New Roman" w:eastAsia="Calibri" w:hAnsi="Times New Roman" w:cs="Times New Roman"/>
          <w:noProof/>
          <w:sz w:val="24"/>
        </w:rPr>
      </w:pPr>
      <w:r>
        <w:rPr>
          <w:rFonts w:ascii="Times New Roman" w:hAnsi="Times New Roman"/>
          <w:noProof/>
          <w:sz w:val="24"/>
        </w:rPr>
        <w:t>Председател на Комисията, Жан-Клод Юнкер, Реч за състоянието на Съюза през 2018 г. (</w:t>
      </w:r>
      <w:r>
        <w:rPr>
          <w:rFonts w:ascii="Times New Roman" w:eastAsia="Calibri" w:hAnsi="Times New Roman" w:cs="Times New Roman"/>
          <w:noProof/>
          <w:sz w:val="24"/>
          <w:vertAlign w:val="superscript"/>
        </w:rPr>
        <w:footnoteReference w:id="2"/>
      </w:r>
      <w:r>
        <w:rPr>
          <w:rFonts w:ascii="Times New Roman" w:hAnsi="Times New Roman"/>
          <w:noProof/>
          <w:sz w:val="24"/>
        </w:rPr>
        <w:t>)</w:t>
      </w:r>
    </w:p>
    <w:p>
      <w:pPr>
        <w:spacing w:after="120" w:line="240" w:lineRule="auto"/>
        <w:jc w:val="right"/>
        <w:rPr>
          <w:rFonts w:ascii="Times New Roman" w:eastAsia="Calibri" w:hAnsi="Times New Roman" w:cs="Times New Roman"/>
          <w:i/>
          <w:noProof/>
          <w:sz w:val="24"/>
        </w:rPr>
      </w:pPr>
    </w:p>
    <w:p>
      <w:pPr>
        <w:spacing w:after="120" w:line="240" w:lineRule="auto"/>
        <w:jc w:val="right"/>
        <w:rPr>
          <w:rFonts w:ascii="Times New Roman" w:eastAsia="Calibri" w:hAnsi="Times New Roman" w:cs="Times New Roman"/>
          <w:noProof/>
          <w:sz w:val="24"/>
        </w:rPr>
      </w:pPr>
      <w:r>
        <w:rPr>
          <w:rFonts w:ascii="Times New Roman" w:hAnsi="Times New Roman"/>
          <w:noProof/>
          <w:sz w:val="24"/>
        </w:rPr>
        <w:t>„</w:t>
      </w:r>
      <w:r>
        <w:rPr>
          <w:rFonts w:ascii="Times New Roman" w:hAnsi="Times New Roman"/>
          <w:i/>
          <w:noProof/>
          <w:sz w:val="24"/>
        </w:rPr>
        <w:t xml:space="preserve">Зачитането на принципите на правовата държава е предпоставка не само за защитата на всички основни ценности, посочени в член 2. То е предпоставка и за спазването на всички права и задължения, които произтичат от Договорите, както и за изграждането на взаимно доверие у гражданите, предприятията и националните органи в правните системи на всички други държави членки.“ </w:t>
      </w:r>
      <w:r>
        <w:rPr>
          <w:rFonts w:ascii="Times New Roman" w:hAnsi="Times New Roman"/>
          <w:noProof/>
          <w:sz w:val="24"/>
        </w:rPr>
        <w:t>(</w:t>
      </w:r>
      <w:r>
        <w:rPr>
          <w:rFonts w:ascii="Times New Roman" w:eastAsia="Calibri" w:hAnsi="Times New Roman" w:cs="Times New Roman"/>
          <w:noProof/>
          <w:sz w:val="24"/>
          <w:vertAlign w:val="superscript"/>
        </w:rPr>
        <w:footnoteReference w:id="3"/>
      </w:r>
      <w:r>
        <w:rPr>
          <w:rFonts w:ascii="Times New Roman" w:hAnsi="Times New Roman"/>
          <w:noProof/>
          <w:sz w:val="24"/>
        </w:rPr>
        <w:t>)</w:t>
      </w:r>
    </w:p>
    <w:p>
      <w:pPr>
        <w:spacing w:after="120" w:line="240" w:lineRule="auto"/>
        <w:jc w:val="right"/>
        <w:rPr>
          <w:rFonts w:ascii="Times New Roman" w:eastAsia="Calibri" w:hAnsi="Times New Roman" w:cs="Times New Roman"/>
          <w:noProof/>
          <w:sz w:val="24"/>
        </w:rPr>
      </w:pPr>
      <w:r>
        <w:rPr>
          <w:rFonts w:ascii="Times New Roman" w:hAnsi="Times New Roman"/>
          <w:noProof/>
          <w:sz w:val="24"/>
        </w:rPr>
        <w:t>Първи заместник-председател, Франс Тимерманс, разискване в пленарно заседание на Европейския парламент, 28 февруари 2018 г.</w:t>
      </w:r>
    </w:p>
    <w:p>
      <w:pPr>
        <w:spacing w:after="120" w:line="240" w:lineRule="auto"/>
        <w:jc w:val="right"/>
        <w:rPr>
          <w:rFonts w:ascii="Times New Roman" w:eastAsia="Calibri" w:hAnsi="Times New Roman" w:cs="Times New Roman"/>
          <w:noProof/>
          <w:sz w:val="24"/>
        </w:rPr>
      </w:pPr>
    </w:p>
    <w:p>
      <w:pPr>
        <w:spacing w:after="120" w:line="240" w:lineRule="auto"/>
        <w:jc w:val="right"/>
        <w:rPr>
          <w:rFonts w:ascii="Times New Roman" w:eastAsia="Calibri" w:hAnsi="Times New Roman" w:cs="Times New Roman"/>
          <w:noProof/>
          <w:sz w:val="24"/>
        </w:rPr>
      </w:pPr>
      <w:r>
        <w:rPr>
          <w:rFonts w:ascii="Times New Roman" w:hAnsi="Times New Roman"/>
          <w:noProof/>
          <w:sz w:val="24"/>
        </w:rPr>
        <w:t>„</w:t>
      </w:r>
      <w:r>
        <w:rPr>
          <w:rFonts w:ascii="Times New Roman" w:hAnsi="Times New Roman"/>
          <w:i/>
          <w:noProof/>
          <w:sz w:val="24"/>
        </w:rPr>
        <w:t>Работим за повишаване на доверието в правосъдието. Предоставянето на достатъчно финансови ресурси за правосъдната система не е разход, [то] е инвестиция. […] Страна, която има добре функционираща съдебна система, има по-големи шансове за привличане на инвеститори.</w:t>
      </w:r>
      <w:r>
        <w:rPr>
          <w:rFonts w:ascii="Times New Roman" w:hAnsi="Times New Roman"/>
          <w:noProof/>
          <w:sz w:val="24"/>
        </w:rPr>
        <w:t>“ (</w:t>
      </w:r>
      <w:r>
        <w:rPr>
          <w:rStyle w:val="FootnoteReference"/>
          <w:rFonts w:ascii="Times New Roman" w:eastAsia="Calibri" w:hAnsi="Times New Roman" w:cs="Times New Roman"/>
          <w:noProof/>
          <w:sz w:val="24"/>
        </w:rPr>
        <w:footnoteReference w:id="4"/>
      </w:r>
      <w:r>
        <w:rPr>
          <w:rFonts w:ascii="Times New Roman" w:hAnsi="Times New Roman"/>
          <w:noProof/>
          <w:sz w:val="24"/>
        </w:rPr>
        <w:t>)</w:t>
      </w:r>
    </w:p>
    <w:p>
      <w:pPr>
        <w:spacing w:after="120" w:line="240" w:lineRule="auto"/>
        <w:jc w:val="right"/>
        <w:rPr>
          <w:rFonts w:ascii="Times New Roman" w:eastAsia="Calibri" w:hAnsi="Times New Roman" w:cs="Times New Roman"/>
          <w:noProof/>
          <w:sz w:val="24"/>
        </w:rPr>
      </w:pPr>
      <w:r>
        <w:rPr>
          <w:rFonts w:ascii="Times New Roman" w:hAnsi="Times New Roman"/>
          <w:noProof/>
          <w:sz w:val="24"/>
        </w:rPr>
        <w:t>Комисар Йоурова, Виена, 30 ноември 2018 г.</w:t>
      </w:r>
    </w:p>
    <w:p>
      <w:pPr>
        <w:rPr>
          <w:rFonts w:ascii="Times New Roman" w:eastAsia="Calibri" w:hAnsi="Times New Roman" w:cs="Times New Roman"/>
          <w:noProof/>
          <w:sz w:val="24"/>
        </w:rPr>
      </w:pPr>
      <w:r>
        <w:rPr>
          <w:noProof/>
        </w:rPr>
        <w:br w:type="page"/>
      </w:r>
    </w:p>
    <w:p>
      <w:pPr>
        <w:keepNext/>
        <w:tabs>
          <w:tab w:val="left" w:pos="850"/>
        </w:tabs>
        <w:spacing w:before="120" w:after="120" w:line="240" w:lineRule="auto"/>
        <w:ind w:left="850" w:hanging="850"/>
        <w:jc w:val="both"/>
        <w:outlineLvl w:val="0"/>
        <w:rPr>
          <w:rFonts w:ascii="Times New Roman" w:eastAsia="Times New Roman" w:hAnsi="Times New Roman" w:cs="Times New Roman"/>
          <w:b/>
          <w:smallCaps/>
          <w:noProof/>
          <w:sz w:val="24"/>
          <w:szCs w:val="24"/>
        </w:rPr>
      </w:pPr>
      <w:r>
        <w:rPr>
          <w:rFonts w:ascii="Times New Roman" w:hAnsi="Times New Roman"/>
          <w:b/>
          <w:smallCaps/>
          <w:noProof/>
          <w:sz w:val="24"/>
          <w:szCs w:val="24"/>
        </w:rPr>
        <w:tab/>
        <w:t>1.</w:t>
      </w:r>
      <w:r>
        <w:rPr>
          <w:rFonts w:ascii="Times New Roman" w:hAnsi="Times New Roman"/>
          <w:b/>
          <w:smallCaps/>
          <w:noProof/>
          <w:sz w:val="24"/>
          <w:szCs w:val="24"/>
        </w:rPr>
        <w:tab/>
        <w:t>Въведение</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Независимостта, качеството и ефикасността, представляващи основните елементи на ефективните правосъдни системи, са от решаващо значение за утвърждаването на принципите на правовата държава и ценностите, на които се основава ЕС. Ефективните правосъдни системи са от съществено значение за прилагането на правото на ЕС. Когато прилагат правото на ЕС, националните съдилища действат като съдилища на ЕС. Националните съдилища са тези, които на първо място гарантират ефективното прилагане на правата и задълженията, предвидени от правото на ЕС (</w:t>
      </w:r>
      <w:r>
        <w:rPr>
          <w:rFonts w:ascii="Times New Roman" w:eastAsia="Calibri" w:hAnsi="Times New Roman" w:cs="Times New Roman"/>
          <w:noProof/>
          <w:sz w:val="24"/>
          <w:vertAlign w:val="superscript"/>
        </w:rPr>
        <w:footnoteReference w:id="5"/>
      </w:r>
      <w:r>
        <w:rPr>
          <w:rFonts w:ascii="Times New Roman" w:hAnsi="Times New Roman"/>
          <w:noProof/>
          <w:sz w:val="24"/>
        </w:rPr>
        <w:t>). Както беше отбелязано от Съда на Европейския съюз, самото наличие на ефективна съдебна защита от независим съд е основата на правовата държава (</w:t>
      </w:r>
      <w:r>
        <w:rPr>
          <w:rFonts w:ascii="Times New Roman" w:eastAsia="Calibri" w:hAnsi="Times New Roman" w:cs="Times New Roman"/>
          <w:noProof/>
          <w:sz w:val="24"/>
          <w:vertAlign w:val="superscript"/>
        </w:rPr>
        <w:footnoteReference w:id="6"/>
      </w:r>
      <w:r>
        <w:rPr>
          <w:rFonts w:ascii="Times New Roman" w:hAnsi="Times New Roman"/>
          <w:noProof/>
          <w:sz w:val="24"/>
        </w:rPr>
        <w:t>).</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 xml:space="preserve">В Съобщението </w:t>
      </w:r>
      <w:r>
        <w:rPr>
          <w:rFonts w:ascii="Times New Roman" w:hAnsi="Times New Roman"/>
          <w:i/>
          <w:noProof/>
          <w:sz w:val="24"/>
        </w:rPr>
        <w:t>„По-нататъшно укрепване на върховенството на закона в Съюза —</w:t>
      </w:r>
      <w:r>
        <w:rPr>
          <w:rFonts w:ascii="Times New Roman" w:hAnsi="Times New Roman"/>
          <w:noProof/>
          <w:sz w:val="24"/>
        </w:rPr>
        <w:t xml:space="preserve"> </w:t>
      </w:r>
      <w:r>
        <w:rPr>
          <w:rFonts w:ascii="Times New Roman" w:hAnsi="Times New Roman"/>
          <w:i/>
          <w:noProof/>
          <w:sz w:val="24"/>
        </w:rPr>
        <w:t>Актуално състояние и възможни следващи действия“</w:t>
      </w:r>
      <w:r>
        <w:rPr>
          <w:rFonts w:ascii="Times New Roman" w:hAnsi="Times New Roman"/>
          <w:noProof/>
          <w:sz w:val="24"/>
        </w:rPr>
        <w:t>, прието на 3 април 2019 г., се посочва, че Информационното табло на ЕС в областта на правосъдието е част от инструментариума на ЕС за укрепване на върховенството на закона чрез принос за насърчаването на реформата на съдебната система и стандартите в областта на върховенството на закона (</w:t>
      </w:r>
      <w:r>
        <w:rPr>
          <w:rStyle w:val="FootnoteReference"/>
          <w:rFonts w:ascii="Times New Roman" w:eastAsia="Calibri" w:hAnsi="Times New Roman" w:cs="Times New Roman"/>
          <w:noProof/>
          <w:sz w:val="24"/>
        </w:rPr>
        <w:footnoteReference w:id="7"/>
      </w:r>
      <w:r>
        <w:rPr>
          <w:rFonts w:ascii="Times New Roman" w:hAnsi="Times New Roman"/>
          <w:noProof/>
          <w:sz w:val="24"/>
        </w:rPr>
        <w:t>). Зачитането на върховенството на закона, включително независимостта на правосъдните системи, оказва съществено въздействие върху решенията за инвестиции и привличането на предприятия. Ето защо подобряването на ефективността на националните правосъдни системи е установен приоритет на европейския семестър — годишния цикъл на ЕС за координиране на икономическите политики. В годишния обзор на растежа за 2019 г., в който се определят икономическите и социалните приоритети на ЕС и неговите държави членки за предстоящата година, се потвърждава връзката между върховенството на закона и наличието на ефективни съдебни системи, от една страна, и благоприятната за бизнеса среда и икономическия растеж, от друга страна (</w:t>
      </w:r>
      <w:r>
        <w:rPr>
          <w:rFonts w:ascii="Times New Roman" w:eastAsia="Calibri" w:hAnsi="Times New Roman" w:cs="Times New Roman"/>
          <w:noProof/>
          <w:sz w:val="24"/>
          <w:vertAlign w:val="superscript"/>
        </w:rPr>
        <w:footnoteReference w:id="8"/>
      </w:r>
      <w:r>
        <w:rPr>
          <w:rFonts w:ascii="Times New Roman" w:hAnsi="Times New Roman"/>
          <w:noProof/>
          <w:sz w:val="24"/>
        </w:rPr>
        <w:t>).</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С цел осъществяване на мониторинг върху</w:t>
      </w:r>
      <w:r>
        <w:rPr>
          <w:rFonts w:ascii="Times New Roman" w:hAnsi="Times New Roman"/>
          <w:noProof/>
        </w:rPr>
        <w:t xml:space="preserve"> </w:t>
      </w:r>
      <w:r>
        <w:rPr>
          <w:rFonts w:ascii="Times New Roman" w:hAnsi="Times New Roman"/>
          <w:noProof/>
          <w:sz w:val="24"/>
        </w:rPr>
        <w:t>реформите в областта на правосъдието и тяхното въздействие в държавите членки, от 2013 г. насам в Информационното табло на ЕС в областта на правосъдието (наричано по-нататък „Информационното табло“) се прави годишен преглед на показателите от значение за независимостта, качеството и ефикасността на правосъдието — основни параметри на всяка ефективна правосъдна система. В изданието за 2019 г. се доразвиват показателите за всичките три елемента и за пръв път се представят показатели за:</w:t>
      </w:r>
    </w:p>
    <w:p>
      <w:pPr>
        <w:numPr>
          <w:ilvl w:val="0"/>
          <w:numId w:val="27"/>
        </w:numPr>
        <w:spacing w:after="60" w:line="240" w:lineRule="auto"/>
        <w:ind w:left="357" w:hanging="357"/>
        <w:jc w:val="both"/>
        <w:rPr>
          <w:rFonts w:ascii="Times New Roman" w:eastAsia="Calibri" w:hAnsi="Times New Roman" w:cs="Times New Roman"/>
          <w:noProof/>
          <w:sz w:val="24"/>
        </w:rPr>
      </w:pPr>
      <w:r>
        <w:rPr>
          <w:rFonts w:ascii="Times New Roman" w:hAnsi="Times New Roman"/>
          <w:noProof/>
          <w:sz w:val="24"/>
        </w:rPr>
        <w:t>конкретното разходване на финансовите ресурси във всяка правосъдна система;</w:t>
      </w:r>
    </w:p>
    <w:p>
      <w:pPr>
        <w:numPr>
          <w:ilvl w:val="0"/>
          <w:numId w:val="27"/>
        </w:numPr>
        <w:spacing w:after="60" w:line="240" w:lineRule="auto"/>
        <w:ind w:left="357" w:hanging="357"/>
        <w:jc w:val="both"/>
        <w:rPr>
          <w:rFonts w:ascii="Times New Roman" w:eastAsia="Calibri" w:hAnsi="Times New Roman" w:cs="Times New Roman"/>
          <w:noProof/>
          <w:sz w:val="24"/>
        </w:rPr>
      </w:pPr>
      <w:r>
        <w:rPr>
          <w:rFonts w:ascii="Times New Roman" w:hAnsi="Times New Roman"/>
          <w:noProof/>
          <w:sz w:val="24"/>
        </w:rPr>
        <w:t>стандартите, прилагани с цел подобряване на качеството на решенията, постановявани във върховните съдилища;</w:t>
      </w:r>
    </w:p>
    <w:p>
      <w:pPr>
        <w:numPr>
          <w:ilvl w:val="0"/>
          <w:numId w:val="27"/>
        </w:numPr>
        <w:spacing w:after="60" w:line="240" w:lineRule="auto"/>
        <w:ind w:left="357" w:hanging="357"/>
        <w:jc w:val="both"/>
        <w:rPr>
          <w:rFonts w:ascii="Times New Roman" w:eastAsia="Calibri" w:hAnsi="Times New Roman" w:cs="Times New Roman"/>
          <w:noProof/>
          <w:sz w:val="24"/>
        </w:rPr>
      </w:pPr>
      <w:r>
        <w:rPr>
          <w:rFonts w:ascii="Times New Roman" w:hAnsi="Times New Roman"/>
          <w:noProof/>
          <w:sz w:val="24"/>
        </w:rPr>
        <w:t>управленските правомощия по отношение на националните прокуратури и назначаването и освобождаването от длъжност на националните прокурори;</w:t>
      </w:r>
    </w:p>
    <w:p>
      <w:pPr>
        <w:numPr>
          <w:ilvl w:val="0"/>
          <w:numId w:val="27"/>
        </w:numPr>
        <w:spacing w:after="60" w:line="240" w:lineRule="auto"/>
        <w:ind w:left="357" w:hanging="357"/>
        <w:rPr>
          <w:rFonts w:ascii="Times New Roman" w:eastAsia="Times New Roman" w:hAnsi="Times New Roman" w:cs="Times New Roman"/>
          <w:noProof/>
          <w:sz w:val="24"/>
          <w:szCs w:val="24"/>
        </w:rPr>
      </w:pPr>
      <w:r>
        <w:rPr>
          <w:rFonts w:ascii="Times New Roman" w:hAnsi="Times New Roman"/>
          <w:noProof/>
          <w:sz w:val="24"/>
          <w:szCs w:val="24"/>
        </w:rPr>
        <w:t xml:space="preserve">органите, участващи в дисциплинарните производства срещу съдии; </w:t>
      </w:r>
    </w:p>
    <w:p>
      <w:pPr>
        <w:numPr>
          <w:ilvl w:val="0"/>
          <w:numId w:val="27"/>
        </w:numPr>
        <w:spacing w:after="60" w:line="240" w:lineRule="auto"/>
        <w:ind w:left="357" w:hanging="357"/>
        <w:jc w:val="both"/>
        <w:rPr>
          <w:rFonts w:ascii="Times New Roman" w:eastAsia="Calibri" w:hAnsi="Times New Roman" w:cs="Times New Roman"/>
          <w:noProof/>
          <w:sz w:val="24"/>
        </w:rPr>
      </w:pPr>
      <w:r>
        <w:rPr>
          <w:rFonts w:ascii="Times New Roman" w:hAnsi="Times New Roman"/>
          <w:noProof/>
          <w:sz w:val="24"/>
        </w:rPr>
        <w:t>стандартите и практиките за управление на натовареността и изостаналите дела в съдилищата.</w:t>
      </w:r>
    </w:p>
    <w:p>
      <w:pPr>
        <w:rPr>
          <w:rFonts w:ascii="Times New Roman" w:eastAsia="Calibri" w:hAnsi="Times New Roman" w:cs="Times New Roman"/>
          <w:noProof/>
          <w:sz w:val="24"/>
        </w:rPr>
      </w:pPr>
      <w:r>
        <w:rPr>
          <w:noProof/>
        </w:rPr>
        <w:br w:type="page"/>
      </w:r>
    </w:p>
    <w:p>
      <w:pPr>
        <w:pBdr>
          <w:top w:val="single" w:sz="4" w:space="1" w:color="auto"/>
          <w:left w:val="single" w:sz="4" w:space="4" w:color="auto"/>
          <w:bottom w:val="single" w:sz="4" w:space="1" w:color="auto"/>
          <w:right w:val="single" w:sz="4" w:space="4" w:color="auto"/>
        </w:pBdr>
        <w:spacing w:before="240" w:after="120" w:line="240" w:lineRule="auto"/>
        <w:jc w:val="both"/>
        <w:rPr>
          <w:rFonts w:ascii="Times New Roman" w:eastAsia="Calibri" w:hAnsi="Times New Roman" w:cs="Times New Roman"/>
          <w:b/>
          <w:i/>
          <w:noProof/>
        </w:rPr>
      </w:pPr>
      <w:r>
        <w:rPr>
          <w:rFonts w:ascii="Times New Roman" w:hAnsi="Times New Roman"/>
          <w:b/>
          <w:i/>
          <w:noProof/>
        </w:rPr>
        <w:t>Какво представлява Информационното табло на ЕС в областта на правосъдието?</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Информационното табло на ЕС в областта на правосъдието е сравнителен информационен инструмент, чиято цел е да помага всяка година на ЕС и държавите членки да подобрят ефективността на своите национални правосъдни системи, като им предоставя обективни, надеждни и сравними данни по редица показатели, свързани с оценката на качеството, независимостта и ефикасността на правосъдните системи във всички държави членки. Информационното табло представя не едно-единствено общо класиране, а преглед на начина на функциониране на всички правосъдни системи въз основа на показатели, които са от общ интерес за всички държави членки.</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С Информационното табло не се насърчава конкретен вид правосъдна система и всички държави членки се разглеждат на равна основа.</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Независимостта, качеството и ефикасността са основни параметри на всяка ефективна правосъдна система, какъвто и да е моделът на националната правосъдна система или правната традиция, на която тя се гради. Данните за тези параметри следва да бъдат разглеждани заедно, тъй като и трите елемента са необходими за ефективността на правосъдната система и често са взаимосвързани (инициативи, насочени към подобряването на един от елементите, могат да повлияят и на друг).</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Акцентът в Информационното табло се поставя основно върху граждански и търговски съдебни спорове, както и върху административните дела, за да се помогне на държавите членки в усилията им да създадат среда, която е по-благоприятна за инвестициите, бизнеса и гражданите. Информационното табло е сравнителен инструмент, който се развива в диалог с държавите членки и Европейския парламент (</w:t>
      </w:r>
      <w:r>
        <w:rPr>
          <w:rFonts w:ascii="Times New Roman" w:eastAsia="Calibri" w:hAnsi="Times New Roman" w:cs="Times New Roman"/>
          <w:noProof/>
          <w:vertAlign w:val="superscript"/>
        </w:rPr>
        <w:footnoteReference w:id="9"/>
      </w:r>
      <w:r>
        <w:rPr>
          <w:rFonts w:ascii="Times New Roman" w:hAnsi="Times New Roman"/>
          <w:noProof/>
        </w:rPr>
        <w:t>). С него се цели да бъдат установени основните параметри на една ефективна правосъдна система и да се предоставят съответни данни на годишна основа.</w:t>
      </w:r>
    </w:p>
    <w:p>
      <w:pPr>
        <w:keepNext/>
        <w:pBdr>
          <w:top w:val="single" w:sz="4" w:space="1" w:color="auto"/>
          <w:left w:val="single" w:sz="4" w:space="4" w:color="auto"/>
          <w:bottom w:val="single" w:sz="4" w:space="1" w:color="auto"/>
          <w:right w:val="single" w:sz="4" w:space="4" w:color="auto"/>
        </w:pBdr>
        <w:spacing w:before="240" w:after="120" w:line="240" w:lineRule="auto"/>
        <w:jc w:val="both"/>
        <w:rPr>
          <w:rFonts w:ascii="Times New Roman" w:eastAsia="Calibri" w:hAnsi="Times New Roman" w:cs="Times New Roman"/>
          <w:b/>
          <w:i/>
          <w:noProof/>
        </w:rPr>
      </w:pPr>
      <w:r>
        <w:rPr>
          <w:rFonts w:ascii="Times New Roman" w:hAnsi="Times New Roman"/>
          <w:b/>
          <w:i/>
          <w:noProof/>
        </w:rPr>
        <w:t>Каква е методиката на Информационното табло на ЕС в областта на правосъдието?</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При изготвянето на Информационното табло се използват различни източници на информация. Голяма част от количествените данни се предоставят от Европейската комисия за ефикасност на правосъдието (CEPEJ) към Съвета на Европа, с която Комисията сключи договор за извършването на специално годишно проучване. Тези данни обхващат периода 2010—2017 г. и са предоставени от държавите членки съгласно методиката на CEPEJ. Проучването съдържа също така подробни коментари и специфични за всяка държава информационни документи, които дават повече контекст. Те следва да бъдат четени заедно с цифровите данни (</w:t>
      </w:r>
      <w:r>
        <w:rPr>
          <w:rFonts w:ascii="Times New Roman" w:eastAsia="Calibri" w:hAnsi="Times New Roman" w:cs="Times New Roman"/>
          <w:noProof/>
          <w:vertAlign w:val="superscript"/>
        </w:rPr>
        <w:footnoteReference w:id="10"/>
      </w:r>
      <w:r>
        <w:rPr>
          <w:rFonts w:ascii="Times New Roman" w:hAnsi="Times New Roman"/>
          <w:noProof/>
        </w:rPr>
        <w:t>).</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spacing w:val="-4"/>
        </w:rPr>
      </w:pPr>
      <w:r>
        <w:rPr>
          <w:rFonts w:ascii="Times New Roman" w:hAnsi="Times New Roman"/>
          <w:noProof/>
          <w:spacing w:val="-4"/>
        </w:rPr>
        <w:t>Събраните от CEPEJ данни относно продължителността на производствата показват необходимото време за разглеждане на висящите дела, т.е. изчислената продължителност на съдебните производства (въз основа на съотношението между висящи и решени дела). Данните относно ефикасността на съдилищата, когато прилагат правото на ЕС в конкретни области, показват средната продължителност на производствата, изведена от действителната продължителност на съдебните дела. Следва да се отбележи, че продължителността на съдебните производства може да се различава значително в отделните населени места в рамките на една и съща държава членка, особено в градските центрове, където е възможно търговските дейности да доведат до по-голям обем дела.</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Другите източници на данни са: групата на лицата за контакт относно националните съдебни системи (</w:t>
      </w:r>
      <w:r>
        <w:rPr>
          <w:rFonts w:ascii="Times New Roman" w:eastAsia="Calibri" w:hAnsi="Times New Roman" w:cs="Times New Roman"/>
          <w:noProof/>
          <w:vertAlign w:val="superscript"/>
        </w:rPr>
        <w:footnoteReference w:id="11"/>
      </w:r>
      <w:r>
        <w:rPr>
          <w:rFonts w:ascii="Times New Roman" w:hAnsi="Times New Roman"/>
          <w:noProof/>
        </w:rPr>
        <w:t>), Европейската мрежа на съдебните съвети (ENCJ) (</w:t>
      </w:r>
      <w:r>
        <w:rPr>
          <w:rFonts w:ascii="Times New Roman" w:eastAsia="Calibri" w:hAnsi="Times New Roman" w:cs="Times New Roman"/>
          <w:noProof/>
          <w:vertAlign w:val="superscript"/>
        </w:rPr>
        <w:footnoteReference w:id="12"/>
      </w:r>
      <w:r>
        <w:rPr>
          <w:rFonts w:ascii="Times New Roman" w:hAnsi="Times New Roman"/>
          <w:noProof/>
        </w:rPr>
        <w:t>), Мрежата на председателите на върховните съдилища в ЕС (NPSJC) (</w:t>
      </w:r>
      <w:r>
        <w:rPr>
          <w:rFonts w:ascii="Times New Roman" w:eastAsia="Calibri" w:hAnsi="Times New Roman" w:cs="Times New Roman"/>
          <w:noProof/>
          <w:vertAlign w:val="superscript"/>
        </w:rPr>
        <w:footnoteReference w:id="13"/>
      </w:r>
      <w:r>
        <w:rPr>
          <w:rFonts w:ascii="Times New Roman" w:hAnsi="Times New Roman"/>
          <w:noProof/>
        </w:rPr>
        <w:t>), Асоциацията на държавните съвети и върховните административни юрисдикции в ЕС (ACA-Europe) (</w:t>
      </w:r>
      <w:r>
        <w:rPr>
          <w:rFonts w:ascii="Times New Roman" w:eastAsia="Calibri" w:hAnsi="Times New Roman" w:cs="Times New Roman"/>
          <w:noProof/>
          <w:vertAlign w:val="superscript"/>
        </w:rPr>
        <w:footnoteReference w:id="14"/>
      </w:r>
      <w:r>
        <w:rPr>
          <w:rFonts w:ascii="Times New Roman" w:hAnsi="Times New Roman"/>
          <w:noProof/>
        </w:rPr>
        <w:t>), Европейската мрежа по конкуренция (ECN) (</w:t>
      </w:r>
      <w:r>
        <w:rPr>
          <w:rFonts w:ascii="Times New Roman" w:eastAsia="Calibri" w:hAnsi="Times New Roman" w:cs="Times New Roman"/>
          <w:noProof/>
          <w:vertAlign w:val="superscript"/>
        </w:rPr>
        <w:footnoteReference w:id="15"/>
      </w:r>
      <w:r>
        <w:rPr>
          <w:rFonts w:ascii="Times New Roman" w:hAnsi="Times New Roman"/>
          <w:noProof/>
        </w:rPr>
        <w:t>), Комитетът за регулиране на съобщенията (COCOM) (</w:t>
      </w:r>
      <w:r>
        <w:rPr>
          <w:rFonts w:ascii="Times New Roman" w:eastAsia="Calibri" w:hAnsi="Times New Roman" w:cs="Times New Roman"/>
          <w:noProof/>
          <w:vertAlign w:val="superscript"/>
        </w:rPr>
        <w:footnoteReference w:id="16"/>
      </w:r>
      <w:r>
        <w:rPr>
          <w:rFonts w:ascii="Times New Roman" w:hAnsi="Times New Roman"/>
          <w:noProof/>
        </w:rPr>
        <w:t>), Европейската обсерватория за нарушенията на правата на интелектуална собственост (</w:t>
      </w:r>
      <w:r>
        <w:rPr>
          <w:rFonts w:ascii="Times New Roman" w:eastAsia="Calibri" w:hAnsi="Times New Roman" w:cs="Times New Roman"/>
          <w:noProof/>
          <w:vertAlign w:val="superscript"/>
        </w:rPr>
        <w:footnoteReference w:id="17"/>
      </w:r>
      <w:r>
        <w:rPr>
          <w:rFonts w:ascii="Times New Roman" w:hAnsi="Times New Roman"/>
          <w:noProof/>
        </w:rPr>
        <w:t>), Експертната група по въпросите на изпирането на пари и финансирането на тероризма (EGMLTF) (</w:t>
      </w:r>
      <w:r>
        <w:rPr>
          <w:rFonts w:ascii="Times New Roman" w:eastAsia="Calibri" w:hAnsi="Times New Roman" w:cs="Times New Roman"/>
          <w:noProof/>
          <w:vertAlign w:val="superscript"/>
        </w:rPr>
        <w:footnoteReference w:id="18"/>
      </w:r>
      <w:r>
        <w:rPr>
          <w:rFonts w:ascii="Times New Roman" w:hAnsi="Times New Roman"/>
          <w:noProof/>
        </w:rPr>
        <w:t>), Евростат (</w:t>
      </w:r>
      <w:r>
        <w:rPr>
          <w:rFonts w:ascii="Times New Roman" w:eastAsia="Calibri" w:hAnsi="Times New Roman" w:cs="Times New Roman"/>
          <w:noProof/>
          <w:vertAlign w:val="superscript"/>
        </w:rPr>
        <w:footnoteReference w:id="19"/>
      </w:r>
      <w:r>
        <w:rPr>
          <w:rFonts w:ascii="Times New Roman" w:hAnsi="Times New Roman"/>
          <w:noProof/>
        </w:rPr>
        <w:t>), Европейската мрежа за съдебно обучение (EJTN) (</w:t>
      </w:r>
      <w:r>
        <w:rPr>
          <w:rFonts w:ascii="Times New Roman" w:eastAsia="Calibri" w:hAnsi="Times New Roman" w:cs="Times New Roman"/>
          <w:noProof/>
          <w:vertAlign w:val="superscript"/>
        </w:rPr>
        <w:footnoteReference w:id="20"/>
      </w:r>
      <w:r>
        <w:rPr>
          <w:rFonts w:ascii="Times New Roman" w:hAnsi="Times New Roman"/>
          <w:noProof/>
        </w:rPr>
        <w:t>) и Световният икономически форум (СИФ) (</w:t>
      </w:r>
      <w:r>
        <w:rPr>
          <w:rFonts w:ascii="Times New Roman" w:eastAsia="Calibri" w:hAnsi="Times New Roman" w:cs="Times New Roman"/>
          <w:noProof/>
          <w:vertAlign w:val="superscript"/>
        </w:rPr>
        <w:footnoteReference w:id="21"/>
      </w:r>
      <w:r>
        <w:rPr>
          <w:rFonts w:ascii="Times New Roman" w:hAnsi="Times New Roman"/>
          <w:noProof/>
        </w:rPr>
        <w:t>).</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Методиката за Информационното табло е усъвършенствана допълнително в тясно сътрудничество с групата от лица за контакт относно националните правосъдни системи, по-специално чрез въпросник и събиране на данни относно някои аспекти от функционирането на правосъдните системи.</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i/>
          <w:noProof/>
        </w:rPr>
      </w:pPr>
      <w:r>
        <w:rPr>
          <w:rFonts w:ascii="Times New Roman" w:hAnsi="Times New Roman"/>
          <w:noProof/>
        </w:rPr>
        <w:t>Достъпът до данни, особено по показателите относно ефикасността на правосъдните системи, продължава да се подобрява, тъй като много държави членки са инвестирали в своя капацитет за изготвяне на по-добра статистика за съдебната система. Съществуващите все още затруднения при събирането или предоставянето на данни се дължат на недостатъчен статистически капацитет или на факта, че националните категории, за които се събират данни, не отговарят съвсем точно на използваните в Информационното табло. Само в много малко на брой случаи липсата на данни се дължи на нежелание за принос от страна на определени национални органи. Комисията продължава да насърчава държавите членки да ограничат още този недостиг на данни и да участват активно в обмена на най-добри практики.</w:t>
      </w:r>
    </w:p>
    <w:p>
      <w:pPr>
        <w:pBdr>
          <w:top w:val="single" w:sz="4" w:space="1" w:color="auto"/>
          <w:left w:val="single" w:sz="4" w:space="4" w:color="auto"/>
          <w:bottom w:val="single" w:sz="4" w:space="1" w:color="auto"/>
          <w:right w:val="single" w:sz="4" w:space="4" w:color="auto"/>
        </w:pBdr>
        <w:spacing w:before="240" w:after="120" w:line="240" w:lineRule="auto"/>
        <w:jc w:val="both"/>
        <w:rPr>
          <w:rFonts w:ascii="Times New Roman" w:eastAsia="Calibri" w:hAnsi="Times New Roman" w:cs="Times New Roman"/>
          <w:b/>
          <w:noProof/>
        </w:rPr>
      </w:pPr>
      <w:r>
        <w:rPr>
          <w:rFonts w:ascii="Times New Roman" w:hAnsi="Times New Roman"/>
          <w:b/>
          <w:i/>
          <w:noProof/>
        </w:rPr>
        <w:t>Как Информационното табло на ЕС в областта на правосъдието подпомага европейския семестър?</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Информационното табло осигурява елементи за оценка на качеството, независимостта и ефикасността на националните правосъдни системи, с което цели да помогне на държавите членки да подобрят ефективността на своите национални правосъдни системи. Така по-лесно се откриват слабости, определят се най-добрите практики и се проследяват предизвикателствата и напредъкът. В контекста на европейския семестър се извършват специфични за всяка държава оценки чрез двустранен диалог със съответните национални органи и заинтересовани страни. Тази оценка намира отражение в годишните доклади по държави в рамките на европейския семестър и съчетава информацията от Информационното табло с качествен анализ, като се вземат предвид характеристиките на правните системи и по-широкият контекст на съответните държави членки. Анализът в рамките на европейския семестър може да мотивира Комисията да предложи на Съвета да приеме специфични за отделни държави препоръки за подобряване на националните им правосъдни системи.</w:t>
      </w:r>
    </w:p>
    <w:p>
      <w:pPr>
        <w:pBdr>
          <w:top w:val="single" w:sz="4" w:space="1" w:color="auto"/>
          <w:left w:val="single" w:sz="4" w:space="4" w:color="auto"/>
          <w:bottom w:val="single" w:sz="4" w:space="1" w:color="auto"/>
          <w:right w:val="single" w:sz="4" w:space="4" w:color="auto"/>
        </w:pBdr>
        <w:spacing w:before="240" w:after="120" w:line="240" w:lineRule="auto"/>
        <w:jc w:val="both"/>
        <w:rPr>
          <w:rFonts w:ascii="Times New Roman" w:eastAsia="Calibri" w:hAnsi="Times New Roman" w:cs="Times New Roman"/>
          <w:b/>
          <w:i/>
          <w:noProof/>
        </w:rPr>
      </w:pPr>
      <w:r>
        <w:rPr>
          <w:rFonts w:ascii="Times New Roman" w:hAnsi="Times New Roman"/>
          <w:b/>
          <w:i/>
          <w:noProof/>
        </w:rPr>
        <w:t>Защо ефективните правосъдни системи са важни за създаването на благоприятна за инвестиции среда?</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Отдавна е установено, че ефективните правосъдни системи, отстояващи върховенството на закона, имат положително икономическо въздействие. Когато съдебните системи гарантират ефективно упражняване на правата, има по-голяма вероятност кредиторите да отпускат заеми, налице е възпиращ ефект за предприятията по отношение на извършването на опортюнистични действия, намаляват се разходите по сделките, а иновативните предприятия е по-вероятно да правят инвестиции. Положителното въздействие на добре функциониращите национални правосъдни системи върху икономиката се изтъква в множество научни изследвания и в академичната литература, включително от Международния валутен фонд (</w:t>
      </w:r>
      <w:r>
        <w:rPr>
          <w:rFonts w:ascii="Times New Roman" w:eastAsia="Calibri" w:hAnsi="Times New Roman" w:cs="Times New Roman"/>
          <w:noProof/>
          <w:vertAlign w:val="superscript"/>
        </w:rPr>
        <w:footnoteReference w:id="22"/>
      </w:r>
      <w:r>
        <w:rPr>
          <w:rFonts w:ascii="Times New Roman" w:hAnsi="Times New Roman"/>
          <w:noProof/>
        </w:rPr>
        <w:t>), Европейската централна банка (</w:t>
      </w:r>
      <w:r>
        <w:rPr>
          <w:rFonts w:ascii="Times New Roman" w:eastAsia="Calibri" w:hAnsi="Times New Roman" w:cs="Times New Roman"/>
          <w:noProof/>
          <w:vertAlign w:val="superscript"/>
        </w:rPr>
        <w:footnoteReference w:id="23"/>
      </w:r>
      <w:r>
        <w:rPr>
          <w:rFonts w:ascii="Times New Roman" w:hAnsi="Times New Roman"/>
          <w:noProof/>
        </w:rPr>
        <w:t>), ОИСР (</w:t>
      </w:r>
      <w:r>
        <w:rPr>
          <w:rFonts w:ascii="Times New Roman" w:eastAsia="Calibri" w:hAnsi="Times New Roman" w:cs="Times New Roman"/>
          <w:noProof/>
          <w:vertAlign w:val="superscript"/>
        </w:rPr>
        <w:footnoteReference w:id="24"/>
      </w:r>
      <w:r>
        <w:rPr>
          <w:rFonts w:ascii="Times New Roman" w:hAnsi="Times New Roman"/>
          <w:noProof/>
        </w:rPr>
        <w:t>), Световния икономически форум (</w:t>
      </w:r>
      <w:r>
        <w:rPr>
          <w:rFonts w:ascii="Times New Roman" w:eastAsia="Calibri" w:hAnsi="Times New Roman" w:cs="Times New Roman"/>
          <w:noProof/>
          <w:vertAlign w:val="superscript"/>
        </w:rPr>
        <w:footnoteReference w:id="25"/>
      </w:r>
      <w:r>
        <w:rPr>
          <w:rFonts w:ascii="Times New Roman" w:hAnsi="Times New Roman"/>
          <w:noProof/>
        </w:rPr>
        <w:t>) и Световната банка (</w:t>
      </w:r>
      <w:r>
        <w:rPr>
          <w:rFonts w:ascii="Times New Roman" w:eastAsia="Calibri" w:hAnsi="Times New Roman" w:cs="Times New Roman"/>
          <w:noProof/>
          <w:vertAlign w:val="superscript"/>
        </w:rPr>
        <w:footnoteReference w:id="26"/>
      </w:r>
      <w:r>
        <w:rPr>
          <w:rFonts w:ascii="Times New Roman" w:hAnsi="Times New Roman"/>
          <w:noProof/>
        </w:rPr>
        <w:t>).</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hAnsi="Times New Roman"/>
          <w:noProof/>
        </w:rPr>
        <w:t xml:space="preserve">Резултатите от наскоро проведено проучване показват, че </w:t>
      </w:r>
      <w:r>
        <w:rPr>
          <w:rFonts w:ascii="Times New Roman" w:hAnsi="Times New Roman"/>
          <w:bCs/>
          <w:noProof/>
        </w:rPr>
        <w:t>намаляване на продължителността на съдебните производства с 1 % (измервана като необходимото време за разглеждане на висящи дела (</w:t>
      </w:r>
      <w:r>
        <w:rPr>
          <w:rFonts w:ascii="Times New Roman" w:eastAsia="Calibri" w:hAnsi="Times New Roman" w:cs="Times New Roman"/>
          <w:bCs/>
          <w:noProof/>
          <w:vertAlign w:val="superscript"/>
        </w:rPr>
        <w:footnoteReference w:id="27"/>
      </w:r>
      <w:r>
        <w:rPr>
          <w:rFonts w:ascii="Times New Roman" w:hAnsi="Times New Roman"/>
          <w:bCs/>
          <w:noProof/>
        </w:rPr>
        <w:t>) може да увеличи растежа на предприятията (</w:t>
      </w:r>
      <w:r>
        <w:rPr>
          <w:rFonts w:ascii="Times New Roman" w:eastAsia="Calibri" w:hAnsi="Times New Roman" w:cs="Times New Roman"/>
          <w:bCs/>
          <w:noProof/>
          <w:vertAlign w:val="superscript"/>
        </w:rPr>
        <w:footnoteReference w:id="28"/>
      </w:r>
      <w:r>
        <w:rPr>
          <w:rFonts w:ascii="Times New Roman" w:hAnsi="Times New Roman"/>
          <w:bCs/>
          <w:noProof/>
        </w:rPr>
        <w:t>), както и че увеличаване с 1 % на дела на дружествата, които възприемат съдебната система като независима, обикновено води до по-висок оборот и растеж на производството (</w:t>
      </w:r>
      <w:r>
        <w:rPr>
          <w:rFonts w:ascii="Times New Roman" w:eastAsia="Calibri" w:hAnsi="Times New Roman" w:cs="Times New Roman"/>
          <w:bCs/>
          <w:noProof/>
          <w:vertAlign w:val="superscript"/>
        </w:rPr>
        <w:footnoteReference w:id="29"/>
      </w:r>
      <w:r>
        <w:rPr>
          <w:rFonts w:ascii="Times New Roman" w:hAnsi="Times New Roman"/>
          <w:bCs/>
          <w:noProof/>
        </w:rPr>
        <w:t>). Резултатите от друго изследване показаха положителна корелация между усещането за независимост на съдебната власт и потоците от преки чуждестранни инвестиции в Централна и Източна Европа (</w:t>
      </w:r>
      <w:r>
        <w:rPr>
          <w:rFonts w:ascii="Times New Roman" w:eastAsia="Calibri" w:hAnsi="Times New Roman" w:cs="Times New Roman"/>
          <w:bCs/>
          <w:noProof/>
          <w:vertAlign w:val="superscript"/>
        </w:rPr>
        <w:footnoteReference w:id="30"/>
      </w:r>
      <w:r>
        <w:rPr>
          <w:rFonts w:ascii="Times New Roman" w:hAnsi="Times New Roman"/>
          <w:bCs/>
          <w:noProof/>
        </w:rPr>
        <w:t>).</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b/>
          <w:noProof/>
          <w:spacing w:val="-4"/>
        </w:rPr>
      </w:pPr>
      <w:r>
        <w:rPr>
          <w:rFonts w:ascii="Times New Roman" w:hAnsi="Times New Roman"/>
          <w:noProof/>
          <w:spacing w:val="-4"/>
        </w:rPr>
        <w:t>Освен това в няколко проучвания ясно се подчертава значението на ефективността на националните правосъдни системи за дружествата. Например в едно проучване 93 % от големите предприятия са отговорили, че редовно извършват преглед на състоянието на върховенството на закона (включително независимостта на съдилищата) в държавите, в които те инвестират (</w:t>
      </w:r>
      <w:r>
        <w:rPr>
          <w:rFonts w:ascii="Times New Roman" w:eastAsia="Calibri" w:hAnsi="Times New Roman" w:cs="Times New Roman"/>
          <w:noProof/>
          <w:spacing w:val="-4"/>
          <w:vertAlign w:val="superscript"/>
        </w:rPr>
        <w:footnoteReference w:id="31"/>
      </w:r>
      <w:r>
        <w:rPr>
          <w:rFonts w:ascii="Times New Roman" w:hAnsi="Times New Roman"/>
          <w:noProof/>
          <w:spacing w:val="-4"/>
        </w:rPr>
        <w:t>), а в друго проучване, повече от половината от малките и средни предприятия (МСП) са отговорили, че разходите за съдебни производства и прекомерната им продължителност са сред основните причини да не започват съдебни производства за нарушения на права върху интелектуална собственост (</w:t>
      </w:r>
      <w:r>
        <w:rPr>
          <w:rFonts w:ascii="Times New Roman" w:eastAsia="Calibri" w:hAnsi="Times New Roman" w:cs="Times New Roman"/>
          <w:noProof/>
          <w:spacing w:val="-4"/>
          <w:vertAlign w:val="superscript"/>
        </w:rPr>
        <w:footnoteReference w:id="32"/>
      </w:r>
      <w:r>
        <w:rPr>
          <w:rFonts w:ascii="Times New Roman" w:hAnsi="Times New Roman"/>
          <w:noProof/>
          <w:spacing w:val="-4"/>
        </w:rPr>
        <w:t>).</w:t>
      </w:r>
    </w:p>
    <w:p>
      <w:pPr>
        <w:spacing w:after="0" w:line="240" w:lineRule="auto"/>
        <w:rPr>
          <w:rFonts w:ascii="Times New Roman" w:eastAsia="Times New Roman" w:hAnsi="Times New Roman" w:cs="Times New Roman"/>
          <w:b/>
          <w:smallCaps/>
          <w:noProof/>
          <w:sz w:val="24"/>
          <w:szCs w:val="24"/>
        </w:rPr>
      </w:pPr>
      <w:bookmarkStart w:id="39" w:name="_Toc443484746"/>
      <w:bookmarkStart w:id="40" w:name="_Toc443509487"/>
      <w:bookmarkStart w:id="41" w:name="_Toc446014816"/>
      <w:r>
        <w:rPr>
          <w:noProof/>
        </w:rPr>
        <w:br w:type="page"/>
      </w:r>
    </w:p>
    <w:p>
      <w:pPr>
        <w:keepNext/>
        <w:tabs>
          <w:tab w:val="left" w:pos="850"/>
        </w:tabs>
        <w:spacing w:before="360" w:after="120" w:line="240" w:lineRule="auto"/>
        <w:ind w:left="850" w:hanging="850"/>
        <w:jc w:val="both"/>
        <w:outlineLvl w:val="0"/>
        <w:rPr>
          <w:rFonts w:ascii="Times New Roman" w:eastAsia="Times New Roman" w:hAnsi="Times New Roman" w:cs="Times New Roman"/>
          <w:b/>
          <w:smallCaps/>
          <w:noProof/>
          <w:sz w:val="24"/>
          <w:szCs w:val="24"/>
        </w:rPr>
      </w:pPr>
      <w:r>
        <w:rPr>
          <w:rFonts w:ascii="Times New Roman" w:hAnsi="Times New Roman"/>
          <w:b/>
          <w:smallCaps/>
          <w:noProof/>
          <w:sz w:val="24"/>
          <w:szCs w:val="24"/>
        </w:rPr>
        <w:t>2.</w:t>
      </w:r>
      <w:r>
        <w:rPr>
          <w:rFonts w:ascii="Times New Roman" w:hAnsi="Times New Roman"/>
          <w:b/>
          <w:smallCaps/>
          <w:noProof/>
          <w:sz w:val="24"/>
          <w:szCs w:val="24"/>
        </w:rPr>
        <w:tab/>
        <w:t xml:space="preserve">Контекст: </w:t>
      </w:r>
      <w:bookmarkEnd w:id="39"/>
      <w:bookmarkEnd w:id="40"/>
      <w:bookmarkEnd w:id="41"/>
      <w:r>
        <w:rPr>
          <w:rFonts w:ascii="Times New Roman" w:hAnsi="Times New Roman"/>
          <w:b/>
          <w:smallCaps/>
          <w:noProof/>
          <w:sz w:val="24"/>
          <w:szCs w:val="24"/>
        </w:rPr>
        <w:t>Основно развитие във връзка с реформите в областта на правосъдието през 2018 г.</w:t>
      </w:r>
    </w:p>
    <w:p>
      <w:pPr>
        <w:spacing w:before="240" w:after="120" w:line="240" w:lineRule="auto"/>
        <w:jc w:val="both"/>
        <w:rPr>
          <w:rFonts w:ascii="Times New Roman" w:eastAsia="Calibri" w:hAnsi="Times New Roman" w:cs="Times New Roman"/>
          <w:b/>
          <w:noProof/>
          <w:sz w:val="24"/>
        </w:rPr>
      </w:pPr>
      <w:r>
        <w:rPr>
          <w:rFonts w:ascii="Times New Roman" w:hAnsi="Times New Roman"/>
          <w:b/>
          <w:noProof/>
          <w:sz w:val="24"/>
        </w:rPr>
        <w:t>2.1. Картографиране на реформите в областта на правосъдието</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През 2018 г. голям брой държави членки продължиха да полагат усилия за допълнително повишаване на ефективността на националните си правосъдни системи. На графика 1 е представен преглед на приетите и предвидените мерки в различните функционални области на правосъдните системи на държавите членки.</w:t>
      </w:r>
    </w:p>
    <w:p>
      <w:pPr>
        <w:keepNext/>
        <w:spacing w:before="240" w:after="120" w:line="240" w:lineRule="auto"/>
        <w:jc w:val="both"/>
        <w:rPr>
          <w:rFonts w:ascii="Times New Roman" w:eastAsia="Calibri" w:hAnsi="Times New Roman" w:cs="Times New Roman"/>
          <w:i/>
          <w:noProof/>
          <w:spacing w:val="-6"/>
          <w:sz w:val="24"/>
        </w:rPr>
      </w:pPr>
      <w:r>
        <w:rPr>
          <w:rFonts w:ascii="Times New Roman" w:hAnsi="Times New Roman"/>
          <w:b/>
          <w:noProof/>
          <w:sz w:val="24"/>
        </w:rPr>
        <w:t xml:space="preserve"> Графика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w:t>
      </w:r>
      <w:r>
        <w:rPr>
          <w:rFonts w:ascii="Times New Roman" w:eastAsia="Calibri" w:hAnsi="Times New Roman" w:cs="Times New Roman"/>
          <w:b/>
          <w:noProof/>
          <w:sz w:val="24"/>
        </w:rPr>
        <w:fldChar w:fldCharType="end"/>
      </w:r>
      <w:r>
        <w:rPr>
          <w:rFonts w:ascii="Times New Roman" w:hAnsi="Times New Roman"/>
          <w:b/>
          <w:noProof/>
          <w:sz w:val="24"/>
        </w:rPr>
        <w:t xml:space="preserve">: Законодателни и регулаторни дейности по отношение на правосъдните системи през 2018 г. </w:t>
      </w:r>
      <w:r>
        <w:rPr>
          <w:rFonts w:ascii="Times New Roman" w:hAnsi="Times New Roman"/>
          <w:i/>
          <w:noProof/>
          <w:sz w:val="24"/>
        </w:rPr>
        <w:t>(приети мерки/инициативи, по които се водят преговори, по държави членки)</w:t>
      </w:r>
      <w:r>
        <w:rPr>
          <w:rFonts w:ascii="Times New Roman" w:hAnsi="Times New Roman"/>
          <w:b/>
          <w:noProof/>
          <w:sz w:val="24"/>
        </w:rPr>
        <w:t xml:space="preserve"> </w:t>
      </w:r>
      <w:r>
        <w:rPr>
          <w:rFonts w:ascii="Times New Roman" w:hAnsi="Times New Roman"/>
          <w:i/>
          <w:noProof/>
          <w:sz w:val="24"/>
        </w:rPr>
        <w:t xml:space="preserve">(източник: Европейска </w:t>
      </w:r>
      <w:r>
        <w:rPr>
          <w:rFonts w:ascii="Times New Roman" w:hAnsi="Times New Roman"/>
          <w:i/>
          <w:noProof/>
          <w:sz w:val="24"/>
          <w:szCs w:val="24"/>
        </w:rPr>
        <w:t>комисия (</w:t>
      </w:r>
      <w:r>
        <w:rPr>
          <w:rFonts w:ascii="Times New Roman" w:eastAsia="Calibri" w:hAnsi="Times New Roman" w:cs="Times New Roman"/>
          <w:noProof/>
          <w:sz w:val="24"/>
          <w:szCs w:val="24"/>
          <w:vertAlign w:val="superscript"/>
        </w:rPr>
        <w:footnoteReference w:id="33"/>
      </w:r>
      <w:r>
        <w:rPr>
          <w:rFonts w:ascii="Times New Roman" w:hAnsi="Times New Roman"/>
          <w:i/>
          <w:noProof/>
          <w:sz w:val="24"/>
          <w:szCs w:val="24"/>
        </w:rPr>
        <w:t>)</w:t>
      </w:r>
    </w:p>
    <w:p>
      <w:pPr>
        <w:keepNext/>
        <w:spacing w:after="0" w:line="240" w:lineRule="auto"/>
        <w:jc w:val="both"/>
        <w:rPr>
          <w:rFonts w:ascii="Times New Roman Bold" w:eastAsia="Calibri" w:hAnsi="Times New Roman Bold" w:cs="Times New Roman"/>
          <w:i/>
          <w:noProof/>
          <w:spacing w:val="-6"/>
          <w:sz w:val="24"/>
        </w:rPr>
      </w:pPr>
      <w:r>
        <w:rPr>
          <w:noProof/>
          <w:lang w:val="en-GB" w:eastAsia="en-GB"/>
        </w:rPr>
        <w:drawing>
          <wp:inline distT="0" distB="0" distL="0" distR="0">
            <wp:extent cx="5969479" cy="3769744"/>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7255" cy="3774655"/>
                    </a:xfrm>
                    <a:prstGeom prst="rect">
                      <a:avLst/>
                    </a:prstGeom>
                    <a:noFill/>
                    <a:ln>
                      <a:noFill/>
                    </a:ln>
                  </pic:spPr>
                </pic:pic>
              </a:graphicData>
            </a:graphic>
          </wp:inline>
        </w:drawing>
      </w:r>
    </w:p>
    <w:p>
      <w:pPr>
        <w:keepNext/>
        <w:spacing w:after="0" w:line="240" w:lineRule="auto"/>
        <w:jc w:val="both"/>
        <w:rPr>
          <w:rFonts w:ascii="Times New Roman" w:eastAsia="Calibri" w:hAnsi="Times New Roman" w:cs="Times New Roman"/>
          <w:noProof/>
          <w:spacing w:val="-4"/>
          <w:sz w:val="24"/>
        </w:rPr>
      </w:pPr>
      <w:r>
        <w:rPr>
          <w:rFonts w:ascii="Times New Roman" w:hAnsi="Times New Roman"/>
          <w:noProof/>
          <w:spacing w:val="-4"/>
          <w:sz w:val="24"/>
        </w:rPr>
        <w:t>През 2018 г. процесуалното право продължи да е обект на особено внимание в много държави членки, като или се извършваше значителна законодателна дейност, или бе планирана такава в близко бъдеще. Наблюдаваше се висока активност във връзка със статута на съдиите, реформите, отнасящи се до практикуващите юристи, развитието на ИКТ, правната помощ и мерките за оптимизиране на съдебните карти. Сравнението с предишното Информационно табло показва, че нивото на активност се е повишило в определени области, тъй като държавите членки са предприели мерки във връзка с по-рано обявени планове за реформи, а в някои области следва да се очакват по-нататъшни реформи в близко бъдеще. Това също потвърждава заключението, че реформите в областта на правосъдието отнемат време — понякога минават няколко години от първоначалното им оповестяване до приемането на законодателни и регулаторни мерки и тяхното действително прилагане.</w:t>
      </w:r>
    </w:p>
    <w:p>
      <w:pPr>
        <w:spacing w:after="0" w:line="240" w:lineRule="auto"/>
        <w:rPr>
          <w:rFonts w:ascii="Times New Roman" w:eastAsia="Calibri" w:hAnsi="Times New Roman" w:cs="Times New Roman"/>
          <w:b/>
          <w:noProof/>
          <w:sz w:val="24"/>
        </w:rPr>
      </w:pPr>
      <w:r>
        <w:rPr>
          <w:noProof/>
        </w:rPr>
        <w:br w:type="page"/>
      </w:r>
    </w:p>
    <w:p>
      <w:pPr>
        <w:spacing w:before="240" w:after="120" w:line="240" w:lineRule="auto"/>
        <w:jc w:val="both"/>
        <w:rPr>
          <w:rFonts w:ascii="Times New Roman" w:eastAsia="Calibri" w:hAnsi="Times New Roman" w:cs="Times New Roman"/>
          <w:b/>
          <w:noProof/>
          <w:sz w:val="24"/>
        </w:rPr>
      </w:pPr>
      <w:r>
        <w:rPr>
          <w:rFonts w:ascii="Times New Roman" w:hAnsi="Times New Roman"/>
          <w:b/>
          <w:noProof/>
          <w:sz w:val="24"/>
        </w:rPr>
        <w:t>2.2. Мониторинг на реформите в областта на правосъдието</w:t>
      </w:r>
    </w:p>
    <w:p>
      <w:pPr>
        <w:spacing w:after="0" w:line="240" w:lineRule="auto"/>
        <w:jc w:val="both"/>
        <w:rPr>
          <w:rFonts w:ascii="Times New Roman" w:eastAsia="Calibri" w:hAnsi="Times New Roman" w:cs="Times New Roman"/>
          <w:noProof/>
          <w:sz w:val="24"/>
        </w:rPr>
      </w:pPr>
      <w:r>
        <w:rPr>
          <w:rFonts w:ascii="Times New Roman" w:hAnsi="Times New Roman"/>
          <w:noProof/>
          <w:sz w:val="24"/>
        </w:rPr>
        <w:t>През 2018 г. Комисията продължи да наблюдава отблизо усилията за реформи, предприети от държавите членки.</w:t>
      </w:r>
    </w:p>
    <w:p>
      <w:pPr>
        <w:spacing w:before="240" w:after="120" w:line="240" w:lineRule="auto"/>
        <w:jc w:val="both"/>
        <w:rPr>
          <w:rFonts w:ascii="Times New Roman" w:eastAsia="Calibri" w:hAnsi="Times New Roman" w:cs="Times New Roman"/>
          <w:i/>
          <w:noProof/>
          <w:sz w:val="24"/>
          <w:szCs w:val="24"/>
        </w:rPr>
      </w:pPr>
      <w:r>
        <w:rPr>
          <w:rFonts w:ascii="Times New Roman" w:hAnsi="Times New Roman"/>
          <w:i/>
          <w:noProof/>
          <w:sz w:val="24"/>
          <w:szCs w:val="24"/>
        </w:rPr>
        <w:t>— Резултати от европейския семестър за 2018 г. —</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Повишаването на независимостта, качеството и ефикасността на правосъдните системи е утвърден приоритет на структурните реформи, насърчавани в рамките на европейския семестър. Цикълът на европейския семестър започва всяка година през ноември, когато Комисията представя приоритетите си за следващата година (Съобщение относно годишния обзор на растежа). През февруари службите на Комисията представят специфични за отделните държави оценки в докладите по държави, които обхващат всички въпроси, разглеждани в рамките на европейския семестър. През юни Комисията представя своите предложения за специфични за всяка държава препоръки, чиито адресати са държавите членки. Тези препоръки се приемат от Съвета през юли, след като бъдат одобрени от Европейския съвет.</w:t>
      </w:r>
    </w:p>
    <w:p>
      <w:pPr>
        <w:spacing w:after="120" w:line="240" w:lineRule="auto"/>
        <w:jc w:val="both"/>
        <w:rPr>
          <w:rFonts w:ascii="Times New Roman" w:eastAsia="Calibri" w:hAnsi="Times New Roman" w:cs="Times New Roman"/>
          <w:noProof/>
          <w:spacing w:val="-4"/>
          <w:sz w:val="24"/>
        </w:rPr>
      </w:pPr>
      <w:r>
        <w:rPr>
          <w:rFonts w:ascii="Times New Roman" w:hAnsi="Times New Roman"/>
          <w:noProof/>
          <w:spacing w:val="-4"/>
          <w:sz w:val="24"/>
        </w:rPr>
        <w:t>В рамките на европейския семестър за 2018 г. по предложение на Комисията Съветът отправи до пет държави членки специфични препоръки, свързани с правосъдните им системи (</w:t>
      </w:r>
      <w:r>
        <w:rPr>
          <w:rFonts w:ascii="Times New Roman" w:eastAsia="Calibri" w:hAnsi="Times New Roman" w:cs="Times New Roman"/>
          <w:noProof/>
          <w:spacing w:val="-4"/>
          <w:sz w:val="24"/>
          <w:vertAlign w:val="superscript"/>
        </w:rPr>
        <w:footnoteReference w:id="34"/>
      </w:r>
      <w:r>
        <w:rPr>
          <w:rFonts w:ascii="Times New Roman" w:hAnsi="Times New Roman"/>
          <w:noProof/>
          <w:spacing w:val="-4"/>
          <w:sz w:val="24"/>
        </w:rPr>
        <w:t xml:space="preserve">). В допълнение към държавите членки, получили специфични препоръки, други </w:t>
      </w:r>
      <w:r>
        <w:rPr>
          <w:rFonts w:ascii="Times New Roman" w:hAnsi="Times New Roman"/>
          <w:noProof/>
          <w:spacing w:val="-4"/>
          <w:sz w:val="24"/>
          <w:szCs w:val="24"/>
        </w:rPr>
        <w:t>11</w:t>
      </w:r>
      <w:r>
        <w:rPr>
          <w:rFonts w:ascii="Times New Roman" w:hAnsi="Times New Roman"/>
          <w:noProof/>
          <w:spacing w:val="-4"/>
          <w:sz w:val="24"/>
        </w:rPr>
        <w:t xml:space="preserve"> държави членки са изправени пред специфични предизвикателства за своите правосъдни системи, включително върховенството на закона и независимостта на съдебната власт, които са предмет на мониторинг от Комисията в рамките на европейския </w:t>
      </w:r>
      <w:r>
        <w:rPr>
          <w:rFonts w:ascii="Times New Roman" w:hAnsi="Times New Roman"/>
          <w:noProof/>
          <w:spacing w:val="-4"/>
          <w:sz w:val="24"/>
          <w:szCs w:val="24"/>
        </w:rPr>
        <w:t>семестър (</w:t>
      </w:r>
      <w:r>
        <w:rPr>
          <w:rFonts w:ascii="Times New Roman" w:eastAsia="Calibri" w:hAnsi="Times New Roman" w:cs="Times New Roman"/>
          <w:noProof/>
          <w:spacing w:val="-4"/>
          <w:sz w:val="24"/>
          <w:vertAlign w:val="superscript"/>
        </w:rPr>
        <w:footnoteReference w:id="35"/>
      </w:r>
      <w:r>
        <w:rPr>
          <w:rFonts w:ascii="Times New Roman" w:hAnsi="Times New Roman"/>
          <w:noProof/>
          <w:spacing w:val="-4"/>
          <w:sz w:val="24"/>
          <w:szCs w:val="24"/>
        </w:rPr>
        <w:t>).</w:t>
      </w:r>
    </w:p>
    <w:p>
      <w:pPr>
        <w:spacing w:before="240" w:after="120" w:line="240" w:lineRule="auto"/>
        <w:jc w:val="both"/>
        <w:rPr>
          <w:rFonts w:ascii="Times New Roman" w:eastAsia="Calibri" w:hAnsi="Times New Roman" w:cs="Times New Roman"/>
          <w:i/>
          <w:noProof/>
          <w:sz w:val="24"/>
          <w:szCs w:val="24"/>
        </w:rPr>
      </w:pPr>
      <w:r>
        <w:rPr>
          <w:rFonts w:ascii="Times New Roman" w:hAnsi="Times New Roman"/>
          <w:i/>
          <w:noProof/>
          <w:sz w:val="24"/>
          <w:szCs w:val="24"/>
        </w:rPr>
        <w:t>— Доклади за 2018 г. по Механизма за сътрудничество и проверка —</w:t>
      </w:r>
    </w:p>
    <w:p>
      <w:pPr>
        <w:autoSpaceDE w:val="0"/>
        <w:autoSpaceDN w:val="0"/>
        <w:adjustRightInd w:val="0"/>
        <w:spacing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Механизмът за сътрудничество и проверка (МСП) беше създаден при присъединяването на България и Румъния към Европейския съюз през 2007 г. (</w:t>
      </w:r>
      <w:r>
        <w:rPr>
          <w:rFonts w:ascii="Times New Roman" w:eastAsia="Calibri" w:hAnsi="Times New Roman" w:cs="Times New Roman"/>
          <w:noProof/>
          <w:sz w:val="24"/>
          <w:szCs w:val="24"/>
          <w:vertAlign w:val="superscript"/>
        </w:rPr>
        <w:footnoteReference w:id="36"/>
      </w:r>
      <w:r>
        <w:rPr>
          <w:rFonts w:ascii="Times New Roman" w:hAnsi="Times New Roman"/>
          <w:noProof/>
          <w:sz w:val="24"/>
          <w:szCs w:val="24"/>
        </w:rPr>
        <w:t>), за да се преодолеят слабостите в съдебната реформа и борбата с корупцията, а за България — и борбата с организираната престъпност. Оттогава докладите по МСП имат за задача да способстват за насочването на усилията на българските и румънските органи чрез конкретни препоръки и отразяват постигнатия напредък (</w:t>
      </w:r>
      <w:r>
        <w:rPr>
          <w:rFonts w:ascii="Times New Roman" w:eastAsia="Calibri" w:hAnsi="Times New Roman" w:cs="Times New Roman"/>
          <w:noProof/>
          <w:sz w:val="24"/>
          <w:szCs w:val="24"/>
          <w:vertAlign w:val="superscript"/>
          <w:lang w:eastAsia="en-GB"/>
        </w:rPr>
        <w:footnoteReference w:id="37"/>
      </w:r>
      <w:r>
        <w:rPr>
          <w:rFonts w:ascii="Times New Roman" w:hAnsi="Times New Roman"/>
          <w:noProof/>
          <w:sz w:val="24"/>
          <w:szCs w:val="24"/>
        </w:rPr>
        <w:t>).</w:t>
      </w:r>
    </w:p>
    <w:p>
      <w:pPr>
        <w:autoSpaceDE w:val="0"/>
        <w:autoSpaceDN w:val="0"/>
        <w:adjustRightInd w:val="0"/>
        <w:spacing w:after="120" w:line="240" w:lineRule="auto"/>
        <w:jc w:val="both"/>
        <w:rPr>
          <w:rFonts w:ascii="Times New Roman" w:eastAsia="Calibri" w:hAnsi="Times New Roman" w:cs="Times New Roman"/>
          <w:b/>
          <w:noProof/>
          <w:sz w:val="24"/>
        </w:rPr>
      </w:pPr>
      <w:r>
        <w:rPr>
          <w:rFonts w:ascii="Times New Roman" w:hAnsi="Times New Roman"/>
          <w:noProof/>
          <w:sz w:val="24"/>
          <w:szCs w:val="24"/>
        </w:rPr>
        <w:t>В докладите по МСП от ноември 2018 г. Комисията направи преглед на напредъка по изпълнението на препоръките, които се съдържат в предишните доклади. В доклада за Румъния се отбелязва, че макар Румъния да е предприела някои стъпки за изпълнението на окончателните препоръки, неотдавнашните събития доведоха до отстъпление от хода на напредъка и поставиха под въпрос положителната оценка, дадена през януари 2017 г. За България в доклада бе заключено, че редица препоръки вече са изпълнени, а редица други са на път да бъдат изпълнени. Комисията предприе подходящи последващи действия във връзка с тези два доклада.</w:t>
      </w:r>
    </w:p>
    <w:p>
      <w:pPr>
        <w:spacing w:before="240" w:after="120" w:line="240" w:lineRule="auto"/>
        <w:jc w:val="both"/>
        <w:rPr>
          <w:rFonts w:ascii="Times New Roman" w:eastAsia="Calibri" w:hAnsi="Times New Roman" w:cs="Times New Roman"/>
          <w:b/>
          <w:noProof/>
          <w:sz w:val="24"/>
        </w:rPr>
      </w:pPr>
      <w:r>
        <w:rPr>
          <w:rFonts w:ascii="Times New Roman" w:hAnsi="Times New Roman"/>
          <w:b/>
          <w:noProof/>
          <w:sz w:val="24"/>
        </w:rPr>
        <w:t>2.3. Подкрепа за реформите в областта на правосъдието</w:t>
      </w:r>
    </w:p>
    <w:p>
      <w:pPr>
        <w:spacing w:before="120" w:after="120" w:line="240" w:lineRule="auto"/>
        <w:jc w:val="both"/>
        <w:rPr>
          <w:rFonts w:ascii="Tahoma" w:eastAsia="Calibri" w:hAnsi="Tahoma" w:cs="Tahoma"/>
          <w:i/>
          <w:noProof/>
          <w:sz w:val="24"/>
          <w:szCs w:val="24"/>
        </w:rPr>
      </w:pPr>
      <w:r>
        <w:rPr>
          <w:rFonts w:ascii="Times New Roman" w:hAnsi="Times New Roman"/>
          <w:i/>
          <w:noProof/>
          <w:sz w:val="24"/>
          <w:szCs w:val="24"/>
        </w:rPr>
        <w:t>— Европейски структурни и инвестиционни фондове —</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Комисията подкрепя някои правосъдни реформи с финансови средства по европейските структурни и инвестиционни фондове. От 2007 г. насам 16 държави членки са използвали Европейския социален фонд (ЕСФ) и Европейския фонд за регионално развитие (ЕФРР), за да подобрят ефективността на своите правосъдни системи (</w:t>
      </w:r>
      <w:r>
        <w:rPr>
          <w:rFonts w:ascii="Times New Roman" w:eastAsia="Calibri" w:hAnsi="Times New Roman" w:cs="Times New Roman"/>
          <w:noProof/>
          <w:sz w:val="24"/>
          <w:vertAlign w:val="superscript"/>
        </w:rPr>
        <w:footnoteReference w:id="38"/>
      </w:r>
      <w:r>
        <w:rPr>
          <w:rFonts w:ascii="Times New Roman" w:hAnsi="Times New Roman"/>
          <w:noProof/>
          <w:sz w:val="24"/>
        </w:rPr>
        <w:t>). За периода 2007—2020 г. размерът на средствата, отпуснати за повишаване на ефективността и подобряване на качеството на правосъдните системи в тези държави членки (</w:t>
      </w:r>
      <w:r>
        <w:rPr>
          <w:rFonts w:ascii="Times New Roman" w:eastAsia="Calibri" w:hAnsi="Times New Roman" w:cs="Times New Roman"/>
          <w:noProof/>
          <w:sz w:val="24"/>
          <w:vertAlign w:val="superscript"/>
        </w:rPr>
        <w:footnoteReference w:id="39"/>
      </w:r>
      <w:r>
        <w:rPr>
          <w:rFonts w:ascii="Times New Roman" w:hAnsi="Times New Roman"/>
          <w:noProof/>
          <w:sz w:val="24"/>
        </w:rPr>
        <w:t>), ще надхвърли 900 милиона евро. Сред финансираните дейности са:</w:t>
      </w:r>
    </w:p>
    <w:p>
      <w:pPr>
        <w:numPr>
          <w:ilvl w:val="0"/>
          <w:numId w:val="28"/>
        </w:numPr>
        <w:spacing w:after="120" w:line="240" w:lineRule="auto"/>
        <w:ind w:left="714" w:hanging="357"/>
        <w:jc w:val="both"/>
        <w:rPr>
          <w:rFonts w:ascii="Times New Roman" w:eastAsia="Times New Roman" w:hAnsi="Times New Roman" w:cs="Times New Roman"/>
          <w:noProof/>
          <w:sz w:val="24"/>
          <w:szCs w:val="24"/>
        </w:rPr>
      </w:pPr>
      <w:r>
        <w:rPr>
          <w:rFonts w:ascii="Times New Roman" w:hAnsi="Times New Roman"/>
          <w:noProof/>
          <w:sz w:val="24"/>
          <w:szCs w:val="24"/>
        </w:rPr>
        <w:t>разработването и подобряването на работните процеси в съдилищата и въвеждането на системи за управление на делата или разработването или подобряването на процесите за управление на човешките ресурси;</w:t>
      </w:r>
    </w:p>
    <w:p>
      <w:pPr>
        <w:numPr>
          <w:ilvl w:val="0"/>
          <w:numId w:val="28"/>
        </w:numPr>
        <w:spacing w:after="120" w:line="240" w:lineRule="auto"/>
        <w:ind w:left="714" w:hanging="357"/>
        <w:jc w:val="both"/>
        <w:rPr>
          <w:rFonts w:ascii="Times New Roman" w:eastAsia="Times New Roman" w:hAnsi="Times New Roman" w:cs="Times New Roman"/>
          <w:noProof/>
          <w:sz w:val="24"/>
          <w:szCs w:val="24"/>
        </w:rPr>
      </w:pPr>
      <w:r>
        <w:rPr>
          <w:rFonts w:ascii="Times New Roman" w:hAnsi="Times New Roman"/>
          <w:noProof/>
          <w:sz w:val="24"/>
          <w:szCs w:val="24"/>
        </w:rPr>
        <w:t>цифровизацията на съдебните услуги и закупуването на системи за информационни и комуникационни технологии (ИКТ);</w:t>
      </w:r>
    </w:p>
    <w:p>
      <w:pPr>
        <w:numPr>
          <w:ilvl w:val="0"/>
          <w:numId w:val="28"/>
        </w:numPr>
        <w:spacing w:after="120" w:line="240" w:lineRule="auto"/>
        <w:ind w:left="714" w:hanging="357"/>
        <w:jc w:val="both"/>
        <w:rPr>
          <w:rFonts w:ascii="Times New Roman" w:eastAsia="Times New Roman" w:hAnsi="Times New Roman" w:cs="Times New Roman"/>
          <w:noProof/>
          <w:sz w:val="24"/>
          <w:szCs w:val="24"/>
        </w:rPr>
      </w:pPr>
      <w:r>
        <w:rPr>
          <w:rFonts w:ascii="Times New Roman" w:hAnsi="Times New Roman"/>
          <w:noProof/>
          <w:sz w:val="24"/>
          <w:szCs w:val="24"/>
        </w:rPr>
        <w:t>осигуряването на обучение за съдии, прокурори, съдебни служители, съдебни изпълнители, нотариуси, адвокати и повишаването на осведомеността на гражданите за техните права.</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Комисията следи специално за това да гарантира, че средствата на ЕС се използват адекватно за извършването на подходящи реформи в съответствие с принципите на правовата държава. Комисията подчертава важността да се предприеме ориентиран към резултатите подход при изпълнението на приоритетите за финансиране и призовава държавите членки да оценят въздействието от подкрепата по линия на европейските структурни и инвестиционни фондове.</w:t>
      </w:r>
    </w:p>
    <w:p>
      <w:pPr>
        <w:spacing w:before="120" w:after="120" w:line="240" w:lineRule="auto"/>
        <w:jc w:val="both"/>
        <w:rPr>
          <w:rFonts w:ascii="Times New Roman" w:eastAsia="Calibri" w:hAnsi="Times New Roman" w:cs="Times New Roman"/>
          <w:i/>
          <w:noProof/>
          <w:sz w:val="24"/>
          <w:szCs w:val="24"/>
        </w:rPr>
      </w:pPr>
      <w:r>
        <w:rPr>
          <w:rFonts w:ascii="Times New Roman" w:hAnsi="Times New Roman"/>
          <w:i/>
          <w:noProof/>
          <w:sz w:val="24"/>
          <w:szCs w:val="24"/>
        </w:rPr>
        <w:t>— Техническа подкрепа —</w:t>
      </w:r>
    </w:p>
    <w:p>
      <w:pPr>
        <w:spacing w:before="120" w:after="120" w:line="240" w:lineRule="auto"/>
        <w:jc w:val="both"/>
        <w:rPr>
          <w:rFonts w:ascii="Times New Roman" w:eastAsia="Calibri" w:hAnsi="Times New Roman" w:cs="Times New Roman"/>
          <w:noProof/>
          <w:sz w:val="24"/>
        </w:rPr>
      </w:pPr>
      <w:r>
        <w:rPr>
          <w:rFonts w:ascii="Times New Roman" w:hAnsi="Times New Roman"/>
          <w:noProof/>
          <w:sz w:val="24"/>
        </w:rPr>
        <w:t>Държавите членки ползват също така техническата подкрепа на Комисията, предоставяна чрез Службата за подкрепа на структурните реформи (СПСР) по Програмата за подкрепа на структурните реформи (</w:t>
      </w:r>
      <w:r>
        <w:rPr>
          <w:rFonts w:ascii="Times New Roman" w:eastAsia="Calibri" w:hAnsi="Times New Roman" w:cs="Times New Roman"/>
          <w:noProof/>
          <w:sz w:val="24"/>
          <w:vertAlign w:val="superscript"/>
        </w:rPr>
        <w:footnoteReference w:id="40"/>
      </w:r>
      <w:r>
        <w:rPr>
          <w:rFonts w:ascii="Times New Roman" w:hAnsi="Times New Roman"/>
          <w:noProof/>
          <w:sz w:val="24"/>
        </w:rPr>
        <w:t xml:space="preserve">), която разполага с общ бюджет от 222,8 милиона евро за периода 2017—2020 г. От 2017 г. насам </w:t>
      </w:r>
      <w:r>
        <w:rPr>
          <w:rFonts w:ascii="Times New Roman" w:hAnsi="Times New Roman"/>
          <w:iCs/>
          <w:noProof/>
          <w:sz w:val="24"/>
        </w:rPr>
        <w:t>16</w:t>
      </w:r>
      <w:r>
        <w:rPr>
          <w:rFonts w:ascii="Times New Roman" w:hAnsi="Times New Roman"/>
          <w:noProof/>
          <w:sz w:val="24"/>
        </w:rPr>
        <w:t xml:space="preserve"> държави членки (</w:t>
      </w:r>
      <w:r>
        <w:rPr>
          <w:rFonts w:ascii="Times New Roman" w:eastAsia="Calibri" w:hAnsi="Times New Roman" w:cs="Times New Roman"/>
          <w:noProof/>
          <w:sz w:val="24"/>
          <w:vertAlign w:val="superscript"/>
        </w:rPr>
        <w:footnoteReference w:id="41"/>
      </w:r>
      <w:r>
        <w:rPr>
          <w:rFonts w:ascii="Times New Roman" w:hAnsi="Times New Roman"/>
          <w:noProof/>
          <w:sz w:val="24"/>
        </w:rPr>
        <w:t xml:space="preserve">) вече са </w:t>
      </w:r>
      <w:r>
        <w:rPr>
          <w:rFonts w:ascii="Times New Roman" w:hAnsi="Times New Roman"/>
          <w:iCs/>
          <w:noProof/>
          <w:sz w:val="24"/>
        </w:rPr>
        <w:t>получили</w:t>
      </w:r>
      <w:r>
        <w:rPr>
          <w:rFonts w:ascii="Times New Roman" w:hAnsi="Times New Roman"/>
          <w:noProof/>
          <w:sz w:val="24"/>
        </w:rPr>
        <w:t xml:space="preserve"> или са поискали да получат техническа подкрепа в редица области.</w:t>
      </w:r>
      <w:r>
        <w:rPr>
          <w:rFonts w:ascii="Times New Roman" w:hAnsi="Times New Roman"/>
          <w:iCs/>
          <w:noProof/>
          <w:sz w:val="24"/>
        </w:rPr>
        <w:t xml:space="preserve"> Това включва</w:t>
      </w:r>
      <w:r>
        <w:rPr>
          <w:rFonts w:ascii="Times New Roman" w:hAnsi="Times New Roman"/>
          <w:noProof/>
          <w:sz w:val="24"/>
        </w:rPr>
        <w:t xml:space="preserve"> например </w:t>
      </w:r>
      <w:r>
        <w:rPr>
          <w:rFonts w:ascii="Times New Roman" w:hAnsi="Times New Roman"/>
          <w:iCs/>
          <w:noProof/>
          <w:sz w:val="24"/>
        </w:rPr>
        <w:t>техническа подкрепа за подобряване на</w:t>
      </w:r>
      <w:r>
        <w:rPr>
          <w:rFonts w:ascii="Times New Roman" w:hAnsi="Times New Roman"/>
          <w:noProof/>
          <w:sz w:val="24"/>
        </w:rPr>
        <w:t xml:space="preserve"> ефикасността на съдебната система, </w:t>
      </w:r>
      <w:r>
        <w:rPr>
          <w:rFonts w:ascii="Times New Roman" w:hAnsi="Times New Roman"/>
          <w:iCs/>
          <w:noProof/>
          <w:sz w:val="24"/>
        </w:rPr>
        <w:t xml:space="preserve">за реформа на </w:t>
      </w:r>
      <w:r>
        <w:rPr>
          <w:rFonts w:ascii="Times New Roman" w:hAnsi="Times New Roman"/>
          <w:noProof/>
          <w:sz w:val="24"/>
        </w:rPr>
        <w:t xml:space="preserve">съдебната карта, както и във връзка със </w:t>
      </w:r>
      <w:r>
        <w:rPr>
          <w:rFonts w:ascii="Times New Roman" w:hAnsi="Times New Roman"/>
          <w:iCs/>
          <w:noProof/>
          <w:sz w:val="24"/>
        </w:rPr>
        <w:t xml:space="preserve">съдебната организация, </w:t>
      </w:r>
      <w:r>
        <w:rPr>
          <w:rFonts w:ascii="Times New Roman" w:hAnsi="Times New Roman"/>
          <w:noProof/>
          <w:sz w:val="24"/>
        </w:rPr>
        <w:t xml:space="preserve">разработването или изпълнението на програми в областта на електронното правосъдие и </w:t>
      </w:r>
      <w:r>
        <w:rPr>
          <w:rFonts w:ascii="Times New Roman" w:hAnsi="Times New Roman"/>
          <w:iCs/>
          <w:noProof/>
          <w:sz w:val="24"/>
        </w:rPr>
        <w:t xml:space="preserve">киберправосъдието, системите за управление на дела, </w:t>
      </w:r>
      <w:r>
        <w:rPr>
          <w:rFonts w:ascii="Times New Roman" w:hAnsi="Times New Roman"/>
          <w:noProof/>
          <w:sz w:val="24"/>
        </w:rPr>
        <w:t>подбора и повишенията на съдиите</w:t>
      </w:r>
      <w:r>
        <w:rPr>
          <w:rFonts w:ascii="Times New Roman" w:hAnsi="Times New Roman"/>
          <w:iCs/>
          <w:noProof/>
          <w:sz w:val="24"/>
        </w:rPr>
        <w:t xml:space="preserve">, обучението на съдиите и извънсъдебното решаване на потребителски спорове. </w:t>
      </w:r>
      <w:r>
        <w:rPr>
          <w:rFonts w:ascii="Times New Roman" w:hAnsi="Times New Roman"/>
          <w:noProof/>
          <w:sz w:val="24"/>
        </w:rPr>
        <w:t xml:space="preserve">През май 2018 г. Комисията също така представи предложенията си за следващия многогодишен финансов период 2021—2027 г., и по-специално за нова </w:t>
      </w:r>
      <w:r>
        <w:rPr>
          <w:rFonts w:ascii="Times New Roman" w:hAnsi="Times New Roman"/>
          <w:bCs/>
          <w:noProof/>
          <w:sz w:val="24"/>
        </w:rPr>
        <w:t>програма за подкрепа на реформите</w:t>
      </w:r>
      <w:r>
        <w:rPr>
          <w:rFonts w:ascii="Times New Roman" w:hAnsi="Times New Roman"/>
          <w:b/>
          <w:bCs/>
          <w:noProof/>
          <w:sz w:val="24"/>
        </w:rPr>
        <w:t xml:space="preserve"> </w:t>
      </w:r>
      <w:r>
        <w:rPr>
          <w:rFonts w:ascii="Times New Roman" w:hAnsi="Times New Roman"/>
          <w:bCs/>
          <w:noProof/>
          <w:sz w:val="24"/>
        </w:rPr>
        <w:t>с общ бюджет от 25 милиарда евро</w:t>
      </w:r>
      <w:r>
        <w:rPr>
          <w:rFonts w:ascii="Times New Roman" w:hAnsi="Times New Roman"/>
          <w:b/>
          <w:bCs/>
          <w:noProof/>
          <w:sz w:val="24"/>
        </w:rPr>
        <w:t xml:space="preserve"> </w:t>
      </w:r>
      <w:r>
        <w:rPr>
          <w:rFonts w:ascii="Times New Roman" w:hAnsi="Times New Roman"/>
          <w:noProof/>
          <w:sz w:val="24"/>
        </w:rPr>
        <w:t>за предоставяне на финансова и техническа подкрепа за всички държави членки с цел планиране и изпълнение на реформи, насочени към модернизирането на техните икономики, и в частност за осъществяване на приоритетите за реформи, определени в контекста на европейския семестър (</w:t>
      </w:r>
      <w:r>
        <w:rPr>
          <w:rFonts w:ascii="Times New Roman" w:eastAsia="Calibri" w:hAnsi="Times New Roman" w:cs="Times New Roman"/>
          <w:noProof/>
          <w:sz w:val="24"/>
          <w:vertAlign w:val="superscript"/>
        </w:rPr>
        <w:footnoteReference w:id="42"/>
      </w:r>
      <w:r>
        <w:rPr>
          <w:rFonts w:ascii="Times New Roman" w:hAnsi="Times New Roman"/>
          <w:noProof/>
          <w:sz w:val="24"/>
        </w:rPr>
        <w:t>).</w:t>
      </w:r>
    </w:p>
    <w:p>
      <w:pPr>
        <w:spacing w:before="240" w:after="120" w:line="240" w:lineRule="auto"/>
        <w:jc w:val="both"/>
        <w:rPr>
          <w:rFonts w:ascii="Times New Roman" w:eastAsia="Calibri" w:hAnsi="Times New Roman" w:cs="Times New Roman"/>
          <w:b/>
          <w:noProof/>
          <w:sz w:val="24"/>
        </w:rPr>
      </w:pPr>
      <w:r>
        <w:rPr>
          <w:rFonts w:ascii="Times New Roman" w:hAnsi="Times New Roman"/>
          <w:b/>
          <w:noProof/>
          <w:sz w:val="24"/>
        </w:rPr>
        <w:t>2.4. Гарантиране на независимостта на съдебната власт</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Съществуват различни инструменти, които ЕС използва за засилване на зачитането на независимостта на съдебната власт в държавите членки с оглед защитата на функционирането на Съюза.</w:t>
      </w:r>
    </w:p>
    <w:p>
      <w:pPr>
        <w:spacing w:before="240" w:after="120" w:line="240" w:lineRule="auto"/>
        <w:jc w:val="both"/>
        <w:rPr>
          <w:rFonts w:ascii="Times New Roman" w:eastAsia="Calibri" w:hAnsi="Times New Roman" w:cs="Times New Roman"/>
          <w:noProof/>
          <w:sz w:val="24"/>
          <w:szCs w:val="24"/>
        </w:rPr>
      </w:pPr>
      <w:r>
        <w:rPr>
          <w:rFonts w:ascii="Times New Roman" w:hAnsi="Times New Roman"/>
          <w:i/>
          <w:noProof/>
          <w:sz w:val="24"/>
          <w:szCs w:val="24"/>
        </w:rPr>
        <w:t xml:space="preserve">— </w:t>
      </w:r>
      <w:r>
        <w:rPr>
          <w:rFonts w:ascii="Times New Roman" w:hAnsi="Times New Roman"/>
          <w:i/>
          <w:noProof/>
          <w:spacing w:val="-4"/>
          <w:sz w:val="24"/>
          <w:szCs w:val="24"/>
        </w:rPr>
        <w:t>Производства за установяване на нарушение и решения на Съда на Европейския съюз —</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Комисията е ангажирана със следенето на случаи, при които националното право пречи на националните съдебни системи да осигурят ефективно прилагане на правото на ЕС в съответствие с изискванията на принципите на правовата държава и член 47 от Хартата на основните права на ЕС (</w:t>
      </w:r>
      <w:r>
        <w:rPr>
          <w:rFonts w:ascii="Times New Roman" w:eastAsia="Calibri" w:hAnsi="Times New Roman" w:cs="Times New Roman"/>
          <w:noProof/>
          <w:sz w:val="24"/>
          <w:szCs w:val="24"/>
          <w:vertAlign w:val="superscript"/>
        </w:rPr>
        <w:footnoteReference w:id="43"/>
      </w:r>
      <w:r>
        <w:rPr>
          <w:rFonts w:ascii="Times New Roman" w:hAnsi="Times New Roman"/>
          <w:noProof/>
          <w:sz w:val="24"/>
          <w:szCs w:val="24"/>
        </w:rPr>
        <w:t>).</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През септември 2018 г. Комисията реши да предяви иск срещу Полша пред Съда на Европейския съюз заради това, че страната е нарушила принципите за независимост на съдебната власт и несменяемост на съдиите </w:t>
      </w:r>
      <w:r>
        <w:rPr>
          <w:rFonts w:ascii="Times New Roman" w:hAnsi="Times New Roman"/>
          <w:bCs/>
          <w:noProof/>
          <w:sz w:val="24"/>
          <w:szCs w:val="24"/>
        </w:rPr>
        <w:t xml:space="preserve">посредством Закона за Върховния съд </w:t>
      </w:r>
      <w:r>
        <w:rPr>
          <w:rFonts w:ascii="Times New Roman" w:hAnsi="Times New Roman"/>
          <w:noProof/>
          <w:sz w:val="24"/>
          <w:szCs w:val="24"/>
        </w:rPr>
        <w:t>(</w:t>
      </w:r>
      <w:r>
        <w:rPr>
          <w:rFonts w:ascii="Times New Roman" w:eastAsia="Calibri" w:hAnsi="Times New Roman" w:cs="Times New Roman"/>
          <w:noProof/>
          <w:szCs w:val="24"/>
          <w:vertAlign w:val="superscript"/>
        </w:rPr>
        <w:footnoteReference w:id="44"/>
      </w:r>
      <w:r>
        <w:rPr>
          <w:rFonts w:ascii="Times New Roman" w:hAnsi="Times New Roman"/>
          <w:noProof/>
          <w:sz w:val="24"/>
          <w:szCs w:val="24"/>
        </w:rPr>
        <w:t>). Опасенията на Комисията са свързани с внезапното намаляване на задължителната възраст за пенсиониране на съдиите от Върховния съд и предоставянето на дискреционни правомощия на президента на Републиката да удължава активната служба на тези съдии без ясни критерии и без съдебен контрол върху окончателното решение, взето по този повод, като Комисията счита, че е налице нарушение на член 19, параграф 1 от ДЕС във връзка с член 47 от Хартата (</w:t>
      </w:r>
      <w:r>
        <w:rPr>
          <w:rFonts w:ascii="Times New Roman" w:eastAsia="Calibri" w:hAnsi="Times New Roman" w:cs="Times New Roman"/>
          <w:noProof/>
          <w:sz w:val="24"/>
          <w:szCs w:val="24"/>
          <w:vertAlign w:val="superscript"/>
        </w:rPr>
        <w:footnoteReference w:id="45"/>
      </w:r>
      <w:r>
        <w:rPr>
          <w:rFonts w:ascii="Times New Roman" w:hAnsi="Times New Roman"/>
          <w:noProof/>
          <w:sz w:val="24"/>
          <w:szCs w:val="24"/>
        </w:rPr>
        <w:t>). На 17 декември 2018 г. Съдът на Европейския съюз постанови по искане на Комисията временни мерки, разпореждайки на Полша да възстанови положението на Върховния съд отпреди 3 април 2018 г., когато спорният закон влезе в сила, до постановяване на окончателното съдебно решение по делото (</w:t>
      </w:r>
      <w:r>
        <w:rPr>
          <w:rFonts w:ascii="Times New Roman" w:eastAsia="Calibri" w:hAnsi="Times New Roman" w:cs="Times New Roman"/>
          <w:noProof/>
          <w:szCs w:val="24"/>
          <w:vertAlign w:val="superscript"/>
        </w:rPr>
        <w:footnoteReference w:id="46"/>
      </w:r>
      <w:r>
        <w:rPr>
          <w:rFonts w:ascii="Times New Roman" w:hAnsi="Times New Roman"/>
          <w:noProof/>
          <w:sz w:val="24"/>
          <w:szCs w:val="24"/>
        </w:rPr>
        <w:t>). На 1 януари 2019 г. влезе в сила закон, приет от полския парламент в изпълнение на определението на Съда. На 11 април 2019 г. генералният адвокат на Съда на ЕС представи становището си, че Съдът би трябвало да се произнесе, че разпоредбите на полското законодателство, свързани с намаляването на възрастта за пенсиониране на съдии от Върховния съд, са в противоречие с правото на Съюза, тъй като нарушават принципите на несменяемост на съдиите и на независимост на съдебната власт (</w:t>
      </w:r>
      <w:r>
        <w:rPr>
          <w:rStyle w:val="FootnoteReference"/>
          <w:rFonts w:ascii="Times New Roman" w:eastAsia="Calibri" w:hAnsi="Times New Roman" w:cs="Times New Roman"/>
          <w:noProof/>
          <w:sz w:val="24"/>
          <w:szCs w:val="24"/>
        </w:rPr>
        <w:footnoteReference w:id="47"/>
      </w:r>
      <w:r>
        <w:rPr>
          <w:rFonts w:ascii="Times New Roman" w:hAnsi="Times New Roman"/>
          <w:noProof/>
          <w:sz w:val="24"/>
          <w:szCs w:val="24"/>
        </w:rPr>
        <w:t>).</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На 3 април 2019 г. Комисията започна срещу Полша процедура за установяване на нарушение, като изпрати официално уведомително писмо на страната във връзка с новия режим за дисциплинарните производства срещу съдии в общите съдилища, с аргумента, че този режим нарушава независимостта на съдебната власт, като не предоставя на съдиите необходимите гаранции за тяхната защита от политически контрол (</w:t>
      </w:r>
      <w:r>
        <w:rPr>
          <w:rStyle w:val="FootnoteReference"/>
          <w:rFonts w:ascii="Times New Roman" w:eastAsia="Calibri" w:hAnsi="Times New Roman" w:cs="Times New Roman"/>
          <w:noProof/>
          <w:sz w:val="24"/>
          <w:szCs w:val="24"/>
        </w:rPr>
        <w:footnoteReference w:id="48"/>
      </w:r>
      <w:r>
        <w:rPr>
          <w:rFonts w:ascii="Times New Roman" w:hAnsi="Times New Roman"/>
          <w:noProof/>
          <w:sz w:val="24"/>
          <w:szCs w:val="24"/>
        </w:rPr>
        <w:t>).</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Като въпрос, касаещ правото на ЕС, значението на това държавите членки да гарантират независимостта на националните съдилища беше подчертано в неотдавнашната съдебна практика на Съда на Европейския съюз (</w:t>
      </w:r>
      <w:r>
        <w:rPr>
          <w:rFonts w:ascii="Times New Roman" w:eastAsia="Calibri" w:hAnsi="Times New Roman" w:cs="Times New Roman"/>
          <w:noProof/>
          <w:szCs w:val="24"/>
          <w:vertAlign w:val="superscript"/>
        </w:rPr>
        <w:footnoteReference w:id="49"/>
      </w:r>
      <w:r>
        <w:rPr>
          <w:rFonts w:ascii="Times New Roman" w:hAnsi="Times New Roman"/>
          <w:noProof/>
          <w:sz w:val="24"/>
          <w:szCs w:val="24"/>
        </w:rPr>
        <w:t>). По-специално Съдът поясни, че изискването за независимост налага също дисциплинарният режим на лицата, натоварени с правораздаване, да включва необходимите гаранции за пълното избягване на риска от използване на подобен режим като система за политически контрол на съдържанието на съдебните решения (</w:t>
      </w:r>
      <w:r>
        <w:rPr>
          <w:rFonts w:ascii="Times New Roman" w:eastAsia="Calibri" w:hAnsi="Times New Roman" w:cs="Times New Roman"/>
          <w:noProof/>
          <w:sz w:val="24"/>
          <w:szCs w:val="24"/>
          <w:vertAlign w:val="superscript"/>
        </w:rPr>
        <w:footnoteReference w:id="50"/>
      </w:r>
      <w:r>
        <w:rPr>
          <w:rFonts w:ascii="Times New Roman" w:hAnsi="Times New Roman"/>
          <w:noProof/>
          <w:sz w:val="24"/>
          <w:szCs w:val="24"/>
        </w:rPr>
        <w:t>).</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През 2018 г. редица национални съдилища сезираха Съда на Европейския съюз чрез механизма за преюдициални запитвания (член 267 от ДФЕС) с цел да получат разяснения относно изискванията на правото на ЕС по отношение на независимостта на съдебната власт. По-специално Върховният съд на Полша отправи шест такива запитвания (</w:t>
      </w:r>
      <w:r>
        <w:rPr>
          <w:rFonts w:ascii="Times New Roman" w:eastAsia="Calibri" w:hAnsi="Times New Roman" w:cs="Times New Roman"/>
          <w:noProof/>
          <w:sz w:val="24"/>
          <w:szCs w:val="24"/>
          <w:vertAlign w:val="superscript"/>
        </w:rPr>
        <w:footnoteReference w:id="51"/>
      </w:r>
      <w:r>
        <w:rPr>
          <w:rFonts w:ascii="Times New Roman" w:hAnsi="Times New Roman"/>
          <w:noProof/>
          <w:sz w:val="24"/>
          <w:szCs w:val="24"/>
        </w:rPr>
        <w:t>), Върховният административен съд на Полша — едно (</w:t>
      </w:r>
      <w:r>
        <w:rPr>
          <w:rFonts w:ascii="Times New Roman" w:eastAsia="Calibri" w:hAnsi="Times New Roman" w:cs="Times New Roman"/>
          <w:noProof/>
          <w:sz w:val="24"/>
          <w:szCs w:val="24"/>
          <w:vertAlign w:val="superscript"/>
        </w:rPr>
        <w:footnoteReference w:id="52"/>
      </w:r>
      <w:r>
        <w:rPr>
          <w:rFonts w:ascii="Times New Roman" w:hAnsi="Times New Roman"/>
          <w:noProof/>
          <w:sz w:val="24"/>
          <w:szCs w:val="24"/>
        </w:rPr>
        <w:t>), а полските общи съдилища — три (</w:t>
      </w:r>
      <w:r>
        <w:rPr>
          <w:rFonts w:ascii="Times New Roman" w:eastAsia="Calibri" w:hAnsi="Times New Roman" w:cs="Times New Roman"/>
          <w:noProof/>
          <w:sz w:val="24"/>
          <w:szCs w:val="24"/>
          <w:vertAlign w:val="superscript"/>
        </w:rPr>
        <w:footnoteReference w:id="53"/>
      </w:r>
      <w:r>
        <w:rPr>
          <w:rFonts w:ascii="Times New Roman" w:hAnsi="Times New Roman"/>
          <w:noProof/>
          <w:sz w:val="24"/>
          <w:szCs w:val="24"/>
        </w:rPr>
        <w:t>) (</w:t>
      </w:r>
      <w:r>
        <w:rPr>
          <w:rFonts w:ascii="Times New Roman" w:eastAsia="Calibri" w:hAnsi="Times New Roman" w:cs="Times New Roman"/>
          <w:noProof/>
          <w:sz w:val="24"/>
          <w:szCs w:val="24"/>
          <w:vertAlign w:val="superscript"/>
        </w:rPr>
        <w:footnoteReference w:id="54"/>
      </w:r>
      <w:r>
        <w:rPr>
          <w:rFonts w:ascii="Times New Roman" w:hAnsi="Times New Roman"/>
          <w:noProof/>
          <w:sz w:val="24"/>
          <w:szCs w:val="24"/>
        </w:rPr>
        <w:t>).</w:t>
      </w:r>
    </w:p>
    <w:p>
      <w:pPr>
        <w:spacing w:before="240" w:after="120" w:line="240" w:lineRule="auto"/>
        <w:jc w:val="both"/>
        <w:rPr>
          <w:rFonts w:ascii="Times New Roman" w:eastAsia="Calibri" w:hAnsi="Times New Roman" w:cs="Times New Roman"/>
          <w:i/>
          <w:noProof/>
          <w:sz w:val="24"/>
          <w:szCs w:val="24"/>
        </w:rPr>
      </w:pPr>
      <w:r>
        <w:rPr>
          <w:rFonts w:ascii="Times New Roman" w:hAnsi="Times New Roman"/>
          <w:i/>
          <w:noProof/>
          <w:sz w:val="24"/>
          <w:szCs w:val="24"/>
        </w:rPr>
        <w:t>— Процедурата по член 7 от ДЕС</w:t>
      </w:r>
      <w:r>
        <w:rPr>
          <w:rFonts w:ascii="Times New Roman" w:hAnsi="Times New Roman"/>
          <w:i/>
          <w:noProof/>
        </w:rPr>
        <w:t xml:space="preserve"> </w:t>
      </w:r>
      <w:r>
        <w:rPr>
          <w:rFonts w:ascii="Times New Roman" w:hAnsi="Times New Roman"/>
          <w:i/>
          <w:noProof/>
          <w:sz w:val="24"/>
        </w:rPr>
        <w:t>и уредбата за принципите на правовата държава —</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Член 7, параграф 1 от ДЕС предвижда превантивен механизъм, който може да бъде задействан в случай на „очевиден риск от тежко нарушение“ на ценностите, посочени в член 2 от ДЕС, а член 7, параграф 2 от ДЕС предвижда механизъм за санкциониране само в случай на „тежко и продължаващо нарушение от страна на държава членка“ на тези ценности. </w:t>
      </w:r>
      <w:r>
        <w:rPr>
          <w:rFonts w:ascii="Times New Roman" w:hAnsi="Times New Roman"/>
          <w:bCs/>
          <w:noProof/>
          <w:sz w:val="24"/>
          <w:szCs w:val="24"/>
        </w:rPr>
        <w:t>Уредбата за принципите на правовата държава</w:t>
      </w:r>
      <w:r>
        <w:rPr>
          <w:rFonts w:ascii="Times New Roman" w:hAnsi="Times New Roman"/>
          <w:noProof/>
          <w:sz w:val="24"/>
          <w:szCs w:val="24"/>
        </w:rPr>
        <w:t xml:space="preserve"> беше представена от Комисията през 2014 г. (</w:t>
      </w:r>
      <w:r>
        <w:rPr>
          <w:rFonts w:ascii="Times New Roman" w:eastAsia="Calibri" w:hAnsi="Times New Roman" w:cs="Times New Roman"/>
          <w:noProof/>
          <w:sz w:val="24"/>
          <w:szCs w:val="24"/>
          <w:vertAlign w:val="superscript"/>
        </w:rPr>
        <w:footnoteReference w:id="55"/>
      </w:r>
      <w:r>
        <w:rPr>
          <w:rFonts w:ascii="Times New Roman" w:hAnsi="Times New Roman"/>
          <w:noProof/>
          <w:sz w:val="24"/>
          <w:szCs w:val="24"/>
        </w:rPr>
        <w:t>) и нейното значение беше признато от Съда (</w:t>
      </w:r>
      <w:r>
        <w:rPr>
          <w:rFonts w:ascii="Times New Roman" w:eastAsia="Calibri" w:hAnsi="Times New Roman" w:cs="Times New Roman"/>
          <w:noProof/>
          <w:sz w:val="24"/>
          <w:szCs w:val="24"/>
          <w:vertAlign w:val="superscript"/>
        </w:rPr>
        <w:footnoteReference w:id="56"/>
      </w:r>
      <w:r>
        <w:rPr>
          <w:rFonts w:ascii="Times New Roman" w:hAnsi="Times New Roman"/>
          <w:noProof/>
          <w:sz w:val="24"/>
          <w:szCs w:val="24"/>
        </w:rPr>
        <w:t>). В нея се предвижда поетапен процес на диалог със съответната държава членка, структуриран със становища и препоръки от страна на Комисията. Целта е да се предотврати появата на системна заплаха за принципите на правовата държава, която би наложила използването на процедурата по член 7 от ДЕС. Първият, и засега единствен случай, в който Уредбата за принципите на правовата държава бе използвана, е този, когато бе започнат диалог с Полша през януари 2016 г. (</w:t>
      </w:r>
      <w:r>
        <w:rPr>
          <w:rFonts w:ascii="Times New Roman" w:eastAsia="Calibri" w:hAnsi="Times New Roman" w:cs="Times New Roman"/>
          <w:noProof/>
          <w:sz w:val="24"/>
          <w:szCs w:val="24"/>
          <w:vertAlign w:val="superscript"/>
        </w:rPr>
        <w:footnoteReference w:id="57"/>
      </w:r>
      <w:r>
        <w:rPr>
          <w:rFonts w:ascii="Times New Roman" w:hAnsi="Times New Roman"/>
          <w:noProof/>
          <w:sz w:val="24"/>
          <w:szCs w:val="24"/>
        </w:rPr>
        <w:t>). Въпреки че диалогът спомогна за идентифицирането на проблемите и оформянето на дискусиите, той не доведе до преустановяване на установеното незачитане на принципите на правовата държава и през декември 2017 г. Комисията задейства процедурата по член 7, параграф 1 от ДЕС (</w:t>
      </w:r>
      <w:r>
        <w:rPr>
          <w:rFonts w:ascii="Times New Roman" w:eastAsia="Calibri" w:hAnsi="Times New Roman" w:cs="Times New Roman"/>
          <w:noProof/>
          <w:sz w:val="24"/>
          <w:szCs w:val="24"/>
          <w:vertAlign w:val="superscript"/>
        </w:rPr>
        <w:footnoteReference w:id="58"/>
      </w:r>
      <w:r>
        <w:rPr>
          <w:rFonts w:ascii="Times New Roman" w:hAnsi="Times New Roman"/>
          <w:noProof/>
          <w:sz w:val="24"/>
          <w:szCs w:val="24"/>
        </w:rPr>
        <w:t>). На 26 юни, 18 септември и 11 декември 2018 г. Съветът проведе три заседания относно Полша по член 7, параграф 1 от ДЕС.</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На 12 септември 2018 г. Европейският парламент представи мотивирано предложение в съответствие с член 7, параграф 1 от ДЕС за констатация на Съвета, че е налице очевиден риск от тежко нарушение от страна на Унгария на основните ценности на ЕС (</w:t>
      </w:r>
      <w:r>
        <w:rPr>
          <w:rFonts w:ascii="Times New Roman" w:eastAsia="Calibri" w:hAnsi="Times New Roman" w:cs="Times New Roman"/>
          <w:noProof/>
          <w:sz w:val="24"/>
          <w:szCs w:val="24"/>
          <w:vertAlign w:val="superscript"/>
        </w:rPr>
        <w:footnoteReference w:id="59"/>
      </w:r>
      <w:r>
        <w:rPr>
          <w:rFonts w:ascii="Times New Roman" w:hAnsi="Times New Roman"/>
          <w:noProof/>
          <w:sz w:val="24"/>
          <w:szCs w:val="24"/>
        </w:rPr>
        <w:t>).</w:t>
      </w:r>
    </w:p>
    <w:p>
      <w:pPr>
        <w:spacing w:before="120" w:after="120" w:line="240" w:lineRule="auto"/>
        <w:ind w:left="850"/>
        <w:jc w:val="both"/>
        <w:rPr>
          <w:rFonts w:ascii="Times New Roman" w:eastAsia="Times New Roman" w:hAnsi="Times New Roman" w:cs="Times New Roman"/>
          <w:noProof/>
          <w:sz w:val="24"/>
          <w:szCs w:val="24"/>
          <w:lang w:val="en-US"/>
        </w:rPr>
      </w:pPr>
      <w:bookmarkStart w:id="42" w:name="_Toc409512288"/>
      <w:bookmarkStart w:id="43" w:name="_Toc409530215"/>
      <w:bookmarkStart w:id="44" w:name="_Toc438545665"/>
      <w:bookmarkStart w:id="45" w:name="_Toc438548315"/>
      <w:bookmarkStart w:id="46" w:name="_Toc438548501"/>
      <w:bookmarkStart w:id="47" w:name="_Toc440017691"/>
      <w:bookmarkStart w:id="48" w:name="_Toc440018075"/>
      <w:bookmarkStart w:id="49" w:name="_Toc440033373"/>
      <w:bookmarkStart w:id="50" w:name="_Toc440035224"/>
      <w:bookmarkStart w:id="51" w:name="_Toc440036519"/>
      <w:bookmarkStart w:id="52" w:name="_Toc440042461"/>
      <w:bookmarkStart w:id="53" w:name="_Toc440291115"/>
      <w:bookmarkStart w:id="54" w:name="_Toc440294678"/>
      <w:bookmarkStart w:id="55" w:name="_Toc440295180"/>
      <w:bookmarkStart w:id="56" w:name="_Toc440296585"/>
      <w:bookmarkStart w:id="57" w:name="_Toc440625069"/>
      <w:bookmarkStart w:id="58" w:name="_Toc440626399"/>
      <w:bookmarkStart w:id="59" w:name="_Toc440628853"/>
      <w:bookmarkStart w:id="60" w:name="_Toc441571125"/>
      <w:bookmarkStart w:id="61" w:name="_Toc441581627"/>
      <w:bookmarkStart w:id="62" w:name="_Toc441585894"/>
      <w:bookmarkStart w:id="63" w:name="_Toc441595829"/>
      <w:bookmarkStart w:id="64" w:name="_Toc441596006"/>
      <w:bookmarkStart w:id="65" w:name="_Toc441748131"/>
      <w:bookmarkStart w:id="66" w:name="_Toc441755416"/>
      <w:bookmarkStart w:id="67" w:name="_Toc441756453"/>
      <w:bookmarkStart w:id="68" w:name="_Toc441757497"/>
      <w:bookmarkStart w:id="69" w:name="_Toc441766626"/>
      <w:bookmarkStart w:id="70" w:name="_Toc441766965"/>
      <w:bookmarkStart w:id="71" w:name="_Toc442187966"/>
      <w:bookmarkStart w:id="72" w:name="_Toc442262058"/>
      <w:bookmarkStart w:id="73" w:name="_Toc442362465"/>
      <w:bookmarkStart w:id="74" w:name="_Toc442374801"/>
      <w:bookmarkStart w:id="75" w:name="_Toc442425941"/>
      <w:bookmarkStart w:id="76" w:name="_Toc442453067"/>
      <w:bookmarkStart w:id="77" w:name="_Toc443484747"/>
      <w:bookmarkStart w:id="78" w:name="_Toc443509488"/>
      <w:bookmarkStart w:id="79" w:name="_Toc446014817"/>
      <w:r>
        <w:rPr>
          <w:noProof/>
        </w:rPr>
        <w:br w:type="page"/>
      </w:r>
    </w:p>
    <w:p>
      <w:pPr>
        <w:keepNext/>
        <w:tabs>
          <w:tab w:val="left" w:pos="850"/>
        </w:tabs>
        <w:spacing w:before="360" w:after="120" w:line="240" w:lineRule="auto"/>
        <w:ind w:left="850" w:hanging="850"/>
        <w:jc w:val="both"/>
        <w:outlineLvl w:val="0"/>
        <w:rPr>
          <w:rFonts w:ascii="Times New Roman" w:eastAsia="Times New Roman" w:hAnsi="Times New Roman" w:cs="Times New Roman"/>
          <w:b/>
          <w:smallCaps/>
          <w:noProof/>
          <w:sz w:val="24"/>
          <w:szCs w:val="24"/>
        </w:rPr>
      </w:pPr>
      <w:r>
        <w:rPr>
          <w:rFonts w:ascii="Times New Roman" w:hAnsi="Times New Roman"/>
          <w:b/>
          <w:smallCaps/>
          <w:noProof/>
          <w:sz w:val="24"/>
          <w:szCs w:val="24"/>
        </w:rPr>
        <w:t>3.</w:t>
      </w:r>
      <w:r>
        <w:rPr>
          <w:rFonts w:ascii="Times New Roman" w:hAnsi="Times New Roman"/>
          <w:b/>
          <w:smallCaps/>
          <w:noProof/>
          <w:sz w:val="24"/>
          <w:szCs w:val="24"/>
        </w:rPr>
        <w:tab/>
        <w:t>Основни констатации от Информационното табло на ЕС в областта на правосъдието за 2019 г.</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pPr>
        <w:spacing w:after="120" w:line="240" w:lineRule="auto"/>
        <w:jc w:val="both"/>
        <w:rPr>
          <w:rFonts w:ascii="Times New Roman" w:eastAsia="Calibri" w:hAnsi="Times New Roman" w:cs="Times New Roman"/>
          <w:noProof/>
          <w:sz w:val="24"/>
        </w:rPr>
      </w:pPr>
      <w:r>
        <w:rPr>
          <w:rFonts w:ascii="Times New Roman" w:hAnsi="Times New Roman"/>
          <w:noProof/>
          <w:sz w:val="24"/>
        </w:rPr>
        <w:t>Ефикасността, качеството и независимостта са основните параметри за наличието на ефективна правосъдна система и в Информационното табло са представени показатели и за трите параметъра.</w:t>
      </w:r>
    </w:p>
    <w:p>
      <w:pPr>
        <w:keepNext/>
        <w:spacing w:before="240" w:after="120" w:line="240" w:lineRule="auto"/>
        <w:jc w:val="both"/>
        <w:outlineLvl w:val="1"/>
        <w:rPr>
          <w:rFonts w:ascii="Times New Roman" w:eastAsia="Times New Roman" w:hAnsi="Times New Roman" w:cs="Times New Roman"/>
          <w:b/>
          <w:bCs/>
          <w:iCs/>
          <w:noProof/>
          <w:sz w:val="24"/>
          <w:szCs w:val="28"/>
        </w:rPr>
      </w:pPr>
      <w:bookmarkStart w:id="80" w:name="_Toc409512289"/>
      <w:bookmarkStart w:id="81" w:name="_Toc409530217"/>
      <w:bookmarkStart w:id="82" w:name="_Toc438545667"/>
      <w:bookmarkStart w:id="83" w:name="_Toc438548317"/>
      <w:bookmarkStart w:id="84" w:name="_Toc438548503"/>
      <w:bookmarkStart w:id="85" w:name="_Toc440017693"/>
      <w:bookmarkStart w:id="86" w:name="_Toc440018077"/>
      <w:bookmarkStart w:id="87" w:name="_Toc440033375"/>
      <w:bookmarkStart w:id="88" w:name="_Toc440035226"/>
      <w:bookmarkStart w:id="89" w:name="_Toc440036521"/>
      <w:bookmarkStart w:id="90" w:name="_Toc440042463"/>
      <w:bookmarkStart w:id="91" w:name="_Toc440291116"/>
      <w:bookmarkStart w:id="92" w:name="_Toc440294679"/>
      <w:bookmarkStart w:id="93" w:name="_Toc440295181"/>
      <w:bookmarkStart w:id="94" w:name="_Toc440296586"/>
      <w:bookmarkStart w:id="95" w:name="_Toc440625070"/>
      <w:bookmarkStart w:id="96" w:name="_Toc440626400"/>
      <w:bookmarkStart w:id="97" w:name="_Toc440628854"/>
      <w:bookmarkStart w:id="98" w:name="_Toc441571126"/>
      <w:bookmarkStart w:id="99" w:name="_Toc441581628"/>
      <w:bookmarkStart w:id="100" w:name="_Toc441585895"/>
      <w:bookmarkStart w:id="101" w:name="_Toc441595830"/>
      <w:bookmarkStart w:id="102" w:name="_Toc441596007"/>
      <w:bookmarkStart w:id="103" w:name="_Toc441748132"/>
      <w:bookmarkStart w:id="104" w:name="_Toc441755417"/>
      <w:bookmarkStart w:id="105" w:name="_Toc441756454"/>
      <w:bookmarkStart w:id="106" w:name="_Toc441757498"/>
      <w:bookmarkStart w:id="107" w:name="_Toc441766627"/>
      <w:bookmarkStart w:id="108" w:name="_Toc441766966"/>
      <w:bookmarkStart w:id="109" w:name="_Toc442187967"/>
      <w:bookmarkStart w:id="110" w:name="_Toc442262059"/>
      <w:bookmarkStart w:id="111" w:name="_Toc442362466"/>
      <w:bookmarkStart w:id="112" w:name="_Toc442374802"/>
      <w:bookmarkStart w:id="113" w:name="_Toc442425942"/>
      <w:bookmarkStart w:id="114" w:name="_Toc442453068"/>
      <w:bookmarkStart w:id="115" w:name="_Toc443484748"/>
      <w:bookmarkStart w:id="116" w:name="_Toc443509489"/>
      <w:bookmarkStart w:id="117" w:name="_Toc446014818"/>
      <w:r>
        <w:rPr>
          <w:rFonts w:ascii="Times New Roman" w:hAnsi="Times New Roman"/>
          <w:b/>
          <w:bCs/>
          <w:iCs/>
          <w:noProof/>
          <w:sz w:val="24"/>
          <w:szCs w:val="28"/>
        </w:rPr>
        <w:t>3.1. Ефикасност на правосъдните системи</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pPr>
        <w:spacing w:after="120" w:line="240" w:lineRule="auto"/>
        <w:jc w:val="both"/>
        <w:rPr>
          <w:rFonts w:ascii="Times New Roman" w:eastAsia="Times New Roman" w:hAnsi="Times New Roman" w:cs="Times New Roman"/>
          <w:noProof/>
          <w:sz w:val="24"/>
          <w:szCs w:val="24"/>
        </w:rPr>
      </w:pPr>
      <w:bookmarkStart w:id="118" w:name="_Toc409530218"/>
      <w:bookmarkStart w:id="119" w:name="_Toc438545668"/>
      <w:bookmarkStart w:id="120" w:name="_Toc438548318"/>
      <w:bookmarkStart w:id="121" w:name="_Toc438548504"/>
      <w:bookmarkStart w:id="122" w:name="_Toc440017694"/>
      <w:bookmarkStart w:id="123" w:name="_Toc440018078"/>
      <w:bookmarkStart w:id="124" w:name="_Toc440033376"/>
      <w:bookmarkStart w:id="125" w:name="_Toc440035227"/>
      <w:bookmarkStart w:id="126" w:name="_Toc440036522"/>
      <w:bookmarkStart w:id="127" w:name="_Toc440042464"/>
      <w:r>
        <w:rPr>
          <w:rFonts w:ascii="Times New Roman" w:hAnsi="Times New Roman"/>
          <w:noProof/>
          <w:sz w:val="24"/>
          <w:szCs w:val="24"/>
        </w:rPr>
        <w:t>В Информационното табло са представени показатели за ефикасността на производствата в областта на гражданското, търговското и административното право в широк смисъл, както и в специфични области, в които административните органи и съдилищата прилагат правото на ЕС (</w:t>
      </w:r>
      <w:r>
        <w:rPr>
          <w:rFonts w:ascii="Times New Roman" w:eastAsia="Times New Roman" w:hAnsi="Times New Roman" w:cs="Times New Roman"/>
          <w:noProof/>
          <w:sz w:val="24"/>
          <w:szCs w:val="24"/>
          <w:vertAlign w:val="superscript"/>
        </w:rPr>
        <w:footnoteReference w:id="60"/>
      </w:r>
      <w:r>
        <w:rPr>
          <w:rFonts w:ascii="Times New Roman" w:hAnsi="Times New Roman"/>
          <w:noProof/>
          <w:sz w:val="24"/>
          <w:szCs w:val="24"/>
        </w:rPr>
        <w:t>).</w:t>
      </w:r>
    </w:p>
    <w:p>
      <w:pPr>
        <w:keepNext/>
        <w:spacing w:before="240" w:after="120" w:line="240" w:lineRule="auto"/>
        <w:jc w:val="both"/>
        <w:outlineLvl w:val="2"/>
        <w:rPr>
          <w:rFonts w:ascii="Times New Roman" w:eastAsia="Calibri" w:hAnsi="Times New Roman" w:cs="Times New Roman"/>
          <w:b/>
          <w:noProof/>
          <w:sz w:val="24"/>
          <w:szCs w:val="24"/>
        </w:rPr>
      </w:pPr>
      <w:r>
        <w:rPr>
          <w:rFonts w:ascii="Times New Roman" w:hAnsi="Times New Roman"/>
          <w:b/>
          <w:noProof/>
          <w:sz w:val="24"/>
          <w:szCs w:val="24"/>
        </w:rPr>
        <w:t xml:space="preserve">3.1.1. </w:t>
      </w:r>
      <w:r>
        <w:rPr>
          <w:rFonts w:ascii="Times New Roman" w:hAnsi="Times New Roman"/>
          <w:b/>
          <w:bCs/>
          <w:noProof/>
          <w:sz w:val="24"/>
          <w:szCs w:val="24"/>
        </w:rPr>
        <w:t>Развитие във връзка с натовареността на съдилищата</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Натовареността на правосъдните системи на държавите членки е висока и остава стабилна, въпреки че нивото ѝ варира значително между отделните държави членки (графика 2). Това показва колко е важно да продължат да се полагат усилия за гарантиране на ефективността на правосъдната система.</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Графика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w:t>
      </w:r>
      <w:r>
        <w:rPr>
          <w:rFonts w:ascii="Times New Roman" w:eastAsia="Calibri" w:hAnsi="Times New Roman" w:cs="Times New Roman"/>
          <w:b/>
          <w:noProof/>
          <w:sz w:val="24"/>
        </w:rPr>
        <w:fldChar w:fldCharType="end"/>
      </w:r>
      <w:r>
        <w:rPr>
          <w:rFonts w:ascii="Times New Roman" w:hAnsi="Times New Roman"/>
          <w:b/>
          <w:noProof/>
          <w:sz w:val="24"/>
        </w:rPr>
        <w:t xml:space="preserve">: Брой на новозаведените </w:t>
      </w:r>
      <w:r>
        <w:rPr>
          <w:rFonts w:ascii="Times New Roman" w:hAnsi="Times New Roman"/>
          <w:b/>
          <w:noProof/>
          <w:sz w:val="24"/>
          <w:u w:val="single"/>
        </w:rPr>
        <w:t>граждански, търговски, административни и други дела</w:t>
      </w:r>
      <w:r>
        <w:rPr>
          <w:rFonts w:ascii="Times New Roman" w:hAnsi="Times New Roman"/>
          <w:noProof/>
          <w:sz w:val="24"/>
        </w:rPr>
        <w:t xml:space="preserve"> (</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(на първа инстанция/на 100 жители) (източник: проучване на CEPEJ (</w:t>
      </w:r>
      <w:r>
        <w:rPr>
          <w:rFonts w:ascii="Times New Roman" w:eastAsia="Calibri" w:hAnsi="Times New Roman" w:cs="Times New Roman"/>
          <w:noProof/>
          <w:vertAlign w:val="superscript"/>
        </w:rPr>
        <w:footnoteReference w:id="61"/>
      </w:r>
      <w:r>
        <w:rPr>
          <w:rFonts w:ascii="Times New Roman" w:hAnsi="Times New Roman"/>
          <w:i/>
          <w:noProof/>
          <w:sz w:val="24"/>
        </w:rPr>
        <w:t>)</w:t>
      </w:r>
    </w:p>
    <w:p>
      <w:pPr>
        <w:spacing w:after="0" w:line="240" w:lineRule="auto"/>
        <w:jc w:val="both"/>
        <w:rPr>
          <w:rFonts w:ascii="Times New Roman" w:eastAsia="Calibri" w:hAnsi="Times New Roman" w:cs="Times New Roman"/>
          <w:i/>
          <w:noProof/>
          <w:sz w:val="20"/>
        </w:rPr>
      </w:pPr>
      <w:r>
        <w:rPr>
          <w:noProof/>
          <w:lang w:val="en-GB" w:eastAsia="en-GB"/>
        </w:rPr>
        <w:drawing>
          <wp:inline distT="0" distB="0" distL="0" distR="0">
            <wp:extent cx="5977255" cy="2633019"/>
            <wp:effectExtent l="0" t="0" r="4445" b="0"/>
            <wp:docPr id="97318" name="Picture 97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7255" cy="2633019"/>
                    </a:xfrm>
                    <a:prstGeom prst="rect">
                      <a:avLst/>
                    </a:prstGeom>
                    <a:noFill/>
                    <a:ln>
                      <a:noFill/>
                    </a:ln>
                  </pic:spPr>
                </pic:pic>
              </a:graphicData>
            </a:graphic>
          </wp:inline>
        </w:drawing>
      </w:r>
      <w:r>
        <w:rPr>
          <w:rFonts w:ascii="Times New Roman" w:hAnsi="Times New Roman"/>
          <w:i/>
          <w:noProof/>
          <w:sz w:val="20"/>
        </w:rPr>
        <w:t>(*) Съгласно методиката на CEPEJ тази категория включва всички спорни и безспорни производства по граждански и търговски дела, безспорните производства във връзка с поземлените и търговските регистри, други дела във връзка с регистрите, други безспорни производства, административни дела и други дела, които не са наказателноправни. Методиката съдържа промени в SK.</w:t>
      </w:r>
    </w:p>
    <w:p>
      <w:pPr>
        <w:spacing w:after="0" w:line="240" w:lineRule="auto"/>
        <w:jc w:val="both"/>
        <w:rPr>
          <w:rFonts w:ascii="Times New Roman" w:eastAsia="Calibri" w:hAnsi="Times New Roman" w:cs="Times New Roman"/>
          <w:i/>
          <w:noProof/>
          <w:sz w:val="20"/>
        </w:rPr>
      </w:pPr>
    </w:p>
    <w:p>
      <w:pPr>
        <w:keepNext/>
        <w:spacing w:before="240" w:after="120" w:line="240" w:lineRule="auto"/>
        <w:jc w:val="both"/>
        <w:rPr>
          <w:rFonts w:ascii="Times New Roman" w:eastAsia="Calibri" w:hAnsi="Times New Roman" w:cs="Times New Roman"/>
          <w:b/>
          <w:noProof/>
          <w:sz w:val="24"/>
        </w:rPr>
      </w:pPr>
      <w:r>
        <w:rPr>
          <w:rFonts w:ascii="Times New Roman" w:hAnsi="Times New Roman"/>
          <w:b/>
          <w:noProof/>
          <w:sz w:val="24"/>
        </w:rPr>
        <w:t>Графика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3</w:t>
      </w:r>
      <w:r>
        <w:rPr>
          <w:rFonts w:ascii="Times New Roman" w:eastAsia="Calibri" w:hAnsi="Times New Roman" w:cs="Times New Roman"/>
          <w:b/>
          <w:noProof/>
          <w:sz w:val="24"/>
        </w:rPr>
        <w:fldChar w:fldCharType="end"/>
      </w:r>
      <w:r>
        <w:rPr>
          <w:rFonts w:ascii="Times New Roman" w:hAnsi="Times New Roman"/>
          <w:b/>
          <w:noProof/>
          <w:sz w:val="24"/>
        </w:rPr>
        <w:t xml:space="preserve">: Брой на новозаведените </w:t>
      </w:r>
      <w:r>
        <w:rPr>
          <w:rFonts w:ascii="Times New Roman" w:hAnsi="Times New Roman"/>
          <w:b/>
          <w:noProof/>
          <w:sz w:val="24"/>
          <w:u w:val="single"/>
        </w:rPr>
        <w:t>спорни граждански и търговски производства</w:t>
      </w:r>
      <w:r>
        <w:rPr>
          <w:rFonts w:ascii="Times New Roman" w:hAnsi="Times New Roman"/>
          <w:b/>
          <w:noProof/>
          <w:sz w:val="24"/>
        </w:rPr>
        <w:t xml:space="preserve"> </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(на първа инстанция/на 100 жители) (източник: проучване на CEPEJ)</w:t>
      </w:r>
    </w:p>
    <w:p>
      <w:pPr>
        <w:spacing w:after="0" w:line="240" w:lineRule="auto"/>
        <w:rPr>
          <w:rFonts w:ascii="Times New Roman" w:eastAsia="Calibri" w:hAnsi="Times New Roman" w:cs="Times New Roman"/>
          <w:noProof/>
          <w:sz w:val="20"/>
        </w:rPr>
      </w:pPr>
      <w:r>
        <w:rPr>
          <w:noProof/>
          <w:lang w:val="en-GB" w:eastAsia="en-GB"/>
        </w:rPr>
        <w:drawing>
          <wp:inline distT="0" distB="0" distL="0" distR="0">
            <wp:extent cx="5977255" cy="2650569"/>
            <wp:effectExtent l="0" t="0" r="4445" b="0"/>
            <wp:docPr id="97319" name="Picture 97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77255" cy="2650569"/>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sz w:val="20"/>
        </w:rPr>
      </w:pPr>
      <w:r>
        <w:rPr>
          <w:rFonts w:ascii="Times New Roman" w:hAnsi="Times New Roman"/>
          <w:i/>
          <w:noProof/>
          <w:sz w:val="20"/>
        </w:rPr>
        <w:t xml:space="preserve">(*) Съгласно методиката на CEPEJ спорните производства по граждански/търговски дела се отнасят до спорове между страните, например спорове във връзка с договори. Безспорните производства по граждански/търговски дела се отнасят до производства, при които няма оспорване, напр. неоспорвани заповеди за плащане. Методиката съдържа промени в </w:t>
      </w:r>
      <w:r>
        <w:rPr>
          <w:rFonts w:ascii="Times New Roman" w:hAnsi="Times New Roman"/>
          <w:b/>
          <w:i/>
          <w:noProof/>
          <w:sz w:val="20"/>
        </w:rPr>
        <w:t>EL</w:t>
      </w:r>
      <w:r>
        <w:rPr>
          <w:rFonts w:ascii="Times New Roman" w:hAnsi="Times New Roman"/>
          <w:i/>
          <w:noProof/>
          <w:sz w:val="20"/>
        </w:rPr>
        <w:t xml:space="preserve"> и </w:t>
      </w:r>
      <w:r>
        <w:rPr>
          <w:rFonts w:ascii="Times New Roman" w:hAnsi="Times New Roman"/>
          <w:b/>
          <w:i/>
          <w:noProof/>
          <w:sz w:val="20"/>
        </w:rPr>
        <w:t>SK</w:t>
      </w:r>
      <w:r>
        <w:rPr>
          <w:rFonts w:ascii="Times New Roman" w:hAnsi="Times New Roman"/>
          <w:i/>
          <w:noProof/>
          <w:sz w:val="20"/>
        </w:rPr>
        <w:t xml:space="preserve">. Данните за </w:t>
      </w:r>
      <w:r>
        <w:rPr>
          <w:rFonts w:ascii="Times New Roman" w:hAnsi="Times New Roman"/>
          <w:b/>
          <w:i/>
          <w:noProof/>
          <w:sz w:val="20"/>
        </w:rPr>
        <w:t>NL</w:t>
      </w:r>
      <w:r>
        <w:rPr>
          <w:rFonts w:ascii="Times New Roman" w:hAnsi="Times New Roman"/>
          <w:i/>
          <w:noProof/>
          <w:sz w:val="20"/>
        </w:rPr>
        <w:t xml:space="preserve"> включват безспорните производства.</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 xml:space="preserve">Графика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w:t>
      </w:r>
      <w:r>
        <w:rPr>
          <w:rFonts w:ascii="Times New Roman" w:eastAsia="Calibri" w:hAnsi="Times New Roman" w:cs="Times New Roman"/>
          <w:b/>
          <w:noProof/>
          <w:sz w:val="24"/>
        </w:rPr>
        <w:fldChar w:fldCharType="end"/>
      </w:r>
      <w:r>
        <w:rPr>
          <w:rFonts w:ascii="Times New Roman" w:hAnsi="Times New Roman"/>
          <w:b/>
          <w:noProof/>
          <w:sz w:val="24"/>
        </w:rPr>
        <w:t xml:space="preserve">: Брой на новозаведените </w:t>
      </w:r>
      <w:r>
        <w:rPr>
          <w:rFonts w:ascii="Times New Roman" w:hAnsi="Times New Roman"/>
          <w:b/>
          <w:noProof/>
          <w:sz w:val="24"/>
          <w:u w:val="single"/>
        </w:rPr>
        <w:t>административни дела</w:t>
      </w:r>
      <w:r>
        <w:rPr>
          <w:rFonts w:ascii="Times New Roman" w:hAnsi="Times New Roman"/>
          <w:b/>
          <w:noProof/>
          <w:sz w:val="24"/>
        </w:rPr>
        <w:t xml:space="preserve"> </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(на първа инстанция/на 100 жители) (източник: проучване на CEPEJ)</w:t>
      </w:r>
    </w:p>
    <w:p>
      <w:pPr>
        <w:keepNext/>
        <w:spacing w:after="0" w:line="240" w:lineRule="auto"/>
        <w:jc w:val="both"/>
        <w:rPr>
          <w:rFonts w:ascii="Times New Roman" w:eastAsia="Times New Roman" w:hAnsi="Times New Roman" w:cs="Times New Roman"/>
          <w:b/>
          <w:noProof/>
          <w:sz w:val="24"/>
          <w:szCs w:val="24"/>
        </w:rPr>
      </w:pPr>
      <w:r>
        <w:rPr>
          <w:noProof/>
          <w:lang w:val="en-GB" w:eastAsia="en-GB"/>
        </w:rPr>
        <w:drawing>
          <wp:inline distT="0" distB="0" distL="0" distR="0">
            <wp:extent cx="5977255" cy="2686380"/>
            <wp:effectExtent l="0" t="0" r="4445" b="0"/>
            <wp:docPr id="97320" name="Picture 9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77255" cy="2686380"/>
                    </a:xfrm>
                    <a:prstGeom prst="rect">
                      <a:avLst/>
                    </a:prstGeom>
                    <a:noFill/>
                    <a:ln>
                      <a:noFill/>
                    </a:ln>
                  </pic:spPr>
                </pic:pic>
              </a:graphicData>
            </a:graphic>
          </wp:inline>
        </w:drawing>
      </w:r>
      <w:r>
        <w:rPr>
          <w:rFonts w:ascii="Times New Roman" w:hAnsi="Times New Roman"/>
          <w:i/>
          <w:noProof/>
          <w:sz w:val="20"/>
          <w:szCs w:val="20"/>
        </w:rPr>
        <w:t>(*)</w:t>
      </w:r>
      <w:r>
        <w:rPr>
          <w:rFonts w:ascii="Times New Roman" w:hAnsi="Times New Roman"/>
          <w:i/>
          <w:noProof/>
          <w:sz w:val="20"/>
        </w:rPr>
        <w:t xml:space="preserve"> Съгласно методиката на CEPEJ административните дела се отнасят до спорове между граждани и местни, областни или национални органи. Методиката съдържа промени в </w:t>
      </w:r>
      <w:r>
        <w:rPr>
          <w:rFonts w:ascii="Times New Roman" w:hAnsi="Times New Roman"/>
          <w:b/>
          <w:i/>
          <w:noProof/>
          <w:sz w:val="20"/>
        </w:rPr>
        <w:t>EL</w:t>
      </w:r>
      <w:r>
        <w:rPr>
          <w:rFonts w:ascii="Times New Roman" w:hAnsi="Times New Roman"/>
          <w:i/>
          <w:noProof/>
          <w:sz w:val="20"/>
        </w:rPr>
        <w:t xml:space="preserve"> и </w:t>
      </w:r>
      <w:r>
        <w:rPr>
          <w:rFonts w:ascii="Times New Roman" w:hAnsi="Times New Roman"/>
          <w:b/>
          <w:i/>
          <w:noProof/>
          <w:sz w:val="20"/>
        </w:rPr>
        <w:t>SK</w:t>
      </w:r>
      <w:r>
        <w:rPr>
          <w:rFonts w:ascii="Times New Roman" w:hAnsi="Times New Roman"/>
          <w:i/>
          <w:noProof/>
          <w:sz w:val="20"/>
        </w:rPr>
        <w:t xml:space="preserve">. </w:t>
      </w:r>
      <w:r>
        <w:rPr>
          <w:rFonts w:ascii="Times New Roman" w:hAnsi="Times New Roman"/>
          <w:b/>
          <w:i/>
          <w:noProof/>
          <w:sz w:val="20"/>
        </w:rPr>
        <w:t>DK</w:t>
      </w:r>
      <w:r>
        <w:rPr>
          <w:rFonts w:ascii="Times New Roman" w:hAnsi="Times New Roman"/>
          <w:i/>
          <w:noProof/>
          <w:sz w:val="20"/>
        </w:rPr>
        <w:t xml:space="preserve"> и </w:t>
      </w:r>
      <w:r>
        <w:rPr>
          <w:rFonts w:ascii="Times New Roman" w:hAnsi="Times New Roman"/>
          <w:b/>
          <w:i/>
          <w:noProof/>
          <w:sz w:val="20"/>
        </w:rPr>
        <w:t>IE</w:t>
      </w:r>
      <w:r>
        <w:rPr>
          <w:rFonts w:ascii="Times New Roman" w:hAnsi="Times New Roman"/>
          <w:i/>
          <w:noProof/>
          <w:sz w:val="20"/>
        </w:rPr>
        <w:t xml:space="preserve"> не отчитат административните дела отделно.</w:t>
      </w:r>
      <w:bookmarkStart w:id="128" w:name="_Toc440291117"/>
      <w:bookmarkStart w:id="129" w:name="_Toc440294680"/>
      <w:bookmarkStart w:id="130" w:name="_Toc440295182"/>
      <w:bookmarkStart w:id="131" w:name="_Toc440296587"/>
      <w:bookmarkStart w:id="132" w:name="_Toc440625071"/>
      <w:bookmarkStart w:id="133" w:name="_Toc440626401"/>
      <w:bookmarkStart w:id="134" w:name="_Toc440628855"/>
      <w:bookmarkStart w:id="135" w:name="_Toc441571127"/>
      <w:bookmarkStart w:id="136" w:name="_Toc441581629"/>
      <w:bookmarkStart w:id="137" w:name="_Toc441585896"/>
      <w:bookmarkStart w:id="138" w:name="_Toc441595831"/>
      <w:bookmarkStart w:id="139" w:name="_Toc441596008"/>
      <w:bookmarkStart w:id="140" w:name="_Toc441748133"/>
      <w:bookmarkStart w:id="141" w:name="_Toc441755418"/>
      <w:bookmarkStart w:id="142" w:name="_Toc441756455"/>
      <w:bookmarkStart w:id="143" w:name="_Toc441757499"/>
      <w:bookmarkStart w:id="144" w:name="_Toc441766628"/>
      <w:bookmarkStart w:id="145" w:name="_Toc441766967"/>
      <w:bookmarkStart w:id="146" w:name="_Toc442187968"/>
      <w:bookmarkStart w:id="147" w:name="_Toc442262060"/>
      <w:bookmarkStart w:id="148" w:name="_Toc442362467"/>
      <w:bookmarkStart w:id="149" w:name="_Toc442374803"/>
      <w:bookmarkStart w:id="150" w:name="_Toc442425943"/>
      <w:bookmarkStart w:id="151" w:name="_Toc442453069"/>
      <w:bookmarkStart w:id="152" w:name="_Toc443484749"/>
      <w:bookmarkStart w:id="153" w:name="_Toc443509490"/>
      <w:bookmarkStart w:id="154" w:name="_Toc446014819"/>
      <w:bookmarkEnd w:id="118"/>
      <w:bookmarkEnd w:id="119"/>
      <w:bookmarkEnd w:id="120"/>
      <w:bookmarkEnd w:id="121"/>
      <w:bookmarkEnd w:id="122"/>
      <w:bookmarkEnd w:id="123"/>
      <w:bookmarkEnd w:id="124"/>
      <w:bookmarkEnd w:id="125"/>
      <w:bookmarkEnd w:id="126"/>
      <w:bookmarkEnd w:id="127"/>
      <w:r>
        <w:rPr>
          <w:noProof/>
        </w:rPr>
        <w:br w:type="page"/>
      </w:r>
    </w:p>
    <w:p>
      <w:pPr>
        <w:keepNext/>
        <w:spacing w:before="240" w:after="120" w:line="240" w:lineRule="auto"/>
        <w:jc w:val="both"/>
        <w:outlineLvl w:val="2"/>
        <w:rPr>
          <w:rFonts w:ascii="Times New Roman" w:eastAsia="Calibri" w:hAnsi="Times New Roman" w:cs="Times New Roman"/>
          <w:b/>
          <w:noProof/>
          <w:sz w:val="24"/>
          <w:szCs w:val="24"/>
        </w:rPr>
      </w:pPr>
      <w:r>
        <w:rPr>
          <w:rFonts w:ascii="Times New Roman" w:hAnsi="Times New Roman"/>
          <w:b/>
          <w:noProof/>
          <w:sz w:val="24"/>
          <w:szCs w:val="24"/>
        </w:rPr>
        <w:t>3.</w:t>
      </w:r>
      <w:r>
        <w:rPr>
          <w:rFonts w:ascii="Times New Roman" w:hAnsi="Times New Roman"/>
          <w:b/>
          <w:noProof/>
          <w:sz w:val="24"/>
          <w:szCs w:val="24"/>
          <w:lang w:val="en-US"/>
        </w:rPr>
        <w:t>1</w:t>
      </w:r>
      <w:r>
        <w:rPr>
          <w:rFonts w:ascii="Times New Roman" w:hAnsi="Times New Roman"/>
          <w:b/>
          <w:noProof/>
          <w:sz w:val="24"/>
          <w:szCs w:val="24"/>
        </w:rPr>
        <w:t>.</w:t>
      </w:r>
      <w:r>
        <w:rPr>
          <w:rFonts w:ascii="Times New Roman" w:hAnsi="Times New Roman"/>
          <w:b/>
          <w:noProof/>
          <w:sz w:val="24"/>
          <w:szCs w:val="24"/>
          <w:lang w:val="en-US"/>
        </w:rPr>
        <w:t>2</w:t>
      </w:r>
      <w:r>
        <w:rPr>
          <w:rFonts w:ascii="Times New Roman" w:hAnsi="Times New Roman"/>
          <w:b/>
          <w:noProof/>
          <w:sz w:val="24"/>
          <w:szCs w:val="24"/>
        </w:rPr>
        <w:t xml:space="preserve">. </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Pr>
          <w:rFonts w:ascii="Times New Roman" w:hAnsi="Times New Roman"/>
          <w:b/>
          <w:noProof/>
          <w:sz w:val="24"/>
          <w:szCs w:val="24"/>
        </w:rPr>
        <w:t>Общи данни за ефикасността</w:t>
      </w:r>
    </w:p>
    <w:p>
      <w:pPr>
        <w:spacing w:after="120" w:line="240" w:lineRule="auto"/>
        <w:jc w:val="both"/>
        <w:rPr>
          <w:rFonts w:ascii="Times New Roman" w:eastAsia="Calibri" w:hAnsi="Times New Roman" w:cs="Times New Roman"/>
          <w:i/>
          <w:noProof/>
          <w:sz w:val="24"/>
          <w:szCs w:val="24"/>
        </w:rPr>
      </w:pPr>
      <w:r>
        <w:rPr>
          <w:rFonts w:ascii="Times New Roman" w:hAnsi="Times New Roman"/>
          <w:noProof/>
          <w:sz w:val="24"/>
          <w:szCs w:val="24"/>
        </w:rPr>
        <w:t>Показателите относно ефикасността на производствата по граждански, търговски и административни дела в широк смисъл са: продължителност на производствата (необходимо време за разглеждане на висящите дела); дял на приключените производства; брой висящи дела.</w:t>
      </w:r>
    </w:p>
    <w:p>
      <w:pPr>
        <w:keepNext/>
        <w:tabs>
          <w:tab w:val="left" w:pos="850"/>
        </w:tabs>
        <w:spacing w:before="240" w:after="120" w:line="240" w:lineRule="auto"/>
        <w:ind w:left="720" w:hanging="720"/>
        <w:jc w:val="both"/>
        <w:outlineLvl w:val="2"/>
        <w:rPr>
          <w:rFonts w:ascii="Times New Roman" w:eastAsia="Times New Roman" w:hAnsi="Times New Roman" w:cs="Times New Roman"/>
          <w:i/>
          <w:noProof/>
          <w:sz w:val="24"/>
          <w:szCs w:val="24"/>
        </w:rPr>
      </w:pPr>
      <w:r>
        <w:rPr>
          <w:rFonts w:ascii="Times New Roman" w:hAnsi="Times New Roman"/>
          <w:i/>
          <w:noProof/>
          <w:sz w:val="24"/>
          <w:szCs w:val="24"/>
        </w:rPr>
        <w:t>— Продължителност на производствата —</w:t>
      </w:r>
    </w:p>
    <w:p>
      <w:pPr>
        <w:spacing w:after="120" w:line="240" w:lineRule="auto"/>
        <w:jc w:val="both"/>
        <w:rPr>
          <w:rFonts w:ascii="Times New Roman" w:eastAsia="Times New Roman" w:hAnsi="Times New Roman" w:cs="Times New Roman"/>
          <w:noProof/>
          <w:spacing w:val="-4"/>
          <w:sz w:val="24"/>
          <w:szCs w:val="24"/>
        </w:rPr>
      </w:pPr>
      <w:r>
        <w:rPr>
          <w:rFonts w:ascii="Times New Roman" w:hAnsi="Times New Roman"/>
          <w:noProof/>
          <w:spacing w:val="-4"/>
          <w:sz w:val="24"/>
          <w:szCs w:val="24"/>
        </w:rPr>
        <w:t>Продължителността на производствата изразява времето (в дни), което се смята за необходимо за решаване на делото от съда, т.е. времето, което е било нужно на съда да вземе решение на първа инстанция. Показателят „необходимо време за разглеждане на висящите дела“ съответства на броя на нерешените дела, разделен на броя на решените дела в края на годината и умножен по 365 дни (</w:t>
      </w:r>
      <w:r>
        <w:rPr>
          <w:rFonts w:ascii="Times New Roman" w:eastAsia="Times New Roman" w:hAnsi="Times New Roman" w:cs="Times New Roman"/>
          <w:noProof/>
          <w:spacing w:val="-4"/>
          <w:sz w:val="24"/>
          <w:szCs w:val="24"/>
          <w:vertAlign w:val="superscript"/>
        </w:rPr>
        <w:footnoteReference w:id="62"/>
      </w:r>
      <w:r>
        <w:rPr>
          <w:rFonts w:ascii="Times New Roman" w:hAnsi="Times New Roman"/>
          <w:noProof/>
          <w:spacing w:val="-4"/>
          <w:sz w:val="24"/>
          <w:szCs w:val="24"/>
        </w:rPr>
        <w:t>). Всички графики се отнасят предимно до производства в съдилища на първа инстанция, като във всички тях се сравняват данни за 2010 г., 2015 г., 2016 г. и 2017 г., когато такива данни са налични (</w:t>
      </w:r>
      <w:r>
        <w:rPr>
          <w:rFonts w:ascii="Times New Roman" w:eastAsia="Times New Roman" w:hAnsi="Times New Roman" w:cs="Times New Roman"/>
          <w:noProof/>
          <w:spacing w:val="-4"/>
          <w:sz w:val="24"/>
          <w:szCs w:val="24"/>
          <w:vertAlign w:val="superscript"/>
        </w:rPr>
        <w:footnoteReference w:id="63"/>
      </w:r>
      <w:r>
        <w:rPr>
          <w:rFonts w:ascii="Times New Roman" w:hAnsi="Times New Roman"/>
          <w:noProof/>
          <w:spacing w:val="-4"/>
          <w:sz w:val="24"/>
          <w:szCs w:val="24"/>
        </w:rPr>
        <w:t>). Две графики показват необходимото време за разглеждане на висящите дела през 2017 г. за гражданските и търговските съдебни спорове и административните дела на всички съдебни инстанции.</w:t>
      </w:r>
    </w:p>
    <w:p>
      <w:pPr>
        <w:keepNext/>
        <w:spacing w:before="240" w:after="120" w:line="240" w:lineRule="auto"/>
        <w:jc w:val="both"/>
        <w:rPr>
          <w:rFonts w:ascii="Times New Roman" w:eastAsia="Times New Roman" w:hAnsi="Times New Roman" w:cs="Times New Roman"/>
          <w:b/>
          <w:noProof/>
          <w:spacing w:val="-6"/>
          <w:sz w:val="24"/>
          <w:szCs w:val="24"/>
        </w:rPr>
      </w:pPr>
      <w:bookmarkStart w:id="155" w:name="_Ref440892401"/>
      <w:r>
        <w:rPr>
          <w:rFonts w:ascii="Times New Roman" w:hAnsi="Times New Roman"/>
          <w:b/>
          <w:noProof/>
          <w:spacing w:val="-6"/>
          <w:sz w:val="24"/>
          <w:szCs w:val="24"/>
        </w:rPr>
        <w:t>Графика </w:t>
      </w:r>
      <w:r>
        <w:rPr>
          <w:rFonts w:ascii="Times New Roman" w:eastAsia="Times New Roman" w:hAnsi="Times New Roman" w:cs="Times New Roman"/>
          <w:b/>
          <w:noProof/>
          <w:spacing w:val="-6"/>
          <w:sz w:val="24"/>
          <w:szCs w:val="24"/>
        </w:rPr>
        <w:fldChar w:fldCharType="begin"/>
      </w:r>
      <w:r>
        <w:rPr>
          <w:rFonts w:ascii="Times New Roman" w:eastAsia="Times New Roman" w:hAnsi="Times New Roman" w:cs="Times New Roman"/>
          <w:b/>
          <w:noProof/>
          <w:spacing w:val="-6"/>
          <w:sz w:val="24"/>
          <w:szCs w:val="24"/>
        </w:rPr>
        <w:instrText xml:space="preserve"> SEQ Figure \* ARABIC </w:instrText>
      </w:r>
      <w:r>
        <w:rPr>
          <w:rFonts w:ascii="Times New Roman" w:eastAsia="Times New Roman" w:hAnsi="Times New Roman" w:cs="Times New Roman"/>
          <w:b/>
          <w:noProof/>
          <w:spacing w:val="-6"/>
          <w:sz w:val="24"/>
          <w:szCs w:val="24"/>
        </w:rPr>
        <w:fldChar w:fldCharType="separate"/>
      </w:r>
      <w:r>
        <w:rPr>
          <w:rFonts w:ascii="Times New Roman" w:eastAsia="Times New Roman" w:hAnsi="Times New Roman" w:cs="Times New Roman"/>
          <w:b/>
          <w:noProof/>
          <w:spacing w:val="-6"/>
          <w:sz w:val="24"/>
          <w:szCs w:val="24"/>
        </w:rPr>
        <w:t>5</w:t>
      </w:r>
      <w:r>
        <w:rPr>
          <w:rFonts w:ascii="Times New Roman" w:eastAsia="Times New Roman" w:hAnsi="Times New Roman" w:cs="Times New Roman"/>
          <w:b/>
          <w:noProof/>
          <w:spacing w:val="-6"/>
          <w:sz w:val="24"/>
          <w:szCs w:val="24"/>
        </w:rPr>
        <w:fldChar w:fldCharType="end"/>
      </w:r>
      <w:bookmarkEnd w:id="155"/>
      <w:r>
        <w:rPr>
          <w:rFonts w:ascii="Times New Roman" w:hAnsi="Times New Roman"/>
          <w:b/>
          <w:noProof/>
          <w:spacing w:val="-6"/>
          <w:sz w:val="24"/>
          <w:szCs w:val="24"/>
        </w:rPr>
        <w:t xml:space="preserve">: Време, необходимо за решаване на </w:t>
      </w:r>
      <w:r>
        <w:rPr>
          <w:rFonts w:ascii="Times New Roman" w:hAnsi="Times New Roman"/>
          <w:b/>
          <w:noProof/>
          <w:spacing w:val="-6"/>
          <w:sz w:val="24"/>
          <w:szCs w:val="24"/>
          <w:u w:val="single"/>
        </w:rPr>
        <w:t>граждански, търговски, административни и други дела</w:t>
      </w:r>
      <w:r>
        <w:rPr>
          <w:rFonts w:ascii="Times New Roman" w:hAnsi="Times New Roman"/>
          <w:b/>
          <w:noProof/>
          <w:spacing w:val="-6"/>
          <w:sz w:val="24"/>
          <w:szCs w:val="24"/>
        </w:rPr>
        <w:t xml:space="preserve"> </w:t>
      </w:r>
      <w:r>
        <w:rPr>
          <w:rFonts w:ascii="Times New Roman" w:hAnsi="Times New Roman"/>
          <w:noProof/>
          <w:spacing w:val="-6"/>
          <w:sz w:val="24"/>
          <w:szCs w:val="24"/>
        </w:rPr>
        <w:t>(</w:t>
      </w:r>
      <w:r>
        <w:rPr>
          <w:noProof/>
          <w:spacing w:val="-6"/>
          <w:sz w:val="24"/>
          <w:szCs w:val="24"/>
        </w:rPr>
        <w:t>*</w:t>
      </w:r>
      <w:r>
        <w:rPr>
          <w:rFonts w:ascii="Times New Roman" w:hAnsi="Times New Roman"/>
          <w:noProof/>
          <w:spacing w:val="-6"/>
          <w:sz w:val="24"/>
          <w:szCs w:val="24"/>
        </w:rPr>
        <w:t xml:space="preserve">) </w:t>
      </w:r>
      <w:r>
        <w:rPr>
          <w:rFonts w:ascii="Times New Roman" w:hAnsi="Times New Roman"/>
          <w:i/>
          <w:noProof/>
          <w:spacing w:val="-6"/>
          <w:sz w:val="24"/>
          <w:szCs w:val="24"/>
        </w:rPr>
        <w:t>(на първа инстанция/в дни) (източник: проучване на CEPEJ)</w:t>
      </w:r>
    </w:p>
    <w:p>
      <w:pPr>
        <w:spacing w:after="0" w:line="240" w:lineRule="auto"/>
        <w:jc w:val="both"/>
        <w:rPr>
          <w:rFonts w:ascii="Times New Roman" w:eastAsia="Calibri" w:hAnsi="Times New Roman" w:cs="Times New Roman"/>
          <w:b/>
          <w:noProof/>
          <w:sz w:val="24"/>
        </w:rPr>
      </w:pPr>
      <w:r>
        <w:rPr>
          <w:noProof/>
          <w:lang w:val="en-GB" w:eastAsia="en-GB"/>
        </w:rPr>
        <w:drawing>
          <wp:inline distT="0" distB="0" distL="0" distR="0">
            <wp:extent cx="5977255" cy="2650569"/>
            <wp:effectExtent l="0" t="0" r="4445" b="0"/>
            <wp:docPr id="97321" name="Picture 9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77255" cy="2650569"/>
                    </a:xfrm>
                    <a:prstGeom prst="rect">
                      <a:avLst/>
                    </a:prstGeom>
                    <a:noFill/>
                    <a:ln>
                      <a:noFill/>
                    </a:ln>
                  </pic:spPr>
                </pic:pic>
              </a:graphicData>
            </a:graphic>
          </wp:inline>
        </w:drawing>
      </w:r>
      <w:r>
        <w:rPr>
          <w:rFonts w:ascii="Times New Roman" w:hAnsi="Times New Roman"/>
          <w:i/>
          <w:noProof/>
          <w:sz w:val="20"/>
        </w:rPr>
        <w:t xml:space="preserve">(*) Съгласно методиката на CEPEJ тази категория включва всички спорни и безспорни производства по граждански и търговски дела, безспорните производства във връзка с поземлените и търговските регистри, други дела във връзка с регистрите, други безспорни производства, административни дела и други дела, които не са наказателноправни. Методиката съдържа промени в </w:t>
      </w:r>
      <w:r>
        <w:rPr>
          <w:rFonts w:ascii="Times New Roman" w:hAnsi="Times New Roman"/>
          <w:b/>
          <w:i/>
          <w:noProof/>
          <w:sz w:val="20"/>
        </w:rPr>
        <w:t>SK</w:t>
      </w:r>
      <w:r>
        <w:rPr>
          <w:rFonts w:ascii="Times New Roman" w:hAnsi="Times New Roman"/>
          <w:i/>
          <w:noProof/>
          <w:sz w:val="20"/>
        </w:rPr>
        <w:t xml:space="preserve">. Висящите дела включват всички инстанции в </w:t>
      </w:r>
      <w:r>
        <w:rPr>
          <w:rFonts w:ascii="Times New Roman" w:hAnsi="Times New Roman"/>
          <w:b/>
          <w:i/>
          <w:noProof/>
          <w:sz w:val="20"/>
        </w:rPr>
        <w:t>CZ</w:t>
      </w:r>
      <w:r>
        <w:rPr>
          <w:rFonts w:ascii="Times New Roman" w:hAnsi="Times New Roman"/>
          <w:i/>
          <w:noProof/>
          <w:sz w:val="20"/>
        </w:rPr>
        <w:t xml:space="preserve"> а</w:t>
      </w:r>
      <w:bookmarkStart w:id="156" w:name="_Ref442281958"/>
      <w:r>
        <w:rPr>
          <w:rFonts w:ascii="Times New Roman" w:hAnsi="Times New Roman"/>
          <w:i/>
          <w:noProof/>
          <w:sz w:val="20"/>
        </w:rPr>
        <w:t xml:space="preserve"> до 2016 г. и в </w:t>
      </w:r>
      <w:r>
        <w:rPr>
          <w:rFonts w:ascii="Times New Roman" w:hAnsi="Times New Roman"/>
          <w:b/>
          <w:i/>
          <w:noProof/>
          <w:sz w:val="20"/>
        </w:rPr>
        <w:t>SK</w:t>
      </w:r>
      <w:r>
        <w:rPr>
          <w:rFonts w:ascii="Times New Roman" w:hAnsi="Times New Roman"/>
          <w:i/>
          <w:noProof/>
          <w:sz w:val="20"/>
        </w:rPr>
        <w:t>.</w:t>
      </w:r>
    </w:p>
    <w:p>
      <w:pPr>
        <w:keepNext/>
        <w:spacing w:before="240" w:after="120" w:line="240" w:lineRule="auto"/>
        <w:jc w:val="both"/>
        <w:rPr>
          <w:rFonts w:ascii="Times New Roman" w:eastAsia="Calibri" w:hAnsi="Times New Roman" w:cs="Times New Roman"/>
          <w:b/>
          <w:noProof/>
          <w:sz w:val="24"/>
        </w:rPr>
      </w:pPr>
      <w:r>
        <w:rPr>
          <w:rFonts w:ascii="Times New Roman" w:hAnsi="Times New Roman"/>
          <w:b/>
          <w:noProof/>
          <w:sz w:val="24"/>
        </w:rPr>
        <w:t>Графика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6</w:t>
      </w:r>
      <w:r>
        <w:rPr>
          <w:rFonts w:ascii="Times New Roman" w:eastAsia="Calibri" w:hAnsi="Times New Roman" w:cs="Times New Roman"/>
          <w:b/>
          <w:noProof/>
          <w:sz w:val="24"/>
        </w:rPr>
        <w:fldChar w:fldCharType="end"/>
      </w:r>
      <w:bookmarkEnd w:id="156"/>
      <w:r>
        <w:rPr>
          <w:rFonts w:ascii="Times New Roman" w:hAnsi="Times New Roman"/>
          <w:b/>
          <w:noProof/>
          <w:sz w:val="24"/>
        </w:rPr>
        <w:t xml:space="preserve">: Време, необходимо за решаване на </w:t>
      </w:r>
      <w:r>
        <w:rPr>
          <w:rFonts w:ascii="Times New Roman" w:hAnsi="Times New Roman"/>
          <w:b/>
          <w:noProof/>
          <w:sz w:val="24"/>
          <w:u w:val="single"/>
        </w:rPr>
        <w:t xml:space="preserve">спорни граждански и търговски дела </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(на първа инстанция/в дни) (източник: проучване на CEPEJ)</w:t>
      </w:r>
    </w:p>
    <w:p>
      <w:pPr>
        <w:spacing w:after="0" w:line="240" w:lineRule="auto"/>
        <w:jc w:val="both"/>
        <w:rPr>
          <w:rFonts w:ascii="Times New Roman" w:eastAsia="Calibri" w:hAnsi="Times New Roman" w:cs="Times New Roman"/>
          <w:i/>
          <w:noProof/>
          <w:sz w:val="20"/>
        </w:rPr>
      </w:pPr>
      <w:r>
        <w:rPr>
          <w:noProof/>
          <w:lang w:val="en-GB" w:eastAsia="en-GB"/>
        </w:rPr>
        <w:drawing>
          <wp:inline distT="0" distB="0" distL="0" distR="0">
            <wp:extent cx="5977255" cy="2650569"/>
            <wp:effectExtent l="0" t="0" r="4445" b="0"/>
            <wp:docPr id="97322" name="Picture 97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7255" cy="2650569"/>
                    </a:xfrm>
                    <a:prstGeom prst="rect">
                      <a:avLst/>
                    </a:prstGeom>
                    <a:noFill/>
                    <a:ln>
                      <a:noFill/>
                    </a:ln>
                  </pic:spPr>
                </pic:pic>
              </a:graphicData>
            </a:graphic>
          </wp:inline>
        </w:drawing>
      </w:r>
      <w:r>
        <w:rPr>
          <w:rFonts w:ascii="Times New Roman" w:hAnsi="Times New Roman"/>
          <w:i/>
          <w:noProof/>
          <w:sz w:val="20"/>
        </w:rPr>
        <w:t>(*)</w:t>
      </w:r>
      <w:r>
        <w:rPr>
          <w:rFonts w:ascii="Times New Roman" w:hAnsi="Times New Roman"/>
          <w:b/>
          <w:noProof/>
          <w:sz w:val="20"/>
        </w:rPr>
        <w:t xml:space="preserve"> </w:t>
      </w:r>
      <w:r>
        <w:rPr>
          <w:rFonts w:ascii="Times New Roman" w:hAnsi="Times New Roman"/>
          <w:i/>
          <w:noProof/>
          <w:sz w:val="20"/>
        </w:rPr>
        <w:t xml:space="preserve">Съгласно методиката на CEPEJ спорните производства по граждански/търговски дела се отнасят до спорове между страните, например спорове във връзка с договори. Безспорните производства по граждански/търговски дела се отнасят до производства, при които няма оспорване, напр. неоспорвани заповеди за плащане. Методиката съдържа промени в </w:t>
      </w:r>
      <w:r>
        <w:rPr>
          <w:rFonts w:ascii="Times New Roman" w:hAnsi="Times New Roman"/>
          <w:b/>
          <w:i/>
          <w:noProof/>
          <w:sz w:val="20"/>
        </w:rPr>
        <w:t>EL</w:t>
      </w:r>
      <w:r>
        <w:rPr>
          <w:rFonts w:ascii="Times New Roman" w:hAnsi="Times New Roman"/>
          <w:i/>
          <w:noProof/>
          <w:sz w:val="20"/>
        </w:rPr>
        <w:t xml:space="preserve"> и </w:t>
      </w:r>
      <w:r>
        <w:rPr>
          <w:rFonts w:ascii="Times New Roman" w:hAnsi="Times New Roman"/>
          <w:b/>
          <w:i/>
          <w:noProof/>
          <w:sz w:val="20"/>
        </w:rPr>
        <w:t>SK</w:t>
      </w:r>
      <w:r>
        <w:rPr>
          <w:rFonts w:ascii="Times New Roman" w:hAnsi="Times New Roman"/>
          <w:i/>
          <w:noProof/>
          <w:sz w:val="20"/>
        </w:rPr>
        <w:t xml:space="preserve">. Висящите дела включват всички инстанции в </w:t>
      </w:r>
      <w:r>
        <w:rPr>
          <w:rFonts w:ascii="Times New Roman" w:hAnsi="Times New Roman"/>
          <w:b/>
          <w:i/>
          <w:noProof/>
          <w:sz w:val="20"/>
        </w:rPr>
        <w:t>CZ</w:t>
      </w:r>
      <w:r>
        <w:rPr>
          <w:rFonts w:ascii="Times New Roman" w:hAnsi="Times New Roman"/>
          <w:i/>
          <w:noProof/>
          <w:sz w:val="20"/>
        </w:rPr>
        <w:t xml:space="preserve">, а до 2016 г. и в </w:t>
      </w:r>
      <w:r>
        <w:rPr>
          <w:rFonts w:ascii="Times New Roman" w:hAnsi="Times New Roman"/>
          <w:b/>
          <w:i/>
          <w:noProof/>
          <w:sz w:val="20"/>
        </w:rPr>
        <w:t>SK</w:t>
      </w:r>
      <w:r>
        <w:rPr>
          <w:rFonts w:ascii="Times New Roman" w:hAnsi="Times New Roman"/>
          <w:i/>
          <w:noProof/>
          <w:sz w:val="20"/>
        </w:rPr>
        <w:t>.</w:t>
      </w:r>
      <w:r>
        <w:rPr>
          <w:rFonts w:ascii="Times New Roman" w:hAnsi="Times New Roman"/>
          <w:noProof/>
          <w:sz w:val="24"/>
        </w:rPr>
        <w:t xml:space="preserve"> </w:t>
      </w:r>
      <w:r>
        <w:rPr>
          <w:rFonts w:ascii="Times New Roman" w:hAnsi="Times New Roman"/>
          <w:i/>
          <w:noProof/>
          <w:sz w:val="20"/>
        </w:rPr>
        <w:t xml:space="preserve">Данните за </w:t>
      </w:r>
      <w:bookmarkStart w:id="157" w:name="_Ref440892386"/>
      <w:bookmarkStart w:id="158" w:name="_Ref440892375"/>
      <w:r>
        <w:rPr>
          <w:rFonts w:ascii="Times New Roman" w:hAnsi="Times New Roman"/>
          <w:b/>
          <w:i/>
          <w:noProof/>
          <w:sz w:val="20"/>
        </w:rPr>
        <w:t>NL</w:t>
      </w:r>
      <w:r>
        <w:rPr>
          <w:rFonts w:ascii="Times New Roman" w:hAnsi="Times New Roman"/>
          <w:i/>
          <w:noProof/>
          <w:sz w:val="20"/>
        </w:rPr>
        <w:t xml:space="preserve"> включват безспорните производства.</w:t>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Графика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7</w:t>
      </w:r>
      <w:r>
        <w:rPr>
          <w:rFonts w:ascii="Times New Roman" w:eastAsia="Calibri" w:hAnsi="Times New Roman" w:cs="Times New Roman"/>
          <w:b/>
          <w:noProof/>
          <w:sz w:val="24"/>
        </w:rPr>
        <w:fldChar w:fldCharType="end"/>
      </w:r>
      <w:r>
        <w:rPr>
          <w:rFonts w:ascii="Times New Roman" w:hAnsi="Times New Roman"/>
          <w:b/>
          <w:noProof/>
          <w:sz w:val="24"/>
        </w:rPr>
        <w:t xml:space="preserve">: Време, необходимо за решаване на </w:t>
      </w:r>
      <w:r>
        <w:rPr>
          <w:rFonts w:ascii="Times New Roman" w:hAnsi="Times New Roman"/>
          <w:b/>
          <w:noProof/>
          <w:sz w:val="24"/>
          <w:u w:val="single"/>
        </w:rPr>
        <w:t xml:space="preserve">спорни граждански и търговски дела </w:t>
      </w:r>
      <w:r>
        <w:rPr>
          <w:rFonts w:ascii="Times New Roman" w:hAnsi="Times New Roman"/>
          <w:noProof/>
        </w:rPr>
        <w:t>(</w:t>
      </w:r>
      <w:r>
        <w:rPr>
          <w:noProof/>
        </w:rPr>
        <w:t>*</w:t>
      </w:r>
      <w:r>
        <w:rPr>
          <w:rFonts w:ascii="Times New Roman" w:hAnsi="Times New Roman"/>
          <w:noProof/>
        </w:rPr>
        <w:t>)</w:t>
      </w:r>
      <w:r>
        <w:rPr>
          <w:noProof/>
          <w:sz w:val="24"/>
        </w:rPr>
        <w:t xml:space="preserve"> </w:t>
      </w:r>
      <w:r>
        <w:rPr>
          <w:rFonts w:ascii="Times New Roman" w:hAnsi="Times New Roman"/>
          <w:b/>
          <w:noProof/>
          <w:sz w:val="24"/>
        </w:rPr>
        <w:t xml:space="preserve">на </w:t>
      </w:r>
      <w:r>
        <w:rPr>
          <w:rFonts w:ascii="Times New Roman" w:hAnsi="Times New Roman"/>
          <w:b/>
          <w:noProof/>
          <w:sz w:val="24"/>
          <w:u w:val="single"/>
        </w:rPr>
        <w:t>всички</w:t>
      </w:r>
      <w:r>
        <w:rPr>
          <w:rFonts w:ascii="Times New Roman" w:hAnsi="Times New Roman"/>
          <w:b/>
          <w:noProof/>
          <w:sz w:val="24"/>
        </w:rPr>
        <w:t xml:space="preserve"> съдебни инстанции през 2017 г.</w:t>
      </w:r>
      <w:r>
        <w:rPr>
          <w:rFonts w:ascii="Times New Roman" w:hAnsi="Times New Roman"/>
          <w:i/>
          <w:noProof/>
          <w:sz w:val="24"/>
        </w:rPr>
        <w:t xml:space="preserve"> (първа, втора и трета инстанция/в дни) (източник: проучване на CEPEJ)</w:t>
      </w:r>
    </w:p>
    <w:p>
      <w:pPr>
        <w:spacing w:after="0" w:line="240" w:lineRule="auto"/>
        <w:jc w:val="both"/>
        <w:rPr>
          <w:rFonts w:ascii="Times New Roman" w:eastAsia="Calibri" w:hAnsi="Times New Roman" w:cs="Times New Roman"/>
          <w:i/>
          <w:noProof/>
          <w:sz w:val="20"/>
          <w:szCs w:val="20"/>
        </w:rPr>
      </w:pPr>
      <w:r>
        <w:rPr>
          <w:noProof/>
          <w:lang w:val="en-GB" w:eastAsia="en-GB"/>
        </w:rPr>
        <w:drawing>
          <wp:inline distT="0" distB="0" distL="0" distR="0">
            <wp:extent cx="5977255" cy="2929343"/>
            <wp:effectExtent l="0" t="0" r="4445" b="4445"/>
            <wp:docPr id="97323" name="Picture 97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77255" cy="2929343"/>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b/>
          <w:noProof/>
          <w:sz w:val="24"/>
          <w:szCs w:val="24"/>
        </w:rPr>
      </w:pPr>
      <w:r>
        <w:rPr>
          <w:rFonts w:ascii="Times New Roman" w:hAnsi="Times New Roman"/>
          <w:i/>
          <w:noProof/>
          <w:sz w:val="20"/>
          <w:szCs w:val="20"/>
        </w:rPr>
        <w:t xml:space="preserve">(*) Редът е определен според съдебната инстанция с най-дългите производства във всяка държава членка. Няма налични данни за първоинстанционните и второинстанционните съдилища в </w:t>
      </w:r>
      <w:r>
        <w:rPr>
          <w:rFonts w:ascii="Times New Roman" w:hAnsi="Times New Roman"/>
          <w:b/>
          <w:i/>
          <w:noProof/>
          <w:sz w:val="20"/>
          <w:szCs w:val="20"/>
        </w:rPr>
        <w:t>BE</w:t>
      </w:r>
      <w:r>
        <w:rPr>
          <w:rFonts w:ascii="Times New Roman" w:hAnsi="Times New Roman"/>
          <w:i/>
          <w:noProof/>
          <w:sz w:val="20"/>
          <w:szCs w:val="20"/>
        </w:rPr>
        <w:t xml:space="preserve">, </w:t>
      </w:r>
      <w:r>
        <w:rPr>
          <w:rFonts w:ascii="Times New Roman" w:hAnsi="Times New Roman"/>
          <w:b/>
          <w:i/>
          <w:noProof/>
          <w:sz w:val="20"/>
          <w:szCs w:val="20"/>
        </w:rPr>
        <w:t>BG</w:t>
      </w:r>
      <w:r>
        <w:rPr>
          <w:rFonts w:ascii="Times New Roman" w:hAnsi="Times New Roman"/>
          <w:i/>
          <w:noProof/>
          <w:sz w:val="20"/>
          <w:szCs w:val="20"/>
        </w:rPr>
        <w:t xml:space="preserve"> и </w:t>
      </w:r>
      <w:r>
        <w:rPr>
          <w:rFonts w:ascii="Times New Roman" w:hAnsi="Times New Roman"/>
          <w:b/>
          <w:i/>
          <w:noProof/>
          <w:sz w:val="20"/>
          <w:szCs w:val="20"/>
        </w:rPr>
        <w:t>IE</w:t>
      </w:r>
      <w:r>
        <w:rPr>
          <w:rFonts w:ascii="Times New Roman" w:hAnsi="Times New Roman"/>
          <w:i/>
          <w:noProof/>
          <w:sz w:val="20"/>
          <w:szCs w:val="20"/>
        </w:rPr>
        <w:t xml:space="preserve">, за второинстанционните и третоинстанционните съдилища в </w:t>
      </w:r>
      <w:r>
        <w:rPr>
          <w:rFonts w:ascii="Times New Roman" w:hAnsi="Times New Roman"/>
          <w:b/>
          <w:i/>
          <w:noProof/>
          <w:sz w:val="20"/>
          <w:szCs w:val="20"/>
        </w:rPr>
        <w:t>NL</w:t>
      </w:r>
      <w:r>
        <w:rPr>
          <w:rFonts w:ascii="Times New Roman" w:hAnsi="Times New Roman"/>
          <w:i/>
          <w:noProof/>
          <w:sz w:val="20"/>
          <w:szCs w:val="20"/>
        </w:rPr>
        <w:t xml:space="preserve"> и </w:t>
      </w:r>
      <w:r>
        <w:rPr>
          <w:rFonts w:ascii="Times New Roman" w:hAnsi="Times New Roman"/>
          <w:b/>
          <w:i/>
          <w:noProof/>
          <w:sz w:val="20"/>
          <w:szCs w:val="20"/>
        </w:rPr>
        <w:t>AT</w:t>
      </w:r>
      <w:r>
        <w:rPr>
          <w:rFonts w:ascii="Times New Roman" w:hAnsi="Times New Roman"/>
          <w:i/>
          <w:noProof/>
          <w:sz w:val="20"/>
          <w:szCs w:val="20"/>
        </w:rPr>
        <w:t xml:space="preserve">, за третоинстанционните съдилища в </w:t>
      </w:r>
      <w:r>
        <w:rPr>
          <w:rFonts w:ascii="Times New Roman" w:hAnsi="Times New Roman"/>
          <w:b/>
          <w:i/>
          <w:noProof/>
          <w:sz w:val="20"/>
          <w:szCs w:val="20"/>
        </w:rPr>
        <w:t>HR</w:t>
      </w:r>
      <w:r>
        <w:rPr>
          <w:rFonts w:ascii="Times New Roman" w:hAnsi="Times New Roman"/>
          <w:i/>
          <w:noProof/>
          <w:sz w:val="20"/>
          <w:szCs w:val="20"/>
        </w:rPr>
        <w:t xml:space="preserve">. </w:t>
      </w:r>
      <w:r>
        <w:rPr>
          <w:rFonts w:ascii="Times New Roman" w:hAnsi="Times New Roman"/>
          <w:i/>
          <w:noProof/>
          <w:sz w:val="20"/>
        </w:rPr>
        <w:t xml:space="preserve">В </w:t>
      </w:r>
      <w:r>
        <w:rPr>
          <w:rFonts w:ascii="Times New Roman" w:hAnsi="Times New Roman"/>
          <w:b/>
          <w:i/>
          <w:noProof/>
          <w:sz w:val="20"/>
        </w:rPr>
        <w:t>MT</w:t>
      </w:r>
      <w:r>
        <w:rPr>
          <w:rFonts w:ascii="Times New Roman" w:hAnsi="Times New Roman"/>
          <w:i/>
          <w:noProof/>
          <w:sz w:val="20"/>
        </w:rPr>
        <w:t xml:space="preserve"> няма третоинстанционен съд.</w:t>
      </w:r>
      <w:r>
        <w:rPr>
          <w:rFonts w:ascii="Times New Roman" w:hAnsi="Times New Roman"/>
          <w:i/>
          <w:noProof/>
          <w:sz w:val="20"/>
          <w:szCs w:val="20"/>
        </w:rPr>
        <w:t xml:space="preserve"> В някои държави членки достъпът до третоинстанционен съд може да бъде ограничен.</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Графика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8</w:t>
      </w:r>
      <w:r>
        <w:rPr>
          <w:rFonts w:ascii="Times New Roman" w:eastAsia="Calibri" w:hAnsi="Times New Roman" w:cs="Times New Roman"/>
          <w:b/>
          <w:noProof/>
          <w:sz w:val="24"/>
        </w:rPr>
        <w:fldChar w:fldCharType="end"/>
      </w:r>
      <w:bookmarkEnd w:id="157"/>
      <w:bookmarkEnd w:id="158"/>
      <w:r>
        <w:rPr>
          <w:rFonts w:ascii="Times New Roman" w:hAnsi="Times New Roman"/>
          <w:b/>
          <w:noProof/>
          <w:sz w:val="24"/>
        </w:rPr>
        <w:t xml:space="preserve">: Време, необходимо за решаване на </w:t>
      </w:r>
      <w:r>
        <w:rPr>
          <w:rFonts w:ascii="Times New Roman" w:hAnsi="Times New Roman"/>
          <w:b/>
          <w:noProof/>
          <w:sz w:val="24"/>
          <w:u w:val="single"/>
        </w:rPr>
        <w:t>административни дела</w:t>
      </w:r>
      <w:r>
        <w:rPr>
          <w:rFonts w:ascii="Times New Roman" w:hAnsi="Times New Roman"/>
          <w:b/>
          <w:noProof/>
          <w:sz w:val="24"/>
        </w:rPr>
        <w:t xml:space="preserve"> </w:t>
      </w:r>
      <w:r>
        <w:rPr>
          <w:rFonts w:ascii="Times New Roman" w:hAnsi="Times New Roman"/>
          <w:noProof/>
        </w:rPr>
        <w:t>(</w:t>
      </w:r>
      <w:r>
        <w:rPr>
          <w:noProof/>
        </w:rPr>
        <w:t>*</w:t>
      </w:r>
      <w:r>
        <w:rPr>
          <w:rFonts w:ascii="Times New Roman" w:hAnsi="Times New Roman"/>
          <w:noProof/>
        </w:rPr>
        <w:t>)</w:t>
      </w:r>
      <w:r>
        <w:rPr>
          <w:noProof/>
        </w:rPr>
        <w:t xml:space="preserve"> </w:t>
      </w:r>
      <w:r>
        <w:rPr>
          <w:rFonts w:ascii="Times New Roman" w:hAnsi="Times New Roman"/>
          <w:i/>
          <w:noProof/>
          <w:sz w:val="24"/>
        </w:rPr>
        <w:t>(на първа инстанция/в дни) (източник: проучване на CEPEJ)</w:t>
      </w:r>
    </w:p>
    <w:p>
      <w:pPr>
        <w:spacing w:after="0" w:line="240" w:lineRule="auto"/>
        <w:jc w:val="both"/>
        <w:rPr>
          <w:rFonts w:ascii="Times New Roman" w:eastAsia="Calibri" w:hAnsi="Times New Roman" w:cs="Times New Roman"/>
          <w:noProof/>
          <w:sz w:val="20"/>
        </w:rPr>
      </w:pPr>
      <w:r>
        <w:rPr>
          <w:noProof/>
          <w:lang w:val="en-GB" w:eastAsia="en-GB"/>
        </w:rPr>
        <w:drawing>
          <wp:inline distT="0" distB="0" distL="0" distR="0">
            <wp:extent cx="5977255" cy="2657602"/>
            <wp:effectExtent l="0" t="0" r="444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77255" cy="2657602"/>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sz w:val="20"/>
        </w:rPr>
      </w:pPr>
      <w:r>
        <w:rPr>
          <w:rFonts w:ascii="Times New Roman" w:hAnsi="Times New Roman"/>
          <w:i/>
          <w:noProof/>
          <w:sz w:val="20"/>
        </w:rPr>
        <w:t>(*)</w:t>
      </w:r>
      <w:r>
        <w:rPr>
          <w:rFonts w:ascii="Times New Roman" w:hAnsi="Times New Roman"/>
          <w:b/>
          <w:noProof/>
          <w:sz w:val="20"/>
        </w:rPr>
        <w:t xml:space="preserve"> </w:t>
      </w:r>
      <w:r>
        <w:rPr>
          <w:rFonts w:ascii="Times New Roman" w:hAnsi="Times New Roman"/>
          <w:i/>
          <w:noProof/>
          <w:sz w:val="20"/>
        </w:rPr>
        <w:t xml:space="preserve">Съгласно методиката на CEPEJ административните дела се отнасят до спорове между граждани и местни, областни или национални органи на държавна власт. Методиката съдържа промени в </w:t>
      </w:r>
      <w:r>
        <w:rPr>
          <w:rFonts w:ascii="Times New Roman" w:hAnsi="Times New Roman"/>
          <w:b/>
          <w:i/>
          <w:noProof/>
          <w:sz w:val="20"/>
        </w:rPr>
        <w:t>EL</w:t>
      </w:r>
      <w:r>
        <w:rPr>
          <w:rFonts w:ascii="Times New Roman" w:hAnsi="Times New Roman"/>
          <w:i/>
          <w:noProof/>
          <w:sz w:val="20"/>
        </w:rPr>
        <w:t xml:space="preserve"> и </w:t>
      </w:r>
      <w:r>
        <w:rPr>
          <w:rFonts w:ascii="Times New Roman" w:hAnsi="Times New Roman"/>
          <w:b/>
          <w:i/>
          <w:noProof/>
          <w:sz w:val="20"/>
        </w:rPr>
        <w:t>SK</w:t>
      </w:r>
      <w:r>
        <w:rPr>
          <w:rFonts w:ascii="Times New Roman" w:hAnsi="Times New Roman"/>
          <w:i/>
          <w:noProof/>
          <w:sz w:val="20"/>
        </w:rPr>
        <w:t xml:space="preserve">. Висящите дела включват всички инстанции в </w:t>
      </w:r>
      <w:r>
        <w:rPr>
          <w:rFonts w:ascii="Times New Roman" w:hAnsi="Times New Roman"/>
          <w:b/>
          <w:i/>
          <w:noProof/>
          <w:sz w:val="20"/>
        </w:rPr>
        <w:t>CZ</w:t>
      </w:r>
      <w:r>
        <w:rPr>
          <w:rFonts w:ascii="Times New Roman" w:hAnsi="Times New Roman"/>
          <w:i/>
          <w:noProof/>
          <w:sz w:val="20"/>
        </w:rPr>
        <w:t xml:space="preserve">, а до 2016 г. и в </w:t>
      </w:r>
      <w:r>
        <w:rPr>
          <w:rFonts w:ascii="Times New Roman" w:hAnsi="Times New Roman"/>
          <w:b/>
          <w:i/>
          <w:noProof/>
          <w:sz w:val="20"/>
        </w:rPr>
        <w:t>SK</w:t>
      </w:r>
      <w:r>
        <w:rPr>
          <w:rFonts w:ascii="Times New Roman" w:hAnsi="Times New Roman"/>
          <w:i/>
          <w:noProof/>
          <w:sz w:val="20"/>
        </w:rPr>
        <w:t xml:space="preserve">. </w:t>
      </w:r>
      <w:r>
        <w:rPr>
          <w:rFonts w:ascii="Times New Roman" w:hAnsi="Times New Roman"/>
          <w:b/>
          <w:i/>
          <w:noProof/>
          <w:sz w:val="20"/>
        </w:rPr>
        <w:t>DK</w:t>
      </w:r>
      <w:r>
        <w:rPr>
          <w:rFonts w:ascii="Times New Roman" w:hAnsi="Times New Roman"/>
          <w:i/>
          <w:noProof/>
          <w:sz w:val="20"/>
        </w:rPr>
        <w:t xml:space="preserve"> и </w:t>
      </w:r>
      <w:r>
        <w:rPr>
          <w:rFonts w:ascii="Times New Roman" w:hAnsi="Times New Roman"/>
          <w:b/>
          <w:i/>
          <w:noProof/>
          <w:sz w:val="20"/>
        </w:rPr>
        <w:t>IE</w:t>
      </w:r>
      <w:r>
        <w:rPr>
          <w:rFonts w:ascii="Times New Roman" w:hAnsi="Times New Roman"/>
          <w:i/>
          <w:noProof/>
          <w:sz w:val="20"/>
        </w:rPr>
        <w:t xml:space="preserve"> не отчитат административните дела поотделно.</w:t>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Графика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9</w:t>
      </w:r>
      <w:r>
        <w:rPr>
          <w:rFonts w:ascii="Times New Roman" w:eastAsia="Calibri" w:hAnsi="Times New Roman" w:cs="Times New Roman"/>
          <w:b/>
          <w:noProof/>
          <w:sz w:val="24"/>
        </w:rPr>
        <w:fldChar w:fldCharType="end"/>
      </w:r>
      <w:r>
        <w:rPr>
          <w:rFonts w:ascii="Times New Roman" w:hAnsi="Times New Roman"/>
          <w:b/>
          <w:noProof/>
          <w:sz w:val="24"/>
        </w:rPr>
        <w:t xml:space="preserve">: Време, необходимо за решаване на </w:t>
      </w:r>
      <w:r>
        <w:rPr>
          <w:rFonts w:ascii="Times New Roman" w:hAnsi="Times New Roman"/>
          <w:b/>
          <w:noProof/>
          <w:sz w:val="24"/>
          <w:u w:val="single"/>
        </w:rPr>
        <w:t>административни дела</w:t>
      </w:r>
      <w:r>
        <w:rPr>
          <w:rFonts w:ascii="Times New Roman" w:hAnsi="Times New Roman"/>
          <w:b/>
          <w:noProof/>
          <w:sz w:val="24"/>
        </w:rPr>
        <w:t xml:space="preserve"> </w:t>
      </w:r>
      <w:r>
        <w:rPr>
          <w:rFonts w:ascii="Times New Roman" w:hAnsi="Times New Roman"/>
          <w:noProof/>
        </w:rPr>
        <w:t>(</w:t>
      </w:r>
      <w:r>
        <w:rPr>
          <w:noProof/>
        </w:rPr>
        <w:t>*</w:t>
      </w:r>
      <w:r>
        <w:rPr>
          <w:rFonts w:ascii="Times New Roman" w:hAnsi="Times New Roman"/>
          <w:noProof/>
        </w:rPr>
        <w:t>)</w:t>
      </w:r>
      <w:r>
        <w:rPr>
          <w:b/>
          <w:noProof/>
          <w:sz w:val="24"/>
        </w:rPr>
        <w:t xml:space="preserve"> </w:t>
      </w:r>
      <w:r>
        <w:rPr>
          <w:rFonts w:ascii="Times New Roman" w:hAnsi="Times New Roman"/>
          <w:b/>
          <w:noProof/>
          <w:sz w:val="24"/>
        </w:rPr>
        <w:t xml:space="preserve">на </w:t>
      </w:r>
      <w:r>
        <w:rPr>
          <w:rFonts w:ascii="Times New Roman" w:hAnsi="Times New Roman"/>
          <w:b/>
          <w:noProof/>
          <w:sz w:val="24"/>
          <w:u w:val="single"/>
        </w:rPr>
        <w:t>всички</w:t>
      </w:r>
      <w:r>
        <w:rPr>
          <w:rFonts w:ascii="Times New Roman" w:hAnsi="Times New Roman"/>
          <w:b/>
          <w:noProof/>
          <w:sz w:val="24"/>
        </w:rPr>
        <w:t xml:space="preserve"> съдебни инстанции през 2017 г. </w:t>
      </w:r>
      <w:r>
        <w:rPr>
          <w:rFonts w:ascii="Times New Roman" w:hAnsi="Times New Roman"/>
          <w:i/>
          <w:noProof/>
          <w:sz w:val="24"/>
        </w:rPr>
        <w:t>(първа, а когато е приложимо, втора и трета инстанция/в дни) (източник: проучване на CEPEJ)</w:t>
      </w:r>
    </w:p>
    <w:p>
      <w:pPr>
        <w:spacing w:after="0" w:line="240" w:lineRule="auto"/>
        <w:jc w:val="both"/>
        <w:rPr>
          <w:rFonts w:ascii="Times New Roman" w:eastAsia="Calibri" w:hAnsi="Times New Roman" w:cs="Times New Roman"/>
          <w:i/>
          <w:noProof/>
          <w:sz w:val="20"/>
          <w:szCs w:val="20"/>
        </w:rPr>
      </w:pPr>
      <w:bookmarkStart w:id="159" w:name="_Toc409530219"/>
      <w:bookmarkStart w:id="160" w:name="_Toc438545669"/>
      <w:bookmarkStart w:id="161" w:name="_Toc438548319"/>
      <w:bookmarkStart w:id="162" w:name="_Toc438548505"/>
      <w:bookmarkStart w:id="163" w:name="_Toc440017695"/>
      <w:bookmarkStart w:id="164" w:name="_Toc440018079"/>
      <w:bookmarkStart w:id="165" w:name="_Toc440033377"/>
      <w:bookmarkStart w:id="166" w:name="_Toc440035228"/>
      <w:bookmarkStart w:id="167" w:name="_Toc440036523"/>
      <w:bookmarkStart w:id="168" w:name="_Toc440042465"/>
      <w:bookmarkStart w:id="169" w:name="_Toc440291118"/>
      <w:bookmarkStart w:id="170" w:name="_Toc440294681"/>
      <w:bookmarkStart w:id="171" w:name="_Toc440295183"/>
      <w:bookmarkStart w:id="172" w:name="_Toc440296588"/>
      <w:bookmarkStart w:id="173" w:name="_Toc440625072"/>
      <w:bookmarkStart w:id="174" w:name="_Toc440626402"/>
      <w:bookmarkStart w:id="175" w:name="_Toc440628856"/>
      <w:bookmarkStart w:id="176" w:name="_Toc441571128"/>
      <w:bookmarkStart w:id="177" w:name="_Toc441581630"/>
      <w:bookmarkStart w:id="178" w:name="_Toc441585897"/>
      <w:bookmarkStart w:id="179" w:name="_Toc441595832"/>
      <w:bookmarkStart w:id="180" w:name="_Toc441596009"/>
      <w:bookmarkStart w:id="181" w:name="_Toc441748134"/>
      <w:bookmarkStart w:id="182" w:name="_Toc441755419"/>
      <w:bookmarkStart w:id="183" w:name="_Toc441756456"/>
      <w:bookmarkStart w:id="184" w:name="_Toc441757500"/>
      <w:bookmarkStart w:id="185" w:name="_Toc441766629"/>
      <w:bookmarkStart w:id="186" w:name="_Toc441766968"/>
      <w:bookmarkStart w:id="187" w:name="_Toc442187969"/>
      <w:bookmarkStart w:id="188" w:name="_Toc442262061"/>
      <w:bookmarkStart w:id="189" w:name="_Toc442362468"/>
      <w:bookmarkStart w:id="190" w:name="_Toc442374804"/>
      <w:bookmarkStart w:id="191" w:name="_Toc442425944"/>
      <w:bookmarkStart w:id="192" w:name="_Toc442453070"/>
      <w:bookmarkStart w:id="193" w:name="_Toc443484528"/>
      <w:bookmarkStart w:id="194" w:name="_Toc443484750"/>
      <w:bookmarkStart w:id="195" w:name="_Toc443509491"/>
      <w:bookmarkStart w:id="196" w:name="_Toc446014820"/>
      <w:r>
        <w:rPr>
          <w:noProof/>
          <w:lang w:val="en-GB" w:eastAsia="en-GB"/>
        </w:rPr>
        <w:drawing>
          <wp:inline distT="0" distB="0" distL="0" distR="0">
            <wp:extent cx="5977255" cy="2801728"/>
            <wp:effectExtent l="0" t="0" r="444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77255" cy="2801728"/>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sz w:val="20"/>
        </w:rPr>
      </w:pPr>
      <w:r>
        <w:rPr>
          <w:rFonts w:ascii="Times New Roman" w:hAnsi="Times New Roman"/>
          <w:i/>
          <w:noProof/>
          <w:sz w:val="20"/>
          <w:szCs w:val="20"/>
        </w:rPr>
        <w:t>(*)</w:t>
      </w:r>
      <w:r>
        <w:rPr>
          <w:rFonts w:ascii="Times New Roman" w:hAnsi="Times New Roman"/>
          <w:b/>
          <w:noProof/>
          <w:sz w:val="20"/>
          <w:szCs w:val="20"/>
        </w:rPr>
        <w:t xml:space="preserve"> </w:t>
      </w:r>
      <w:r>
        <w:rPr>
          <w:rFonts w:ascii="Times New Roman" w:hAnsi="Times New Roman"/>
          <w:i/>
          <w:noProof/>
          <w:sz w:val="20"/>
          <w:szCs w:val="20"/>
        </w:rPr>
        <w:t xml:space="preserve">Редът е определен според съдебната инстанция с най-дългите производства във всяка държава членка. Няма налични данни: за първоинстанционния съд в </w:t>
      </w:r>
      <w:r>
        <w:rPr>
          <w:rFonts w:ascii="Times New Roman" w:hAnsi="Times New Roman"/>
          <w:b/>
          <w:i/>
          <w:noProof/>
          <w:sz w:val="20"/>
          <w:szCs w:val="20"/>
        </w:rPr>
        <w:t>LU</w:t>
      </w:r>
      <w:r>
        <w:rPr>
          <w:rFonts w:ascii="Times New Roman" w:hAnsi="Times New Roman"/>
          <w:i/>
          <w:noProof/>
          <w:sz w:val="20"/>
          <w:szCs w:val="20"/>
        </w:rPr>
        <w:t xml:space="preserve">, за второинстанционните съдилища в </w:t>
      </w:r>
      <w:r>
        <w:rPr>
          <w:rFonts w:ascii="Times New Roman" w:hAnsi="Times New Roman"/>
          <w:b/>
          <w:i/>
          <w:noProof/>
          <w:sz w:val="20"/>
          <w:szCs w:val="20"/>
        </w:rPr>
        <w:t>MT</w:t>
      </w:r>
      <w:r>
        <w:rPr>
          <w:rFonts w:ascii="Times New Roman" w:hAnsi="Times New Roman"/>
          <w:i/>
          <w:noProof/>
          <w:sz w:val="20"/>
          <w:szCs w:val="20"/>
        </w:rPr>
        <w:t xml:space="preserve"> и </w:t>
      </w:r>
      <w:r>
        <w:rPr>
          <w:rFonts w:ascii="Times New Roman" w:hAnsi="Times New Roman"/>
          <w:b/>
          <w:i/>
          <w:noProof/>
          <w:sz w:val="20"/>
          <w:szCs w:val="20"/>
        </w:rPr>
        <w:t>RO</w:t>
      </w:r>
      <w:r>
        <w:rPr>
          <w:rFonts w:ascii="Times New Roman" w:hAnsi="Times New Roman"/>
          <w:i/>
          <w:noProof/>
          <w:sz w:val="20"/>
          <w:szCs w:val="20"/>
        </w:rPr>
        <w:t xml:space="preserve"> и за третоинстанционния съд в </w:t>
      </w:r>
      <w:r>
        <w:rPr>
          <w:rFonts w:ascii="Times New Roman" w:hAnsi="Times New Roman"/>
          <w:b/>
          <w:i/>
          <w:noProof/>
          <w:sz w:val="20"/>
          <w:szCs w:val="20"/>
        </w:rPr>
        <w:t>NL</w:t>
      </w:r>
      <w:r>
        <w:rPr>
          <w:rFonts w:ascii="Times New Roman" w:hAnsi="Times New Roman"/>
          <w:i/>
          <w:noProof/>
          <w:sz w:val="20"/>
          <w:szCs w:val="20"/>
        </w:rPr>
        <w:t xml:space="preserve">. </w:t>
      </w:r>
      <w:r>
        <w:rPr>
          <w:rFonts w:ascii="Times New Roman" w:hAnsi="Times New Roman"/>
          <w:i/>
          <w:noProof/>
          <w:sz w:val="20"/>
        </w:rPr>
        <w:t xml:space="preserve">Върховният съд или друго върховно съдилище е единствената инстанция за подаване на жалби </w:t>
      </w:r>
      <w:r>
        <w:rPr>
          <w:rFonts w:ascii="Times New Roman" w:hAnsi="Times New Roman"/>
          <w:i/>
          <w:noProof/>
          <w:sz w:val="20"/>
          <w:szCs w:val="20"/>
        </w:rPr>
        <w:t xml:space="preserve">в </w:t>
      </w:r>
      <w:r>
        <w:rPr>
          <w:rFonts w:ascii="Times New Roman" w:hAnsi="Times New Roman"/>
          <w:b/>
          <w:i/>
          <w:noProof/>
          <w:sz w:val="20"/>
          <w:szCs w:val="20"/>
        </w:rPr>
        <w:t>CZ</w:t>
      </w:r>
      <w:r>
        <w:rPr>
          <w:rFonts w:ascii="Times New Roman" w:hAnsi="Times New Roman"/>
          <w:i/>
          <w:noProof/>
          <w:sz w:val="20"/>
          <w:szCs w:val="20"/>
        </w:rPr>
        <w:t xml:space="preserve">, </w:t>
      </w:r>
      <w:r>
        <w:rPr>
          <w:rFonts w:ascii="Times New Roman" w:hAnsi="Times New Roman"/>
          <w:b/>
          <w:i/>
          <w:noProof/>
          <w:sz w:val="20"/>
          <w:szCs w:val="20"/>
        </w:rPr>
        <w:t>IT</w:t>
      </w:r>
      <w:r>
        <w:rPr>
          <w:rFonts w:ascii="Times New Roman" w:hAnsi="Times New Roman"/>
          <w:i/>
          <w:noProof/>
          <w:sz w:val="20"/>
          <w:szCs w:val="20"/>
        </w:rPr>
        <w:t xml:space="preserve">, </w:t>
      </w:r>
      <w:r>
        <w:rPr>
          <w:rFonts w:ascii="Times New Roman" w:hAnsi="Times New Roman"/>
          <w:b/>
          <w:i/>
          <w:noProof/>
          <w:sz w:val="20"/>
          <w:szCs w:val="20"/>
        </w:rPr>
        <w:t>CY</w:t>
      </w:r>
      <w:r>
        <w:rPr>
          <w:rFonts w:ascii="Times New Roman" w:hAnsi="Times New Roman"/>
          <w:i/>
          <w:noProof/>
          <w:sz w:val="20"/>
          <w:szCs w:val="20"/>
        </w:rPr>
        <w:t xml:space="preserve">, </w:t>
      </w:r>
      <w:r>
        <w:rPr>
          <w:rFonts w:ascii="Times New Roman" w:hAnsi="Times New Roman"/>
          <w:b/>
          <w:i/>
          <w:noProof/>
          <w:sz w:val="20"/>
          <w:szCs w:val="20"/>
        </w:rPr>
        <w:t>AT</w:t>
      </w:r>
      <w:r>
        <w:rPr>
          <w:rFonts w:ascii="Times New Roman" w:hAnsi="Times New Roman"/>
          <w:i/>
          <w:noProof/>
          <w:sz w:val="20"/>
          <w:szCs w:val="20"/>
        </w:rPr>
        <w:t xml:space="preserve">, </w:t>
      </w:r>
      <w:r>
        <w:rPr>
          <w:rFonts w:ascii="Times New Roman" w:hAnsi="Times New Roman"/>
          <w:b/>
          <w:i/>
          <w:noProof/>
          <w:sz w:val="20"/>
          <w:szCs w:val="20"/>
        </w:rPr>
        <w:t>SI</w:t>
      </w:r>
      <w:r>
        <w:rPr>
          <w:rFonts w:ascii="Times New Roman" w:hAnsi="Times New Roman"/>
          <w:i/>
          <w:noProof/>
          <w:sz w:val="20"/>
          <w:szCs w:val="20"/>
        </w:rPr>
        <w:t xml:space="preserve"> и </w:t>
      </w:r>
      <w:r>
        <w:rPr>
          <w:rFonts w:ascii="Times New Roman" w:hAnsi="Times New Roman"/>
          <w:b/>
          <w:i/>
          <w:noProof/>
          <w:sz w:val="20"/>
          <w:szCs w:val="20"/>
        </w:rPr>
        <w:t>FI</w:t>
      </w:r>
      <w:r>
        <w:rPr>
          <w:rFonts w:ascii="Times New Roman" w:hAnsi="Times New Roman"/>
          <w:i/>
          <w:noProof/>
          <w:sz w:val="20"/>
          <w:szCs w:val="20"/>
        </w:rPr>
        <w:t>. В</w:t>
      </w:r>
      <w:r>
        <w:rPr>
          <w:rFonts w:ascii="Times New Roman" w:hAnsi="Times New Roman"/>
          <w:i/>
          <w:noProof/>
          <w:sz w:val="20"/>
        </w:rPr>
        <w:t xml:space="preserve"> </w:t>
      </w:r>
      <w:r>
        <w:rPr>
          <w:rFonts w:ascii="Times New Roman" w:hAnsi="Times New Roman"/>
          <w:b/>
          <w:i/>
          <w:noProof/>
          <w:sz w:val="20"/>
        </w:rPr>
        <w:t>HR</w:t>
      </w:r>
      <w:r>
        <w:rPr>
          <w:rFonts w:ascii="Times New Roman" w:hAnsi="Times New Roman"/>
          <w:i/>
          <w:noProof/>
          <w:sz w:val="20"/>
        </w:rPr>
        <w:t xml:space="preserve">, </w:t>
      </w:r>
      <w:r>
        <w:rPr>
          <w:rFonts w:ascii="Times New Roman" w:hAnsi="Times New Roman"/>
          <w:b/>
          <w:i/>
          <w:noProof/>
          <w:sz w:val="20"/>
        </w:rPr>
        <w:t>LT</w:t>
      </w:r>
      <w:r>
        <w:rPr>
          <w:rFonts w:ascii="Times New Roman" w:hAnsi="Times New Roman"/>
          <w:i/>
          <w:noProof/>
          <w:sz w:val="20"/>
        </w:rPr>
        <w:t xml:space="preserve">, </w:t>
      </w:r>
      <w:r>
        <w:rPr>
          <w:rFonts w:ascii="Times New Roman" w:hAnsi="Times New Roman"/>
          <w:b/>
          <w:i/>
          <w:noProof/>
          <w:sz w:val="20"/>
        </w:rPr>
        <w:t>LU</w:t>
      </w:r>
      <w:r>
        <w:rPr>
          <w:rFonts w:ascii="Times New Roman" w:hAnsi="Times New Roman"/>
          <w:i/>
          <w:noProof/>
          <w:sz w:val="20"/>
          <w:szCs w:val="20"/>
        </w:rPr>
        <w:t xml:space="preserve"> и </w:t>
      </w:r>
      <w:r>
        <w:rPr>
          <w:rFonts w:ascii="Times New Roman" w:hAnsi="Times New Roman"/>
          <w:b/>
          <w:i/>
          <w:noProof/>
          <w:sz w:val="20"/>
          <w:szCs w:val="20"/>
        </w:rPr>
        <w:t>MT</w:t>
      </w:r>
      <w:r>
        <w:rPr>
          <w:rFonts w:ascii="Times New Roman" w:hAnsi="Times New Roman"/>
          <w:i/>
          <w:noProof/>
          <w:sz w:val="20"/>
        </w:rPr>
        <w:t xml:space="preserve"> няма третоинстанционен съд за този тип дела.</w:t>
      </w:r>
      <w:r>
        <w:rPr>
          <w:rFonts w:ascii="Times New Roman" w:hAnsi="Times New Roman"/>
          <w:i/>
          <w:noProof/>
          <w:sz w:val="20"/>
          <w:szCs w:val="20"/>
        </w:rPr>
        <w:t xml:space="preserve"> Върховният административен съд е първата и единствена инстанция за някои дела в </w:t>
      </w:r>
      <w:r>
        <w:rPr>
          <w:rFonts w:ascii="Times New Roman" w:hAnsi="Times New Roman"/>
          <w:b/>
          <w:i/>
          <w:noProof/>
          <w:sz w:val="20"/>
          <w:szCs w:val="20"/>
        </w:rPr>
        <w:t>BE</w:t>
      </w:r>
      <w:r>
        <w:rPr>
          <w:rFonts w:ascii="Times New Roman" w:hAnsi="Times New Roman"/>
          <w:i/>
          <w:noProof/>
          <w:sz w:val="20"/>
          <w:szCs w:val="20"/>
        </w:rPr>
        <w:t xml:space="preserve">. В някои държави членки достъпът до третоинстанционен съд може да бъде ограничен. </w:t>
      </w:r>
      <w:r>
        <w:rPr>
          <w:rFonts w:ascii="Times New Roman" w:hAnsi="Times New Roman"/>
          <w:b/>
          <w:i/>
          <w:noProof/>
          <w:sz w:val="20"/>
          <w:szCs w:val="20"/>
        </w:rPr>
        <w:t>DK</w:t>
      </w:r>
      <w:r>
        <w:rPr>
          <w:rFonts w:ascii="Times New Roman" w:hAnsi="Times New Roman"/>
          <w:i/>
          <w:noProof/>
          <w:sz w:val="20"/>
          <w:szCs w:val="20"/>
        </w:rPr>
        <w:t xml:space="preserve"> и </w:t>
      </w:r>
      <w:r>
        <w:rPr>
          <w:rFonts w:ascii="Times New Roman" w:hAnsi="Times New Roman"/>
          <w:b/>
          <w:i/>
          <w:noProof/>
          <w:sz w:val="20"/>
          <w:szCs w:val="20"/>
        </w:rPr>
        <w:t>IE</w:t>
      </w:r>
      <w:r>
        <w:rPr>
          <w:rFonts w:ascii="Times New Roman" w:hAnsi="Times New Roman"/>
          <w:i/>
          <w:noProof/>
          <w:sz w:val="20"/>
          <w:szCs w:val="20"/>
        </w:rPr>
        <w:t xml:space="preserve"> не отчитат административните дела отделно.</w:t>
      </w:r>
    </w:p>
    <w:p>
      <w:pPr>
        <w:keepNext/>
        <w:tabs>
          <w:tab w:val="left" w:pos="850"/>
        </w:tabs>
        <w:spacing w:before="240" w:after="120" w:line="240" w:lineRule="auto"/>
        <w:ind w:left="850" w:hanging="850"/>
        <w:jc w:val="both"/>
        <w:outlineLvl w:val="2"/>
        <w:rPr>
          <w:rFonts w:ascii="Times New Roman" w:eastAsia="Times New Roman" w:hAnsi="Times New Roman" w:cs="Times New Roman"/>
          <w:i/>
          <w:noProof/>
          <w:sz w:val="24"/>
          <w:szCs w:val="24"/>
        </w:rPr>
      </w:pPr>
      <w:r>
        <w:rPr>
          <w:rFonts w:ascii="Times New Roman" w:hAnsi="Times New Roman"/>
          <w:i/>
          <w:noProof/>
          <w:sz w:val="24"/>
          <w:szCs w:val="24"/>
        </w:rPr>
        <w:t>— Дял на приключените производства</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Pr>
          <w:rFonts w:ascii="Times New Roman" w:hAnsi="Times New Roman"/>
          <w:i/>
          <w:noProof/>
          <w:sz w:val="24"/>
          <w:szCs w:val="24"/>
        </w:rPr>
        <w:t> </w:t>
      </w:r>
      <w:r>
        <w:rPr>
          <w:rFonts w:ascii="Times New Roman" w:hAnsi="Times New Roman"/>
          <w:noProof/>
          <w:sz w:val="24"/>
          <w:szCs w:val="24"/>
        </w:rPr>
        <w:t>—</w:t>
      </w:r>
    </w:p>
    <w:p>
      <w:pPr>
        <w:spacing w:after="120" w:line="240" w:lineRule="auto"/>
        <w:jc w:val="both"/>
        <w:rPr>
          <w:rFonts w:ascii="Times New Roman" w:eastAsia="Times New Roman" w:hAnsi="Times New Roman" w:cs="Times New Roman"/>
          <w:b/>
          <w:noProof/>
          <w:sz w:val="24"/>
          <w:szCs w:val="24"/>
        </w:rPr>
      </w:pPr>
      <w:r>
        <w:rPr>
          <w:rFonts w:ascii="Times New Roman" w:hAnsi="Times New Roman"/>
          <w:noProof/>
          <w:sz w:val="24"/>
          <w:szCs w:val="24"/>
        </w:rPr>
        <w:t>Делът на приключените производства е съотношението на броя решени дела спрямо броя новозаведени дела. Чрез него се измерва дали даден съд се справя с обема новозаведени дела. Когато делът на приключените производства е около 100 % или по-висок, това означава, че съдебната система е способна да реши поне толкова дела, колкото са заведени. Когато този дял е под 100 %, това означава, че съдилищата решават по-малък брой дела от броя на завежданите дела.</w:t>
      </w:r>
    </w:p>
    <w:p>
      <w:pPr>
        <w:keepNext/>
        <w:spacing w:before="240" w:after="120" w:line="240" w:lineRule="auto"/>
        <w:jc w:val="both"/>
        <w:rPr>
          <w:rFonts w:ascii="Times New Roman" w:eastAsia="Calibri" w:hAnsi="Times New Roman" w:cs="Times New Roman"/>
          <w:noProof/>
          <w:spacing w:val="-4"/>
          <w:sz w:val="24"/>
        </w:rPr>
      </w:pPr>
      <w:bookmarkStart w:id="197" w:name="_Ref442281972"/>
      <w:r>
        <w:rPr>
          <w:rFonts w:ascii="Times New Roman" w:hAnsi="Times New Roman"/>
          <w:b/>
          <w:noProof/>
          <w:spacing w:val="-4"/>
          <w:sz w:val="24"/>
        </w:rPr>
        <w:t>Графика </w:t>
      </w:r>
      <w:r>
        <w:rPr>
          <w:rFonts w:ascii="Times New Roman" w:eastAsia="Calibri" w:hAnsi="Times New Roman" w:cs="Times New Roman"/>
          <w:b/>
          <w:noProof/>
          <w:spacing w:val="-4"/>
          <w:sz w:val="24"/>
        </w:rPr>
        <w:fldChar w:fldCharType="begin"/>
      </w:r>
      <w:r>
        <w:rPr>
          <w:rFonts w:ascii="Times New Roman" w:eastAsia="Calibri" w:hAnsi="Times New Roman" w:cs="Times New Roman"/>
          <w:b/>
          <w:noProof/>
          <w:spacing w:val="-4"/>
          <w:sz w:val="24"/>
        </w:rPr>
        <w:instrText xml:space="preserve"> SEQ Figure \* ARABIC </w:instrText>
      </w:r>
      <w:r>
        <w:rPr>
          <w:rFonts w:ascii="Times New Roman" w:eastAsia="Calibri" w:hAnsi="Times New Roman" w:cs="Times New Roman"/>
          <w:b/>
          <w:noProof/>
          <w:spacing w:val="-4"/>
          <w:sz w:val="24"/>
        </w:rPr>
        <w:fldChar w:fldCharType="separate"/>
      </w:r>
      <w:r>
        <w:rPr>
          <w:rFonts w:ascii="Times New Roman" w:eastAsia="Calibri" w:hAnsi="Times New Roman" w:cs="Times New Roman"/>
          <w:b/>
          <w:noProof/>
          <w:spacing w:val="-4"/>
          <w:sz w:val="24"/>
        </w:rPr>
        <w:t>10</w:t>
      </w:r>
      <w:r>
        <w:rPr>
          <w:rFonts w:ascii="Times New Roman" w:eastAsia="Calibri" w:hAnsi="Times New Roman" w:cs="Times New Roman"/>
          <w:b/>
          <w:noProof/>
          <w:spacing w:val="-4"/>
          <w:sz w:val="24"/>
        </w:rPr>
        <w:fldChar w:fldCharType="end"/>
      </w:r>
      <w:bookmarkEnd w:id="197"/>
      <w:r>
        <w:rPr>
          <w:rFonts w:ascii="Times New Roman" w:hAnsi="Times New Roman"/>
          <w:b/>
          <w:noProof/>
          <w:spacing w:val="-4"/>
          <w:sz w:val="24"/>
        </w:rPr>
        <w:t xml:space="preserve">: Дял на решените </w:t>
      </w:r>
      <w:r>
        <w:rPr>
          <w:rFonts w:ascii="Times New Roman" w:hAnsi="Times New Roman"/>
          <w:b/>
          <w:noProof/>
          <w:spacing w:val="-4"/>
          <w:sz w:val="24"/>
          <w:u w:val="single"/>
        </w:rPr>
        <w:t xml:space="preserve">граждански, търговски, административни и други дела </w:t>
      </w:r>
      <w:r>
        <w:rPr>
          <w:rFonts w:ascii="Times New Roman" w:hAnsi="Times New Roman"/>
          <w:noProof/>
          <w:spacing w:val="-4"/>
        </w:rPr>
        <w:t>(</w:t>
      </w:r>
      <w:r>
        <w:rPr>
          <w:noProof/>
          <w:spacing w:val="-4"/>
        </w:rPr>
        <w:t>*</w:t>
      </w:r>
      <w:r>
        <w:rPr>
          <w:rFonts w:ascii="Times New Roman" w:hAnsi="Times New Roman"/>
          <w:noProof/>
          <w:spacing w:val="-4"/>
        </w:rPr>
        <w:t>)</w:t>
      </w:r>
      <w:r>
        <w:rPr>
          <w:rFonts w:ascii="Times New Roman" w:hAnsi="Times New Roman"/>
          <w:b/>
          <w:noProof/>
          <w:spacing w:val="-4"/>
          <w:sz w:val="24"/>
        </w:rPr>
        <w:t xml:space="preserve"> </w:t>
      </w:r>
      <w:r>
        <w:rPr>
          <w:rFonts w:ascii="Times New Roman" w:hAnsi="Times New Roman"/>
          <w:i/>
          <w:noProof/>
          <w:spacing w:val="-4"/>
          <w:sz w:val="24"/>
        </w:rPr>
        <w:t>(на първа инстанция/в % — стойностите над 100 % показват, че броят на решените дела е по-голям от този на новозаведените дела, а стойностите под 100 % показват, че броят на решените дела е по-малък от този на новозаведените) (източник: проучване на CEPEJ)</w:t>
      </w:r>
    </w:p>
    <w:p>
      <w:pPr>
        <w:spacing w:after="0" w:line="240" w:lineRule="auto"/>
        <w:jc w:val="both"/>
        <w:rPr>
          <w:rFonts w:ascii="Times New Roman" w:eastAsia="Calibri" w:hAnsi="Times New Roman" w:cs="Times New Roman"/>
          <w:i/>
          <w:noProof/>
          <w:sz w:val="20"/>
        </w:rPr>
      </w:pPr>
      <w:r>
        <w:rPr>
          <w:noProof/>
          <w:lang w:val="en-GB" w:eastAsia="en-GB"/>
        </w:rPr>
        <w:drawing>
          <wp:inline distT="0" distB="0" distL="0" distR="0">
            <wp:extent cx="5977255" cy="2668354"/>
            <wp:effectExtent l="0" t="0" r="444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77255" cy="2668354"/>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noProof/>
          <w:sz w:val="24"/>
        </w:rPr>
      </w:pPr>
      <w:r>
        <w:rPr>
          <w:rFonts w:ascii="Times New Roman" w:hAnsi="Times New Roman"/>
          <w:i/>
          <w:noProof/>
          <w:sz w:val="20"/>
        </w:rPr>
        <w:t xml:space="preserve">(*) Методиката съдържа промени в </w:t>
      </w:r>
      <w:r>
        <w:rPr>
          <w:rFonts w:ascii="Times New Roman" w:hAnsi="Times New Roman"/>
          <w:b/>
          <w:i/>
          <w:noProof/>
          <w:sz w:val="20"/>
        </w:rPr>
        <w:t>SK</w:t>
      </w:r>
      <w:r>
        <w:rPr>
          <w:rFonts w:ascii="Times New Roman" w:hAnsi="Times New Roman"/>
          <w:i/>
          <w:noProof/>
          <w:sz w:val="20"/>
        </w:rPr>
        <w:t xml:space="preserve">. </w:t>
      </w:r>
      <w:r>
        <w:rPr>
          <w:rFonts w:ascii="Times New Roman" w:hAnsi="Times New Roman"/>
          <w:b/>
          <w:i/>
          <w:noProof/>
          <w:sz w:val="20"/>
        </w:rPr>
        <w:t>IE:</w:t>
      </w:r>
      <w:r>
        <w:rPr>
          <w:rFonts w:ascii="Times New Roman" w:hAnsi="Times New Roman"/>
          <w:i/>
          <w:noProof/>
          <w:sz w:val="20"/>
        </w:rPr>
        <w:t xml:space="preserve"> очаква се броят на решените дела да е по-голям от отчетения брой поради използваната методика.</w:t>
      </w:r>
    </w:p>
    <w:p>
      <w:pPr>
        <w:keepNext/>
        <w:spacing w:before="240" w:after="120" w:line="240" w:lineRule="auto"/>
        <w:jc w:val="both"/>
        <w:rPr>
          <w:rFonts w:ascii="Times New Roman" w:eastAsia="Calibri" w:hAnsi="Times New Roman" w:cs="Times New Roman"/>
          <w:i/>
          <w:noProof/>
        </w:rPr>
      </w:pPr>
      <w:bookmarkStart w:id="198" w:name="_Ref442281977"/>
      <w:r>
        <w:rPr>
          <w:rFonts w:ascii="Times New Roman" w:hAnsi="Times New Roman"/>
          <w:b/>
          <w:noProof/>
          <w:sz w:val="24"/>
        </w:rPr>
        <w:t>Графика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11</w:t>
      </w:r>
      <w:r>
        <w:rPr>
          <w:rFonts w:ascii="Times New Roman" w:eastAsia="Calibri" w:hAnsi="Times New Roman" w:cs="Times New Roman"/>
          <w:b/>
          <w:noProof/>
          <w:sz w:val="24"/>
        </w:rPr>
        <w:fldChar w:fldCharType="end"/>
      </w:r>
      <w:bookmarkEnd w:id="198"/>
      <w:r>
        <w:rPr>
          <w:rFonts w:ascii="Times New Roman" w:hAnsi="Times New Roman"/>
          <w:b/>
          <w:noProof/>
          <w:sz w:val="24"/>
        </w:rPr>
        <w:t xml:space="preserve">: Дял на решените </w:t>
      </w:r>
      <w:r>
        <w:rPr>
          <w:rFonts w:ascii="Times New Roman" w:hAnsi="Times New Roman"/>
          <w:b/>
          <w:noProof/>
          <w:sz w:val="24"/>
          <w:u w:val="single"/>
        </w:rPr>
        <w:t>спорни граждански и търговски дела</w:t>
      </w:r>
      <w:r>
        <w:rPr>
          <w:rFonts w:ascii="Times New Roman" w:hAnsi="Times New Roman"/>
          <w:b/>
          <w:noProof/>
          <w:sz w:val="24"/>
        </w:rPr>
        <w:t xml:space="preserve"> </w:t>
      </w:r>
      <w:r>
        <w:rPr>
          <w:rFonts w:ascii="Times New Roman" w:hAnsi="Times New Roman"/>
          <w:noProof/>
        </w:rPr>
        <w:t>(</w:t>
      </w:r>
      <w:r>
        <w:rPr>
          <w:noProof/>
        </w:rPr>
        <w:t>*</w:t>
      </w:r>
      <w:r>
        <w:rPr>
          <w:rFonts w:ascii="Times New Roman" w:hAnsi="Times New Roman"/>
          <w:noProof/>
        </w:rPr>
        <w:t>)</w:t>
      </w:r>
      <w:r>
        <w:rPr>
          <w:rFonts w:ascii="Times New Roman" w:hAnsi="Times New Roman"/>
          <w:b/>
          <w:noProof/>
          <w:sz w:val="24"/>
        </w:rPr>
        <w:t xml:space="preserve"> </w:t>
      </w:r>
      <w:r>
        <w:rPr>
          <w:rFonts w:ascii="Times New Roman" w:hAnsi="Times New Roman"/>
          <w:i/>
          <w:noProof/>
          <w:sz w:val="24"/>
        </w:rPr>
        <w:t>(на първа инстанция/в %) (източник: проучване на CEPEJ)</w:t>
      </w:r>
    </w:p>
    <w:p>
      <w:pPr>
        <w:spacing w:after="0" w:line="240" w:lineRule="auto"/>
        <w:jc w:val="both"/>
        <w:rPr>
          <w:rFonts w:ascii="Times New Roman" w:eastAsia="Calibri" w:hAnsi="Times New Roman" w:cs="Times New Roman"/>
          <w:noProof/>
          <w:sz w:val="24"/>
        </w:rPr>
      </w:pPr>
      <w:r>
        <w:rPr>
          <w:noProof/>
          <w:lang w:val="en-GB" w:eastAsia="en-GB"/>
        </w:rPr>
        <w:drawing>
          <wp:inline distT="0" distB="0" distL="0" distR="0">
            <wp:extent cx="5977255" cy="2650569"/>
            <wp:effectExtent l="0" t="0" r="444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77255" cy="2650569"/>
                    </a:xfrm>
                    <a:prstGeom prst="rect">
                      <a:avLst/>
                    </a:prstGeom>
                    <a:noFill/>
                    <a:ln>
                      <a:noFill/>
                    </a:ln>
                  </pic:spPr>
                </pic:pic>
              </a:graphicData>
            </a:graphic>
          </wp:inline>
        </w:drawing>
      </w:r>
      <w:r>
        <w:rPr>
          <w:rFonts w:ascii="Times New Roman" w:hAnsi="Times New Roman"/>
          <w:i/>
          <w:noProof/>
          <w:sz w:val="20"/>
        </w:rPr>
        <w:t xml:space="preserve">(*) Методиката съдържа промени в </w:t>
      </w:r>
      <w:r>
        <w:rPr>
          <w:rFonts w:ascii="Times New Roman" w:hAnsi="Times New Roman"/>
          <w:b/>
          <w:i/>
          <w:noProof/>
          <w:sz w:val="20"/>
        </w:rPr>
        <w:t>EL</w:t>
      </w:r>
      <w:r>
        <w:rPr>
          <w:rFonts w:ascii="Times New Roman" w:hAnsi="Times New Roman"/>
          <w:i/>
          <w:noProof/>
          <w:sz w:val="20"/>
        </w:rPr>
        <w:t xml:space="preserve"> и </w:t>
      </w:r>
      <w:r>
        <w:rPr>
          <w:rFonts w:ascii="Times New Roman" w:hAnsi="Times New Roman"/>
          <w:b/>
          <w:i/>
          <w:noProof/>
          <w:sz w:val="20"/>
        </w:rPr>
        <w:t>SK</w:t>
      </w:r>
      <w:r>
        <w:rPr>
          <w:rFonts w:ascii="Times New Roman" w:hAnsi="Times New Roman"/>
          <w:i/>
          <w:noProof/>
          <w:sz w:val="20"/>
        </w:rPr>
        <w:t xml:space="preserve">. </w:t>
      </w:r>
      <w:r>
        <w:rPr>
          <w:rFonts w:ascii="Times New Roman" w:hAnsi="Times New Roman"/>
          <w:b/>
          <w:i/>
          <w:noProof/>
          <w:sz w:val="20"/>
        </w:rPr>
        <w:t>IE:</w:t>
      </w:r>
      <w:r>
        <w:rPr>
          <w:rFonts w:ascii="Times New Roman" w:hAnsi="Times New Roman"/>
          <w:i/>
          <w:noProof/>
          <w:sz w:val="20"/>
        </w:rPr>
        <w:t xml:space="preserve"> очаква се броят на решените дела да е по-голям от отчетения брой поради използваната методика. Данните за </w:t>
      </w:r>
      <w:r>
        <w:rPr>
          <w:rFonts w:ascii="Times New Roman" w:hAnsi="Times New Roman"/>
          <w:b/>
          <w:i/>
          <w:noProof/>
          <w:sz w:val="20"/>
        </w:rPr>
        <w:t>NL</w:t>
      </w:r>
      <w:r>
        <w:rPr>
          <w:rFonts w:ascii="Times New Roman" w:hAnsi="Times New Roman"/>
          <w:i/>
          <w:noProof/>
          <w:sz w:val="20"/>
        </w:rPr>
        <w:t xml:space="preserve"> включват безспорните дела.</w:t>
      </w:r>
    </w:p>
    <w:p>
      <w:pPr>
        <w:keepNext/>
        <w:spacing w:before="240" w:after="120" w:line="240" w:lineRule="auto"/>
        <w:jc w:val="both"/>
        <w:rPr>
          <w:rFonts w:ascii="Times New Roman" w:eastAsia="Calibri" w:hAnsi="Times New Roman" w:cs="Times New Roman"/>
          <w:i/>
          <w:noProof/>
          <w:sz w:val="24"/>
        </w:rPr>
      </w:pPr>
      <w:bookmarkStart w:id="199" w:name="_Ref442281982"/>
      <w:r>
        <w:rPr>
          <w:rFonts w:ascii="Times New Roman" w:hAnsi="Times New Roman"/>
          <w:b/>
          <w:noProof/>
          <w:sz w:val="24"/>
        </w:rPr>
        <w:t>Графика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12</w:t>
      </w:r>
      <w:r>
        <w:rPr>
          <w:rFonts w:ascii="Times New Roman" w:eastAsia="Calibri" w:hAnsi="Times New Roman" w:cs="Times New Roman"/>
          <w:b/>
          <w:noProof/>
          <w:sz w:val="24"/>
        </w:rPr>
        <w:fldChar w:fldCharType="end"/>
      </w:r>
      <w:bookmarkEnd w:id="199"/>
      <w:r>
        <w:rPr>
          <w:rFonts w:ascii="Times New Roman" w:hAnsi="Times New Roman"/>
          <w:b/>
          <w:noProof/>
          <w:sz w:val="24"/>
        </w:rPr>
        <w:t xml:space="preserve">: Дял на решените </w:t>
      </w:r>
      <w:r>
        <w:rPr>
          <w:rFonts w:ascii="Times New Roman" w:hAnsi="Times New Roman"/>
          <w:b/>
          <w:noProof/>
          <w:sz w:val="24"/>
          <w:u w:val="single"/>
        </w:rPr>
        <w:t>административни дела</w:t>
      </w:r>
      <w:r>
        <w:rPr>
          <w:rFonts w:ascii="Times New Roman" w:hAnsi="Times New Roman"/>
          <w:b/>
          <w:noProof/>
          <w:sz w:val="24"/>
        </w:rPr>
        <w:t xml:space="preserve"> </w:t>
      </w:r>
      <w:r>
        <w:rPr>
          <w:rFonts w:ascii="Times New Roman" w:hAnsi="Times New Roman"/>
          <w:noProof/>
        </w:rPr>
        <w:t>(</w:t>
      </w:r>
      <w:r>
        <w:rPr>
          <w:noProof/>
        </w:rPr>
        <w:t>*</w:t>
      </w:r>
      <w:r>
        <w:rPr>
          <w:rFonts w:ascii="Times New Roman" w:hAnsi="Times New Roman"/>
          <w:noProof/>
        </w:rPr>
        <w:t>)</w:t>
      </w:r>
      <w:r>
        <w:rPr>
          <w:rFonts w:ascii="Times New Roman" w:hAnsi="Times New Roman"/>
          <w:b/>
          <w:noProof/>
          <w:sz w:val="24"/>
        </w:rPr>
        <w:t xml:space="preserve"> </w:t>
      </w:r>
      <w:r>
        <w:rPr>
          <w:rFonts w:ascii="Times New Roman" w:hAnsi="Times New Roman"/>
          <w:i/>
          <w:noProof/>
          <w:sz w:val="24"/>
        </w:rPr>
        <w:t>(на първа инстанция/в %) (източник: проучване на CEPEJ)</w:t>
      </w:r>
    </w:p>
    <w:p>
      <w:pPr>
        <w:keepNext/>
        <w:spacing w:after="0" w:line="240" w:lineRule="auto"/>
        <w:jc w:val="both"/>
        <w:rPr>
          <w:rFonts w:ascii="Times New Roman" w:eastAsia="Calibri" w:hAnsi="Times New Roman" w:cs="Times New Roman"/>
          <w:i/>
          <w:noProof/>
          <w:sz w:val="20"/>
        </w:rPr>
      </w:pPr>
      <w:r>
        <w:rPr>
          <w:noProof/>
          <w:lang w:val="en-GB" w:eastAsia="en-GB"/>
        </w:rPr>
        <w:drawing>
          <wp:inline distT="0" distB="0" distL="0" distR="0">
            <wp:extent cx="5977255" cy="2633019"/>
            <wp:effectExtent l="0" t="0" r="444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77255" cy="2633019"/>
                    </a:xfrm>
                    <a:prstGeom prst="rect">
                      <a:avLst/>
                    </a:prstGeom>
                    <a:noFill/>
                    <a:ln>
                      <a:noFill/>
                    </a:ln>
                  </pic:spPr>
                </pic:pic>
              </a:graphicData>
            </a:graphic>
          </wp:inline>
        </w:drawing>
      </w:r>
      <w:r>
        <w:rPr>
          <w:rFonts w:ascii="Times New Roman" w:hAnsi="Times New Roman"/>
          <w:i/>
          <w:noProof/>
          <w:sz w:val="20"/>
        </w:rPr>
        <w:t>(*</w:t>
      </w:r>
      <w:r>
        <w:rPr>
          <w:rFonts w:ascii="Times New Roman" w:hAnsi="Times New Roman"/>
          <w:noProof/>
          <w:sz w:val="20"/>
        </w:rPr>
        <w:t xml:space="preserve">) </w:t>
      </w:r>
      <w:r>
        <w:rPr>
          <w:rFonts w:ascii="Times New Roman" w:hAnsi="Times New Roman"/>
          <w:i/>
          <w:noProof/>
          <w:sz w:val="20"/>
        </w:rPr>
        <w:t>Миналите стойности за някои държави членки са намалени за целите на представянето (</w:t>
      </w:r>
      <w:r>
        <w:rPr>
          <w:rFonts w:ascii="Times New Roman" w:hAnsi="Times New Roman"/>
          <w:b/>
          <w:i/>
          <w:noProof/>
          <w:sz w:val="20"/>
        </w:rPr>
        <w:t>MT</w:t>
      </w:r>
      <w:r>
        <w:rPr>
          <w:rFonts w:ascii="Times New Roman" w:hAnsi="Times New Roman"/>
          <w:i/>
          <w:noProof/>
          <w:sz w:val="20"/>
        </w:rPr>
        <w:t xml:space="preserve"> през 2015 г. =411 %;</w:t>
      </w:r>
      <w:r>
        <w:rPr>
          <w:rFonts w:ascii="Times New Roman" w:hAnsi="Times New Roman"/>
          <w:b/>
          <w:i/>
          <w:noProof/>
          <w:sz w:val="20"/>
        </w:rPr>
        <w:t xml:space="preserve"> IT</w:t>
      </w:r>
      <w:r>
        <w:rPr>
          <w:rFonts w:ascii="Times New Roman" w:hAnsi="Times New Roman"/>
          <w:i/>
          <w:noProof/>
          <w:sz w:val="20"/>
        </w:rPr>
        <w:t xml:space="preserve"> през 2010 г. = 316 %). Методиката съдържа промени в </w:t>
      </w:r>
      <w:r>
        <w:rPr>
          <w:rFonts w:ascii="Times New Roman" w:hAnsi="Times New Roman"/>
          <w:b/>
          <w:i/>
          <w:noProof/>
          <w:sz w:val="20"/>
        </w:rPr>
        <w:t>EL</w:t>
      </w:r>
      <w:r>
        <w:rPr>
          <w:rFonts w:ascii="Times New Roman" w:hAnsi="Times New Roman"/>
          <w:i/>
          <w:noProof/>
          <w:sz w:val="20"/>
        </w:rPr>
        <w:t xml:space="preserve"> и </w:t>
      </w:r>
      <w:r>
        <w:rPr>
          <w:rFonts w:ascii="Times New Roman" w:hAnsi="Times New Roman"/>
          <w:b/>
          <w:i/>
          <w:noProof/>
          <w:sz w:val="20"/>
        </w:rPr>
        <w:t>SK</w:t>
      </w:r>
      <w:r>
        <w:rPr>
          <w:rFonts w:ascii="Times New Roman" w:hAnsi="Times New Roman"/>
          <w:i/>
          <w:noProof/>
          <w:sz w:val="20"/>
        </w:rPr>
        <w:t xml:space="preserve">. </w:t>
      </w:r>
      <w:r>
        <w:rPr>
          <w:rFonts w:ascii="Times New Roman" w:hAnsi="Times New Roman"/>
          <w:b/>
          <w:i/>
          <w:noProof/>
          <w:sz w:val="20"/>
        </w:rPr>
        <w:t>DK</w:t>
      </w:r>
      <w:r>
        <w:rPr>
          <w:rFonts w:ascii="Times New Roman" w:hAnsi="Times New Roman"/>
          <w:i/>
          <w:noProof/>
          <w:sz w:val="20"/>
        </w:rPr>
        <w:t xml:space="preserve"> и </w:t>
      </w:r>
      <w:r>
        <w:rPr>
          <w:rFonts w:ascii="Times New Roman" w:hAnsi="Times New Roman"/>
          <w:b/>
          <w:i/>
          <w:noProof/>
          <w:sz w:val="20"/>
        </w:rPr>
        <w:t>IE</w:t>
      </w:r>
      <w:r>
        <w:rPr>
          <w:rFonts w:ascii="Times New Roman" w:hAnsi="Times New Roman"/>
          <w:i/>
          <w:noProof/>
          <w:sz w:val="20"/>
        </w:rPr>
        <w:t xml:space="preserve"> не отчитат административните дела отделно.</w:t>
      </w:r>
    </w:p>
    <w:p>
      <w:pPr>
        <w:keepNext/>
        <w:tabs>
          <w:tab w:val="left" w:pos="850"/>
        </w:tabs>
        <w:spacing w:before="240" w:after="120" w:line="240" w:lineRule="auto"/>
        <w:ind w:left="850" w:hanging="850"/>
        <w:jc w:val="both"/>
        <w:outlineLvl w:val="2"/>
        <w:rPr>
          <w:rFonts w:ascii="Times New Roman" w:eastAsia="Times New Roman" w:hAnsi="Times New Roman" w:cs="Times New Roman"/>
          <w:i/>
          <w:noProof/>
          <w:sz w:val="24"/>
          <w:szCs w:val="24"/>
        </w:rPr>
      </w:pPr>
      <w:bookmarkStart w:id="200" w:name="_Toc440017701"/>
      <w:bookmarkStart w:id="201" w:name="_Toc440018085"/>
      <w:bookmarkStart w:id="202" w:name="_Toc440033383"/>
      <w:bookmarkStart w:id="203" w:name="_Toc440035234"/>
      <w:bookmarkStart w:id="204" w:name="_Toc440036529"/>
      <w:bookmarkStart w:id="205" w:name="_Toc440042471"/>
      <w:bookmarkStart w:id="206" w:name="_Toc440291124"/>
      <w:bookmarkStart w:id="207" w:name="_Toc440294687"/>
      <w:bookmarkStart w:id="208" w:name="_Toc440295189"/>
      <w:bookmarkStart w:id="209" w:name="_Toc440296594"/>
      <w:bookmarkStart w:id="210" w:name="_Toc440625078"/>
      <w:bookmarkStart w:id="211" w:name="_Toc440626408"/>
      <w:bookmarkStart w:id="212" w:name="_Toc440628862"/>
      <w:bookmarkStart w:id="213" w:name="_Toc441571135"/>
      <w:bookmarkStart w:id="214" w:name="_Toc441581637"/>
      <w:bookmarkStart w:id="215" w:name="_Toc441585904"/>
      <w:bookmarkStart w:id="216" w:name="_Toc441595839"/>
      <w:bookmarkStart w:id="217" w:name="_Toc441596016"/>
      <w:bookmarkStart w:id="218" w:name="_Toc441748141"/>
      <w:bookmarkStart w:id="219" w:name="_Toc441755426"/>
      <w:bookmarkStart w:id="220" w:name="_Toc441756463"/>
      <w:bookmarkStart w:id="221" w:name="_Toc441757507"/>
      <w:bookmarkStart w:id="222" w:name="_Toc441766636"/>
      <w:bookmarkStart w:id="223" w:name="_Toc441766975"/>
      <w:bookmarkStart w:id="224" w:name="_Toc442187976"/>
      <w:bookmarkStart w:id="225" w:name="_Toc442262068"/>
      <w:bookmarkStart w:id="226" w:name="_Toc442362475"/>
      <w:bookmarkStart w:id="227" w:name="_Toc442374811"/>
      <w:bookmarkStart w:id="228" w:name="_Toc442425951"/>
      <w:bookmarkStart w:id="229" w:name="_Toc442453077"/>
      <w:bookmarkStart w:id="230" w:name="_Toc443484535"/>
      <w:bookmarkStart w:id="231" w:name="_Toc443484757"/>
      <w:bookmarkStart w:id="232" w:name="_Toc443509498"/>
      <w:bookmarkStart w:id="233" w:name="_Toc446014827"/>
      <w:r>
        <w:rPr>
          <w:rFonts w:ascii="Times New Roman" w:eastAsia="Times New Roman" w:hAnsi="Times New Roman" w:cs="Times New Roman"/>
          <w:i/>
          <w:noProof/>
          <w:sz w:val="24"/>
          <w:szCs w:val="24"/>
        </w:rPr>
        <w:sym w:font="Symbol" w:char="F02D"/>
      </w:r>
      <w:r>
        <w:rPr>
          <w:rFonts w:ascii="Times New Roman" w:eastAsia="Times New Roman" w:hAnsi="Times New Roman" w:cs="Times New Roman"/>
          <w:i/>
          <w:noProof/>
          <w:sz w:val="24"/>
          <w:szCs w:val="24"/>
          <w:lang w:val="en-US"/>
        </w:rPr>
        <w:t xml:space="preserve"> </w:t>
      </w:r>
      <w:r>
        <w:rPr>
          <w:rFonts w:ascii="Times New Roman" w:hAnsi="Times New Roman"/>
          <w:i/>
          <w:noProof/>
          <w:sz w:val="24"/>
          <w:szCs w:val="24"/>
        </w:rPr>
        <w:t xml:space="preserve">Висящи дела </w:t>
      </w:r>
      <w:r>
        <w:rPr>
          <w:rFonts w:ascii="Times New Roman" w:eastAsia="Times New Roman" w:hAnsi="Times New Roman" w:cs="Times New Roman"/>
          <w:i/>
          <w:noProof/>
          <w:sz w:val="24"/>
          <w:szCs w:val="24"/>
        </w:rPr>
        <w:sym w:font="Symbol" w:char="F02D"/>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Броят висящи дела изразява броя на делата, които в края на съответната година все още не са разгледани. Той влияе също така върху времето, което би било необходимо за разглеждане на натрупаните висящи дела.</w:t>
      </w:r>
      <w:bookmarkStart w:id="234" w:name="_Ref442281988"/>
    </w:p>
    <w:p>
      <w:pPr>
        <w:spacing w:before="240" w:after="120" w:line="240" w:lineRule="auto"/>
        <w:jc w:val="both"/>
        <w:rPr>
          <w:rFonts w:ascii="Times New Roman" w:eastAsia="Times New Roman" w:hAnsi="Times New Roman" w:cs="Times New Roman"/>
          <w:i/>
          <w:noProof/>
          <w:sz w:val="24"/>
          <w:szCs w:val="24"/>
        </w:rPr>
      </w:pPr>
      <w:r>
        <w:rPr>
          <w:rFonts w:ascii="Times New Roman" w:hAnsi="Times New Roman"/>
          <w:b/>
          <w:noProof/>
          <w:sz w:val="24"/>
          <w:szCs w:val="24"/>
        </w:rPr>
        <w:t>Графика </w:t>
      </w:r>
      <w:r>
        <w:rPr>
          <w:rFonts w:ascii="Times New Roman" w:eastAsia="Times New Roman" w:hAnsi="Times New Roman" w:cs="Times New Roman"/>
          <w:b/>
          <w:noProof/>
          <w:sz w:val="24"/>
          <w:szCs w:val="24"/>
        </w:rPr>
        <w:fldChar w:fldCharType="begin"/>
      </w:r>
      <w:r>
        <w:rPr>
          <w:rFonts w:ascii="Times New Roman" w:eastAsia="Times New Roman" w:hAnsi="Times New Roman" w:cs="Times New Roman"/>
          <w:b/>
          <w:noProof/>
          <w:sz w:val="24"/>
          <w:szCs w:val="24"/>
        </w:rPr>
        <w:instrText xml:space="preserve"> SEQ Figure \* ARABIC </w:instrText>
      </w:r>
      <w:r>
        <w:rPr>
          <w:rFonts w:ascii="Times New Roman" w:eastAsia="Times New Roman" w:hAnsi="Times New Roman" w:cs="Times New Roman"/>
          <w:b/>
          <w:noProof/>
          <w:sz w:val="24"/>
          <w:szCs w:val="24"/>
        </w:rPr>
        <w:fldChar w:fldCharType="separate"/>
      </w:r>
      <w:r>
        <w:rPr>
          <w:rFonts w:ascii="Times New Roman" w:eastAsia="Times New Roman" w:hAnsi="Times New Roman" w:cs="Times New Roman"/>
          <w:b/>
          <w:noProof/>
          <w:sz w:val="24"/>
          <w:szCs w:val="24"/>
        </w:rPr>
        <w:t>13</w:t>
      </w:r>
      <w:r>
        <w:rPr>
          <w:rFonts w:ascii="Times New Roman" w:eastAsia="Times New Roman" w:hAnsi="Times New Roman" w:cs="Times New Roman"/>
          <w:b/>
          <w:noProof/>
          <w:sz w:val="24"/>
          <w:szCs w:val="24"/>
        </w:rPr>
        <w:fldChar w:fldCharType="end"/>
      </w:r>
      <w:bookmarkEnd w:id="234"/>
      <w:r>
        <w:rPr>
          <w:rFonts w:ascii="Times New Roman" w:hAnsi="Times New Roman"/>
          <w:b/>
          <w:noProof/>
          <w:sz w:val="24"/>
          <w:szCs w:val="24"/>
        </w:rPr>
        <w:t xml:space="preserve">: Брой на </w:t>
      </w:r>
      <w:r>
        <w:rPr>
          <w:rFonts w:ascii="Times New Roman" w:hAnsi="Times New Roman"/>
          <w:b/>
          <w:noProof/>
          <w:sz w:val="24"/>
          <w:szCs w:val="24"/>
          <w:u w:val="single"/>
        </w:rPr>
        <w:t>висящите граждански, търговски, административни и други дела</w:t>
      </w:r>
      <w:r>
        <w:rPr>
          <w:rFonts w:ascii="Times New Roman" w:hAnsi="Times New Roman"/>
          <w:b/>
          <w:noProof/>
          <w:sz w:val="24"/>
          <w:szCs w:val="24"/>
        </w:rPr>
        <w:t xml:space="preserve"> </w:t>
      </w:r>
      <w:r>
        <w:rPr>
          <w:rFonts w:ascii="Times New Roman" w:hAnsi="Times New Roman"/>
          <w:noProof/>
          <w:sz w:val="24"/>
          <w:szCs w:val="24"/>
        </w:rPr>
        <w:t>(</w:t>
      </w:r>
      <w:r>
        <w:rPr>
          <w:noProof/>
          <w:sz w:val="24"/>
          <w:szCs w:val="24"/>
        </w:rPr>
        <w:t>*</w:t>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i/>
          <w:noProof/>
          <w:sz w:val="24"/>
          <w:szCs w:val="24"/>
        </w:rPr>
        <w:t>(на първа инстанция/на 100 жители) (източник: проучване на CEPEJ)</w:t>
      </w:r>
    </w:p>
    <w:p>
      <w:pPr>
        <w:spacing w:after="0" w:line="240" w:lineRule="auto"/>
        <w:jc w:val="both"/>
        <w:rPr>
          <w:rFonts w:ascii="Times New Roman" w:eastAsia="Times New Roman" w:hAnsi="Times New Roman" w:cs="Times New Roman"/>
          <w:noProof/>
          <w:sz w:val="24"/>
          <w:szCs w:val="24"/>
        </w:rPr>
      </w:pPr>
      <w:r>
        <w:rPr>
          <w:noProof/>
          <w:lang w:val="en-GB" w:eastAsia="en-GB"/>
        </w:rPr>
        <w:drawing>
          <wp:inline distT="0" distB="0" distL="0" distR="0">
            <wp:extent cx="5977255" cy="2466563"/>
            <wp:effectExtent l="0" t="0" r="444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77255" cy="2466563"/>
                    </a:xfrm>
                    <a:prstGeom prst="rect">
                      <a:avLst/>
                    </a:prstGeom>
                    <a:noFill/>
                    <a:ln>
                      <a:noFill/>
                    </a:ln>
                  </pic:spPr>
                </pic:pic>
              </a:graphicData>
            </a:graphic>
          </wp:inline>
        </w:drawing>
      </w:r>
      <w:r>
        <w:rPr>
          <w:rFonts w:ascii="Times New Roman" w:hAnsi="Times New Roman"/>
          <w:i/>
          <w:noProof/>
          <w:sz w:val="20"/>
          <w:szCs w:val="24"/>
        </w:rPr>
        <w:t xml:space="preserve">(*) Методологични промени в </w:t>
      </w:r>
      <w:r>
        <w:rPr>
          <w:rFonts w:ascii="Times New Roman" w:hAnsi="Times New Roman"/>
          <w:b/>
          <w:i/>
          <w:noProof/>
          <w:sz w:val="20"/>
          <w:szCs w:val="24"/>
        </w:rPr>
        <w:t>SK</w:t>
      </w:r>
      <w:r>
        <w:rPr>
          <w:rFonts w:ascii="Times New Roman" w:hAnsi="Times New Roman"/>
          <w:i/>
          <w:noProof/>
          <w:sz w:val="20"/>
          <w:szCs w:val="24"/>
        </w:rPr>
        <w:t xml:space="preserve">. Данните за висящите дела се отнасят за всички инстанции в </w:t>
      </w:r>
      <w:r>
        <w:rPr>
          <w:rFonts w:ascii="Times New Roman" w:hAnsi="Times New Roman"/>
          <w:b/>
          <w:i/>
          <w:noProof/>
          <w:sz w:val="20"/>
          <w:szCs w:val="24"/>
        </w:rPr>
        <w:t>CZ</w:t>
      </w:r>
      <w:r>
        <w:rPr>
          <w:rFonts w:ascii="Times New Roman" w:hAnsi="Times New Roman"/>
          <w:i/>
          <w:noProof/>
          <w:sz w:val="20"/>
          <w:szCs w:val="24"/>
        </w:rPr>
        <w:t xml:space="preserve">, а до 2016 г. и в </w:t>
      </w:r>
      <w:r>
        <w:rPr>
          <w:rFonts w:ascii="Times New Roman" w:hAnsi="Times New Roman"/>
          <w:b/>
          <w:i/>
          <w:noProof/>
          <w:sz w:val="20"/>
          <w:szCs w:val="24"/>
        </w:rPr>
        <w:t>SK</w:t>
      </w:r>
      <w:r>
        <w:rPr>
          <w:rFonts w:ascii="Times New Roman" w:hAnsi="Times New Roman"/>
          <w:i/>
          <w:noProof/>
          <w:sz w:val="20"/>
          <w:szCs w:val="24"/>
        </w:rPr>
        <w:t>.</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Графика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14</w:t>
      </w:r>
      <w:r>
        <w:rPr>
          <w:rFonts w:ascii="Times New Roman" w:eastAsia="Calibri" w:hAnsi="Times New Roman" w:cs="Times New Roman"/>
          <w:b/>
          <w:noProof/>
          <w:sz w:val="24"/>
        </w:rPr>
        <w:fldChar w:fldCharType="end"/>
      </w:r>
      <w:r>
        <w:rPr>
          <w:rFonts w:ascii="Times New Roman" w:hAnsi="Times New Roman"/>
          <w:b/>
          <w:noProof/>
          <w:sz w:val="24"/>
        </w:rPr>
        <w:t xml:space="preserve">: Брой на </w:t>
      </w:r>
      <w:r>
        <w:rPr>
          <w:rFonts w:ascii="Times New Roman" w:hAnsi="Times New Roman"/>
          <w:b/>
          <w:noProof/>
          <w:sz w:val="24"/>
          <w:u w:val="single"/>
        </w:rPr>
        <w:t xml:space="preserve">висящите спорни производства по граждански и търговски дела </w:t>
      </w:r>
      <w:r>
        <w:rPr>
          <w:rFonts w:ascii="Times New Roman" w:hAnsi="Times New Roman"/>
          <w:noProof/>
        </w:rPr>
        <w:t>(</w:t>
      </w:r>
      <w:r>
        <w:rPr>
          <w:noProof/>
        </w:rPr>
        <w:t>*</w:t>
      </w:r>
      <w:r>
        <w:rPr>
          <w:rFonts w:ascii="Times New Roman" w:hAnsi="Times New Roman"/>
          <w:noProof/>
        </w:rPr>
        <w:t>)</w:t>
      </w:r>
      <w:r>
        <w:rPr>
          <w:rFonts w:ascii="Times New Roman" w:hAnsi="Times New Roman"/>
          <w:b/>
          <w:noProof/>
          <w:sz w:val="24"/>
        </w:rPr>
        <w:t xml:space="preserve"> </w:t>
      </w:r>
      <w:r>
        <w:rPr>
          <w:rFonts w:ascii="Times New Roman" w:hAnsi="Times New Roman"/>
          <w:i/>
          <w:noProof/>
          <w:sz w:val="24"/>
        </w:rPr>
        <w:t>(на първа инстанция/на 100 жители) (източник: проучване на CEPEJ)</w:t>
      </w:r>
    </w:p>
    <w:p>
      <w:pPr>
        <w:keepNext/>
        <w:spacing w:after="0" w:line="240" w:lineRule="auto"/>
        <w:jc w:val="both"/>
        <w:rPr>
          <w:rFonts w:ascii="Times New Roman" w:eastAsia="Calibri" w:hAnsi="Times New Roman" w:cs="Times New Roman"/>
          <w:noProof/>
          <w:sz w:val="24"/>
        </w:rPr>
      </w:pPr>
      <w:r>
        <w:rPr>
          <w:noProof/>
          <w:lang w:val="en-GB" w:eastAsia="en-GB"/>
        </w:rPr>
        <w:drawing>
          <wp:inline distT="0" distB="0" distL="0" distR="0">
            <wp:extent cx="5977255" cy="2496217"/>
            <wp:effectExtent l="0" t="0" r="444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77255" cy="2496217"/>
                    </a:xfrm>
                    <a:prstGeom prst="rect">
                      <a:avLst/>
                    </a:prstGeom>
                    <a:noFill/>
                    <a:ln>
                      <a:noFill/>
                    </a:ln>
                  </pic:spPr>
                </pic:pic>
              </a:graphicData>
            </a:graphic>
          </wp:inline>
        </w:drawing>
      </w:r>
      <w:r>
        <w:rPr>
          <w:rFonts w:ascii="Times New Roman" w:hAnsi="Times New Roman"/>
          <w:i/>
          <w:noProof/>
          <w:sz w:val="20"/>
        </w:rPr>
        <w:t xml:space="preserve">(*) Методологични промени в </w:t>
      </w:r>
      <w:r>
        <w:rPr>
          <w:rFonts w:ascii="Times New Roman" w:hAnsi="Times New Roman"/>
          <w:b/>
          <w:i/>
          <w:noProof/>
          <w:sz w:val="20"/>
        </w:rPr>
        <w:t>EL</w:t>
      </w:r>
      <w:r>
        <w:rPr>
          <w:rFonts w:ascii="Times New Roman" w:hAnsi="Times New Roman"/>
          <w:i/>
          <w:noProof/>
          <w:sz w:val="20"/>
        </w:rPr>
        <w:t xml:space="preserve"> и </w:t>
      </w:r>
      <w:r>
        <w:rPr>
          <w:rFonts w:ascii="Times New Roman" w:hAnsi="Times New Roman"/>
          <w:b/>
          <w:i/>
          <w:noProof/>
          <w:sz w:val="20"/>
        </w:rPr>
        <w:t>SK</w:t>
      </w:r>
      <w:r>
        <w:rPr>
          <w:rFonts w:ascii="Times New Roman" w:hAnsi="Times New Roman"/>
          <w:i/>
          <w:noProof/>
          <w:sz w:val="20"/>
        </w:rPr>
        <w:t xml:space="preserve">. Данните за висящите дела се отнасят за всички инстанции в </w:t>
      </w:r>
      <w:r>
        <w:rPr>
          <w:rFonts w:ascii="Times New Roman" w:hAnsi="Times New Roman"/>
          <w:b/>
          <w:i/>
          <w:noProof/>
          <w:sz w:val="20"/>
        </w:rPr>
        <w:t>CZ</w:t>
      </w:r>
      <w:r>
        <w:rPr>
          <w:rFonts w:ascii="Times New Roman" w:hAnsi="Times New Roman"/>
          <w:i/>
          <w:noProof/>
          <w:sz w:val="20"/>
        </w:rPr>
        <w:t xml:space="preserve">, а до 2016 г. и в </w:t>
      </w:r>
      <w:r>
        <w:rPr>
          <w:rFonts w:ascii="Times New Roman" w:hAnsi="Times New Roman"/>
          <w:b/>
          <w:i/>
          <w:noProof/>
          <w:sz w:val="20"/>
        </w:rPr>
        <w:t>SK</w:t>
      </w:r>
      <w:r>
        <w:rPr>
          <w:rFonts w:ascii="Times New Roman" w:hAnsi="Times New Roman"/>
          <w:i/>
          <w:noProof/>
          <w:sz w:val="20"/>
        </w:rPr>
        <w:t xml:space="preserve">. Данните за </w:t>
      </w:r>
      <w:r>
        <w:rPr>
          <w:rFonts w:ascii="Times New Roman" w:hAnsi="Times New Roman"/>
          <w:b/>
          <w:i/>
          <w:noProof/>
          <w:sz w:val="20"/>
        </w:rPr>
        <w:t>NL</w:t>
      </w:r>
      <w:r>
        <w:rPr>
          <w:rFonts w:ascii="Times New Roman" w:hAnsi="Times New Roman"/>
          <w:i/>
          <w:noProof/>
          <w:sz w:val="20"/>
        </w:rPr>
        <w:t xml:space="preserve"> включват безспорните производства.</w:t>
      </w:r>
    </w:p>
    <w:p>
      <w:pPr>
        <w:keepNext/>
        <w:spacing w:before="240" w:after="120" w:line="240" w:lineRule="auto"/>
        <w:jc w:val="both"/>
        <w:rPr>
          <w:rFonts w:ascii="Times New Roman" w:eastAsia="Calibri" w:hAnsi="Times New Roman" w:cs="Times New Roman"/>
          <w:i/>
          <w:noProof/>
          <w:sz w:val="24"/>
        </w:rPr>
      </w:pPr>
      <w:bookmarkStart w:id="235" w:name="_Ref442281992"/>
      <w:r>
        <w:rPr>
          <w:rFonts w:ascii="Times New Roman" w:hAnsi="Times New Roman"/>
          <w:b/>
          <w:noProof/>
          <w:sz w:val="24"/>
        </w:rPr>
        <w:t>Графика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15</w:t>
      </w:r>
      <w:r>
        <w:rPr>
          <w:rFonts w:ascii="Times New Roman" w:eastAsia="Calibri" w:hAnsi="Times New Roman" w:cs="Times New Roman"/>
          <w:b/>
          <w:noProof/>
          <w:sz w:val="24"/>
        </w:rPr>
        <w:fldChar w:fldCharType="end"/>
      </w:r>
      <w:bookmarkEnd w:id="235"/>
      <w:r>
        <w:rPr>
          <w:rFonts w:ascii="Times New Roman" w:hAnsi="Times New Roman"/>
          <w:b/>
          <w:noProof/>
          <w:sz w:val="24"/>
        </w:rPr>
        <w:t xml:space="preserve">: Брой на </w:t>
      </w:r>
      <w:r>
        <w:rPr>
          <w:rFonts w:ascii="Times New Roman" w:hAnsi="Times New Roman"/>
          <w:b/>
          <w:noProof/>
          <w:sz w:val="24"/>
          <w:u w:val="single"/>
        </w:rPr>
        <w:t>висящите административни дела</w:t>
      </w:r>
      <w:r>
        <w:rPr>
          <w:rFonts w:ascii="Times New Roman" w:hAnsi="Times New Roman"/>
          <w:b/>
          <w:noProof/>
          <w:sz w:val="24"/>
        </w:rPr>
        <w:t xml:space="preserve"> </w:t>
      </w:r>
      <w:r>
        <w:rPr>
          <w:rFonts w:ascii="Times New Roman" w:hAnsi="Times New Roman"/>
          <w:noProof/>
        </w:rPr>
        <w:t>(</w:t>
      </w:r>
      <w:r>
        <w:rPr>
          <w:noProof/>
        </w:rPr>
        <w:t>*</w:t>
      </w:r>
      <w:r>
        <w:rPr>
          <w:rFonts w:ascii="Times New Roman" w:hAnsi="Times New Roman"/>
          <w:noProof/>
        </w:rPr>
        <w:t>)</w:t>
      </w:r>
      <w:r>
        <w:rPr>
          <w:rFonts w:ascii="Times New Roman" w:hAnsi="Times New Roman"/>
          <w:b/>
          <w:noProof/>
          <w:sz w:val="24"/>
        </w:rPr>
        <w:t xml:space="preserve"> </w:t>
      </w:r>
      <w:r>
        <w:rPr>
          <w:rFonts w:ascii="Times New Roman" w:hAnsi="Times New Roman"/>
          <w:i/>
          <w:noProof/>
          <w:sz w:val="24"/>
        </w:rPr>
        <w:t>(на първа инстанция/на 100 жители) (източник: проучване на CEPEJ)</w:t>
      </w:r>
    </w:p>
    <w:p>
      <w:pPr>
        <w:keepNext/>
        <w:spacing w:after="0" w:line="240" w:lineRule="auto"/>
        <w:jc w:val="both"/>
        <w:rPr>
          <w:rFonts w:ascii="Times New Roman" w:eastAsia="Calibri" w:hAnsi="Times New Roman" w:cs="Times New Roman"/>
          <w:i/>
          <w:noProof/>
          <w:sz w:val="24"/>
        </w:rPr>
      </w:pPr>
      <w:r>
        <w:rPr>
          <w:noProof/>
          <w:lang w:val="en-GB" w:eastAsia="en-GB"/>
        </w:rPr>
        <w:drawing>
          <wp:inline distT="0" distB="0" distL="0" distR="0">
            <wp:extent cx="5977255" cy="2496217"/>
            <wp:effectExtent l="0" t="0" r="444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77255" cy="2496217"/>
                    </a:xfrm>
                    <a:prstGeom prst="rect">
                      <a:avLst/>
                    </a:prstGeom>
                    <a:noFill/>
                    <a:ln>
                      <a:noFill/>
                    </a:ln>
                  </pic:spPr>
                </pic:pic>
              </a:graphicData>
            </a:graphic>
          </wp:inline>
        </w:drawing>
      </w:r>
      <w:bookmarkStart w:id="236" w:name="_Toc409530221"/>
      <w:bookmarkStart w:id="237" w:name="_Toc438545671"/>
      <w:bookmarkStart w:id="238" w:name="_Toc438548321"/>
      <w:bookmarkStart w:id="239" w:name="_Toc438548507"/>
      <w:bookmarkStart w:id="240" w:name="_Toc440017697"/>
      <w:bookmarkStart w:id="241" w:name="_Toc440018081"/>
      <w:bookmarkStart w:id="242" w:name="_Toc440033379"/>
      <w:bookmarkStart w:id="243" w:name="_Toc440035230"/>
      <w:bookmarkStart w:id="244" w:name="_Toc440036525"/>
      <w:bookmarkStart w:id="245" w:name="_Toc440042467"/>
      <w:bookmarkStart w:id="246" w:name="_Toc440291120"/>
      <w:bookmarkStart w:id="247" w:name="_Toc440294683"/>
      <w:bookmarkStart w:id="248" w:name="_Toc440295185"/>
      <w:bookmarkStart w:id="249" w:name="_Toc440296590"/>
      <w:bookmarkStart w:id="250" w:name="_Toc440625074"/>
      <w:bookmarkStart w:id="251" w:name="_Toc440626404"/>
      <w:bookmarkStart w:id="252" w:name="_Toc440628858"/>
      <w:bookmarkStart w:id="253" w:name="_Toc441571130"/>
      <w:bookmarkStart w:id="254" w:name="_Toc441581632"/>
      <w:bookmarkStart w:id="255" w:name="_Toc441585899"/>
      <w:bookmarkStart w:id="256" w:name="_Toc441595834"/>
      <w:bookmarkStart w:id="257" w:name="_Toc441596011"/>
      <w:bookmarkStart w:id="258" w:name="_Toc441748136"/>
      <w:bookmarkStart w:id="259" w:name="_Toc441755421"/>
      <w:bookmarkStart w:id="260" w:name="_Toc441756458"/>
      <w:bookmarkStart w:id="261" w:name="_Toc441757502"/>
      <w:bookmarkStart w:id="262" w:name="_Toc441766631"/>
      <w:bookmarkStart w:id="263" w:name="_Toc441766970"/>
      <w:bookmarkStart w:id="264" w:name="_Toc442187971"/>
      <w:bookmarkStart w:id="265" w:name="_Toc442262063"/>
      <w:bookmarkStart w:id="266" w:name="_Toc442362470"/>
      <w:bookmarkStart w:id="267" w:name="_Toc442374806"/>
      <w:bookmarkStart w:id="268" w:name="_Toc442425946"/>
      <w:bookmarkStart w:id="269" w:name="_Toc442453072"/>
      <w:bookmarkStart w:id="270" w:name="_Toc443484530"/>
      <w:bookmarkStart w:id="271" w:name="_Toc443484752"/>
      <w:bookmarkStart w:id="272" w:name="_Toc443509493"/>
      <w:bookmarkStart w:id="273" w:name="_Toc446014822"/>
      <w:r>
        <w:rPr>
          <w:rFonts w:ascii="Times New Roman" w:hAnsi="Times New Roman"/>
          <w:i/>
          <w:noProof/>
          <w:sz w:val="20"/>
        </w:rPr>
        <w:t>(*)</w:t>
      </w:r>
      <w:r>
        <w:rPr>
          <w:rFonts w:ascii="Times New Roman" w:hAnsi="Times New Roman"/>
          <w:noProof/>
        </w:rPr>
        <w:t xml:space="preserve"> </w:t>
      </w:r>
      <w:r>
        <w:rPr>
          <w:rFonts w:ascii="Times New Roman" w:hAnsi="Times New Roman"/>
          <w:i/>
          <w:noProof/>
          <w:sz w:val="20"/>
        </w:rPr>
        <w:t>Миналите стойности за някои държави членки са намалени за целите на представянето (</w:t>
      </w:r>
      <w:r>
        <w:rPr>
          <w:rFonts w:ascii="Times New Roman" w:hAnsi="Times New Roman"/>
          <w:b/>
          <w:i/>
          <w:noProof/>
          <w:sz w:val="20"/>
        </w:rPr>
        <w:t>EL</w:t>
      </w:r>
      <w:r>
        <w:rPr>
          <w:rFonts w:ascii="Times New Roman" w:hAnsi="Times New Roman"/>
          <w:i/>
          <w:noProof/>
          <w:sz w:val="20"/>
        </w:rPr>
        <w:t xml:space="preserve"> през 2010 г. = 3,7). Методологически промени в </w:t>
      </w:r>
      <w:r>
        <w:rPr>
          <w:rFonts w:ascii="Times New Roman" w:hAnsi="Times New Roman"/>
          <w:b/>
          <w:i/>
          <w:noProof/>
          <w:sz w:val="20"/>
        </w:rPr>
        <w:t>EL</w:t>
      </w:r>
      <w:r>
        <w:rPr>
          <w:rFonts w:ascii="Times New Roman" w:hAnsi="Times New Roman"/>
          <w:i/>
          <w:noProof/>
          <w:sz w:val="20"/>
        </w:rPr>
        <w:t xml:space="preserve"> и </w:t>
      </w:r>
      <w:r>
        <w:rPr>
          <w:rFonts w:ascii="Times New Roman" w:hAnsi="Times New Roman"/>
          <w:b/>
          <w:i/>
          <w:noProof/>
          <w:sz w:val="20"/>
        </w:rPr>
        <w:t>SK</w:t>
      </w:r>
      <w:r>
        <w:rPr>
          <w:rFonts w:ascii="Times New Roman" w:hAnsi="Times New Roman"/>
          <w:i/>
          <w:noProof/>
          <w:sz w:val="20"/>
        </w:rPr>
        <w:t xml:space="preserve">. Данните за висящите дела се отнасят за всички инстанции в </w:t>
      </w:r>
      <w:r>
        <w:rPr>
          <w:rFonts w:ascii="Times New Roman" w:hAnsi="Times New Roman"/>
          <w:b/>
          <w:i/>
          <w:noProof/>
          <w:sz w:val="20"/>
        </w:rPr>
        <w:t>CZ</w:t>
      </w:r>
      <w:r>
        <w:rPr>
          <w:rFonts w:ascii="Times New Roman" w:hAnsi="Times New Roman"/>
          <w:i/>
          <w:noProof/>
          <w:sz w:val="20"/>
        </w:rPr>
        <w:t xml:space="preserve">, а до 2016 г. и в </w:t>
      </w:r>
      <w:r>
        <w:rPr>
          <w:rFonts w:ascii="Times New Roman" w:hAnsi="Times New Roman"/>
          <w:b/>
          <w:i/>
          <w:noProof/>
          <w:sz w:val="20"/>
        </w:rPr>
        <w:t>SK</w:t>
      </w:r>
      <w:r>
        <w:rPr>
          <w:rFonts w:ascii="Times New Roman" w:hAnsi="Times New Roman"/>
          <w:i/>
          <w:noProof/>
          <w:sz w:val="20"/>
        </w:rPr>
        <w:t xml:space="preserve">. </w:t>
      </w:r>
      <w:r>
        <w:rPr>
          <w:rFonts w:ascii="Times New Roman" w:hAnsi="Times New Roman"/>
          <w:b/>
          <w:i/>
          <w:noProof/>
          <w:sz w:val="20"/>
        </w:rPr>
        <w:t>DK</w:t>
      </w:r>
      <w:r>
        <w:rPr>
          <w:rFonts w:ascii="Times New Roman" w:hAnsi="Times New Roman"/>
          <w:i/>
          <w:noProof/>
          <w:sz w:val="20"/>
        </w:rPr>
        <w:t xml:space="preserve"> и </w:t>
      </w:r>
      <w:r>
        <w:rPr>
          <w:rFonts w:ascii="Times New Roman" w:hAnsi="Times New Roman"/>
          <w:b/>
          <w:i/>
          <w:noProof/>
          <w:sz w:val="20"/>
        </w:rPr>
        <w:t>IE</w:t>
      </w:r>
      <w:r>
        <w:rPr>
          <w:rFonts w:ascii="Times New Roman" w:hAnsi="Times New Roman"/>
          <w:i/>
          <w:noProof/>
          <w:sz w:val="20"/>
        </w:rPr>
        <w:t xml:space="preserve"> не отчитат административните дела отделно.</w:t>
      </w:r>
    </w:p>
    <w:p>
      <w:pPr>
        <w:spacing w:after="0" w:line="240" w:lineRule="auto"/>
        <w:rPr>
          <w:rFonts w:ascii="Times New Roman" w:eastAsia="Times New Roman" w:hAnsi="Times New Roman" w:cs="Times New Roman"/>
          <w:b/>
          <w:noProof/>
          <w:sz w:val="24"/>
          <w:szCs w:val="24"/>
        </w:rPr>
      </w:pPr>
      <w:r>
        <w:rPr>
          <w:noProof/>
        </w:rPr>
        <w:br w:type="page"/>
      </w:r>
    </w:p>
    <w:p>
      <w:pPr>
        <w:keepNext/>
        <w:spacing w:before="240" w:after="120" w:line="240" w:lineRule="auto"/>
        <w:jc w:val="both"/>
        <w:outlineLvl w:val="2"/>
        <w:rPr>
          <w:rFonts w:ascii="Times New Roman" w:eastAsia="Times New Roman" w:hAnsi="Times New Roman" w:cs="Times New Roman"/>
          <w:b/>
          <w:noProof/>
          <w:sz w:val="24"/>
          <w:szCs w:val="24"/>
        </w:rPr>
      </w:pPr>
      <w:r>
        <w:rPr>
          <w:rFonts w:ascii="Times New Roman" w:hAnsi="Times New Roman"/>
          <w:b/>
          <w:noProof/>
          <w:sz w:val="24"/>
          <w:szCs w:val="24"/>
        </w:rPr>
        <w:t>3.1.3. Ефикасност в специфични области</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rPr>
          <w:rFonts w:ascii="Times New Roman" w:hAnsi="Times New Roman"/>
          <w:b/>
          <w:noProof/>
          <w:sz w:val="24"/>
          <w:szCs w:val="24"/>
        </w:rPr>
        <w:t xml:space="preserve"> на правото на ЕС</w:t>
      </w:r>
    </w:p>
    <w:p>
      <w:pPr>
        <w:spacing w:after="0" w:line="240" w:lineRule="auto"/>
        <w:jc w:val="both"/>
        <w:rPr>
          <w:rFonts w:ascii="Times New Roman" w:eastAsia="Calibri" w:hAnsi="Times New Roman" w:cs="Times New Roman"/>
          <w:noProof/>
          <w:spacing w:val="-4"/>
          <w:sz w:val="24"/>
          <w:szCs w:val="24"/>
        </w:rPr>
      </w:pPr>
      <w:r>
        <w:rPr>
          <w:rFonts w:ascii="Times New Roman" w:hAnsi="Times New Roman"/>
          <w:noProof/>
          <w:spacing w:val="-4"/>
          <w:sz w:val="24"/>
          <w:szCs w:val="24"/>
        </w:rPr>
        <w:t>Този раздел допълва общите данни за ефикасността на правосъдните системи и в него се представя средната продължителност на производствата (</w:t>
      </w:r>
      <w:r>
        <w:rPr>
          <w:rFonts w:ascii="Times New Roman" w:eastAsia="Calibri" w:hAnsi="Times New Roman" w:cs="Times New Roman"/>
          <w:noProof/>
          <w:spacing w:val="-4"/>
          <w:sz w:val="24"/>
          <w:szCs w:val="24"/>
          <w:vertAlign w:val="superscript"/>
        </w:rPr>
        <w:footnoteReference w:id="64"/>
      </w:r>
      <w:r>
        <w:rPr>
          <w:rFonts w:ascii="Times New Roman" w:hAnsi="Times New Roman"/>
          <w:noProof/>
          <w:spacing w:val="-4"/>
          <w:sz w:val="24"/>
          <w:szCs w:val="24"/>
        </w:rPr>
        <w:t>) в специфични области, когато се прилага правото на ЕС. Информационното табло за 2019 г. използва предходни данни в областта на конкуренцията, електронните комуникации, марката на ЕС и борбата с изпирането на пари. Областите са избрани поради тяхното значение за единния пазар и бизнес средата. В общ план сериозните забавяния на съдебните производства може да имат отрицателни последици върху упражняването на правата, произтичащи от законодателството на ЕС, например в случаите, когато подходящите средства за правна защита вече не могат да бъдат използвани или когато сериозни финансови вреди станат непоправими.</w:t>
      </w:r>
    </w:p>
    <w:p>
      <w:pPr>
        <w:spacing w:before="240" w:after="120" w:line="240" w:lineRule="auto"/>
        <w:jc w:val="both"/>
        <w:rPr>
          <w:rFonts w:ascii="Times New Roman" w:eastAsia="Times New Roman" w:hAnsi="Times New Roman" w:cs="Times New Roman"/>
          <w:i/>
          <w:noProof/>
          <w:sz w:val="24"/>
          <w:szCs w:val="24"/>
        </w:rPr>
      </w:pPr>
      <w:r>
        <w:rPr>
          <w:rFonts w:ascii="Times New Roman" w:hAnsi="Times New Roman"/>
          <w:i/>
          <w:noProof/>
          <w:sz w:val="24"/>
          <w:szCs w:val="24"/>
        </w:rPr>
        <w:t>— Конкуренция —</w:t>
      </w:r>
    </w:p>
    <w:p>
      <w:pPr>
        <w:spacing w:after="0" w:line="240" w:lineRule="auto"/>
        <w:jc w:val="both"/>
        <w:rPr>
          <w:rFonts w:ascii="Times New Roman" w:eastAsia="Calibri" w:hAnsi="Times New Roman" w:cs="Times New Roman"/>
          <w:noProof/>
          <w:sz w:val="24"/>
          <w:szCs w:val="24"/>
        </w:rPr>
      </w:pPr>
      <w:r>
        <w:rPr>
          <w:rFonts w:ascii="Times New Roman" w:hAnsi="Times New Roman"/>
          <w:noProof/>
          <w:sz w:val="24"/>
        </w:rPr>
        <w:t xml:space="preserve">Ефективното прилагане на конкурентното право гарантира еднакви условия на конкуренция за предприятията, поради което е от решаващо значение за привлекателността на бизнес средата. На графика 16 по-долу е представена средната продължителност на </w:t>
      </w:r>
      <w:r>
        <w:rPr>
          <w:rFonts w:ascii="Times New Roman" w:hAnsi="Times New Roman"/>
          <w:noProof/>
          <w:sz w:val="24"/>
          <w:szCs w:val="24"/>
        </w:rPr>
        <w:t>делата по жалби срещу решения на националните органи за защита на конкуренцията, прилагащи членове 101 и 102 от ДФЕС (</w:t>
      </w:r>
      <w:r>
        <w:rPr>
          <w:rFonts w:ascii="Times New Roman" w:eastAsia="Calibri" w:hAnsi="Times New Roman" w:cs="Times New Roman"/>
          <w:noProof/>
          <w:sz w:val="24"/>
          <w:vertAlign w:val="superscript"/>
        </w:rPr>
        <w:footnoteReference w:id="65"/>
      </w:r>
      <w:r>
        <w:rPr>
          <w:rFonts w:ascii="Times New Roman" w:hAnsi="Times New Roman"/>
          <w:noProof/>
          <w:sz w:val="24"/>
          <w:szCs w:val="24"/>
        </w:rPr>
        <w:t>).</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Графика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16</w:t>
      </w:r>
      <w:r>
        <w:rPr>
          <w:rFonts w:ascii="Times New Roman" w:eastAsia="Calibri" w:hAnsi="Times New Roman" w:cs="Times New Roman"/>
          <w:b/>
          <w:noProof/>
          <w:sz w:val="24"/>
        </w:rPr>
        <w:fldChar w:fldCharType="end"/>
      </w:r>
      <w:r>
        <w:rPr>
          <w:rFonts w:ascii="Times New Roman" w:hAnsi="Times New Roman"/>
          <w:b/>
          <w:noProof/>
          <w:sz w:val="24"/>
        </w:rPr>
        <w:t xml:space="preserve">: Конкуренция: Средна продължителност на съдебния контрол </w:t>
      </w:r>
      <w:r>
        <w:rPr>
          <w:rFonts w:ascii="Times New Roman" w:hAnsi="Times New Roman"/>
          <w:noProof/>
        </w:rPr>
        <w:t>(</w:t>
      </w:r>
      <w:r>
        <w:rPr>
          <w:noProof/>
        </w:rPr>
        <w:t>*</w:t>
      </w:r>
      <w:r>
        <w:rPr>
          <w:rFonts w:ascii="Times New Roman" w:hAnsi="Times New Roman"/>
          <w:noProof/>
        </w:rPr>
        <w:t>)</w:t>
      </w:r>
      <w:r>
        <w:rPr>
          <w:rFonts w:ascii="Times New Roman" w:hAnsi="Times New Roman"/>
          <w:i/>
          <w:noProof/>
          <w:sz w:val="24"/>
        </w:rPr>
        <w:t xml:space="preserve"> (на първа инстанция/в дни) (източник: Европейската комисия и Европейската мрежа по конкуренция)</w:t>
      </w:r>
    </w:p>
    <w:p>
      <w:pPr>
        <w:keepNext/>
        <w:spacing w:after="0" w:line="240" w:lineRule="auto"/>
        <w:jc w:val="both"/>
        <w:rPr>
          <w:rFonts w:ascii="Times New Roman" w:eastAsia="Calibri" w:hAnsi="Times New Roman" w:cs="Times New Roman"/>
          <w:i/>
          <w:noProof/>
          <w:sz w:val="20"/>
        </w:rPr>
      </w:pPr>
      <w:r>
        <w:rPr>
          <w:noProof/>
          <w:lang w:val="en-GB" w:eastAsia="en-GB"/>
        </w:rPr>
        <w:drawing>
          <wp:inline distT="0" distB="0" distL="0" distR="0">
            <wp:extent cx="5977255" cy="2650254"/>
            <wp:effectExtent l="0" t="0" r="444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77255" cy="2650254"/>
                    </a:xfrm>
                    <a:prstGeom prst="rect">
                      <a:avLst/>
                    </a:prstGeom>
                    <a:noFill/>
                    <a:ln>
                      <a:noFill/>
                    </a:ln>
                  </pic:spPr>
                </pic:pic>
              </a:graphicData>
            </a:graphic>
          </wp:inline>
        </w:drawing>
      </w:r>
      <w:r>
        <w:rPr>
          <w:rFonts w:ascii="Times New Roman" w:hAnsi="Times New Roman"/>
          <w:i/>
          <w:noProof/>
          <w:sz w:val="20"/>
        </w:rPr>
        <w:t xml:space="preserve">(*) </w:t>
      </w:r>
      <w:r>
        <w:rPr>
          <w:rFonts w:ascii="Times New Roman" w:hAnsi="Times New Roman"/>
          <w:b/>
          <w:i/>
          <w:noProof/>
          <w:sz w:val="20"/>
        </w:rPr>
        <w:t>EE:</w:t>
      </w:r>
      <w:r>
        <w:rPr>
          <w:rFonts w:ascii="Times New Roman" w:hAnsi="Times New Roman"/>
          <w:i/>
          <w:noProof/>
          <w:sz w:val="20"/>
        </w:rPr>
        <w:t xml:space="preserve"> няма дела. </w:t>
      </w:r>
      <w:r>
        <w:rPr>
          <w:rFonts w:ascii="Times New Roman" w:hAnsi="Times New Roman"/>
          <w:b/>
          <w:i/>
          <w:noProof/>
          <w:sz w:val="20"/>
        </w:rPr>
        <w:t>IE</w:t>
      </w:r>
      <w:r>
        <w:rPr>
          <w:rFonts w:ascii="Times New Roman" w:hAnsi="Times New Roman"/>
          <w:i/>
          <w:noProof/>
          <w:sz w:val="20"/>
        </w:rPr>
        <w:t xml:space="preserve"> и </w:t>
      </w:r>
      <w:r>
        <w:rPr>
          <w:rFonts w:ascii="Times New Roman" w:hAnsi="Times New Roman"/>
          <w:b/>
          <w:i/>
          <w:noProof/>
          <w:sz w:val="20"/>
        </w:rPr>
        <w:t>AT:</w:t>
      </w:r>
      <w:r>
        <w:rPr>
          <w:rFonts w:ascii="Times New Roman" w:hAnsi="Times New Roman"/>
          <w:i/>
          <w:noProof/>
          <w:sz w:val="20"/>
        </w:rPr>
        <w:t xml:space="preserve"> сценарият не е приложим, тъй като органите не разполагат с правомощия да вземат съответните решения. </w:t>
      </w:r>
      <w:r>
        <w:rPr>
          <w:rFonts w:ascii="Times New Roman" w:hAnsi="Times New Roman"/>
          <w:b/>
          <w:i/>
          <w:noProof/>
          <w:sz w:val="20"/>
        </w:rPr>
        <w:t>AT:</w:t>
      </w:r>
      <w:r>
        <w:rPr>
          <w:rFonts w:ascii="Times New Roman" w:hAnsi="Times New Roman"/>
          <w:i/>
          <w:noProof/>
          <w:sz w:val="20"/>
        </w:rPr>
        <w:t xml:space="preserve"> данните включват делата, разглеждани от съда по спорове в областта на картелното право, свързани с нарушение на членове 101 и 102 от ДФЕС, но които не са образувани въз основа на жалба срещу компетентния национален орган. В </w:t>
      </w:r>
      <w:r>
        <w:rPr>
          <w:rFonts w:ascii="Times New Roman" w:hAnsi="Times New Roman"/>
          <w:b/>
          <w:i/>
          <w:noProof/>
          <w:sz w:val="20"/>
        </w:rPr>
        <w:t>BG и IT</w:t>
      </w:r>
      <w:r>
        <w:rPr>
          <w:rFonts w:ascii="Times New Roman" w:hAnsi="Times New Roman"/>
          <w:i/>
          <w:noProof/>
          <w:sz w:val="20"/>
        </w:rPr>
        <w:t xml:space="preserve"> са използвани прогнозни данни за продължителността. Празна колона може да означава, че държавата членка не е докладвала дела за съответната година. Броят на делата е нисък (под пет годишно) в много държави членки, което може да стане причина за зависимост на годишните данни от дадено изключително дълго или кратко дело. Част от най-дългите дела в набора от данни включват времето, необходимо за преюдициално запитване до Съда на Европейския съюз (например </w:t>
      </w:r>
      <w:r>
        <w:rPr>
          <w:rFonts w:ascii="Times New Roman" w:hAnsi="Times New Roman"/>
          <w:b/>
          <w:i/>
          <w:noProof/>
          <w:sz w:val="20"/>
        </w:rPr>
        <w:t>LT</w:t>
      </w:r>
      <w:r>
        <w:rPr>
          <w:rFonts w:ascii="Times New Roman" w:hAnsi="Times New Roman"/>
          <w:i/>
          <w:noProof/>
          <w:sz w:val="20"/>
        </w:rPr>
        <w:t xml:space="preserve">), времето за конституционен контрол (например </w:t>
      </w:r>
      <w:r>
        <w:rPr>
          <w:rFonts w:ascii="Times New Roman" w:hAnsi="Times New Roman"/>
          <w:b/>
          <w:i/>
          <w:noProof/>
          <w:sz w:val="20"/>
        </w:rPr>
        <w:t>SK</w:t>
      </w:r>
      <w:r>
        <w:rPr>
          <w:rFonts w:ascii="Times New Roman" w:hAnsi="Times New Roman"/>
          <w:i/>
          <w:noProof/>
          <w:sz w:val="20"/>
        </w:rPr>
        <w:t xml:space="preserve">) или специфични процедурни забавяния (например </w:t>
      </w:r>
      <w:r>
        <w:rPr>
          <w:rFonts w:ascii="Times New Roman" w:hAnsi="Times New Roman"/>
          <w:b/>
          <w:i/>
          <w:noProof/>
          <w:sz w:val="20"/>
        </w:rPr>
        <w:t>CZ</w:t>
      </w:r>
      <w:r>
        <w:rPr>
          <w:rFonts w:ascii="Times New Roman" w:hAnsi="Times New Roman"/>
          <w:i/>
          <w:noProof/>
          <w:sz w:val="20"/>
        </w:rPr>
        <w:t xml:space="preserve">, </w:t>
      </w:r>
      <w:r>
        <w:rPr>
          <w:rFonts w:ascii="Times New Roman" w:hAnsi="Times New Roman"/>
          <w:b/>
          <w:i/>
          <w:noProof/>
          <w:sz w:val="20"/>
        </w:rPr>
        <w:t>EL</w:t>
      </w:r>
      <w:r>
        <w:rPr>
          <w:rFonts w:ascii="Times New Roman" w:hAnsi="Times New Roman"/>
          <w:i/>
          <w:noProof/>
          <w:sz w:val="20"/>
        </w:rPr>
        <w:t xml:space="preserve">, </w:t>
      </w:r>
      <w:r>
        <w:rPr>
          <w:rFonts w:ascii="Times New Roman" w:hAnsi="Times New Roman"/>
          <w:b/>
          <w:i/>
          <w:noProof/>
          <w:sz w:val="20"/>
        </w:rPr>
        <w:t>HU</w:t>
      </w:r>
      <w:r>
        <w:rPr>
          <w:rFonts w:ascii="Times New Roman" w:hAnsi="Times New Roman"/>
          <w:i/>
          <w:noProof/>
          <w:sz w:val="20"/>
        </w:rPr>
        <w:t>).</w:t>
      </w:r>
    </w:p>
    <w:p>
      <w:pPr>
        <w:spacing w:before="240" w:after="120" w:line="240" w:lineRule="auto"/>
        <w:jc w:val="both"/>
        <w:rPr>
          <w:rFonts w:ascii="Times New Roman" w:eastAsia="Times New Roman" w:hAnsi="Times New Roman" w:cs="Times New Roman"/>
          <w:i/>
          <w:noProof/>
          <w:sz w:val="24"/>
          <w:szCs w:val="24"/>
        </w:rPr>
      </w:pPr>
      <w:r>
        <w:rPr>
          <w:rFonts w:ascii="Times New Roman" w:hAnsi="Times New Roman"/>
          <w:i/>
          <w:noProof/>
          <w:sz w:val="24"/>
          <w:szCs w:val="24"/>
        </w:rPr>
        <w:t>— Електронни комуникации —</w:t>
      </w:r>
    </w:p>
    <w:p>
      <w:pPr>
        <w:spacing w:after="0" w:line="240" w:lineRule="auto"/>
        <w:jc w:val="both"/>
        <w:rPr>
          <w:rFonts w:ascii="Times New Roman" w:eastAsia="Calibri" w:hAnsi="Times New Roman" w:cs="Times New Roman"/>
          <w:noProof/>
          <w:sz w:val="24"/>
          <w:szCs w:val="24"/>
        </w:rPr>
      </w:pPr>
      <w:r>
        <w:rPr>
          <w:rFonts w:ascii="Times New Roman" w:hAnsi="Times New Roman"/>
          <w:noProof/>
          <w:sz w:val="24"/>
        </w:rPr>
        <w:t>Законодателството на ЕС в областта на електронните комуникации има за цел да повиши конкурентоспособността, да допринесе за развитието на единния пазар и да генерира инвестиции, иновации и растеж. Положителният ефект за потребителите може да бъде постигнат чрез ефективно прилагане на това законодателство, което може да доведе до по-ниски цени за крайните потребители и до услуги с по-високо качество. На графика 17 по-долу е представена средната продължителност на делата за съдебен контрол върху решения на националните регулаторни органи, прилагащи правото на ЕС в областта на електронните комуникации (</w:t>
      </w:r>
      <w:r>
        <w:rPr>
          <w:rFonts w:ascii="Times New Roman" w:eastAsia="Calibri" w:hAnsi="Times New Roman" w:cs="Times New Roman"/>
          <w:noProof/>
          <w:sz w:val="24"/>
          <w:szCs w:val="24"/>
          <w:vertAlign w:val="superscript"/>
        </w:rPr>
        <w:footnoteReference w:id="66"/>
      </w:r>
      <w:r>
        <w:rPr>
          <w:rFonts w:ascii="Times New Roman" w:hAnsi="Times New Roman"/>
          <w:noProof/>
          <w:sz w:val="24"/>
        </w:rPr>
        <w:t>). Графиката обхваща широк спектър от дела — от по-сложен съдебен контрол на анализи на пазара до дела, отнасящи се до потребителите.</w:t>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Графика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17</w:t>
      </w:r>
      <w:r>
        <w:rPr>
          <w:rFonts w:ascii="Times New Roman" w:eastAsia="Calibri" w:hAnsi="Times New Roman" w:cs="Times New Roman"/>
          <w:b/>
          <w:noProof/>
          <w:sz w:val="24"/>
        </w:rPr>
        <w:fldChar w:fldCharType="end"/>
      </w:r>
      <w:r>
        <w:rPr>
          <w:rFonts w:ascii="Times New Roman" w:hAnsi="Times New Roman"/>
          <w:b/>
          <w:noProof/>
          <w:sz w:val="24"/>
        </w:rPr>
        <w:t xml:space="preserve">: Електронни комуникации: Средна продължителност на делата за съдебен контрол </w:t>
      </w:r>
      <w:r>
        <w:rPr>
          <w:rFonts w:ascii="Times New Roman" w:hAnsi="Times New Roman"/>
          <w:noProof/>
        </w:rPr>
        <w:t>(</w:t>
      </w:r>
      <w:r>
        <w:rPr>
          <w:noProof/>
        </w:rPr>
        <w:t>*)</w:t>
      </w:r>
      <w:r>
        <w:rPr>
          <w:rFonts w:ascii="Times New Roman" w:hAnsi="Times New Roman"/>
          <w:i/>
          <w:noProof/>
          <w:sz w:val="24"/>
        </w:rPr>
        <w:t xml:space="preserve"> (на първа инстанция/в дни) (източник: Европейската комисия и Комитетът по съобщенията)</w:t>
      </w:r>
    </w:p>
    <w:p>
      <w:pPr>
        <w:spacing w:after="0" w:line="240" w:lineRule="auto"/>
        <w:jc w:val="both"/>
        <w:rPr>
          <w:rFonts w:ascii="Times New Roman" w:eastAsia="Times New Roman" w:hAnsi="Times New Roman" w:cs="Times New Roman"/>
          <w:i/>
          <w:noProof/>
          <w:sz w:val="20"/>
        </w:rPr>
      </w:pPr>
      <w:r>
        <w:rPr>
          <w:noProof/>
          <w:lang w:val="en-GB" w:eastAsia="en-GB"/>
        </w:rPr>
        <w:drawing>
          <wp:inline distT="0" distB="0" distL="0" distR="0">
            <wp:extent cx="5977255" cy="2633019"/>
            <wp:effectExtent l="0" t="0" r="4445" b="0"/>
            <wp:docPr id="97324" name="Picture 97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77255" cy="2633019"/>
                    </a:xfrm>
                    <a:prstGeom prst="rect">
                      <a:avLst/>
                    </a:prstGeom>
                    <a:noFill/>
                    <a:ln>
                      <a:noFill/>
                    </a:ln>
                  </pic:spPr>
                </pic:pic>
              </a:graphicData>
            </a:graphic>
          </wp:inline>
        </w:drawing>
      </w:r>
      <w:r>
        <w:rPr>
          <w:rFonts w:ascii="Times New Roman" w:hAnsi="Times New Roman"/>
          <w:noProof/>
          <w:sz w:val="20"/>
          <w:szCs w:val="20"/>
        </w:rPr>
        <w:t>(*)</w:t>
      </w:r>
      <w:r>
        <w:rPr>
          <w:rFonts w:ascii="Times New Roman" w:hAnsi="Times New Roman"/>
          <w:noProof/>
        </w:rPr>
        <w:t xml:space="preserve"> </w:t>
      </w:r>
      <w:r>
        <w:rPr>
          <w:rFonts w:ascii="Times New Roman" w:hAnsi="Times New Roman"/>
          <w:i/>
          <w:noProof/>
          <w:sz w:val="20"/>
        </w:rPr>
        <w:t xml:space="preserve">Броят на делата варира в различните държави членки. Празна колона означава, че държавата членка не е докладвала дела за съответната година (с изключение на </w:t>
      </w:r>
      <w:r>
        <w:rPr>
          <w:rFonts w:ascii="Times New Roman" w:hAnsi="Times New Roman"/>
          <w:b/>
          <w:i/>
          <w:noProof/>
          <w:sz w:val="20"/>
        </w:rPr>
        <w:t>PT</w:t>
      </w:r>
      <w:r>
        <w:rPr>
          <w:rFonts w:ascii="Times New Roman" w:hAnsi="Times New Roman"/>
          <w:i/>
          <w:noProof/>
          <w:sz w:val="20"/>
        </w:rPr>
        <w:t xml:space="preserve"> за 2017 г.: няма данни). В някои случаи ограниченият брой на съответните дела (</w:t>
      </w:r>
      <w:r>
        <w:rPr>
          <w:rFonts w:ascii="Times New Roman" w:hAnsi="Times New Roman"/>
          <w:b/>
          <w:i/>
          <w:noProof/>
          <w:sz w:val="20"/>
        </w:rPr>
        <w:t>LV</w:t>
      </w:r>
      <w:r>
        <w:rPr>
          <w:rFonts w:ascii="Times New Roman" w:hAnsi="Times New Roman"/>
          <w:i/>
          <w:noProof/>
          <w:sz w:val="20"/>
        </w:rPr>
        <w:t xml:space="preserve">, </w:t>
      </w:r>
      <w:r>
        <w:rPr>
          <w:rFonts w:ascii="Times New Roman" w:hAnsi="Times New Roman"/>
          <w:b/>
          <w:i/>
          <w:noProof/>
          <w:sz w:val="20"/>
        </w:rPr>
        <w:t>LT</w:t>
      </w:r>
      <w:r>
        <w:rPr>
          <w:rFonts w:ascii="Times New Roman" w:hAnsi="Times New Roman"/>
          <w:i/>
          <w:noProof/>
          <w:sz w:val="20"/>
        </w:rPr>
        <w:t xml:space="preserve">, </w:t>
      </w:r>
      <w:r>
        <w:rPr>
          <w:rFonts w:ascii="Times New Roman" w:hAnsi="Times New Roman"/>
          <w:b/>
          <w:i/>
          <w:noProof/>
          <w:sz w:val="20"/>
        </w:rPr>
        <w:t>MT</w:t>
      </w:r>
      <w:r>
        <w:rPr>
          <w:rFonts w:ascii="Times New Roman" w:hAnsi="Times New Roman"/>
          <w:i/>
          <w:noProof/>
          <w:sz w:val="20"/>
        </w:rPr>
        <w:t xml:space="preserve">, </w:t>
      </w:r>
      <w:r>
        <w:rPr>
          <w:rFonts w:ascii="Times New Roman" w:hAnsi="Times New Roman"/>
          <w:b/>
          <w:i/>
          <w:noProof/>
          <w:sz w:val="20"/>
        </w:rPr>
        <w:t>SK</w:t>
      </w:r>
      <w:r>
        <w:rPr>
          <w:rFonts w:ascii="Times New Roman" w:hAnsi="Times New Roman"/>
          <w:i/>
          <w:noProof/>
          <w:sz w:val="20"/>
        </w:rPr>
        <w:t xml:space="preserve">, </w:t>
      </w:r>
      <w:r>
        <w:rPr>
          <w:rFonts w:ascii="Times New Roman" w:hAnsi="Times New Roman"/>
          <w:b/>
          <w:i/>
          <w:noProof/>
          <w:sz w:val="20"/>
        </w:rPr>
        <w:t>SE</w:t>
      </w:r>
      <w:r>
        <w:rPr>
          <w:rFonts w:ascii="Times New Roman" w:hAnsi="Times New Roman"/>
          <w:i/>
          <w:noProof/>
          <w:sz w:val="20"/>
        </w:rPr>
        <w:t xml:space="preserve">) </w:t>
      </w:r>
      <w:r>
        <w:rPr>
          <w:rFonts w:ascii="Times New Roman" w:hAnsi="Times New Roman"/>
          <w:i/>
          <w:noProof/>
          <w:sz w:val="20"/>
          <w:szCs w:val="20"/>
        </w:rPr>
        <w:t xml:space="preserve">може да стане причина за зависимост на годишните данни от едно изключително дълго или кратко дело и да доведе до големи различия между отделните години. </w:t>
      </w:r>
      <w:r>
        <w:rPr>
          <w:rFonts w:ascii="Times New Roman" w:hAnsi="Times New Roman"/>
          <w:b/>
          <w:i/>
          <w:noProof/>
          <w:sz w:val="20"/>
        </w:rPr>
        <w:t>DK:</w:t>
      </w:r>
      <w:r>
        <w:rPr>
          <w:rFonts w:ascii="Times New Roman" w:hAnsi="Times New Roman"/>
          <w:i/>
          <w:noProof/>
          <w:sz w:val="20"/>
        </w:rPr>
        <w:t xml:space="preserve"> с жалбите на първа инстанция се занимава квазисъдебен орган. </w:t>
      </w:r>
      <w:r>
        <w:rPr>
          <w:rFonts w:ascii="Times New Roman" w:hAnsi="Times New Roman"/>
          <w:b/>
          <w:i/>
          <w:noProof/>
          <w:sz w:val="20"/>
        </w:rPr>
        <w:t>ES</w:t>
      </w:r>
      <w:r>
        <w:rPr>
          <w:rFonts w:ascii="Times New Roman" w:hAnsi="Times New Roman"/>
          <w:i/>
          <w:noProof/>
          <w:sz w:val="20"/>
        </w:rPr>
        <w:t xml:space="preserve">, </w:t>
      </w:r>
      <w:r>
        <w:rPr>
          <w:rFonts w:ascii="Times New Roman" w:hAnsi="Times New Roman"/>
          <w:b/>
          <w:i/>
          <w:noProof/>
          <w:sz w:val="20"/>
        </w:rPr>
        <w:t>AT</w:t>
      </w:r>
      <w:r>
        <w:rPr>
          <w:rFonts w:ascii="Times New Roman" w:hAnsi="Times New Roman"/>
          <w:i/>
          <w:noProof/>
          <w:sz w:val="20"/>
        </w:rPr>
        <w:t xml:space="preserve"> и </w:t>
      </w:r>
      <w:r>
        <w:rPr>
          <w:rFonts w:ascii="Times New Roman" w:hAnsi="Times New Roman"/>
          <w:b/>
          <w:i/>
          <w:noProof/>
          <w:sz w:val="20"/>
        </w:rPr>
        <w:t>PL</w:t>
      </w:r>
      <w:r>
        <w:rPr>
          <w:rFonts w:ascii="Times New Roman" w:hAnsi="Times New Roman"/>
          <w:i/>
          <w:noProof/>
          <w:sz w:val="20"/>
        </w:rPr>
        <w:t xml:space="preserve">: делата се разглеждат от различни съдилища в зависимост от предмета на делото. </w:t>
      </w:r>
      <w:r>
        <w:rPr>
          <w:rFonts w:ascii="Times New Roman" w:hAnsi="Times New Roman"/>
          <w:b/>
          <w:i/>
          <w:noProof/>
          <w:sz w:val="20"/>
        </w:rPr>
        <w:t>MT:</w:t>
      </w:r>
      <w:r>
        <w:rPr>
          <w:rFonts w:ascii="Times New Roman" w:hAnsi="Times New Roman"/>
          <w:i/>
          <w:noProof/>
          <w:sz w:val="20"/>
        </w:rPr>
        <w:t xml:space="preserve"> през 2016 г. беше докладвано за изключително дълго дело с продължителност 2 500 дни, отнасящо се до сложен въпрос, при който местен орган заедно с няколко жители предявяват иск във връзка с твърдения за вредни емисии от наземни станции за мобилни комуникации.</w:t>
      </w:r>
    </w:p>
    <w:p>
      <w:pPr>
        <w:keepNext/>
        <w:spacing w:before="240" w:after="120" w:line="240" w:lineRule="auto"/>
        <w:jc w:val="both"/>
        <w:rPr>
          <w:rFonts w:ascii="Times New Roman" w:eastAsia="Times New Roman" w:hAnsi="Times New Roman" w:cs="Times New Roman"/>
          <w:i/>
          <w:noProof/>
          <w:sz w:val="24"/>
          <w:szCs w:val="24"/>
        </w:rPr>
      </w:pPr>
      <w:bookmarkStart w:id="274" w:name="_Ref441766145"/>
      <w:r>
        <w:rPr>
          <w:rFonts w:ascii="Times New Roman" w:hAnsi="Times New Roman"/>
          <w:i/>
          <w:noProof/>
          <w:sz w:val="24"/>
          <w:szCs w:val="24"/>
        </w:rPr>
        <w:t>— Марка на ЕС —</w:t>
      </w:r>
    </w:p>
    <w:bookmarkEnd w:id="274"/>
    <w:p>
      <w:pPr>
        <w:spacing w:after="0" w:line="240" w:lineRule="auto"/>
        <w:jc w:val="both"/>
        <w:rPr>
          <w:rFonts w:ascii="Times New Roman" w:eastAsia="Calibri" w:hAnsi="Times New Roman" w:cs="Times New Roman"/>
          <w:noProof/>
          <w:sz w:val="24"/>
        </w:rPr>
      </w:pPr>
      <w:r>
        <w:rPr>
          <w:rFonts w:ascii="Times New Roman" w:hAnsi="Times New Roman"/>
          <w:noProof/>
          <w:sz w:val="24"/>
        </w:rPr>
        <w:t>Ефективното прилагане на правата на интелектуална собственост е от основно значение за стимулирането на инвестициите в иновации. Законодателството на ЕС относно марките на ЕС (</w:t>
      </w:r>
      <w:r>
        <w:rPr>
          <w:rFonts w:ascii="Times New Roman" w:eastAsia="Calibri" w:hAnsi="Times New Roman" w:cs="Times New Roman"/>
          <w:noProof/>
          <w:sz w:val="24"/>
          <w:vertAlign w:val="superscript"/>
        </w:rPr>
        <w:footnoteReference w:id="67"/>
      </w:r>
      <w:r>
        <w:rPr>
          <w:rFonts w:ascii="Times New Roman" w:hAnsi="Times New Roman"/>
          <w:noProof/>
          <w:sz w:val="24"/>
        </w:rPr>
        <w:t>) предоставя съществена роля на националните съдилища, които действат като съдилища на ЕС и вземат решения, засягащи единния пазар. На графика 18 по-долу е показана средната продължителност на делата за нарушения на марката на ЕС при съдебни спорове между частни лица.</w:t>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Графика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18</w:t>
      </w:r>
      <w:r>
        <w:rPr>
          <w:rFonts w:ascii="Times New Roman" w:eastAsia="Calibri" w:hAnsi="Times New Roman" w:cs="Times New Roman"/>
          <w:b/>
          <w:noProof/>
          <w:sz w:val="24"/>
        </w:rPr>
        <w:fldChar w:fldCharType="end"/>
      </w:r>
      <w:r>
        <w:rPr>
          <w:rFonts w:ascii="Times New Roman" w:hAnsi="Times New Roman"/>
          <w:b/>
          <w:noProof/>
          <w:sz w:val="24"/>
        </w:rPr>
        <w:t xml:space="preserve">: Марка на ЕС: Средна продължителност на делата за нарушения на марка на ЕС </w:t>
      </w:r>
      <w:r>
        <w:rPr>
          <w:rFonts w:ascii="Times New Roman" w:hAnsi="Times New Roman"/>
          <w:noProof/>
        </w:rPr>
        <w:t>(</w:t>
      </w:r>
      <w:r>
        <w:rPr>
          <w:noProof/>
        </w:rPr>
        <w:t>*)</w:t>
      </w:r>
      <w:r>
        <w:rPr>
          <w:rFonts w:ascii="Times New Roman" w:hAnsi="Times New Roman"/>
          <w:i/>
          <w:noProof/>
          <w:sz w:val="24"/>
        </w:rPr>
        <w:t xml:space="preserve"> (на първа инстанция/в дни) (източник: (Европейската комисия и Европейската обсерватория за нарушенията на правата на интелектуална собственост)</w:t>
      </w:r>
    </w:p>
    <w:p>
      <w:pPr>
        <w:spacing w:after="0" w:line="240" w:lineRule="auto"/>
        <w:jc w:val="both"/>
        <w:rPr>
          <w:rFonts w:ascii="Times New Roman" w:eastAsia="Calibri" w:hAnsi="Times New Roman" w:cs="Times New Roman"/>
          <w:i/>
          <w:noProof/>
          <w:sz w:val="20"/>
        </w:rPr>
      </w:pPr>
      <w:r>
        <w:rPr>
          <w:noProof/>
          <w:lang w:val="en-GB" w:eastAsia="en-GB"/>
        </w:rPr>
        <w:drawing>
          <wp:inline distT="0" distB="0" distL="0" distR="0">
            <wp:extent cx="5977255" cy="2650569"/>
            <wp:effectExtent l="0" t="0" r="444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77255" cy="2650569"/>
                    </a:xfrm>
                    <a:prstGeom prst="rect">
                      <a:avLst/>
                    </a:prstGeom>
                    <a:noFill/>
                    <a:ln>
                      <a:noFill/>
                    </a:ln>
                  </pic:spPr>
                </pic:pic>
              </a:graphicData>
            </a:graphic>
          </wp:inline>
        </w:drawing>
      </w:r>
      <w:r>
        <w:rPr>
          <w:rFonts w:ascii="Times New Roman" w:hAnsi="Times New Roman"/>
          <w:i/>
          <w:noProof/>
          <w:sz w:val="20"/>
        </w:rPr>
        <w:t xml:space="preserve">(*) </w:t>
      </w:r>
      <w:r>
        <w:rPr>
          <w:rFonts w:ascii="Times New Roman" w:hAnsi="Times New Roman"/>
          <w:b/>
          <w:i/>
          <w:noProof/>
          <w:sz w:val="20"/>
        </w:rPr>
        <w:t>FR</w:t>
      </w:r>
      <w:r>
        <w:rPr>
          <w:rFonts w:ascii="Times New Roman" w:hAnsi="Times New Roman"/>
          <w:i/>
          <w:noProof/>
          <w:sz w:val="20"/>
        </w:rPr>
        <w:t>,</w:t>
      </w:r>
      <w:r>
        <w:rPr>
          <w:rFonts w:ascii="Times New Roman" w:hAnsi="Times New Roman"/>
          <w:b/>
          <w:i/>
          <w:noProof/>
          <w:sz w:val="20"/>
        </w:rPr>
        <w:t xml:space="preserve"> IT</w:t>
      </w:r>
      <w:r>
        <w:rPr>
          <w:rFonts w:ascii="Times New Roman" w:hAnsi="Times New Roman"/>
          <w:i/>
          <w:noProof/>
          <w:sz w:val="20"/>
        </w:rPr>
        <w:t>,</w:t>
      </w:r>
      <w:r>
        <w:rPr>
          <w:rFonts w:ascii="Times New Roman" w:hAnsi="Times New Roman"/>
          <w:b/>
          <w:i/>
          <w:noProof/>
          <w:sz w:val="20"/>
        </w:rPr>
        <w:t xml:space="preserve"> LT</w:t>
      </w:r>
      <w:r>
        <w:rPr>
          <w:rFonts w:ascii="Times New Roman" w:hAnsi="Times New Roman"/>
          <w:i/>
          <w:noProof/>
          <w:sz w:val="20"/>
        </w:rPr>
        <w:t>,</w:t>
      </w:r>
      <w:r>
        <w:rPr>
          <w:rFonts w:ascii="Times New Roman" w:hAnsi="Times New Roman"/>
          <w:b/>
          <w:i/>
          <w:noProof/>
          <w:sz w:val="20"/>
        </w:rPr>
        <w:t xml:space="preserve"> LU: </w:t>
      </w:r>
      <w:r>
        <w:rPr>
          <w:rFonts w:ascii="Times New Roman" w:hAnsi="Times New Roman"/>
          <w:i/>
          <w:noProof/>
          <w:sz w:val="20"/>
        </w:rPr>
        <w:t>за данните за някои години е използвана извадка от дела.</w:t>
      </w:r>
      <w:r>
        <w:rPr>
          <w:rFonts w:ascii="Times New Roman" w:hAnsi="Times New Roman"/>
          <w:i/>
          <w:noProof/>
        </w:rPr>
        <w:t xml:space="preserve"> </w:t>
      </w:r>
      <w:r>
        <w:rPr>
          <w:rFonts w:ascii="Times New Roman" w:hAnsi="Times New Roman"/>
          <w:b/>
          <w:i/>
          <w:noProof/>
          <w:sz w:val="20"/>
        </w:rPr>
        <w:t>BG:</w:t>
      </w:r>
      <w:r>
        <w:rPr>
          <w:rFonts w:ascii="Times New Roman" w:hAnsi="Times New Roman"/>
          <w:i/>
          <w:noProof/>
          <w:sz w:val="20"/>
        </w:rPr>
        <w:t xml:space="preserve"> за 2016 г. са използвани прогнозни данни за отделните съдилища. </w:t>
      </w:r>
      <w:r>
        <w:rPr>
          <w:rFonts w:ascii="Times New Roman" w:hAnsi="Times New Roman"/>
          <w:b/>
          <w:i/>
          <w:noProof/>
          <w:sz w:val="20"/>
        </w:rPr>
        <w:t xml:space="preserve">PL: </w:t>
      </w:r>
      <w:r>
        <w:rPr>
          <w:rFonts w:ascii="Times New Roman" w:hAnsi="Times New Roman"/>
          <w:i/>
          <w:noProof/>
          <w:sz w:val="20"/>
        </w:rPr>
        <w:t xml:space="preserve">за 2015 г. са използвани прогнозни данни за отделните съдилища. В EE, </w:t>
      </w:r>
      <w:r>
        <w:rPr>
          <w:rFonts w:ascii="Times New Roman" w:hAnsi="Times New Roman"/>
          <w:b/>
          <w:i/>
          <w:noProof/>
          <w:sz w:val="20"/>
        </w:rPr>
        <w:t>IE</w:t>
      </w:r>
      <w:r>
        <w:rPr>
          <w:rFonts w:ascii="Times New Roman" w:hAnsi="Times New Roman"/>
          <w:i/>
          <w:noProof/>
          <w:sz w:val="20"/>
        </w:rPr>
        <w:t xml:space="preserve">, </w:t>
      </w:r>
      <w:r>
        <w:rPr>
          <w:rFonts w:ascii="Times New Roman" w:hAnsi="Times New Roman"/>
          <w:b/>
          <w:i/>
          <w:noProof/>
          <w:sz w:val="20"/>
        </w:rPr>
        <w:t>LV</w:t>
      </w:r>
      <w:r>
        <w:rPr>
          <w:rFonts w:ascii="Times New Roman" w:hAnsi="Times New Roman"/>
          <w:i/>
          <w:noProof/>
          <w:sz w:val="20"/>
        </w:rPr>
        <w:t xml:space="preserve"> и </w:t>
      </w:r>
      <w:r>
        <w:rPr>
          <w:rFonts w:ascii="Times New Roman" w:hAnsi="Times New Roman"/>
          <w:b/>
          <w:i/>
          <w:noProof/>
          <w:sz w:val="20"/>
        </w:rPr>
        <w:t>SE</w:t>
      </w:r>
      <w:r>
        <w:rPr>
          <w:rFonts w:ascii="Times New Roman" w:hAnsi="Times New Roman"/>
          <w:i/>
          <w:noProof/>
          <w:sz w:val="20"/>
        </w:rPr>
        <w:t xml:space="preserve"> е докладвано за изключително дълги дела, които се отразяват на средната продължителност. </w:t>
      </w:r>
      <w:r>
        <w:rPr>
          <w:rFonts w:ascii="Times New Roman" w:hAnsi="Times New Roman"/>
          <w:b/>
          <w:i/>
          <w:noProof/>
          <w:sz w:val="20"/>
        </w:rPr>
        <w:t>EL:</w:t>
      </w:r>
      <w:r>
        <w:rPr>
          <w:rFonts w:ascii="Times New Roman" w:hAnsi="Times New Roman"/>
          <w:i/>
          <w:noProof/>
          <w:sz w:val="20"/>
        </w:rPr>
        <w:t xml:space="preserve"> данни въз основа на претеглената средна продължителност на делата в две съдилища. </w:t>
      </w:r>
      <w:r>
        <w:rPr>
          <w:rFonts w:ascii="Times New Roman" w:hAnsi="Times New Roman"/>
          <w:b/>
          <w:i/>
          <w:noProof/>
          <w:sz w:val="20"/>
        </w:rPr>
        <w:t>ES:</w:t>
      </w:r>
      <w:r>
        <w:rPr>
          <w:rFonts w:ascii="Times New Roman" w:hAnsi="Times New Roman"/>
          <w:i/>
          <w:noProof/>
          <w:sz w:val="20"/>
        </w:rPr>
        <w:t xml:space="preserve"> при изчисляването на средната продължителност са включени дела относно други права върху интелектуалната собственост на ЕС.</w:t>
      </w:r>
      <w:r>
        <w:rPr>
          <w:rFonts w:ascii="Times New Roman" w:hAnsi="Times New Roman"/>
          <w:i/>
          <w:noProof/>
          <w:sz w:val="20"/>
          <w:szCs w:val="20"/>
        </w:rPr>
        <w:t xml:space="preserve"> </w:t>
      </w:r>
      <w:r>
        <w:rPr>
          <w:rFonts w:ascii="Times New Roman" w:hAnsi="Times New Roman"/>
          <w:b/>
          <w:i/>
          <w:noProof/>
          <w:sz w:val="20"/>
          <w:szCs w:val="20"/>
        </w:rPr>
        <w:t>DK:</w:t>
      </w:r>
      <w:r>
        <w:rPr>
          <w:rFonts w:ascii="Times New Roman" w:hAnsi="Times New Roman"/>
          <w:i/>
          <w:noProof/>
          <w:sz w:val="20"/>
          <w:szCs w:val="20"/>
        </w:rPr>
        <w:t xml:space="preserve"> данни от всички дела за марки — не само марки на ЕС, — разглеждани от Морския и търговски съд.</w:t>
      </w:r>
    </w:p>
    <w:p>
      <w:pPr>
        <w:spacing w:before="240" w:after="120" w:line="240" w:lineRule="auto"/>
        <w:jc w:val="both"/>
        <w:rPr>
          <w:rFonts w:ascii="Times New Roman" w:eastAsia="Times New Roman" w:hAnsi="Times New Roman" w:cs="Times New Roman"/>
          <w:i/>
          <w:noProof/>
          <w:sz w:val="24"/>
          <w:szCs w:val="24"/>
        </w:rPr>
      </w:pPr>
      <w:r>
        <w:rPr>
          <w:rFonts w:ascii="Times New Roman" w:hAnsi="Times New Roman"/>
          <w:i/>
          <w:noProof/>
          <w:sz w:val="24"/>
          <w:szCs w:val="24"/>
        </w:rPr>
        <w:t>— Изпиране на пари —</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 xml:space="preserve">Наред с приноса ѝ за борбата с престъпността, ефективността на борбата с изпирането на пари е от решаващо значение за надеждността, целостта и стабилността на финансовия сектор, доверието във финансовата система и наличието на лоялна конкуренция на единния </w:t>
      </w:r>
      <w:r>
        <w:rPr>
          <w:rFonts w:ascii="Times New Roman" w:hAnsi="Times New Roman"/>
          <w:noProof/>
          <w:sz w:val="24"/>
          <w:szCs w:val="24"/>
        </w:rPr>
        <w:t>пазар (</w:t>
      </w:r>
      <w:r>
        <w:rPr>
          <w:rFonts w:ascii="Times New Roman" w:eastAsia="Calibri" w:hAnsi="Times New Roman" w:cs="Times New Roman"/>
          <w:noProof/>
          <w:sz w:val="24"/>
          <w:szCs w:val="24"/>
          <w:vertAlign w:val="superscript"/>
        </w:rPr>
        <w:footnoteReference w:id="68"/>
      </w:r>
      <w:r>
        <w:rPr>
          <w:rFonts w:ascii="Times New Roman" w:hAnsi="Times New Roman"/>
          <w:noProof/>
          <w:sz w:val="24"/>
          <w:szCs w:val="24"/>
        </w:rPr>
        <w:t>). Както се подчертава от Международния валутен фонд, изпирането на пари може да обезкуражи чуждестранните инвеститори, да доведе до нарушения в международните капиталови потоци и да има отрицателни последици за макроикономическите резултати на държавите, което ще доведе до загуби на благосъстояние и изразходване на ресурси от по-продуктивни икономически дейности (</w:t>
      </w:r>
      <w:r>
        <w:rPr>
          <w:rFonts w:ascii="Times New Roman" w:eastAsia="Calibri" w:hAnsi="Times New Roman" w:cs="Times New Roman"/>
          <w:noProof/>
          <w:sz w:val="24"/>
          <w:szCs w:val="24"/>
          <w:vertAlign w:val="superscript"/>
        </w:rPr>
        <w:footnoteReference w:id="69"/>
      </w:r>
      <w:r>
        <w:rPr>
          <w:rFonts w:ascii="Times New Roman" w:hAnsi="Times New Roman"/>
          <w:noProof/>
          <w:sz w:val="24"/>
          <w:szCs w:val="24"/>
        </w:rPr>
        <w:t xml:space="preserve">). </w:t>
      </w:r>
      <w:r>
        <w:rPr>
          <w:rFonts w:ascii="Times New Roman" w:hAnsi="Times New Roman"/>
          <w:noProof/>
          <w:sz w:val="24"/>
        </w:rPr>
        <w:t>Съгласно Директивата за борба с изпирането на пари държавите членки са длъжни да водят статистика за ефективността на техните системи за борба с изпирането на пари или финансирането на тероризма (</w:t>
      </w:r>
      <w:r>
        <w:rPr>
          <w:rFonts w:ascii="Times New Roman" w:eastAsia="Calibri" w:hAnsi="Times New Roman" w:cs="Times New Roman"/>
          <w:noProof/>
          <w:sz w:val="24"/>
          <w:vertAlign w:val="superscript"/>
        </w:rPr>
        <w:footnoteReference w:id="70"/>
      </w:r>
      <w:r>
        <w:rPr>
          <w:rFonts w:ascii="Times New Roman" w:hAnsi="Times New Roman"/>
          <w:noProof/>
          <w:sz w:val="24"/>
        </w:rPr>
        <w:t>). В сътрудничество с държавите членки чрез актуализиран въпросник бяха събрани данни за съдебните фази на националните режими за борба с изпирането на пари. На графика 19 е показана средната продължителност на съдебните дела на първа инстанция за престъпления, свързани с изпиране на пари.</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Графика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19</w:t>
      </w:r>
      <w:r>
        <w:rPr>
          <w:rFonts w:ascii="Times New Roman" w:eastAsia="Calibri" w:hAnsi="Times New Roman" w:cs="Times New Roman"/>
          <w:b/>
          <w:noProof/>
          <w:sz w:val="24"/>
          <w:szCs w:val="24"/>
        </w:rPr>
        <w:fldChar w:fldCharType="end"/>
      </w:r>
      <w:r>
        <w:rPr>
          <w:rFonts w:ascii="Times New Roman" w:hAnsi="Times New Roman"/>
          <w:b/>
          <w:noProof/>
          <w:sz w:val="24"/>
          <w:szCs w:val="24"/>
        </w:rPr>
        <w:t>:</w:t>
      </w:r>
      <w:r>
        <w:rPr>
          <w:rFonts w:ascii="Times New Roman" w:hAnsi="Times New Roman"/>
          <w:b/>
          <w:noProof/>
          <w:sz w:val="24"/>
        </w:rPr>
        <w:t xml:space="preserve"> Изпиране на пари: Средна продължителност на съдебните дела </w:t>
      </w:r>
      <w:r>
        <w:rPr>
          <w:rFonts w:ascii="Times New Roman" w:hAnsi="Times New Roman"/>
          <w:noProof/>
        </w:rPr>
        <w:t>(</w:t>
      </w:r>
      <w:r>
        <w:rPr>
          <w:noProof/>
        </w:rPr>
        <w:t>*</w:t>
      </w:r>
      <w:r>
        <w:rPr>
          <w:rFonts w:ascii="Times New Roman" w:hAnsi="Times New Roman"/>
          <w:noProof/>
        </w:rPr>
        <w:t>)</w:t>
      </w:r>
      <w:r>
        <w:rPr>
          <w:rFonts w:ascii="Times New Roman" w:hAnsi="Times New Roman"/>
          <w:i/>
          <w:noProof/>
          <w:sz w:val="24"/>
        </w:rPr>
        <w:t xml:space="preserve"> (на първа инстанция/в дни) (източник: Европейската комисия и Експертната група по въпросите на изпирането на пари и финансирането на тероризма)</w:t>
      </w:r>
    </w:p>
    <w:p>
      <w:pPr>
        <w:keepNext/>
        <w:spacing w:after="0" w:line="240" w:lineRule="auto"/>
        <w:jc w:val="both"/>
        <w:rPr>
          <w:rFonts w:ascii="Times New Roman" w:eastAsia="Calibri" w:hAnsi="Times New Roman" w:cs="Times New Roman"/>
          <w:noProof/>
          <w:sz w:val="24"/>
        </w:rPr>
      </w:pPr>
      <w:r>
        <w:rPr>
          <w:noProof/>
          <w:lang w:val="en-GB" w:eastAsia="en-GB"/>
        </w:rPr>
        <w:drawing>
          <wp:inline distT="0" distB="0" distL="0" distR="0">
            <wp:extent cx="5977255" cy="2650569"/>
            <wp:effectExtent l="0" t="0" r="444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77255" cy="2650569"/>
                    </a:xfrm>
                    <a:prstGeom prst="rect">
                      <a:avLst/>
                    </a:prstGeom>
                    <a:noFill/>
                    <a:ln>
                      <a:noFill/>
                    </a:ln>
                  </pic:spPr>
                </pic:pic>
              </a:graphicData>
            </a:graphic>
          </wp:inline>
        </w:drawing>
      </w:r>
    </w:p>
    <w:p>
      <w:pPr>
        <w:keepNext/>
        <w:spacing w:after="0" w:line="240" w:lineRule="auto"/>
        <w:jc w:val="both"/>
        <w:rPr>
          <w:rFonts w:ascii="Times New Roman" w:eastAsia="Calibri" w:hAnsi="Times New Roman" w:cs="Times New Roman"/>
          <w:i/>
          <w:noProof/>
          <w:sz w:val="20"/>
        </w:rPr>
      </w:pPr>
      <w:r>
        <w:rPr>
          <w:rFonts w:ascii="Times New Roman" w:hAnsi="Times New Roman"/>
          <w:i/>
          <w:noProof/>
          <w:sz w:val="20"/>
        </w:rPr>
        <w:t xml:space="preserve">(*) Няма данни за 2017 г.: </w:t>
      </w:r>
      <w:r>
        <w:rPr>
          <w:rFonts w:ascii="Times New Roman" w:hAnsi="Times New Roman"/>
          <w:b/>
          <w:i/>
          <w:noProof/>
          <w:sz w:val="20"/>
        </w:rPr>
        <w:t>LU</w:t>
      </w:r>
      <w:r>
        <w:rPr>
          <w:rFonts w:ascii="Times New Roman" w:hAnsi="Times New Roman"/>
          <w:i/>
          <w:noProof/>
          <w:sz w:val="20"/>
        </w:rPr>
        <w:t xml:space="preserve">, </w:t>
      </w:r>
      <w:r>
        <w:rPr>
          <w:rFonts w:ascii="Times New Roman" w:hAnsi="Times New Roman"/>
          <w:b/>
          <w:i/>
          <w:noProof/>
          <w:sz w:val="20"/>
        </w:rPr>
        <w:t>AT</w:t>
      </w:r>
      <w:r>
        <w:rPr>
          <w:rFonts w:ascii="Times New Roman" w:hAnsi="Times New Roman"/>
          <w:i/>
          <w:noProof/>
          <w:sz w:val="20"/>
        </w:rPr>
        <w:t xml:space="preserve">, </w:t>
      </w:r>
      <w:r>
        <w:rPr>
          <w:rFonts w:ascii="Times New Roman" w:hAnsi="Times New Roman"/>
          <w:b/>
          <w:i/>
          <w:noProof/>
          <w:sz w:val="20"/>
        </w:rPr>
        <w:t>CY</w:t>
      </w:r>
      <w:r>
        <w:rPr>
          <w:rFonts w:ascii="Times New Roman" w:hAnsi="Times New Roman"/>
          <w:i/>
          <w:noProof/>
          <w:sz w:val="20"/>
        </w:rPr>
        <w:t xml:space="preserve">, </w:t>
      </w:r>
      <w:r>
        <w:rPr>
          <w:rFonts w:ascii="Times New Roman" w:hAnsi="Times New Roman"/>
          <w:b/>
          <w:i/>
          <w:noProof/>
          <w:sz w:val="20"/>
        </w:rPr>
        <w:t>PL</w:t>
      </w:r>
      <w:r>
        <w:rPr>
          <w:rFonts w:ascii="Times New Roman" w:hAnsi="Times New Roman"/>
          <w:i/>
          <w:noProof/>
          <w:sz w:val="20"/>
        </w:rPr>
        <w:t xml:space="preserve"> и </w:t>
      </w:r>
      <w:r>
        <w:rPr>
          <w:rFonts w:ascii="Times New Roman" w:hAnsi="Times New Roman"/>
          <w:b/>
          <w:i/>
          <w:noProof/>
          <w:sz w:val="20"/>
        </w:rPr>
        <w:t>FR</w:t>
      </w:r>
      <w:r>
        <w:rPr>
          <w:rFonts w:ascii="Times New Roman" w:hAnsi="Times New Roman"/>
          <w:i/>
          <w:noProof/>
          <w:sz w:val="20"/>
        </w:rPr>
        <w:t xml:space="preserve">. </w:t>
      </w:r>
      <w:r>
        <w:rPr>
          <w:rFonts w:ascii="Times New Roman" w:hAnsi="Times New Roman"/>
          <w:b/>
          <w:i/>
          <w:noProof/>
          <w:sz w:val="20"/>
        </w:rPr>
        <w:t>ES:</w:t>
      </w:r>
      <w:r>
        <w:rPr>
          <w:rFonts w:ascii="Times New Roman" w:hAnsi="Times New Roman"/>
          <w:i/>
          <w:noProof/>
          <w:sz w:val="20"/>
        </w:rPr>
        <w:t xml:space="preserve"> прогнозна продължителност. </w:t>
      </w:r>
      <w:r>
        <w:rPr>
          <w:rFonts w:ascii="Times New Roman" w:hAnsi="Times New Roman"/>
          <w:b/>
          <w:i/>
          <w:noProof/>
          <w:sz w:val="20"/>
        </w:rPr>
        <w:t>LV:</w:t>
      </w:r>
      <w:r>
        <w:rPr>
          <w:rFonts w:ascii="Times New Roman" w:hAnsi="Times New Roman"/>
          <w:i/>
          <w:noProof/>
          <w:sz w:val="20"/>
        </w:rPr>
        <w:t xml:space="preserve"> поради относително малкия брой дела през 2016 г. има различни фактори, които вероятно оказват влияние върху продължителността на производството, например спиране на едно дело по обективни причини. </w:t>
      </w:r>
      <w:r>
        <w:rPr>
          <w:rFonts w:ascii="Times New Roman" w:hAnsi="Times New Roman"/>
          <w:b/>
          <w:i/>
          <w:noProof/>
          <w:sz w:val="20"/>
        </w:rPr>
        <w:t>PL:</w:t>
      </w:r>
      <w:r>
        <w:rPr>
          <w:rFonts w:ascii="Times New Roman" w:hAnsi="Times New Roman"/>
          <w:i/>
          <w:noProof/>
          <w:sz w:val="20"/>
        </w:rPr>
        <w:t xml:space="preserve"> изчислението на продължителността за 2016 г. е направено въз основа на случайно подбрана извадка от дела.</w:t>
      </w:r>
      <w:bookmarkStart w:id="275" w:name="_Toc441571131"/>
      <w:bookmarkStart w:id="276" w:name="_Toc441581633"/>
      <w:bookmarkStart w:id="277" w:name="_Toc441585900"/>
      <w:bookmarkStart w:id="278" w:name="_Toc441595835"/>
      <w:bookmarkStart w:id="279" w:name="_Toc441596012"/>
      <w:bookmarkStart w:id="280" w:name="_Toc441748137"/>
      <w:bookmarkStart w:id="281" w:name="_Toc441755422"/>
      <w:bookmarkStart w:id="282" w:name="_Toc441756459"/>
      <w:bookmarkStart w:id="283" w:name="_Toc441757503"/>
      <w:bookmarkStart w:id="284" w:name="_Toc441766632"/>
      <w:bookmarkStart w:id="285" w:name="_Toc441766971"/>
      <w:bookmarkStart w:id="286" w:name="_Toc442187972"/>
      <w:bookmarkStart w:id="287" w:name="_Toc442262064"/>
      <w:bookmarkStart w:id="288" w:name="_Toc442362471"/>
      <w:bookmarkStart w:id="289" w:name="_Toc442374807"/>
      <w:bookmarkStart w:id="290" w:name="_Toc442425947"/>
      <w:bookmarkStart w:id="291" w:name="_Toc442453073"/>
      <w:bookmarkStart w:id="292" w:name="_Toc443484531"/>
      <w:bookmarkStart w:id="293" w:name="_Toc443484753"/>
      <w:bookmarkStart w:id="294" w:name="_Toc443509494"/>
      <w:bookmarkStart w:id="295" w:name="_Toc446014823"/>
      <w:r>
        <w:rPr>
          <w:rFonts w:ascii="Times New Roman" w:hAnsi="Times New Roman"/>
          <w:i/>
          <w:noProof/>
          <w:sz w:val="20"/>
        </w:rPr>
        <w:t xml:space="preserve"> </w:t>
      </w:r>
      <w:r>
        <w:rPr>
          <w:rFonts w:ascii="Times New Roman" w:hAnsi="Times New Roman"/>
          <w:b/>
          <w:i/>
          <w:noProof/>
          <w:sz w:val="20"/>
        </w:rPr>
        <w:t>SE:</w:t>
      </w:r>
      <w:r>
        <w:rPr>
          <w:rFonts w:ascii="Times New Roman" w:hAnsi="Times New Roman"/>
          <w:i/>
          <w:noProof/>
          <w:sz w:val="20"/>
        </w:rPr>
        <w:t xml:space="preserve"> изчислението за 2017 г. е направено въз основа на извадка на решените дела.</w:t>
      </w:r>
      <w:r>
        <w:rPr>
          <w:rFonts w:ascii="Times New Roman" w:hAnsi="Times New Roman"/>
          <w:noProof/>
        </w:rPr>
        <w:t xml:space="preserve"> </w:t>
      </w:r>
      <w:r>
        <w:rPr>
          <w:rFonts w:ascii="Times New Roman" w:hAnsi="Times New Roman"/>
          <w:b/>
          <w:i/>
          <w:noProof/>
          <w:sz w:val="20"/>
        </w:rPr>
        <w:t>IT:</w:t>
      </w:r>
      <w:r>
        <w:rPr>
          <w:rFonts w:ascii="Times New Roman" w:hAnsi="Times New Roman"/>
          <w:i/>
          <w:noProof/>
          <w:sz w:val="20"/>
        </w:rPr>
        <w:t xml:space="preserve"> данните се отнасят за отзовалите се съдилища и обхващат около 91 % от общия брой производства през 2015 г. и около 99 % от производствата през 2016 г. и 2017 г.; данните се отнасят както за съдебната, така и за досъдебната фаза на съдебните производства.</w:t>
      </w:r>
    </w:p>
    <w:p>
      <w:pPr>
        <w:keepNext/>
        <w:spacing w:after="0" w:line="240" w:lineRule="auto"/>
        <w:jc w:val="both"/>
        <w:rPr>
          <w:rFonts w:ascii="Times New Roman" w:eastAsia="Calibri" w:hAnsi="Times New Roman" w:cs="Times New Roman"/>
          <w:noProof/>
          <w:sz w:val="24"/>
        </w:rPr>
      </w:pPr>
    </w:p>
    <w:tbl>
      <w:tblPr>
        <w:tblpPr w:leftFromText="180" w:rightFromText="180" w:vertAnchor="text" w:horzAnchor="margin"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9"/>
      </w:tblGrid>
      <w:tr>
        <w:trPr>
          <w:trHeight w:val="614"/>
        </w:trPr>
        <w:tc>
          <w:tcPr>
            <w:tcW w:w="9629" w:type="dxa"/>
            <w:tcBorders>
              <w:top w:val="single" w:sz="4" w:space="0" w:color="auto"/>
              <w:left w:val="single" w:sz="4" w:space="0" w:color="auto"/>
              <w:bottom w:val="single" w:sz="4" w:space="0" w:color="auto"/>
              <w:right w:val="single" w:sz="4" w:space="0" w:color="auto"/>
            </w:tcBorders>
          </w:tcPr>
          <w:p>
            <w:pPr>
              <w:keepNext/>
              <w:spacing w:before="120" w:after="120" w:line="240" w:lineRule="auto"/>
              <w:jc w:val="both"/>
              <w:outlineLvl w:val="2"/>
              <w:rPr>
                <w:rFonts w:ascii="Times New Roman" w:eastAsia="Times New Roman" w:hAnsi="Times New Roman" w:cs="Times New Roman"/>
                <w:b/>
                <w:noProof/>
                <w:sz w:val="24"/>
                <w:szCs w:val="24"/>
              </w:rPr>
            </w:pPr>
            <w:r>
              <w:rPr>
                <w:rFonts w:ascii="Times New Roman" w:hAnsi="Times New Roman"/>
                <w:b/>
                <w:noProof/>
                <w:sz w:val="24"/>
                <w:szCs w:val="24"/>
              </w:rPr>
              <w:t>3.1.4.</w:t>
            </w:r>
            <w:r>
              <w:rPr>
                <w:rFonts w:ascii="Times New Roman" w:hAnsi="Times New Roman"/>
                <w:b/>
                <w:noProof/>
                <w:sz w:val="18"/>
                <w:szCs w:val="24"/>
              </w:rPr>
              <w:t> </w:t>
            </w:r>
            <w:r>
              <w:rPr>
                <w:rFonts w:ascii="Times New Roman" w:hAnsi="Times New Roman"/>
                <w:b/>
                <w:noProof/>
                <w:sz w:val="24"/>
                <w:szCs w:val="24"/>
              </w:rPr>
              <w:t>Обобщение относно ефикасността на правосъдните системи</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pPr>
              <w:spacing w:after="120" w:line="240" w:lineRule="auto"/>
              <w:jc w:val="both"/>
              <w:rPr>
                <w:rFonts w:ascii="Times New Roman" w:eastAsia="Times New Roman" w:hAnsi="Times New Roman" w:cs="Times New Roman"/>
                <w:noProof/>
                <w:sz w:val="24"/>
              </w:rPr>
            </w:pPr>
            <w:r>
              <w:rPr>
                <w:rFonts w:ascii="Times New Roman" w:hAnsi="Times New Roman"/>
                <w:noProof/>
                <w:sz w:val="24"/>
                <w:szCs w:val="24"/>
              </w:rPr>
              <w:t xml:space="preserve">Ефективните правосъдни системи управляват своята натовареност и броя на изостаналите дела, а постановяването на решения става без излишно забавяне. Основните показатели, използвани в Информационното табло на ЕС в областта на правосъдието за оценяване на ефикасността на правосъдните системи, са именно </w:t>
            </w:r>
            <w:r>
              <w:rPr>
                <w:rFonts w:ascii="Times New Roman" w:hAnsi="Times New Roman"/>
                <w:i/>
                <w:noProof/>
                <w:sz w:val="24"/>
                <w:szCs w:val="24"/>
              </w:rPr>
              <w:t>продължителността на производствата</w:t>
            </w:r>
            <w:r>
              <w:rPr>
                <w:rFonts w:ascii="Times New Roman" w:hAnsi="Times New Roman"/>
                <w:noProof/>
                <w:sz w:val="24"/>
                <w:szCs w:val="24"/>
              </w:rPr>
              <w:t xml:space="preserve"> (прогнозиран или среден срок в дни, необходим за решаване на дадено дело), делът на приключените производства (съотношението между броя на решените дела и броя на входящите дела) и броят на </w:t>
            </w:r>
            <w:r>
              <w:rPr>
                <w:rFonts w:ascii="Times New Roman" w:hAnsi="Times New Roman"/>
                <w:i/>
                <w:noProof/>
                <w:sz w:val="24"/>
                <w:szCs w:val="24"/>
              </w:rPr>
              <w:t>висящите дела</w:t>
            </w:r>
            <w:r>
              <w:rPr>
                <w:rFonts w:ascii="Times New Roman" w:hAnsi="Times New Roman"/>
                <w:noProof/>
                <w:sz w:val="24"/>
                <w:szCs w:val="24"/>
              </w:rPr>
              <w:t xml:space="preserve"> (които в края на годината остава да бъдат разгледани).</w:t>
            </w:r>
          </w:p>
          <w:p>
            <w:pPr>
              <w:spacing w:before="240" w:after="120" w:line="240" w:lineRule="auto"/>
              <w:jc w:val="both"/>
              <w:rPr>
                <w:rFonts w:ascii="Times New Roman" w:eastAsia="Calibri" w:hAnsi="Times New Roman" w:cs="Times New Roman"/>
                <w:i/>
                <w:noProof/>
                <w:sz w:val="24"/>
              </w:rPr>
            </w:pPr>
            <w:r>
              <w:rPr>
                <w:rFonts w:ascii="Times New Roman" w:hAnsi="Times New Roman"/>
                <w:i/>
                <w:noProof/>
                <w:sz w:val="24"/>
              </w:rPr>
              <w:t>Общи данни за ефикасността</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Информационното табло на ЕС в областта на правосъдието за 2019 г. съдържа данни за ефикасността за период от осем години (2010—2017 г.). Този период позволява да се установят някои тенденции и да се вземе предвид факта, че при съдебните реформи често е необходимо време, за да се прояви тяхното въздействие.</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Както е видно от наличните данни от 2010 г. насам за гражданските, търговските и административните дела, ефикасността се е повишила или е останала на същото ниво в единадесет държави членки, а същевременно е намаляла в десет държави членки, макар често само в незначителна степен.</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В повечето държави членки, за които в контекста на Европейския семестър е било отбелязано, че са изправени пред специфични предизвикателства, се наблюдава положително развитие (</w:t>
            </w:r>
            <w:bookmarkStart w:id="296" w:name="_Ref4705096"/>
            <w:r>
              <w:rPr>
                <w:rFonts w:ascii="Times New Roman" w:eastAsia="Calibri" w:hAnsi="Times New Roman" w:cs="Times New Roman"/>
                <w:noProof/>
                <w:sz w:val="24"/>
                <w:vertAlign w:val="superscript"/>
              </w:rPr>
              <w:footnoteReference w:id="71"/>
            </w:r>
            <w:bookmarkEnd w:id="296"/>
            <w:r>
              <w:rPr>
                <w:rFonts w:ascii="Times New Roman" w:hAnsi="Times New Roman"/>
                <w:noProof/>
                <w:sz w:val="24"/>
              </w:rPr>
              <w:t>):</w:t>
            </w:r>
          </w:p>
          <w:p>
            <w:pPr>
              <w:numPr>
                <w:ilvl w:val="0"/>
                <w:numId w:val="16"/>
              </w:numPr>
              <w:spacing w:after="120" w:line="240" w:lineRule="auto"/>
              <w:ind w:left="397" w:hanging="357"/>
              <w:jc w:val="both"/>
              <w:rPr>
                <w:rFonts w:ascii="Times New Roman" w:eastAsia="Times New Roman" w:hAnsi="Times New Roman" w:cs="Times New Roman"/>
                <w:noProof/>
                <w:sz w:val="24"/>
                <w:szCs w:val="24"/>
              </w:rPr>
            </w:pPr>
            <w:r>
              <w:rPr>
                <w:rFonts w:ascii="Times New Roman" w:hAnsi="Times New Roman"/>
                <w:noProof/>
                <w:sz w:val="24"/>
                <w:szCs w:val="24"/>
              </w:rPr>
              <w:t xml:space="preserve">От 2010 г. насам в почти всички от тези държави членки </w:t>
            </w:r>
            <w:r>
              <w:rPr>
                <w:rFonts w:ascii="Times New Roman" w:hAnsi="Times New Roman"/>
                <w:b/>
                <w:noProof/>
                <w:sz w:val="24"/>
                <w:szCs w:val="24"/>
              </w:rPr>
              <w:t>продължителността на съдебните производства на първа инстанция</w:t>
            </w:r>
            <w:r>
              <w:rPr>
                <w:rFonts w:ascii="Times New Roman" w:hAnsi="Times New Roman"/>
                <w:noProof/>
                <w:sz w:val="24"/>
                <w:szCs w:val="24"/>
              </w:rPr>
              <w:t xml:space="preserve"> в широката категория „всички дела“ (графика 5) и при спорните производства по граждански и търговски дела (графика 6) е намаляла или се е запазила стабилна. При административните дела (графика 8) от 2010 г. насам продължителността на производствата е намаляла или се е запазила стабилна в повечето от тези държави членки. Въпреки това, през 2017 г. в няколко държави членки, изправени пред най-съществените предизвикателства, продължителността на производствата се е увеличила.</w:t>
            </w:r>
          </w:p>
          <w:p>
            <w:pPr>
              <w:numPr>
                <w:ilvl w:val="0"/>
                <w:numId w:val="1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В Информационното табло се представят данни за </w:t>
            </w:r>
            <w:r>
              <w:rPr>
                <w:rFonts w:ascii="Times New Roman" w:hAnsi="Times New Roman"/>
                <w:b/>
                <w:noProof/>
                <w:sz w:val="24"/>
                <w:szCs w:val="24"/>
              </w:rPr>
              <w:t>продължителността на производствата на всички съдебни инстанции</w:t>
            </w:r>
            <w:r>
              <w:rPr>
                <w:rFonts w:ascii="Times New Roman" w:hAnsi="Times New Roman"/>
                <w:noProof/>
                <w:sz w:val="24"/>
                <w:szCs w:val="24"/>
              </w:rPr>
              <w:t xml:space="preserve"> за спорните производства по граждански и търговски дела (графика 7), както и за административните дела (графика 9). Данните показват, че в някои държави членки, за които е установено, че срещат затруднения във връзка с продължителността на производствата в първоинстанционните съдилища, съдилищата от по-висша инстанция работят по-ефикасно. Обратно, в други държави членки, срещащи затруднения, средната продължителност на производствата в съдилищата от по-висока инстанция е дори по-голяма, отколкото в първоинстанционните съдилища.</w:t>
            </w:r>
          </w:p>
          <w:p>
            <w:pPr>
              <w:numPr>
                <w:ilvl w:val="0"/>
                <w:numId w:val="1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В широката категория „всички дела“ и в категорията „спорни производства по граждански и търговски дела“ (графики 10 и 11) общият брой на държавите членки, в които </w:t>
            </w:r>
            <w:r>
              <w:rPr>
                <w:rFonts w:ascii="Times New Roman" w:hAnsi="Times New Roman"/>
                <w:b/>
                <w:noProof/>
                <w:sz w:val="24"/>
                <w:szCs w:val="24"/>
              </w:rPr>
              <w:t>делът на приключените производства</w:t>
            </w:r>
            <w:r>
              <w:rPr>
                <w:rFonts w:ascii="Times New Roman" w:hAnsi="Times New Roman"/>
                <w:noProof/>
                <w:sz w:val="24"/>
                <w:szCs w:val="24"/>
              </w:rPr>
              <w:t xml:space="preserve"> е под 100 %, е намалял от 2010 г. насам. През 2017 г. почти всички държави членки, включително тези, които срещат затруднения, са отчели висок дял на приключените производства (над 97 %), което означава, че като цяло съдилищата са в състояние да се справят с новозаведените дела в тези категории. При административните дела (графика 12) се наблюдава по-голямо вариране на дела на приключените производства през различните години и макар този дял да се запазва като цяло по-нисък в сравнение с други категории дела, някои държави членки са постигнали добър напредък.</w:t>
            </w:r>
          </w:p>
          <w:p>
            <w:pPr>
              <w:numPr>
                <w:ilvl w:val="0"/>
                <w:numId w:val="1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От 2010 г. насам продължава да се отбелязва напредък в почти всички от държавите членки, изправени пред най-големите предизвикателства за справяне с </w:t>
            </w:r>
            <w:r>
              <w:rPr>
                <w:rFonts w:ascii="Times New Roman" w:hAnsi="Times New Roman"/>
                <w:b/>
                <w:noProof/>
                <w:sz w:val="24"/>
                <w:szCs w:val="24"/>
              </w:rPr>
              <w:t>изостаналите дела</w:t>
            </w:r>
            <w:r>
              <w:rPr>
                <w:rFonts w:ascii="Times New Roman" w:hAnsi="Times New Roman"/>
                <w:noProof/>
                <w:sz w:val="24"/>
                <w:szCs w:val="24"/>
              </w:rPr>
              <w:t>, независимо от категорията дела. Често има значителен напредък в намаляването на броя на висящите дела както при спорните производства по граждански и търговски дела (графика 14), така и при административните дела (графика 15). Въпреки тези подобрения, все още се наблюдават значителни различия между държавите членки с относително малко на брой висящи дела и тези с висок брой висящи дела.</w:t>
            </w:r>
          </w:p>
          <w:p>
            <w:pPr>
              <w:spacing w:before="240" w:after="120" w:line="240" w:lineRule="auto"/>
              <w:jc w:val="both"/>
              <w:rPr>
                <w:rFonts w:ascii="Times New Roman" w:eastAsia="Calibri" w:hAnsi="Times New Roman" w:cs="Times New Roman"/>
                <w:i/>
                <w:noProof/>
                <w:sz w:val="24"/>
              </w:rPr>
            </w:pPr>
            <w:r>
              <w:rPr>
                <w:rFonts w:ascii="Times New Roman" w:hAnsi="Times New Roman"/>
                <w:i/>
                <w:noProof/>
                <w:sz w:val="24"/>
              </w:rPr>
              <w:t>Ефикасност в специфични области на правото на ЕС</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Данните за средната продължителност на производствата в специфични области на правото на ЕС (графики 16—19) дават представа за функционирането на правосъдните системи по тези видове търговски спорове. </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Данните за ефикасността в специфични области на правото се събират въз основа на тясно определени сценарии и броят на съответните дела може да се окаже малък. Въпреки това, в сравнение с изчислената продължителност на производствата, представена в общите данни относно ефикасността, тези цифри показват действителната средна продължителност на всички съответни дела в специфични области в рамките на една година. Поради това заслужава да се отбележи, че в няколко държави членки, за които въз основа на общите данни за ефикасността не изглежда да срещат трудности, делата в специфични области на правото на ЕС са със значително по-дълга средна продължителност. В същото време продължителността на производствата в различни специфични области също може да варира значително в рамките на една и съща държава членка.</w:t>
            </w:r>
          </w:p>
          <w:p>
            <w:pPr>
              <w:spacing w:after="120" w:line="240" w:lineRule="auto"/>
              <w:jc w:val="both"/>
              <w:rPr>
                <w:rFonts w:ascii="Times New Roman" w:eastAsia="Times New Roman" w:hAnsi="Times New Roman" w:cs="Times New Roman"/>
                <w:noProof/>
                <w:spacing w:val="-4"/>
                <w:sz w:val="24"/>
                <w:szCs w:val="24"/>
              </w:rPr>
            </w:pPr>
            <w:r>
              <w:rPr>
                <w:rFonts w:ascii="Times New Roman" w:hAnsi="Times New Roman"/>
                <w:noProof/>
                <w:spacing w:val="-4"/>
                <w:sz w:val="24"/>
                <w:szCs w:val="24"/>
              </w:rPr>
              <w:t>Данните, отнасящи се до специфични области на правото на ЕС, сочат следните тенденции:</w:t>
            </w:r>
          </w:p>
          <w:p>
            <w:pPr>
              <w:numPr>
                <w:ilvl w:val="0"/>
                <w:numId w:val="16"/>
              </w:numPr>
              <w:spacing w:after="120" w:line="240" w:lineRule="auto"/>
              <w:jc w:val="both"/>
              <w:rPr>
                <w:rFonts w:ascii="Times New Roman" w:eastAsia="Times New Roman" w:hAnsi="Times New Roman" w:cs="Times New Roman"/>
                <w:noProof/>
                <w:spacing w:val="-4"/>
                <w:sz w:val="24"/>
                <w:szCs w:val="24"/>
              </w:rPr>
            </w:pPr>
            <w:r>
              <w:rPr>
                <w:rFonts w:ascii="Times New Roman" w:hAnsi="Times New Roman"/>
                <w:noProof/>
                <w:spacing w:val="-4"/>
                <w:sz w:val="24"/>
                <w:szCs w:val="24"/>
              </w:rPr>
              <w:t xml:space="preserve">Що се отнася до </w:t>
            </w:r>
            <w:r>
              <w:rPr>
                <w:rFonts w:ascii="Times New Roman" w:hAnsi="Times New Roman"/>
                <w:b/>
                <w:noProof/>
                <w:spacing w:val="-4"/>
                <w:sz w:val="24"/>
                <w:szCs w:val="24"/>
              </w:rPr>
              <w:t>делата в областта на конкуренцията</w:t>
            </w:r>
            <w:r>
              <w:rPr>
                <w:rFonts w:ascii="Times New Roman" w:hAnsi="Times New Roman"/>
                <w:noProof/>
                <w:spacing w:val="-4"/>
                <w:sz w:val="24"/>
                <w:szCs w:val="24"/>
              </w:rPr>
              <w:t xml:space="preserve"> (графика 16), общото натоварване на съдилищата в държавите членки е намаляло значително, което е довело до намаляване на продължителността на производствата по съдебен контрол в седем държави членки, а в други седем държави членки тази продължителност се е запазила на същото ниво или е нараснала. Признак за подобрение е фактът, че през 2017 г. само три държави членки са отчели средна продължителност на производствата, надвишаваща 1000 дни, докато през предходната година такава продължителност е била отчетена от осем държави.</w:t>
            </w:r>
          </w:p>
          <w:p>
            <w:pPr>
              <w:numPr>
                <w:ilvl w:val="0"/>
                <w:numId w:val="1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В областта на </w:t>
            </w:r>
            <w:r>
              <w:rPr>
                <w:rFonts w:ascii="Times New Roman" w:hAnsi="Times New Roman"/>
                <w:b/>
                <w:noProof/>
                <w:sz w:val="24"/>
                <w:szCs w:val="24"/>
              </w:rPr>
              <w:t>електронните комуникации</w:t>
            </w:r>
            <w:r>
              <w:rPr>
                <w:rFonts w:ascii="Times New Roman" w:hAnsi="Times New Roman"/>
                <w:noProof/>
                <w:sz w:val="24"/>
                <w:szCs w:val="24"/>
              </w:rPr>
              <w:t xml:space="preserve"> (графика 17), въпреки осезаемото увеличаване на делата, завеждани пред съдилищата, в целия ЕС се наблюдава положителна тенденция на намаляване на продължителността на производствата, понякога дори значително, като само малък брой държави членки не са успели да намалят или поне да запазят предишната средна продължителност на производствата.</w:t>
            </w:r>
          </w:p>
          <w:p>
            <w:pPr>
              <w:numPr>
                <w:ilvl w:val="0"/>
                <w:numId w:val="1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Що се отнася до </w:t>
            </w:r>
            <w:r>
              <w:rPr>
                <w:rFonts w:ascii="Times New Roman" w:hAnsi="Times New Roman"/>
                <w:b/>
                <w:noProof/>
                <w:sz w:val="24"/>
                <w:szCs w:val="24"/>
              </w:rPr>
              <w:t>делата за нарушения на марка на ЕС</w:t>
            </w:r>
            <w:r>
              <w:rPr>
                <w:rFonts w:ascii="Times New Roman" w:hAnsi="Times New Roman"/>
                <w:noProof/>
                <w:sz w:val="24"/>
                <w:szCs w:val="24"/>
              </w:rPr>
              <w:t xml:space="preserve"> (графика 18), през 2017 г. съдилищата в някои държави членки са успели да се справят по-добре с натоварването и са намалили времето, необходимо за решаването на делата, докато в други държави средната продължителност е нараснала доста значително.</w:t>
            </w:r>
          </w:p>
          <w:p>
            <w:pPr>
              <w:numPr>
                <w:ilvl w:val="0"/>
                <w:numId w:val="16"/>
              </w:numPr>
              <w:spacing w:after="120" w:line="240" w:lineRule="auto"/>
              <w:jc w:val="both"/>
              <w:rPr>
                <w:rFonts w:ascii="Times New Roman" w:eastAsia="Times New Roman" w:hAnsi="Times New Roman" w:cs="Times New Roman"/>
                <w:noProof/>
                <w:spacing w:val="-4"/>
                <w:sz w:val="24"/>
                <w:szCs w:val="24"/>
              </w:rPr>
            </w:pPr>
            <w:r>
              <w:rPr>
                <w:rFonts w:ascii="Times New Roman" w:hAnsi="Times New Roman"/>
                <w:noProof/>
                <w:spacing w:val="-4"/>
                <w:sz w:val="24"/>
                <w:szCs w:val="24"/>
              </w:rPr>
              <w:t xml:space="preserve">Ефективната борба с </w:t>
            </w:r>
            <w:r>
              <w:rPr>
                <w:rFonts w:ascii="Times New Roman" w:hAnsi="Times New Roman"/>
                <w:b/>
                <w:noProof/>
                <w:spacing w:val="-4"/>
                <w:sz w:val="24"/>
                <w:szCs w:val="24"/>
              </w:rPr>
              <w:t>изпирането на пари</w:t>
            </w:r>
            <w:r>
              <w:rPr>
                <w:rFonts w:ascii="Times New Roman" w:hAnsi="Times New Roman"/>
                <w:noProof/>
                <w:spacing w:val="-4"/>
                <w:sz w:val="24"/>
                <w:szCs w:val="24"/>
              </w:rPr>
              <w:t xml:space="preserve"> е от решаващо значение за защитата на финансовата система и лоялната конкуренция и за предотвратяване на отрицателни икономически последици. Предизвикателствата, свързани с продължителността на съдебните производства за престъпления, свързани с изпирането на пари, могат да повлияят върху ефективността на борбата с изпирането на пари. В Информационното табло на ЕС в областта на правосъдието за 2019 г. са представени актуализирани данни за продължителността на съдебните производства за престъпления, свързани с изпирането на пари (графика 19), които показват, че в близо половината от държавите членки съдебните производства на първа инстанция траят средно една година, но в няколко срещащи трудности държави членки тези производства отнемат средно около две години (</w:t>
            </w:r>
            <w:r>
              <w:rPr>
                <w:rStyle w:val="FootnoteReference"/>
                <w:rFonts w:ascii="Times New Roman" w:eastAsia="Times New Roman" w:hAnsi="Times New Roman" w:cs="Times New Roman"/>
                <w:noProof/>
                <w:spacing w:val="-4"/>
                <w:sz w:val="24"/>
                <w:szCs w:val="24"/>
              </w:rPr>
              <w:footnoteReference w:id="72"/>
            </w:r>
            <w:r>
              <w:rPr>
                <w:rFonts w:ascii="Times New Roman" w:hAnsi="Times New Roman"/>
                <w:noProof/>
                <w:spacing w:val="-4"/>
                <w:sz w:val="24"/>
                <w:szCs w:val="24"/>
              </w:rPr>
              <w:t xml:space="preserve">). </w:t>
            </w:r>
          </w:p>
        </w:tc>
      </w:tr>
    </w:tbl>
    <w:p>
      <w:pPr>
        <w:keepNext/>
        <w:spacing w:before="360" w:after="120" w:line="240" w:lineRule="auto"/>
        <w:jc w:val="both"/>
        <w:outlineLvl w:val="1"/>
        <w:rPr>
          <w:rFonts w:ascii="Times New Roman" w:eastAsia="Times New Roman" w:hAnsi="Times New Roman" w:cs="Times New Roman"/>
          <w:b/>
          <w:bCs/>
          <w:iCs/>
          <w:noProof/>
          <w:sz w:val="24"/>
          <w:szCs w:val="28"/>
        </w:rPr>
      </w:pPr>
      <w:bookmarkStart w:id="297" w:name="_Toc409512290"/>
      <w:bookmarkStart w:id="298" w:name="_Toc409530222"/>
      <w:bookmarkStart w:id="299" w:name="_Toc438545672"/>
      <w:bookmarkStart w:id="300" w:name="_Toc438548322"/>
      <w:bookmarkStart w:id="301" w:name="_Toc438548508"/>
      <w:bookmarkStart w:id="302" w:name="_Toc440017698"/>
      <w:bookmarkStart w:id="303" w:name="_Toc440018082"/>
      <w:bookmarkStart w:id="304" w:name="_Toc440033380"/>
      <w:bookmarkStart w:id="305" w:name="_Toc440035231"/>
      <w:bookmarkStart w:id="306" w:name="_Toc440036526"/>
      <w:bookmarkStart w:id="307" w:name="_Toc440042468"/>
      <w:bookmarkStart w:id="308" w:name="_Toc440291121"/>
      <w:bookmarkStart w:id="309" w:name="_Toc440294684"/>
      <w:bookmarkStart w:id="310" w:name="_Toc440295186"/>
      <w:bookmarkStart w:id="311" w:name="_Toc440296591"/>
      <w:bookmarkStart w:id="312" w:name="_Toc440625075"/>
      <w:bookmarkStart w:id="313" w:name="_Toc440626405"/>
      <w:bookmarkStart w:id="314" w:name="_Toc440628859"/>
      <w:bookmarkStart w:id="315" w:name="_Toc441571132"/>
      <w:bookmarkStart w:id="316" w:name="_Toc441581634"/>
      <w:bookmarkStart w:id="317" w:name="_Toc441585901"/>
      <w:bookmarkStart w:id="318" w:name="_Toc441595836"/>
      <w:bookmarkStart w:id="319" w:name="_Toc441596013"/>
      <w:bookmarkStart w:id="320" w:name="_Toc441748138"/>
      <w:bookmarkStart w:id="321" w:name="_Toc441755423"/>
      <w:bookmarkStart w:id="322" w:name="_Toc441756460"/>
      <w:bookmarkStart w:id="323" w:name="_Toc441757504"/>
      <w:bookmarkStart w:id="324" w:name="_Toc441766633"/>
      <w:bookmarkStart w:id="325" w:name="_Toc441766972"/>
      <w:bookmarkStart w:id="326" w:name="_Toc442187973"/>
      <w:bookmarkStart w:id="327" w:name="_Toc442262065"/>
      <w:bookmarkStart w:id="328" w:name="_Toc442362472"/>
      <w:bookmarkStart w:id="329" w:name="_Toc442374808"/>
      <w:bookmarkStart w:id="330" w:name="_Toc442425948"/>
      <w:bookmarkStart w:id="331" w:name="_Toc442453074"/>
      <w:bookmarkStart w:id="332" w:name="_Toc443484532"/>
      <w:bookmarkStart w:id="333" w:name="_Toc443484754"/>
      <w:bookmarkStart w:id="334" w:name="_Toc443509495"/>
      <w:bookmarkStart w:id="335" w:name="_Toc446014824"/>
      <w:r>
        <w:rPr>
          <w:rFonts w:ascii="Times New Roman" w:hAnsi="Times New Roman"/>
          <w:b/>
          <w:bCs/>
          <w:iCs/>
          <w:noProof/>
          <w:sz w:val="24"/>
          <w:szCs w:val="28"/>
        </w:rPr>
        <w:t>3.2. Качество на правосъдните системи</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pPr>
        <w:spacing w:after="120" w:line="240" w:lineRule="auto"/>
        <w:jc w:val="both"/>
        <w:rPr>
          <w:rFonts w:ascii="Times New Roman" w:eastAsia="Calibri" w:hAnsi="Times New Roman" w:cs="Times New Roman"/>
          <w:noProof/>
          <w:sz w:val="24"/>
        </w:rPr>
      </w:pPr>
      <w:r>
        <w:rPr>
          <w:rFonts w:ascii="Times New Roman" w:hAnsi="Times New Roman"/>
          <w:noProof/>
          <w:sz w:val="24"/>
        </w:rPr>
        <w:t>Не съществува един-единствен начин за измерване на качеството на правосъдните системи. В Информационното табло на ЕС в областта на правосъдието за 2019 г. продължават да се разглеждат фактори, които като цяло се смятат за релевантни за подобряване на качеството на правосъдието. Както през предходните години, те са групирани в четири категории:</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1) достъпност на правосъдието за гражданите и предприятията;</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2) подходящи материални и човешки ресурси;</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3) въвеждане на инструменти за оценка; както и</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4) използване на стандарти за качество.</w:t>
      </w:r>
    </w:p>
    <w:p>
      <w:pPr>
        <w:keepNext/>
        <w:tabs>
          <w:tab w:val="left" w:pos="850"/>
        </w:tabs>
        <w:spacing w:before="240" w:after="120" w:line="240" w:lineRule="auto"/>
        <w:ind w:left="850" w:hanging="850"/>
        <w:jc w:val="both"/>
        <w:outlineLvl w:val="2"/>
        <w:rPr>
          <w:rFonts w:ascii="Times New Roman" w:eastAsia="Times New Roman" w:hAnsi="Times New Roman" w:cs="Times New Roman"/>
          <w:b/>
          <w:noProof/>
          <w:sz w:val="24"/>
          <w:szCs w:val="24"/>
        </w:rPr>
      </w:pPr>
      <w:bookmarkStart w:id="336" w:name="_Toc440017699"/>
      <w:bookmarkStart w:id="337" w:name="_Toc440018083"/>
      <w:bookmarkStart w:id="338" w:name="_Toc440033381"/>
      <w:bookmarkStart w:id="339" w:name="_Toc440035232"/>
      <w:bookmarkStart w:id="340" w:name="_Toc440036527"/>
      <w:bookmarkStart w:id="341" w:name="_Toc440042469"/>
      <w:bookmarkStart w:id="342" w:name="_Toc440291122"/>
      <w:bookmarkStart w:id="343" w:name="_Toc440294685"/>
      <w:bookmarkStart w:id="344" w:name="_Toc440295187"/>
      <w:bookmarkStart w:id="345" w:name="_Toc440296592"/>
      <w:bookmarkStart w:id="346" w:name="_Toc440625076"/>
      <w:bookmarkStart w:id="347" w:name="_Toc440626406"/>
      <w:bookmarkStart w:id="348" w:name="_Toc440628860"/>
      <w:bookmarkStart w:id="349" w:name="_Toc441571133"/>
      <w:bookmarkStart w:id="350" w:name="_Toc441581635"/>
      <w:bookmarkStart w:id="351" w:name="_Toc441585902"/>
      <w:bookmarkStart w:id="352" w:name="_Toc441595837"/>
      <w:bookmarkStart w:id="353" w:name="_Toc441596014"/>
      <w:bookmarkStart w:id="354" w:name="_Toc441748139"/>
      <w:bookmarkStart w:id="355" w:name="_Toc441755424"/>
      <w:bookmarkStart w:id="356" w:name="_Toc441756461"/>
      <w:bookmarkStart w:id="357" w:name="_Toc441757505"/>
      <w:bookmarkStart w:id="358" w:name="_Toc441766634"/>
      <w:bookmarkStart w:id="359" w:name="_Toc441766973"/>
      <w:bookmarkStart w:id="360" w:name="_Toc442187974"/>
      <w:bookmarkStart w:id="361" w:name="_Toc442262066"/>
      <w:bookmarkStart w:id="362" w:name="_Toc442362473"/>
      <w:bookmarkStart w:id="363" w:name="_Toc442374809"/>
      <w:bookmarkStart w:id="364" w:name="_Toc442425949"/>
      <w:bookmarkStart w:id="365" w:name="_Toc442453075"/>
      <w:bookmarkStart w:id="366" w:name="_Toc443484533"/>
      <w:bookmarkStart w:id="367" w:name="_Toc443484755"/>
      <w:bookmarkStart w:id="368" w:name="_Toc443509496"/>
      <w:bookmarkStart w:id="369" w:name="_Toc446014825"/>
      <w:bookmarkStart w:id="370" w:name="_Toc409530223"/>
      <w:bookmarkStart w:id="371" w:name="_Toc438545673"/>
      <w:bookmarkStart w:id="372" w:name="_Toc438548323"/>
      <w:bookmarkStart w:id="373" w:name="_Toc438548509"/>
      <w:r>
        <w:rPr>
          <w:rFonts w:ascii="Times New Roman" w:hAnsi="Times New Roman"/>
          <w:b/>
          <w:noProof/>
          <w:sz w:val="24"/>
          <w:szCs w:val="24"/>
        </w:rPr>
        <w:t>3.2.1. Достъпност</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bookmarkEnd w:id="370"/>
    <w:bookmarkEnd w:id="371"/>
    <w:bookmarkEnd w:id="372"/>
    <w:bookmarkEnd w:id="373"/>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Необходима е достъпност по цялата верига на правораздаване, за да се осигури възможност за получаване на съответната информация — за правосъдната система, за начините да се подаде иск и свързаните с това финансови аспекти, за актуалното състояние на производствата от началото до края им — така че да има бърз онлайн достъп до решението (</w:t>
      </w:r>
      <w:r>
        <w:rPr>
          <w:rFonts w:ascii="Times New Roman" w:eastAsia="Times New Roman" w:hAnsi="Times New Roman" w:cs="Times New Roman"/>
          <w:noProof/>
          <w:color w:val="000000"/>
          <w:sz w:val="24"/>
          <w:szCs w:val="24"/>
          <w:vertAlign w:val="superscript"/>
        </w:rPr>
        <w:footnoteReference w:id="73"/>
      </w:r>
      <w:r>
        <w:rPr>
          <w:rFonts w:ascii="Times New Roman" w:hAnsi="Times New Roman"/>
          <w:noProof/>
          <w:sz w:val="24"/>
          <w:szCs w:val="24"/>
        </w:rPr>
        <w:t>).</w:t>
      </w:r>
    </w:p>
    <w:p>
      <w:pPr>
        <w:spacing w:before="240" w:after="120" w:line="240" w:lineRule="auto"/>
        <w:jc w:val="both"/>
        <w:rPr>
          <w:rFonts w:ascii="Times New Roman" w:eastAsia="Times New Roman" w:hAnsi="Times New Roman" w:cs="Times New Roman"/>
          <w:i/>
          <w:noProof/>
          <w:sz w:val="24"/>
          <w:szCs w:val="24"/>
        </w:rPr>
      </w:pPr>
      <w:r>
        <w:rPr>
          <w:rFonts w:ascii="Times New Roman" w:hAnsi="Times New Roman"/>
          <w:i/>
          <w:noProof/>
          <w:sz w:val="24"/>
          <w:szCs w:val="24"/>
        </w:rPr>
        <w:t>— Предоставяне на информация за правосъдната система —</w:t>
      </w:r>
    </w:p>
    <w:p>
      <w:pPr>
        <w:spacing w:before="120" w:after="120" w:line="240" w:lineRule="auto"/>
        <w:jc w:val="both"/>
        <w:rPr>
          <w:rFonts w:ascii="Times New Roman" w:eastAsia="Times New Roman" w:hAnsi="Times New Roman" w:cs="Times New Roman"/>
          <w:noProof/>
          <w:sz w:val="24"/>
          <w:szCs w:val="24"/>
        </w:rPr>
      </w:pPr>
      <w:bookmarkStart w:id="374" w:name="_Ref441218478"/>
      <w:r>
        <w:rPr>
          <w:rFonts w:ascii="Times New Roman" w:hAnsi="Times New Roman"/>
          <w:noProof/>
          <w:sz w:val="24"/>
          <w:szCs w:val="24"/>
        </w:rPr>
        <w:t>За да може правосъдието да е лесно достъпно за гражданите, е необходимо информацията относно съдебната система да се предоставя по такъв начин, че тя не само да е леснодостъпна, но и да е представена във форма, адаптирана спрямо конкретни групи от обществото, които иначе биха срещнали трудности при достъпа до тази информация. Графика 20 показва наличието на онлайн информация относно специфични аспекти на съдебната система и за конкретни групи от обществото.</w:t>
      </w:r>
    </w:p>
    <w:p>
      <w:pPr>
        <w:spacing w:after="0" w:line="240" w:lineRule="auto"/>
        <w:rPr>
          <w:rFonts w:ascii="Times New Roman" w:eastAsia="Times New Roman" w:hAnsi="Times New Roman" w:cs="Times New Roman"/>
          <w:noProof/>
          <w:sz w:val="24"/>
          <w:szCs w:val="24"/>
        </w:rPr>
      </w:pPr>
      <w:r>
        <w:rPr>
          <w:noProof/>
        </w:rPr>
        <w:br w:type="page"/>
      </w:r>
    </w:p>
    <w:p>
      <w:pPr>
        <w:spacing w:before="240" w:after="120" w:line="240" w:lineRule="auto"/>
        <w:jc w:val="both"/>
        <w:rPr>
          <w:rFonts w:ascii="Times New Roman" w:eastAsia="Times New Roman" w:hAnsi="Times New Roman" w:cs="Times New Roman"/>
          <w:i/>
          <w:noProof/>
          <w:sz w:val="24"/>
          <w:szCs w:val="24"/>
        </w:rPr>
      </w:pPr>
      <w:r>
        <w:rPr>
          <w:rFonts w:ascii="Times New Roman" w:hAnsi="Times New Roman"/>
          <w:b/>
          <w:noProof/>
          <w:color w:val="000000"/>
          <w:sz w:val="24"/>
          <w:szCs w:val="18"/>
        </w:rPr>
        <w:t>Графика </w:t>
      </w:r>
      <w:r>
        <w:rPr>
          <w:rFonts w:ascii="Times New Roman" w:eastAsia="Times New Roman" w:hAnsi="Times New Roman" w:cs="Times New Roman"/>
          <w:b/>
          <w:noProof/>
          <w:sz w:val="24"/>
          <w:szCs w:val="24"/>
        </w:rPr>
        <w:fldChar w:fldCharType="begin"/>
      </w:r>
      <w:r>
        <w:rPr>
          <w:rFonts w:ascii="Times New Roman" w:eastAsia="Times New Roman" w:hAnsi="Times New Roman" w:cs="Times New Roman"/>
          <w:b/>
          <w:noProof/>
          <w:sz w:val="24"/>
          <w:szCs w:val="24"/>
        </w:rPr>
        <w:instrText xml:space="preserve"> SEQ Figure \* ARABIC </w:instrText>
      </w:r>
      <w:r>
        <w:rPr>
          <w:rFonts w:ascii="Times New Roman" w:eastAsia="Times New Roman" w:hAnsi="Times New Roman" w:cs="Times New Roman"/>
          <w:b/>
          <w:noProof/>
          <w:sz w:val="24"/>
          <w:szCs w:val="24"/>
        </w:rPr>
        <w:fldChar w:fldCharType="separate"/>
      </w:r>
      <w:r>
        <w:rPr>
          <w:rFonts w:ascii="Times New Roman" w:eastAsia="Times New Roman" w:hAnsi="Times New Roman" w:cs="Times New Roman"/>
          <w:b/>
          <w:noProof/>
          <w:sz w:val="24"/>
          <w:szCs w:val="24"/>
        </w:rPr>
        <w:t>20</w:t>
      </w:r>
      <w:r>
        <w:rPr>
          <w:rFonts w:ascii="Times New Roman" w:eastAsia="Times New Roman" w:hAnsi="Times New Roman" w:cs="Times New Roman"/>
          <w:b/>
          <w:noProof/>
          <w:sz w:val="24"/>
          <w:szCs w:val="24"/>
        </w:rPr>
        <w:fldChar w:fldCharType="end"/>
      </w:r>
      <w:bookmarkEnd w:id="374"/>
      <w:r>
        <w:rPr>
          <w:rFonts w:ascii="Times New Roman" w:hAnsi="Times New Roman"/>
          <w:noProof/>
          <w:sz w:val="24"/>
          <w:szCs w:val="24"/>
        </w:rPr>
        <w:t xml:space="preserve">: </w:t>
      </w:r>
      <w:r>
        <w:rPr>
          <w:rFonts w:ascii="Times New Roman" w:hAnsi="Times New Roman"/>
          <w:b/>
          <w:noProof/>
          <w:sz w:val="24"/>
          <w:szCs w:val="24"/>
        </w:rPr>
        <w:t xml:space="preserve">Наличност на информация онлайн относно съдебната система, предназначена за широката публика </w:t>
      </w:r>
      <w:r>
        <w:rPr>
          <w:rFonts w:ascii="Times New Roman" w:hAnsi="Times New Roman"/>
          <w:noProof/>
          <w:sz w:val="24"/>
          <w:szCs w:val="24"/>
        </w:rPr>
        <w:t>(</w:t>
      </w:r>
      <w:r>
        <w:rPr>
          <w:noProof/>
          <w:sz w:val="24"/>
          <w:szCs w:val="24"/>
        </w:rPr>
        <w:t>*</w:t>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i/>
          <w:noProof/>
          <w:sz w:val="24"/>
          <w:szCs w:val="24"/>
        </w:rPr>
        <w:t>(източник: Европейска комисия (</w:t>
      </w:r>
      <w:r>
        <w:rPr>
          <w:rFonts w:ascii="Times New Roman" w:eastAsia="Times New Roman" w:hAnsi="Times New Roman" w:cs="Times New Roman"/>
          <w:i/>
          <w:noProof/>
          <w:sz w:val="24"/>
          <w:szCs w:val="24"/>
          <w:vertAlign w:val="superscript"/>
          <w:lang w:eastAsia="en-GB"/>
        </w:rPr>
        <w:footnoteReference w:id="74"/>
      </w:r>
      <w:r>
        <w:rPr>
          <w:rFonts w:ascii="Times New Roman" w:hAnsi="Times New Roman"/>
          <w:i/>
          <w:noProof/>
          <w:sz w:val="24"/>
          <w:szCs w:val="24"/>
        </w:rPr>
        <w:t>)</w:t>
      </w:r>
    </w:p>
    <w:p>
      <w:pPr>
        <w:spacing w:after="0" w:line="240" w:lineRule="auto"/>
        <w:jc w:val="both"/>
        <w:rPr>
          <w:rFonts w:ascii="Times New Roman" w:eastAsia="Times New Roman" w:hAnsi="Times New Roman" w:cs="Times New Roman"/>
          <w:i/>
          <w:noProof/>
          <w:sz w:val="24"/>
          <w:szCs w:val="24"/>
        </w:rPr>
      </w:pPr>
      <w:r>
        <w:rPr>
          <w:noProof/>
          <w:lang w:val="en-GB" w:eastAsia="en-GB"/>
        </w:rPr>
        <w:drawing>
          <wp:inline distT="0" distB="0" distL="0" distR="0">
            <wp:extent cx="5977255" cy="2988334"/>
            <wp:effectExtent l="0" t="0" r="4445" b="254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77255" cy="2988334"/>
                    </a:xfrm>
                    <a:prstGeom prst="rect">
                      <a:avLst/>
                    </a:prstGeom>
                    <a:noFill/>
                    <a:ln>
                      <a:noFill/>
                    </a:ln>
                  </pic:spPr>
                </pic:pic>
              </a:graphicData>
            </a:graphic>
          </wp:inline>
        </w:drawing>
      </w:r>
      <w:r>
        <w:rPr>
          <w:rFonts w:ascii="Times New Roman" w:hAnsi="Times New Roman"/>
          <w:i/>
          <w:noProof/>
          <w:color w:val="000000"/>
          <w:sz w:val="20"/>
          <w:szCs w:val="24"/>
        </w:rPr>
        <w:t>(*) DE: всяка федерална провинция и органите на федерално равнище решават коя информация да бъде предоставена онлайн.</w:t>
      </w:r>
    </w:p>
    <w:p>
      <w:pPr>
        <w:spacing w:before="240" w:after="120" w:line="240" w:lineRule="auto"/>
        <w:rPr>
          <w:rFonts w:ascii="Times New Roman" w:eastAsia="Calibri" w:hAnsi="Times New Roman" w:cs="Times New Roman"/>
          <w:i/>
          <w:noProof/>
          <w:sz w:val="24"/>
        </w:rPr>
      </w:pPr>
      <w:r>
        <w:rPr>
          <w:rFonts w:ascii="Times New Roman" w:hAnsi="Times New Roman"/>
          <w:i/>
          <w:noProof/>
        </w:rPr>
        <w:t xml:space="preserve">–— </w:t>
      </w:r>
      <w:r>
        <w:rPr>
          <w:rFonts w:ascii="Times New Roman" w:hAnsi="Times New Roman"/>
          <w:i/>
          <w:noProof/>
          <w:sz w:val="24"/>
        </w:rPr>
        <w:t>Правна помощ и съдебни такси</w:t>
      </w:r>
      <w:r>
        <w:rPr>
          <w:rFonts w:ascii="Times New Roman" w:hAnsi="Times New Roman"/>
          <w:i/>
          <w:noProof/>
        </w:rPr>
        <w:t> —</w:t>
      </w:r>
    </w:p>
    <w:p>
      <w:pPr>
        <w:spacing w:after="120" w:line="240" w:lineRule="auto"/>
        <w:jc w:val="both"/>
        <w:rPr>
          <w:rFonts w:ascii="Times New Roman" w:eastAsia="Calibri" w:hAnsi="Times New Roman" w:cs="Times New Roman"/>
          <w:noProof/>
          <w:sz w:val="24"/>
        </w:rPr>
      </w:pPr>
      <w:bookmarkStart w:id="375" w:name="_Ref441218501"/>
      <w:r>
        <w:rPr>
          <w:rFonts w:ascii="Times New Roman" w:hAnsi="Times New Roman"/>
          <w:noProof/>
          <w:sz w:val="24"/>
        </w:rPr>
        <w:t>Достъпът до правна помощ е основно право, залегнало в Хартата на основните права (</w:t>
      </w:r>
      <w:r>
        <w:rPr>
          <w:rFonts w:ascii="Times New Roman" w:eastAsia="Calibri" w:hAnsi="Times New Roman" w:cs="Times New Roman"/>
          <w:noProof/>
          <w:sz w:val="24"/>
          <w:vertAlign w:val="superscript"/>
        </w:rPr>
        <w:footnoteReference w:id="75"/>
      </w:r>
      <w:r>
        <w:rPr>
          <w:rFonts w:ascii="Times New Roman" w:hAnsi="Times New Roman"/>
          <w:noProof/>
          <w:sz w:val="24"/>
        </w:rPr>
        <w:t>). В повечето държави членки предоставянето на правна помощ е обусловено от доходите на кандидата (</w:t>
      </w:r>
      <w:r>
        <w:rPr>
          <w:rFonts w:ascii="Times New Roman" w:eastAsia="Calibri" w:hAnsi="Times New Roman" w:cs="Times New Roman"/>
          <w:noProof/>
          <w:sz w:val="24"/>
          <w:vertAlign w:val="superscript"/>
        </w:rPr>
        <w:footnoteReference w:id="76"/>
      </w:r>
      <w:r>
        <w:rPr>
          <w:rFonts w:ascii="Times New Roman" w:hAnsi="Times New Roman"/>
          <w:noProof/>
          <w:sz w:val="24"/>
        </w:rPr>
        <w:t>).</w:t>
      </w:r>
    </w:p>
    <w:p>
      <w:pPr>
        <w:spacing w:after="120" w:line="240" w:lineRule="auto"/>
        <w:jc w:val="both"/>
        <w:rPr>
          <w:rFonts w:ascii="Times New Roman" w:eastAsia="Calibri" w:hAnsi="Times New Roman" w:cs="Times New Roman"/>
          <w:noProof/>
          <w:spacing w:val="-4"/>
          <w:sz w:val="24"/>
        </w:rPr>
      </w:pPr>
      <w:r>
        <w:rPr>
          <w:rFonts w:ascii="Times New Roman" w:hAnsi="Times New Roman"/>
          <w:noProof/>
          <w:spacing w:val="-4"/>
          <w:sz w:val="24"/>
        </w:rPr>
        <w:t>Графика 21 показва възможността за получаване на пълна или частична правна помощ при иск с цена 6 000 EUR при прилагане на конкретните изисквания за доход и условия на живот в отделните държави членки (</w:t>
      </w:r>
      <w:r>
        <w:rPr>
          <w:rFonts w:ascii="Times New Roman" w:eastAsia="Calibri" w:hAnsi="Times New Roman" w:cs="Times New Roman"/>
          <w:noProof/>
          <w:spacing w:val="-4"/>
          <w:sz w:val="24"/>
          <w:vertAlign w:val="superscript"/>
        </w:rPr>
        <w:footnoteReference w:id="77"/>
      </w:r>
      <w:r>
        <w:rPr>
          <w:rFonts w:ascii="Times New Roman" w:hAnsi="Times New Roman"/>
          <w:noProof/>
          <w:spacing w:val="-4"/>
          <w:sz w:val="24"/>
        </w:rPr>
        <w:t>). В графиката се съпоставят установените във връзка с предоставянето на правна помощ прагове на доходите, изразени като процент от установения от Евростат праг на бедността във всяка държава членка. Например, ако посоченият праг за предоставяне на правна помощ е 20 %, това означава, че кандидат за помощ, чийто доход е с 20 % по-висок от установения от Евростат праг на бедността в неговата държава членка, отговаря на условието за получаване на правна помощ. И обратно, ако посоченият праг за предоставяне на правна помощ е под 0, това означава, че лице, чийто доход е под прага на бедността, може да не отговаря на условията за получаване на правна помощ.</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Някои държави членки използват система за правна помощ, която покрива 100 % от процесуалните разходи (пълна правна помощ), към която се добавя система, покриваща части от разходите (частична правна помощ), като за последната се прилагат критерии за допустимост, различни от приложимите за системата за пълна правна помощ. Други държави членки използват или само система за пълна правна помощ, или само система за частична правна помощ.</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Графика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21</w:t>
      </w:r>
      <w:r>
        <w:rPr>
          <w:rFonts w:ascii="Times New Roman" w:eastAsia="Calibri" w:hAnsi="Times New Roman" w:cs="Times New Roman"/>
          <w:b/>
          <w:noProof/>
          <w:sz w:val="24"/>
        </w:rPr>
        <w:fldChar w:fldCharType="end"/>
      </w:r>
      <w:bookmarkEnd w:id="375"/>
      <w:r>
        <w:rPr>
          <w:rFonts w:ascii="Times New Roman" w:hAnsi="Times New Roman"/>
          <w:b/>
          <w:noProof/>
          <w:sz w:val="24"/>
        </w:rPr>
        <w:t xml:space="preserve">: Праг на доходите за предоставяне на правна помощ във връзка с конкретно дело в областта на потребителското право </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(разлики в % спрямо прага на бедността, установен от Евростат) (източник: Европейската комисия и Съвета на адвокатските колегии в Европа (CCBE) (</w:t>
      </w:r>
      <w:r>
        <w:rPr>
          <w:rFonts w:ascii="Times New Roman" w:eastAsia="Calibri" w:hAnsi="Times New Roman" w:cs="Times New Roman"/>
          <w:i/>
          <w:noProof/>
          <w:sz w:val="24"/>
          <w:vertAlign w:val="superscript"/>
        </w:rPr>
        <w:footnoteReference w:id="78"/>
      </w:r>
      <w:r>
        <w:rPr>
          <w:rFonts w:ascii="Times New Roman" w:hAnsi="Times New Roman"/>
          <w:i/>
          <w:noProof/>
          <w:sz w:val="24"/>
        </w:rPr>
        <w:t>)</w:t>
      </w:r>
    </w:p>
    <w:p>
      <w:pPr>
        <w:keepNext/>
        <w:spacing w:after="0" w:line="240" w:lineRule="auto"/>
        <w:jc w:val="both"/>
        <w:rPr>
          <w:rFonts w:ascii="Times New Roman" w:eastAsia="Calibri" w:hAnsi="Times New Roman" w:cs="Times New Roman"/>
          <w:i/>
          <w:noProof/>
          <w:color w:val="000000"/>
          <w:sz w:val="20"/>
        </w:rPr>
      </w:pPr>
      <w:r>
        <w:rPr>
          <w:noProof/>
          <w:lang w:val="en-GB" w:eastAsia="en-GB"/>
        </w:rPr>
        <w:drawing>
          <wp:inline distT="0" distB="0" distL="0" distR="0">
            <wp:extent cx="5977255" cy="2604589"/>
            <wp:effectExtent l="0" t="0" r="4445" b="571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77255" cy="2604589"/>
                    </a:xfrm>
                    <a:prstGeom prst="rect">
                      <a:avLst/>
                    </a:prstGeom>
                    <a:noFill/>
                    <a:ln>
                      <a:noFill/>
                    </a:ln>
                  </pic:spPr>
                </pic:pic>
              </a:graphicData>
            </a:graphic>
          </wp:inline>
        </w:drawing>
      </w:r>
    </w:p>
    <w:p>
      <w:pPr>
        <w:keepNext/>
        <w:spacing w:after="0" w:line="240" w:lineRule="auto"/>
        <w:jc w:val="both"/>
        <w:rPr>
          <w:rFonts w:ascii="Times New Roman" w:eastAsia="Calibri" w:hAnsi="Times New Roman" w:cs="Times New Roman"/>
          <w:i/>
          <w:noProof/>
          <w:color w:val="000000"/>
          <w:sz w:val="20"/>
        </w:rPr>
      </w:pPr>
      <w:r>
        <w:rPr>
          <w:rFonts w:ascii="Times New Roman" w:hAnsi="Times New Roman"/>
          <w:i/>
          <w:noProof/>
          <w:color w:val="000000"/>
          <w:sz w:val="20"/>
        </w:rPr>
        <w:t xml:space="preserve">(*) </w:t>
      </w:r>
      <w:r>
        <w:rPr>
          <w:rFonts w:ascii="Times New Roman" w:hAnsi="Times New Roman"/>
          <w:b/>
          <w:i/>
          <w:noProof/>
          <w:color w:val="000000"/>
          <w:sz w:val="20"/>
        </w:rPr>
        <w:t>LV:</w:t>
      </w:r>
      <w:r>
        <w:rPr>
          <w:rFonts w:ascii="Times New Roman" w:hAnsi="Times New Roman"/>
          <w:i/>
          <w:noProof/>
          <w:color w:val="000000"/>
          <w:sz w:val="20"/>
        </w:rPr>
        <w:t xml:space="preserve"> праговете на доходите са несъпоставими с тези от предходната година поради адаптиране на методологията за изчисляване. </w:t>
      </w:r>
      <w:r>
        <w:rPr>
          <w:rFonts w:ascii="Times New Roman" w:hAnsi="Times New Roman"/>
          <w:b/>
          <w:i/>
          <w:noProof/>
          <w:color w:val="000000"/>
          <w:sz w:val="20"/>
        </w:rPr>
        <w:t xml:space="preserve">EE: </w:t>
      </w:r>
      <w:r>
        <w:rPr>
          <w:rFonts w:ascii="Times New Roman" w:hAnsi="Times New Roman"/>
          <w:i/>
          <w:noProof/>
          <w:color w:val="000000"/>
          <w:sz w:val="20"/>
        </w:rPr>
        <w:t xml:space="preserve">решението за предоставяне на правна помощ не се обуславя от равнището на финансовите ресурси на кандидата. </w:t>
      </w:r>
      <w:r>
        <w:rPr>
          <w:rFonts w:ascii="Times New Roman" w:hAnsi="Times New Roman"/>
          <w:b/>
          <w:i/>
          <w:noProof/>
          <w:color w:val="000000"/>
          <w:sz w:val="20"/>
        </w:rPr>
        <w:t>IE:</w:t>
      </w:r>
      <w:r>
        <w:rPr>
          <w:rFonts w:ascii="Times New Roman" w:hAnsi="Times New Roman"/>
          <w:i/>
          <w:noProof/>
          <w:color w:val="000000"/>
          <w:sz w:val="20"/>
        </w:rPr>
        <w:t xml:space="preserve"> прагът на доходите за пълна правна помощ е несъпоставим с този от предходната година поради адаптиране на методологията за изчисляване; за частична правна помощ трябва да се вземат под внимание и разполагаемите активи на кандидата.</w:t>
      </w:r>
    </w:p>
    <w:p>
      <w:pPr>
        <w:spacing w:before="240" w:after="120" w:line="240" w:lineRule="auto"/>
        <w:jc w:val="both"/>
        <w:rPr>
          <w:rFonts w:ascii="Times New Roman" w:eastAsia="Calibri" w:hAnsi="Times New Roman" w:cs="Times New Roman"/>
          <w:noProof/>
          <w:sz w:val="24"/>
        </w:rPr>
      </w:pPr>
      <w:r>
        <w:rPr>
          <w:rFonts w:ascii="Times New Roman" w:hAnsi="Times New Roman"/>
          <w:noProof/>
          <w:sz w:val="24"/>
        </w:rPr>
        <w:t>Повечето държави членки изискват от страните да заплатят съдебна такса при образуване на съдебно производство. Получателите на правна помощ често са освободени от заплащането на съдебни такси. Само в EE, IE, NL и SI от получателя на правната помощ се изисква да заплати съдебна такса. В CZ съдът решава за всеки отделен случай дали да освободи получателя на правната помощ от заплащането на съдебни такси. На графика 22 се сравнява равнището на съдебната такса за двата сценария, като тя се представя като част от цената на иска. Например, ако на графиката по-долу съдебната такса е 10 % от иск за 6 000 EUR, потребителят ще трябва да заплати съдебна такса в размер на 600 EUR, за да бъде образувано съдебно производство. При иска с ниска цена като основа се взема установеният от Евростат праг на бедността във всяка държава членка.</w:t>
      </w:r>
      <w:bookmarkStart w:id="376" w:name="_Toc409530224"/>
      <w:bookmarkStart w:id="377" w:name="_Toc438545674"/>
      <w:bookmarkStart w:id="378" w:name="_Toc438548324"/>
      <w:bookmarkStart w:id="379" w:name="_Toc438548510"/>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Графика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22</w:t>
      </w:r>
      <w:r>
        <w:rPr>
          <w:rFonts w:ascii="Times New Roman" w:eastAsia="Calibri" w:hAnsi="Times New Roman" w:cs="Times New Roman"/>
          <w:b/>
          <w:noProof/>
          <w:sz w:val="24"/>
        </w:rPr>
        <w:fldChar w:fldCharType="end"/>
      </w:r>
      <w:r>
        <w:rPr>
          <w:rFonts w:ascii="Times New Roman" w:hAnsi="Times New Roman"/>
          <w:b/>
          <w:noProof/>
          <w:sz w:val="24"/>
        </w:rPr>
        <w:t xml:space="preserve">: Съдебна такса за образуване на съдебно производство по конкретно дело в областта на потребителското право </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w:t>
      </w:r>
      <w:r>
        <w:rPr>
          <w:rFonts w:ascii="Times New Roman" w:hAnsi="Times New Roman"/>
          <w:i/>
          <w:noProof/>
          <w:sz w:val="24"/>
        </w:rPr>
        <w:t>размер на съдебната такса като процент от цената на иска</w:t>
      </w:r>
      <w:r>
        <w:rPr>
          <w:rFonts w:ascii="Times New Roman" w:hAnsi="Times New Roman"/>
          <w:noProof/>
          <w:sz w:val="24"/>
        </w:rPr>
        <w:t xml:space="preserve">) </w:t>
      </w:r>
      <w:r>
        <w:rPr>
          <w:rFonts w:ascii="Times New Roman" w:hAnsi="Times New Roman"/>
          <w:i/>
          <w:noProof/>
          <w:sz w:val="24"/>
        </w:rPr>
        <w:t>(източник: Европейската комисия и Съвета на адвокатските колегии в Европа (CCBE) (</w:t>
      </w:r>
      <w:r>
        <w:rPr>
          <w:rFonts w:ascii="Times New Roman" w:eastAsia="Calibri" w:hAnsi="Times New Roman" w:cs="Times New Roman"/>
          <w:i/>
          <w:noProof/>
          <w:sz w:val="24"/>
          <w:vertAlign w:val="superscript"/>
        </w:rPr>
        <w:footnoteReference w:id="79"/>
      </w:r>
      <w:r>
        <w:rPr>
          <w:rFonts w:ascii="Times New Roman" w:hAnsi="Times New Roman"/>
          <w:i/>
          <w:noProof/>
          <w:sz w:val="24"/>
        </w:rPr>
        <w:t>)</w:t>
      </w:r>
    </w:p>
    <w:p>
      <w:pPr>
        <w:keepNext/>
        <w:spacing w:after="0"/>
        <w:rPr>
          <w:rFonts w:ascii="Times New Roman" w:eastAsia="Calibri" w:hAnsi="Times New Roman" w:cs="Times New Roman"/>
          <w:i/>
          <w:noProof/>
          <w:color w:val="000000"/>
          <w:sz w:val="20"/>
        </w:rPr>
      </w:pPr>
      <w:r>
        <w:rPr>
          <w:noProof/>
          <w:lang w:val="en-GB" w:eastAsia="en-GB"/>
        </w:rPr>
        <w:drawing>
          <wp:inline distT="0" distB="0" distL="0" distR="0">
            <wp:extent cx="5977255" cy="2778556"/>
            <wp:effectExtent l="0" t="0" r="4445" b="317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77255" cy="2778556"/>
                    </a:xfrm>
                    <a:prstGeom prst="rect">
                      <a:avLst/>
                    </a:prstGeom>
                    <a:noFill/>
                    <a:ln>
                      <a:noFill/>
                    </a:ln>
                  </pic:spPr>
                </pic:pic>
              </a:graphicData>
            </a:graphic>
          </wp:inline>
        </w:drawing>
      </w:r>
    </w:p>
    <w:p>
      <w:pPr>
        <w:keepNext/>
        <w:spacing w:after="0"/>
        <w:jc w:val="both"/>
        <w:rPr>
          <w:rFonts w:ascii="Times New Roman" w:eastAsia="Calibri" w:hAnsi="Times New Roman" w:cs="Times New Roman"/>
          <w:i/>
          <w:noProof/>
          <w:color w:val="000000"/>
          <w:sz w:val="20"/>
        </w:rPr>
      </w:pPr>
      <w:r>
        <w:rPr>
          <w:rFonts w:ascii="Times New Roman" w:hAnsi="Times New Roman"/>
          <w:i/>
          <w:noProof/>
          <w:color w:val="000000"/>
          <w:sz w:val="20"/>
        </w:rPr>
        <w:t xml:space="preserve">(*) „Иск с ниска цена“ означава иск, чиято цена съответства на установения от Евростат за всяка държава членка праг на бедността за едно лице, преобразуван в месечен доход (напр. за 2018 г. тази стойност е варирала между 110 EUR в </w:t>
      </w:r>
      <w:r>
        <w:rPr>
          <w:rFonts w:ascii="Times New Roman" w:hAnsi="Times New Roman"/>
          <w:b/>
          <w:i/>
          <w:noProof/>
          <w:color w:val="000000"/>
          <w:sz w:val="20"/>
        </w:rPr>
        <w:t>RO</w:t>
      </w:r>
      <w:r>
        <w:rPr>
          <w:rFonts w:ascii="Times New Roman" w:hAnsi="Times New Roman"/>
          <w:i/>
          <w:noProof/>
          <w:color w:val="000000"/>
          <w:sz w:val="20"/>
        </w:rPr>
        <w:t xml:space="preserve"> и 1 716 EUR в LU). </w:t>
      </w:r>
      <w:r>
        <w:rPr>
          <w:rFonts w:ascii="Times New Roman" w:hAnsi="Times New Roman"/>
          <w:b/>
          <w:i/>
          <w:noProof/>
          <w:color w:val="000000"/>
          <w:sz w:val="20"/>
        </w:rPr>
        <w:t>BE</w:t>
      </w:r>
      <w:r>
        <w:rPr>
          <w:rFonts w:ascii="Times New Roman" w:hAnsi="Times New Roman"/>
          <w:i/>
          <w:noProof/>
          <w:color w:val="000000"/>
          <w:sz w:val="20"/>
        </w:rPr>
        <w:t xml:space="preserve"> и </w:t>
      </w:r>
      <w:r>
        <w:rPr>
          <w:rFonts w:ascii="Times New Roman" w:hAnsi="Times New Roman"/>
          <w:b/>
          <w:i/>
          <w:noProof/>
          <w:color w:val="000000"/>
          <w:sz w:val="20"/>
        </w:rPr>
        <w:t>RO:</w:t>
      </w:r>
      <w:r>
        <w:rPr>
          <w:rFonts w:ascii="Times New Roman" w:hAnsi="Times New Roman"/>
          <w:i/>
          <w:noProof/>
          <w:color w:val="000000"/>
          <w:sz w:val="20"/>
        </w:rPr>
        <w:t xml:space="preserve"> не е предоставена информация за съдебните такси за исковете с ниска цена. </w:t>
      </w:r>
      <w:r>
        <w:rPr>
          <w:rFonts w:ascii="Times New Roman" w:hAnsi="Times New Roman"/>
          <w:b/>
          <w:i/>
          <w:noProof/>
          <w:color w:val="000000"/>
          <w:sz w:val="20"/>
        </w:rPr>
        <w:t>LU:</w:t>
      </w:r>
      <w:r>
        <w:rPr>
          <w:rFonts w:ascii="Times New Roman" w:hAnsi="Times New Roman"/>
          <w:i/>
          <w:noProof/>
          <w:color w:val="000000"/>
          <w:sz w:val="20"/>
        </w:rPr>
        <w:t xml:space="preserve"> страните трябва да платят такси за съдебен изпълнител, за да заведат дело като ищец, освен ако им е предоставена правна помощ. </w:t>
      </w:r>
      <w:r>
        <w:rPr>
          <w:rFonts w:ascii="Times New Roman" w:hAnsi="Times New Roman"/>
          <w:b/>
          <w:i/>
          <w:noProof/>
          <w:color w:val="000000"/>
          <w:sz w:val="20"/>
        </w:rPr>
        <w:t>NL:</w:t>
      </w:r>
      <w:r>
        <w:rPr>
          <w:rFonts w:ascii="Times New Roman" w:hAnsi="Times New Roman"/>
          <w:i/>
          <w:noProof/>
          <w:color w:val="000000"/>
          <w:sz w:val="20"/>
        </w:rPr>
        <w:t xml:space="preserve"> заплащат се съдебни такси при доход &lt; 2 242 EUR/месечно.</w:t>
      </w:r>
    </w:p>
    <w:p>
      <w:pPr>
        <w:spacing w:before="240" w:after="120"/>
        <w:rPr>
          <w:rFonts w:ascii="Times New Roman" w:eastAsia="Calibri" w:hAnsi="Times New Roman" w:cs="Times New Roman"/>
          <w:i/>
          <w:noProof/>
        </w:rPr>
      </w:pPr>
      <w:r>
        <w:rPr>
          <w:rFonts w:ascii="Times New Roman" w:hAnsi="Times New Roman"/>
          <w:i/>
          <w:noProof/>
        </w:rPr>
        <w:t>—</w:t>
      </w:r>
      <w:r>
        <w:rPr>
          <w:rFonts w:ascii="Times New Roman" w:hAnsi="Times New Roman"/>
          <w:i/>
          <w:noProof/>
          <w:sz w:val="24"/>
        </w:rPr>
        <w:t xml:space="preserve"> Предявяване на иск и проследяване на движението по предявен иск онлайн </w:t>
      </w:r>
      <w:bookmarkEnd w:id="376"/>
      <w:bookmarkEnd w:id="377"/>
      <w:bookmarkEnd w:id="378"/>
      <w:bookmarkEnd w:id="379"/>
      <w:r>
        <w:rPr>
          <w:rFonts w:ascii="Times New Roman" w:hAnsi="Times New Roman"/>
          <w:i/>
          <w:noProof/>
        </w:rPr>
        <w:t>—</w:t>
      </w:r>
    </w:p>
    <w:p>
      <w:pPr>
        <w:spacing w:after="0" w:line="240" w:lineRule="auto"/>
        <w:jc w:val="both"/>
        <w:rPr>
          <w:rFonts w:ascii="Times New Roman" w:hAnsi="Times New Roman" w:cs="Times New Roman"/>
          <w:noProof/>
          <w:sz w:val="24"/>
        </w:rPr>
      </w:pPr>
      <w:r>
        <w:rPr>
          <w:rFonts w:ascii="Times New Roman" w:hAnsi="Times New Roman"/>
          <w:noProof/>
          <w:sz w:val="24"/>
        </w:rPr>
        <w:t>Възможността за извършване по електронен път на определени действия в рамките на съдебното производство е важен елемент от качеството на правосъдните системи, тъй като електронното подаване на искове и възможността за следене и придвижване на производството онлайн могат да облекчат достъпа до правосъдие и да намалят забавянията и разходите. Системите на ИКТ в съдилищата имат и все по-голяма роля при трансграничното сътрудничество между органите на съдебната власт и наред с това улесняват прилагането на законодателството на ЕС, например при процедури по иск</w:t>
      </w:r>
      <w:bookmarkStart w:id="380" w:name="_Ref441218509"/>
      <w:bookmarkStart w:id="381" w:name="_Ref442360381"/>
      <w:r>
        <w:rPr>
          <w:rFonts w:ascii="Times New Roman" w:hAnsi="Times New Roman"/>
          <w:noProof/>
          <w:sz w:val="24"/>
        </w:rPr>
        <w:t>ове с малък материален интерес.</w:t>
      </w:r>
    </w:p>
    <w:p>
      <w:pPr>
        <w:rPr>
          <w:rFonts w:ascii="Times New Roman" w:eastAsia="Calibri" w:hAnsi="Times New Roman" w:cs="Times New Roman"/>
          <w:b/>
          <w:noProof/>
          <w:sz w:val="24"/>
          <w:szCs w:val="24"/>
        </w:rPr>
      </w:pPr>
      <w:r>
        <w:rPr>
          <w:noProof/>
        </w:rPr>
        <w:br w:type="page"/>
      </w:r>
    </w:p>
    <w:p>
      <w:pPr>
        <w:spacing w:before="240" w:after="120" w:line="240" w:lineRule="auto"/>
        <w:jc w:val="both"/>
        <w:rPr>
          <w:rFonts w:ascii="Times New Roman" w:eastAsia="Calibri" w:hAnsi="Times New Roman" w:cs="Times New Roman"/>
          <w:i/>
          <w:noProof/>
          <w:sz w:val="24"/>
          <w:szCs w:val="24"/>
        </w:rPr>
      </w:pPr>
      <w:r>
        <w:rPr>
          <w:rFonts w:ascii="Times New Roman" w:hAnsi="Times New Roman"/>
          <w:b/>
          <w:noProof/>
          <w:sz w:val="24"/>
          <w:szCs w:val="24"/>
        </w:rPr>
        <w:t>Графика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23</w:t>
      </w:r>
      <w:r>
        <w:rPr>
          <w:rFonts w:ascii="Times New Roman" w:eastAsia="Calibri" w:hAnsi="Times New Roman" w:cs="Times New Roman"/>
          <w:b/>
          <w:noProof/>
          <w:sz w:val="24"/>
          <w:szCs w:val="24"/>
        </w:rPr>
        <w:fldChar w:fldCharType="end"/>
      </w:r>
      <w:bookmarkEnd w:id="380"/>
      <w:bookmarkEnd w:id="381"/>
      <w:r>
        <w:rPr>
          <w:rFonts w:ascii="Times New Roman" w:hAnsi="Times New Roman"/>
          <w:b/>
          <w:noProof/>
          <w:sz w:val="24"/>
          <w:szCs w:val="24"/>
        </w:rPr>
        <w:t xml:space="preserve">: Наличие на електронни средства </w:t>
      </w:r>
      <w:r>
        <w:rPr>
          <w:rFonts w:ascii="Times New Roman" w:hAnsi="Times New Roman"/>
          <w:noProof/>
          <w:sz w:val="24"/>
          <w:szCs w:val="24"/>
        </w:rPr>
        <w:t>(</w:t>
      </w:r>
      <w:r>
        <w:rPr>
          <w:noProof/>
          <w:sz w:val="24"/>
          <w:szCs w:val="24"/>
        </w:rPr>
        <w:t>*)</w:t>
      </w:r>
      <w:r>
        <w:rPr>
          <w:rFonts w:ascii="Times New Roman" w:hAnsi="Times New Roman"/>
          <w:b/>
          <w:noProof/>
          <w:sz w:val="24"/>
          <w:szCs w:val="24"/>
        </w:rPr>
        <w:t xml:space="preserve"> </w:t>
      </w:r>
      <w:r>
        <w:rPr>
          <w:rFonts w:ascii="Times New Roman" w:hAnsi="Times New Roman"/>
          <w:i/>
          <w:noProof/>
          <w:sz w:val="24"/>
          <w:szCs w:val="24"/>
        </w:rPr>
        <w:t>(0 = наличие на такава възможност в 0 % от съдилищата, 4 = наличие на такава възможност в 100 % от съдилищата (</w:t>
      </w:r>
      <w:r>
        <w:rPr>
          <w:rFonts w:ascii="Times New Roman" w:eastAsia="Calibri" w:hAnsi="Times New Roman" w:cs="Times New Roman"/>
          <w:i/>
          <w:noProof/>
          <w:sz w:val="24"/>
          <w:szCs w:val="24"/>
          <w:vertAlign w:val="superscript"/>
        </w:rPr>
        <w:footnoteReference w:id="80"/>
      </w:r>
      <w:r>
        <w:rPr>
          <w:rFonts w:ascii="Times New Roman" w:hAnsi="Times New Roman"/>
          <w:i/>
          <w:noProof/>
          <w:sz w:val="24"/>
          <w:szCs w:val="24"/>
        </w:rPr>
        <w:t>) (източник: проучване на Комисията за ефикасност на правосъдието към Съвета на Европа (CEPEJ)</w:t>
      </w:r>
    </w:p>
    <w:p>
      <w:pPr>
        <w:spacing w:after="0" w:line="240" w:lineRule="auto"/>
        <w:jc w:val="both"/>
        <w:rPr>
          <w:rFonts w:ascii="Times New Roman" w:eastAsia="Calibri" w:hAnsi="Times New Roman" w:cs="Times New Roman"/>
          <w:noProof/>
          <w:color w:val="262626"/>
          <w:sz w:val="24"/>
          <w:szCs w:val="24"/>
        </w:rPr>
      </w:pPr>
      <w:r>
        <w:rPr>
          <w:noProof/>
          <w:lang w:val="en-GB" w:eastAsia="en-GB"/>
        </w:rPr>
        <w:drawing>
          <wp:inline distT="0" distB="0" distL="0" distR="0">
            <wp:extent cx="5969479" cy="1897811"/>
            <wp:effectExtent l="0" t="0" r="0" b="762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77255" cy="1900283"/>
                    </a:xfrm>
                    <a:prstGeom prst="rect">
                      <a:avLst/>
                    </a:prstGeom>
                    <a:noFill/>
                    <a:ln>
                      <a:noFill/>
                    </a:ln>
                  </pic:spPr>
                </pic:pic>
              </a:graphicData>
            </a:graphic>
          </wp:inline>
        </w:drawing>
      </w:r>
    </w:p>
    <w:p>
      <w:pPr>
        <w:spacing w:after="0" w:line="240" w:lineRule="auto"/>
        <w:contextualSpacing/>
        <w:jc w:val="both"/>
        <w:rPr>
          <w:rFonts w:ascii="Times New Roman" w:eastAsia="Calibri" w:hAnsi="Times New Roman" w:cs="Times New Roman"/>
          <w:i/>
          <w:noProof/>
          <w:sz w:val="20"/>
          <w:szCs w:val="20"/>
        </w:rPr>
      </w:pPr>
      <w:r>
        <w:rPr>
          <w:rFonts w:ascii="Times New Roman" w:hAnsi="Times New Roman"/>
          <w:i/>
          <w:noProof/>
          <w:sz w:val="20"/>
        </w:rPr>
        <w:t xml:space="preserve">(*) </w:t>
      </w:r>
      <w:r>
        <w:rPr>
          <w:rFonts w:ascii="Times New Roman" w:hAnsi="Times New Roman"/>
          <w:b/>
          <w:i/>
          <w:noProof/>
          <w:sz w:val="20"/>
          <w:szCs w:val="20"/>
        </w:rPr>
        <w:t xml:space="preserve">DK </w:t>
      </w:r>
      <w:r>
        <w:rPr>
          <w:rFonts w:ascii="Times New Roman" w:hAnsi="Times New Roman"/>
          <w:i/>
          <w:noProof/>
          <w:sz w:val="20"/>
          <w:szCs w:val="20"/>
        </w:rPr>
        <w:t xml:space="preserve">и </w:t>
      </w:r>
      <w:r>
        <w:rPr>
          <w:rFonts w:ascii="Times New Roman" w:hAnsi="Times New Roman"/>
          <w:b/>
          <w:i/>
          <w:noProof/>
          <w:sz w:val="20"/>
          <w:szCs w:val="20"/>
        </w:rPr>
        <w:t>RO:</w:t>
      </w:r>
      <w:r>
        <w:rPr>
          <w:rFonts w:ascii="Times New Roman" w:hAnsi="Times New Roman"/>
          <w:i/>
          <w:noProof/>
          <w:sz w:val="20"/>
          <w:szCs w:val="20"/>
        </w:rPr>
        <w:t xml:space="preserve"> съдът може да бъде сезиран по електронна поща.</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i/>
          <w:noProof/>
          <w:sz w:val="24"/>
        </w:rPr>
        <w:t>— Предоставяне на информация на страните по производствата —</w:t>
      </w:r>
    </w:p>
    <w:p>
      <w:pPr>
        <w:spacing w:after="120" w:line="240" w:lineRule="auto"/>
        <w:jc w:val="both"/>
        <w:rPr>
          <w:rFonts w:ascii="Times New Roman" w:hAnsi="Times New Roman"/>
          <w:noProof/>
          <w:spacing w:val="-4"/>
          <w:sz w:val="24"/>
        </w:rPr>
      </w:pPr>
      <w:r>
        <w:rPr>
          <w:rFonts w:ascii="Times New Roman" w:hAnsi="Times New Roman"/>
          <w:noProof/>
          <w:spacing w:val="-4"/>
          <w:sz w:val="24"/>
        </w:rPr>
        <w:t>На графика </w:t>
      </w:r>
      <w:r>
        <w:rPr>
          <w:rFonts w:ascii="Times New Roman" w:hAnsi="Times New Roman"/>
          <w:noProof/>
          <w:spacing w:val="-4"/>
          <w:sz w:val="24"/>
          <w:szCs w:val="24"/>
        </w:rPr>
        <w:t>24</w:t>
      </w:r>
      <w:r>
        <w:rPr>
          <w:rFonts w:ascii="Times New Roman" w:hAnsi="Times New Roman"/>
          <w:noProof/>
          <w:spacing w:val="-4"/>
          <w:sz w:val="24"/>
        </w:rPr>
        <w:t xml:space="preserve"> са представени стандартите за начините на предоставяне на информация на страните по производствата и вида информация, която те получават относно хода на делото, като се поставя акцент върху използването на електронни или автоматизирани методи. Някои държави членки разполагат с автоматизирана система за уведомяване по електронна поща или със SMS, чрез която се предоставя информация за закъсненията, графика за разглеждане или общия ход на делото. Други държави предоставят онлайн достъп до информацията по време на висящото производство, а трети оставят този въпрос на преценката на съдилищата.</w:t>
      </w:r>
    </w:p>
    <w:p>
      <w:pPr>
        <w:spacing w:before="240" w:after="120" w:line="240" w:lineRule="auto"/>
        <w:contextualSpacing/>
        <w:jc w:val="both"/>
        <w:rPr>
          <w:rFonts w:ascii="Times New Roman Bold" w:eastAsia="Calibri" w:hAnsi="Times New Roman Bold" w:cs="Times New Roman"/>
          <w:i/>
          <w:noProof/>
          <w:spacing w:val="-6"/>
          <w:sz w:val="24"/>
        </w:rPr>
      </w:pPr>
      <w:r>
        <w:rPr>
          <w:rFonts w:ascii="Times New Roman" w:hAnsi="Times New Roman"/>
          <w:b/>
          <w:noProof/>
          <w:sz w:val="24"/>
        </w:rPr>
        <w:t>Графика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24</w:t>
      </w:r>
      <w:r>
        <w:rPr>
          <w:rFonts w:ascii="Times New Roman" w:eastAsia="Calibri" w:hAnsi="Times New Roman" w:cs="Times New Roman"/>
          <w:b/>
          <w:noProof/>
          <w:sz w:val="24"/>
        </w:rPr>
        <w:fldChar w:fldCharType="end"/>
      </w:r>
      <w:r>
        <w:rPr>
          <w:rFonts w:ascii="Times New Roman" w:hAnsi="Times New Roman"/>
          <w:b/>
          <w:noProof/>
          <w:sz w:val="24"/>
        </w:rPr>
        <w:t>: Стандарти за информацията за хода на делото</w:t>
      </w:r>
      <w:r>
        <w:rPr>
          <w:rFonts w:ascii="Times New Roman" w:hAnsi="Times New Roman"/>
          <w:noProof/>
          <w:sz w:val="24"/>
        </w:rPr>
        <w:t xml:space="preserve"> </w:t>
      </w:r>
      <w:r>
        <w:rPr>
          <w:rFonts w:ascii="Times New Roman" w:hAnsi="Times New Roman"/>
          <w:i/>
          <w:noProof/>
          <w:sz w:val="24"/>
        </w:rPr>
        <w:t xml:space="preserve">(източник: Европейска комисия </w:t>
      </w:r>
      <w:r>
        <w:rPr>
          <w:rFonts w:ascii="Times New Roman" w:hAnsi="Times New Roman"/>
          <w:i/>
          <w:noProof/>
          <w:sz w:val="24"/>
          <w:szCs w:val="24"/>
        </w:rPr>
        <w:t>(</w:t>
      </w:r>
      <w:r>
        <w:rPr>
          <w:rFonts w:ascii="Times New Roman" w:eastAsia="Calibri" w:hAnsi="Times New Roman" w:cs="Times New Roman"/>
          <w:i/>
          <w:noProof/>
          <w:sz w:val="24"/>
          <w:szCs w:val="24"/>
          <w:vertAlign w:val="superscript"/>
        </w:rPr>
        <w:footnoteReference w:id="81"/>
      </w:r>
      <w:r>
        <w:rPr>
          <w:rFonts w:ascii="Times New Roman" w:hAnsi="Times New Roman"/>
          <w:i/>
          <w:noProof/>
          <w:sz w:val="24"/>
          <w:szCs w:val="24"/>
        </w:rPr>
        <w:t>)</w:t>
      </w:r>
    </w:p>
    <w:p>
      <w:pPr>
        <w:spacing w:after="0" w:line="240" w:lineRule="auto"/>
        <w:jc w:val="both"/>
        <w:rPr>
          <w:rFonts w:ascii="Times New Roman" w:eastAsia="Calibri" w:hAnsi="Times New Roman" w:cs="Times New Roman"/>
          <w:i/>
          <w:noProof/>
        </w:rPr>
      </w:pPr>
      <w:r>
        <w:rPr>
          <w:noProof/>
          <w:lang w:val="en-GB" w:eastAsia="en-GB"/>
        </w:rPr>
        <w:drawing>
          <wp:inline distT="0" distB="0" distL="0" distR="0">
            <wp:extent cx="5969479" cy="2467155"/>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77255" cy="2470369"/>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sz w:val="20"/>
        </w:rPr>
      </w:pPr>
      <w:r>
        <w:rPr>
          <w:rFonts w:ascii="Times New Roman" w:hAnsi="Times New Roman"/>
          <w:i/>
          <w:noProof/>
          <w:sz w:val="20"/>
        </w:rPr>
        <w:t xml:space="preserve">(*) Максимален брой точки: 16 точки. На държавите членки бяха дадени точки в зависимост от използвания метод за предоставяне на всеки вид информация: 1,5 точки за автоматично известяване по електронна поща или чрез SMS, 1 точка за онлайн достъп докато делото е в ход, по 0,5 точки за информация, предоставяна при поискване от страните, по преценка на съда или за друг използван метод. </w:t>
      </w:r>
      <w:r>
        <w:rPr>
          <w:rFonts w:ascii="Times New Roman" w:hAnsi="Times New Roman"/>
          <w:b/>
          <w:i/>
          <w:noProof/>
          <w:sz w:val="20"/>
        </w:rPr>
        <w:t>LU:</w:t>
      </w:r>
      <w:r>
        <w:rPr>
          <w:rFonts w:ascii="Times New Roman" w:hAnsi="Times New Roman"/>
          <w:i/>
          <w:noProof/>
          <w:sz w:val="20"/>
        </w:rPr>
        <w:t xml:space="preserve"> съобщенията, изпратени по електронна поща, нямат правнообвързваща сила (все още във фаза на въвеждане). </w:t>
      </w:r>
      <w:r>
        <w:rPr>
          <w:rFonts w:ascii="Times New Roman" w:hAnsi="Times New Roman"/>
          <w:b/>
          <w:i/>
          <w:noProof/>
          <w:sz w:val="20"/>
        </w:rPr>
        <w:t>SI:</w:t>
      </w:r>
      <w:r>
        <w:rPr>
          <w:rFonts w:ascii="Times New Roman" w:hAnsi="Times New Roman"/>
          <w:i/>
          <w:noProof/>
          <w:sz w:val="20"/>
        </w:rPr>
        <w:t xml:space="preserve"> в новия правилник за съдилищата е предвидено задължението съдилищата да предоставят онлайн достъп до данните, записани в деловодната система. Това все още предстои да бъде направено.</w:t>
      </w:r>
    </w:p>
    <w:p>
      <w:pPr>
        <w:spacing w:before="240" w:after="120" w:line="240" w:lineRule="auto"/>
        <w:jc w:val="both"/>
        <w:rPr>
          <w:rFonts w:ascii="Times New Roman" w:eastAsia="Calibri" w:hAnsi="Times New Roman" w:cs="Helvetica Neue"/>
          <w:i/>
          <w:noProof/>
          <w:color w:val="000000"/>
          <w:sz w:val="24"/>
          <w:szCs w:val="24"/>
        </w:rPr>
      </w:pPr>
      <w:r>
        <w:rPr>
          <w:rFonts w:ascii="Times New Roman" w:hAnsi="Times New Roman"/>
          <w:i/>
          <w:noProof/>
          <w:sz w:val="24"/>
          <w:szCs w:val="24"/>
        </w:rPr>
        <w:t xml:space="preserve">— </w:t>
      </w:r>
      <w:r>
        <w:rPr>
          <w:rFonts w:ascii="Times New Roman" w:hAnsi="Times New Roman"/>
          <w:i/>
          <w:noProof/>
          <w:color w:val="000000"/>
          <w:sz w:val="24"/>
          <w:szCs w:val="24"/>
        </w:rPr>
        <w:t>Достъп до съдебни решения</w:t>
      </w:r>
      <w:r>
        <w:rPr>
          <w:rFonts w:ascii="Times New Roman" w:hAnsi="Times New Roman"/>
          <w:i/>
          <w:noProof/>
          <w:sz w:val="24"/>
          <w:szCs w:val="24"/>
        </w:rPr>
        <w:t> —</w:t>
      </w:r>
    </w:p>
    <w:p>
      <w:pPr>
        <w:spacing w:after="120" w:line="240" w:lineRule="auto"/>
        <w:jc w:val="both"/>
        <w:rPr>
          <w:rFonts w:ascii="Times New Roman" w:hAnsi="Times New Roman"/>
          <w:noProof/>
          <w:color w:val="000000"/>
          <w:sz w:val="24"/>
          <w:szCs w:val="24"/>
        </w:rPr>
      </w:pPr>
      <w:r>
        <w:rPr>
          <w:rFonts w:ascii="Times New Roman" w:hAnsi="Times New Roman"/>
          <w:noProof/>
          <w:color w:val="000000"/>
          <w:sz w:val="24"/>
          <w:szCs w:val="24"/>
        </w:rPr>
        <w:t>Осигуряването на достъп до съдебните решения онлайн увеличава прозрачността на правосъдните системи, помага на гражданите и предприятията да разберат своите права и може да допринесе за последователността в съдебната практика. Редът и условията за публикуването онлайн на съдебни решения са от основно значение за създаването на лесни за ползване търсачки (</w:t>
      </w:r>
      <w:r>
        <w:rPr>
          <w:rFonts w:ascii="Times New Roman" w:eastAsia="Calibri" w:hAnsi="Times New Roman" w:cs="Helvetica Neue"/>
          <w:noProof/>
          <w:color w:val="000000"/>
          <w:sz w:val="24"/>
          <w:szCs w:val="24"/>
          <w:vertAlign w:val="superscript"/>
        </w:rPr>
        <w:footnoteReference w:id="82"/>
      </w:r>
      <w:r>
        <w:rPr>
          <w:rFonts w:ascii="Times New Roman" w:hAnsi="Times New Roman"/>
          <w:noProof/>
          <w:color w:val="000000"/>
          <w:sz w:val="24"/>
          <w:szCs w:val="24"/>
        </w:rPr>
        <w:t>), които правят съдебната практика по-достъпна за практикуващите юристи и широката общественост. За публикуването онлайн на съдебните решения се изисква постигане на баланс между различни интереси, при спазване на ограниченията, налагани от нормативната уредба и политическата рамка (</w:t>
      </w:r>
      <w:r>
        <w:rPr>
          <w:rFonts w:ascii="Times New Roman" w:eastAsia="Calibri" w:hAnsi="Times New Roman" w:cs="Helvetica Neue"/>
          <w:noProof/>
          <w:color w:val="000000"/>
          <w:sz w:val="24"/>
          <w:szCs w:val="24"/>
          <w:vertAlign w:val="superscript"/>
        </w:rPr>
        <w:footnoteReference w:id="83"/>
      </w:r>
      <w:r>
        <w:rPr>
          <w:rFonts w:ascii="Times New Roman" w:hAnsi="Times New Roman"/>
          <w:noProof/>
          <w:color w:val="000000"/>
          <w:sz w:val="24"/>
          <w:szCs w:val="24"/>
        </w:rPr>
        <w:t>). Европейската комисия подкрепя инициативи за свободно достъпни данни, предлагани от публичния сектор, включително съдебната система (</w:t>
      </w:r>
      <w:r>
        <w:rPr>
          <w:rFonts w:ascii="Times New Roman" w:eastAsia="Calibri" w:hAnsi="Times New Roman" w:cs="Helvetica Neue"/>
          <w:noProof/>
          <w:color w:val="000000"/>
          <w:sz w:val="24"/>
          <w:szCs w:val="24"/>
          <w:vertAlign w:val="superscript"/>
        </w:rPr>
        <w:footnoteReference w:id="84"/>
      </w:r>
      <w:r>
        <w:rPr>
          <w:rFonts w:ascii="Times New Roman" w:hAnsi="Times New Roman"/>
          <w:noProof/>
          <w:color w:val="000000"/>
          <w:sz w:val="24"/>
          <w:szCs w:val="24"/>
        </w:rPr>
        <w:t>).</w:t>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Графика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25</w:t>
      </w:r>
      <w:r>
        <w:rPr>
          <w:rFonts w:ascii="Times New Roman" w:eastAsia="Calibri" w:hAnsi="Times New Roman" w:cs="Times New Roman"/>
          <w:b/>
          <w:noProof/>
          <w:sz w:val="24"/>
        </w:rPr>
        <w:fldChar w:fldCharType="end"/>
      </w:r>
      <w:r>
        <w:rPr>
          <w:rFonts w:ascii="Times New Roman" w:hAnsi="Times New Roman"/>
          <w:b/>
          <w:noProof/>
          <w:sz w:val="24"/>
        </w:rPr>
        <w:t xml:space="preserve">: Онлайн достъп за широката публика до публикувани решения </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(граждански/търговски, административни и наказателни дела, всички инстанции) (източник: Европейска комисия (</w:t>
      </w:r>
      <w:r>
        <w:rPr>
          <w:rFonts w:ascii="Times New Roman" w:eastAsia="Calibri" w:hAnsi="Times New Roman" w:cs="Times New Roman"/>
          <w:i/>
          <w:noProof/>
          <w:sz w:val="24"/>
          <w:vertAlign w:val="superscript"/>
        </w:rPr>
        <w:footnoteReference w:id="85"/>
      </w:r>
      <w:r>
        <w:rPr>
          <w:rFonts w:ascii="Times New Roman" w:hAnsi="Times New Roman"/>
          <w:i/>
          <w:noProof/>
          <w:sz w:val="24"/>
        </w:rPr>
        <w:t>)</w:t>
      </w:r>
    </w:p>
    <w:p>
      <w:pPr>
        <w:spacing w:after="0" w:line="240" w:lineRule="auto"/>
        <w:jc w:val="both"/>
        <w:rPr>
          <w:rFonts w:ascii="Times New Roman" w:eastAsia="Calibri" w:hAnsi="Times New Roman" w:cs="Times New Roman"/>
          <w:i/>
          <w:noProof/>
          <w:sz w:val="20"/>
        </w:rPr>
      </w:pPr>
      <w:r>
        <w:rPr>
          <w:noProof/>
          <w:lang w:val="en-GB" w:eastAsia="en-GB"/>
        </w:rPr>
        <w:drawing>
          <wp:inline distT="0" distB="0" distL="0" distR="0">
            <wp:extent cx="5977255" cy="3328522"/>
            <wp:effectExtent l="0" t="0" r="4445" b="571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77255" cy="3328522"/>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sz w:val="20"/>
        </w:rPr>
      </w:pPr>
      <w:r>
        <w:rPr>
          <w:rFonts w:ascii="Times New Roman" w:hAnsi="Times New Roman"/>
          <w:i/>
          <w:noProof/>
          <w:sz w:val="20"/>
        </w:rPr>
        <w:t xml:space="preserve">(*) Максимален брой точки: 9 точки. За всяка съдебна инстанция е присъдена по една точка, ако са достъпни всички съдебни решения съответно по граждански/търговски, административни и наказателни дела (0,5 точки, когато са достъпни само някои съдебни решения). На държавите членки, в които има само две съдебни инстанции, са дадени точки за три инстанции, като несъществуващата инстанция получава същия брой точки като съответната най-висша инстанция. На държавите членки, които не правят разграничение между тези две области на правото (гражданско/търговско и административно), са присъдени еднакъв брой точки и за двете области. </w:t>
      </w:r>
      <w:r>
        <w:rPr>
          <w:rFonts w:ascii="Times New Roman" w:hAnsi="Times New Roman"/>
          <w:b/>
          <w:i/>
          <w:noProof/>
          <w:sz w:val="20"/>
        </w:rPr>
        <w:t>BG:</w:t>
      </w:r>
      <w:r>
        <w:rPr>
          <w:rFonts w:ascii="Times New Roman" w:hAnsi="Times New Roman"/>
          <w:i/>
          <w:noProof/>
          <w:sz w:val="20"/>
        </w:rPr>
        <w:t xml:space="preserve"> публикувани са всички решения на Върховния касационен съд по наказателни дела, с изключение на онези, които съдържат класифицирана информация. </w:t>
      </w:r>
      <w:r>
        <w:rPr>
          <w:rFonts w:ascii="Times New Roman" w:hAnsi="Times New Roman"/>
          <w:b/>
          <w:i/>
          <w:noProof/>
          <w:sz w:val="20"/>
        </w:rPr>
        <w:t xml:space="preserve">LU </w:t>
      </w:r>
      <w:r>
        <w:rPr>
          <w:rFonts w:ascii="Times New Roman" w:hAnsi="Times New Roman"/>
          <w:i/>
          <w:noProof/>
          <w:sz w:val="20"/>
        </w:rPr>
        <w:t xml:space="preserve">и </w:t>
      </w:r>
      <w:r>
        <w:rPr>
          <w:rFonts w:ascii="Times New Roman" w:hAnsi="Times New Roman"/>
          <w:b/>
          <w:i/>
          <w:noProof/>
          <w:sz w:val="20"/>
        </w:rPr>
        <w:t>SE:</w:t>
      </w:r>
      <w:r>
        <w:rPr>
          <w:rFonts w:ascii="Times New Roman" w:hAnsi="Times New Roman"/>
          <w:i/>
          <w:noProof/>
          <w:sz w:val="20"/>
        </w:rPr>
        <w:t xml:space="preserve"> съдилищата не публикуват редовно съдебните решения онлайн (само при особено значими дела). </w:t>
      </w:r>
      <w:r>
        <w:rPr>
          <w:rFonts w:ascii="Times New Roman" w:hAnsi="Times New Roman"/>
          <w:b/>
          <w:i/>
          <w:noProof/>
          <w:sz w:val="20"/>
        </w:rPr>
        <w:t>LV:</w:t>
      </w:r>
      <w:r>
        <w:rPr>
          <w:rFonts w:ascii="Times New Roman" w:hAnsi="Times New Roman"/>
          <w:i/>
          <w:noProof/>
          <w:sz w:val="20"/>
        </w:rPr>
        <w:t xml:space="preserve"> за решение, прието в закрито съдебно заседание, се публикуват онлайн само публично оповестените части. </w:t>
      </w:r>
      <w:r>
        <w:rPr>
          <w:rFonts w:ascii="Times New Roman" w:hAnsi="Times New Roman"/>
          <w:b/>
          <w:i/>
          <w:noProof/>
          <w:sz w:val="20"/>
        </w:rPr>
        <w:t>DE:</w:t>
      </w:r>
      <w:r>
        <w:rPr>
          <w:rFonts w:ascii="Times New Roman" w:hAnsi="Times New Roman"/>
          <w:i/>
          <w:noProof/>
          <w:sz w:val="20"/>
        </w:rPr>
        <w:t xml:space="preserve"> всяка федерална провинция решава дали да предостави онлайн достъп до първоинстанционните съдебни решения. </w:t>
      </w:r>
      <w:r>
        <w:rPr>
          <w:rFonts w:ascii="Times New Roman" w:hAnsi="Times New Roman"/>
          <w:b/>
          <w:i/>
          <w:noProof/>
          <w:sz w:val="20"/>
        </w:rPr>
        <w:t>IE:</w:t>
      </w:r>
      <w:r>
        <w:rPr>
          <w:rFonts w:ascii="Times New Roman" w:hAnsi="Times New Roman"/>
          <w:i/>
          <w:noProof/>
          <w:sz w:val="20"/>
        </w:rPr>
        <w:t xml:space="preserve"> при наказателните дела, за съкратените производства обикновено не се постановява писмено съдебно решение. </w:t>
      </w:r>
      <w:r>
        <w:rPr>
          <w:rFonts w:ascii="Times New Roman" w:hAnsi="Times New Roman"/>
          <w:b/>
          <w:i/>
          <w:noProof/>
          <w:sz w:val="20"/>
        </w:rPr>
        <w:t>CY:</w:t>
      </w:r>
      <w:r>
        <w:rPr>
          <w:rFonts w:ascii="Times New Roman" w:hAnsi="Times New Roman"/>
          <w:i/>
          <w:noProof/>
          <w:sz w:val="20"/>
        </w:rPr>
        <w:t xml:space="preserve"> по отношение на административните и наказателните дела съдиите решават кои съдебни решения да бъдат публикувани. </w:t>
      </w:r>
      <w:r>
        <w:rPr>
          <w:rFonts w:ascii="Times New Roman" w:hAnsi="Times New Roman"/>
          <w:b/>
          <w:i/>
          <w:noProof/>
          <w:sz w:val="20"/>
        </w:rPr>
        <w:t>NL:</w:t>
      </w:r>
      <w:r>
        <w:rPr>
          <w:rFonts w:ascii="Times New Roman" w:hAnsi="Times New Roman"/>
          <w:i/>
          <w:noProof/>
          <w:sz w:val="20"/>
        </w:rPr>
        <w:t xml:space="preserve"> решението за публикуване се взема от съдилищата при спазване на публикувани критерии. </w:t>
      </w:r>
      <w:r>
        <w:rPr>
          <w:rFonts w:ascii="Times New Roman" w:hAnsi="Times New Roman"/>
          <w:b/>
          <w:i/>
          <w:noProof/>
          <w:sz w:val="20"/>
        </w:rPr>
        <w:t>PL:</w:t>
      </w:r>
      <w:r>
        <w:rPr>
          <w:rFonts w:ascii="Times New Roman" w:hAnsi="Times New Roman"/>
          <w:i/>
          <w:noProof/>
          <w:sz w:val="20"/>
        </w:rPr>
        <w:t xml:space="preserve"> за административните дела решението за публикуване се взема от началника на отдела във всеки съд. </w:t>
      </w:r>
      <w:r>
        <w:rPr>
          <w:rFonts w:ascii="Times New Roman" w:hAnsi="Times New Roman"/>
          <w:b/>
          <w:i/>
          <w:noProof/>
          <w:sz w:val="20"/>
        </w:rPr>
        <w:t>PT:</w:t>
      </w:r>
      <w:r>
        <w:rPr>
          <w:rFonts w:ascii="Times New Roman" w:hAnsi="Times New Roman"/>
          <w:i/>
          <w:noProof/>
          <w:sz w:val="20"/>
        </w:rPr>
        <w:t xml:space="preserve"> за гражданските и наказателните дела решението за публикуване се взема от комисия към съда.</w:t>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Графика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26</w:t>
      </w:r>
      <w:r>
        <w:rPr>
          <w:rFonts w:ascii="Times New Roman" w:eastAsia="Calibri" w:hAnsi="Times New Roman" w:cs="Times New Roman"/>
          <w:b/>
          <w:noProof/>
          <w:sz w:val="24"/>
        </w:rPr>
        <w:fldChar w:fldCharType="end"/>
      </w:r>
      <w:r>
        <w:rPr>
          <w:rFonts w:ascii="Times New Roman" w:hAnsi="Times New Roman"/>
          <w:b/>
          <w:noProof/>
          <w:sz w:val="24"/>
        </w:rPr>
        <w:t xml:space="preserve">: Практики за публикуване онлайн на съдебни решения на всички инстанции </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i/>
          <w:noProof/>
          <w:sz w:val="24"/>
        </w:rPr>
        <w:t xml:space="preserve"> (граждански/търговски, административни и наказателни дела, всички инстанции) (източник: Европейска комисия (</w:t>
      </w:r>
      <w:r>
        <w:rPr>
          <w:rFonts w:ascii="Times New Roman" w:eastAsia="Calibri" w:hAnsi="Times New Roman" w:cs="Times New Roman"/>
          <w:i/>
          <w:noProof/>
          <w:sz w:val="24"/>
          <w:vertAlign w:val="superscript"/>
        </w:rPr>
        <w:footnoteReference w:id="86"/>
      </w:r>
      <w:r>
        <w:rPr>
          <w:rFonts w:ascii="Times New Roman" w:hAnsi="Times New Roman"/>
          <w:i/>
          <w:noProof/>
          <w:sz w:val="24"/>
        </w:rPr>
        <w:t>)</w:t>
      </w:r>
    </w:p>
    <w:p>
      <w:pPr>
        <w:autoSpaceDE w:val="0"/>
        <w:autoSpaceDN w:val="0"/>
        <w:adjustRightInd w:val="0"/>
        <w:spacing w:after="0" w:line="240" w:lineRule="auto"/>
        <w:contextualSpacing/>
        <w:jc w:val="both"/>
        <w:rPr>
          <w:rFonts w:ascii="Times New Roman" w:eastAsia="Calibri" w:hAnsi="Times New Roman" w:cs="Times New Roman"/>
          <w:i/>
          <w:noProof/>
          <w:sz w:val="24"/>
        </w:rPr>
      </w:pPr>
      <w:r>
        <w:rPr>
          <w:noProof/>
          <w:lang w:val="en-GB" w:eastAsia="en-GB"/>
        </w:rPr>
        <w:drawing>
          <wp:inline distT="0" distB="0" distL="0" distR="0">
            <wp:extent cx="5977255" cy="2817547"/>
            <wp:effectExtent l="0" t="0" r="4445" b="190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77255" cy="2817547"/>
                    </a:xfrm>
                    <a:prstGeom prst="rect">
                      <a:avLst/>
                    </a:prstGeom>
                    <a:noFill/>
                    <a:ln>
                      <a:noFill/>
                    </a:ln>
                  </pic:spPr>
                </pic:pic>
              </a:graphicData>
            </a:graphic>
          </wp:inline>
        </w:drawing>
      </w:r>
    </w:p>
    <w:p>
      <w:pPr>
        <w:autoSpaceDE w:val="0"/>
        <w:autoSpaceDN w:val="0"/>
        <w:adjustRightInd w:val="0"/>
        <w:spacing w:after="0" w:line="240" w:lineRule="auto"/>
        <w:contextualSpacing/>
        <w:jc w:val="both"/>
        <w:rPr>
          <w:rFonts w:ascii="Times New Roman" w:eastAsia="Calibri" w:hAnsi="Times New Roman" w:cs="Helvetica Neue"/>
          <w:i/>
          <w:noProof/>
          <w:sz w:val="20"/>
          <w:szCs w:val="18"/>
        </w:rPr>
      </w:pPr>
      <w:r>
        <w:rPr>
          <w:rFonts w:ascii="Times New Roman" w:hAnsi="Times New Roman"/>
          <w:i/>
          <w:noProof/>
          <w:sz w:val="20"/>
          <w:szCs w:val="18"/>
        </w:rPr>
        <w:t>(*)</w:t>
      </w:r>
      <w:r>
        <w:rPr>
          <w:rFonts w:ascii="Times New Roman" w:hAnsi="Times New Roman"/>
          <w:i/>
          <w:noProof/>
          <w:sz w:val="20"/>
        </w:rPr>
        <w:t xml:space="preserve"> Максимален брой точки: 45 точки. За всяка от трите инстанции могат да бъдат дадени три точки, ако са обхванати гражданските/търговските, административните и наказателните дела. Ако напр. е обхваната само една от тези три категории дела, се дава само една точка за всяка инстанция. Ако в дадена държава членка има само две инстанции, са присъдени точки за три инстанции, като несъществуващата инстанция получава същия брой точки като съответната най-висша инстанция.</w:t>
      </w:r>
      <w:r>
        <w:rPr>
          <w:rFonts w:ascii="Times New Roman" w:hAnsi="Times New Roman"/>
          <w:noProof/>
        </w:rPr>
        <w:t xml:space="preserve"> </w:t>
      </w:r>
      <w:r>
        <w:rPr>
          <w:rFonts w:ascii="Times New Roman" w:hAnsi="Times New Roman"/>
          <w:i/>
          <w:noProof/>
          <w:sz w:val="20"/>
        </w:rPr>
        <w:t xml:space="preserve">Що се отнася до държавите членки, които не правят разграничение между административните и гражданските/търговските дела, за двете области на правото са присъдени по еднакъв брой точки. </w:t>
      </w:r>
      <w:r>
        <w:rPr>
          <w:rFonts w:ascii="Times New Roman" w:hAnsi="Times New Roman"/>
          <w:b/>
          <w:i/>
          <w:noProof/>
          <w:sz w:val="20"/>
        </w:rPr>
        <w:t>CZ:</w:t>
      </w:r>
      <w:r>
        <w:rPr>
          <w:rFonts w:ascii="Times New Roman" w:hAnsi="Times New Roman"/>
          <w:i/>
          <w:noProof/>
          <w:sz w:val="20"/>
        </w:rPr>
        <w:t xml:space="preserve"> на някои от съдебните решения, постановени на втора инстанция по граждански/търговски дела, е даден европейски идентификатор за съдебна практика (ECLI). </w:t>
      </w:r>
      <w:r>
        <w:rPr>
          <w:rFonts w:ascii="Times New Roman" w:hAnsi="Times New Roman"/>
          <w:b/>
          <w:i/>
          <w:noProof/>
          <w:sz w:val="20"/>
        </w:rPr>
        <w:t>IE:</w:t>
      </w:r>
      <w:r>
        <w:rPr>
          <w:rFonts w:ascii="Times New Roman" w:hAnsi="Times New Roman"/>
          <w:i/>
          <w:noProof/>
          <w:sz w:val="20"/>
        </w:rPr>
        <w:t xml:space="preserve"> В правния ред на Ирландия административните дела са част от категорията на гражданските и търговските дела. </w:t>
      </w:r>
      <w:r>
        <w:rPr>
          <w:rFonts w:ascii="Times New Roman" w:hAnsi="Times New Roman"/>
          <w:b/>
          <w:i/>
          <w:noProof/>
          <w:sz w:val="20"/>
          <w:szCs w:val="18"/>
        </w:rPr>
        <w:t>NL:</w:t>
      </w:r>
      <w:r>
        <w:rPr>
          <w:rFonts w:ascii="Times New Roman" w:hAnsi="Times New Roman"/>
          <w:i/>
          <w:noProof/>
          <w:sz w:val="20"/>
          <w:szCs w:val="18"/>
        </w:rPr>
        <w:t xml:space="preserve"> няма ключови думи, но към всяко публикувано съдебно решение се добавя съдържание.</w:t>
      </w:r>
    </w:p>
    <w:p>
      <w:pPr>
        <w:spacing w:before="240" w:after="120" w:line="240" w:lineRule="auto"/>
        <w:jc w:val="both"/>
        <w:rPr>
          <w:rFonts w:ascii="Times New Roman" w:eastAsia="Calibri" w:hAnsi="Times New Roman" w:cs="Helvetica Neue"/>
          <w:i/>
          <w:noProof/>
          <w:color w:val="000000"/>
          <w:sz w:val="24"/>
          <w:szCs w:val="18"/>
        </w:rPr>
      </w:pPr>
      <w:bookmarkStart w:id="382" w:name="_Toc409530226"/>
      <w:bookmarkStart w:id="383" w:name="_Toc438545676"/>
      <w:bookmarkStart w:id="384" w:name="_Toc438548326"/>
      <w:bookmarkStart w:id="385" w:name="_Toc438548512"/>
      <w:r>
        <w:rPr>
          <w:rFonts w:ascii="Times New Roman" w:hAnsi="Times New Roman"/>
          <w:i/>
          <w:noProof/>
        </w:rPr>
        <w:t>—</w:t>
      </w:r>
      <w:r>
        <w:rPr>
          <w:rFonts w:ascii="Times New Roman" w:hAnsi="Times New Roman"/>
          <w:i/>
          <w:noProof/>
          <w:color w:val="000000"/>
          <w:sz w:val="24"/>
          <w:szCs w:val="18"/>
        </w:rPr>
        <w:t xml:space="preserve"> Достъп до алтернативни способи за разрешаване на спорове</w:t>
      </w:r>
      <w:bookmarkEnd w:id="382"/>
      <w:bookmarkEnd w:id="383"/>
      <w:bookmarkEnd w:id="384"/>
      <w:bookmarkEnd w:id="385"/>
      <w:r>
        <w:rPr>
          <w:rFonts w:ascii="Times New Roman" w:hAnsi="Times New Roman"/>
          <w:i/>
          <w:noProof/>
          <w:color w:val="000000"/>
          <w:sz w:val="24"/>
          <w:szCs w:val="18"/>
        </w:rPr>
        <w:t> —</w:t>
      </w:r>
    </w:p>
    <w:p>
      <w:pPr>
        <w:spacing w:after="120" w:line="240" w:lineRule="auto"/>
        <w:jc w:val="both"/>
        <w:rPr>
          <w:rFonts w:ascii="Times New Roman" w:eastAsia="Calibri" w:hAnsi="Times New Roman" w:cs="Times New Roman"/>
          <w:noProof/>
        </w:rPr>
      </w:pPr>
      <w:r>
        <w:rPr>
          <w:rFonts w:ascii="Times New Roman" w:hAnsi="Times New Roman"/>
          <w:noProof/>
          <w:sz w:val="24"/>
        </w:rPr>
        <w:t>Графика 27 илюстрира усилията на държавите членки за насърчаване на доброволното използване на алтернативни способи за разрешаване на спорове (АРС) посредством конкретни стимули, които могат да се различават в зависимост от съответната област на правото (</w:t>
      </w:r>
      <w:r>
        <w:rPr>
          <w:rFonts w:ascii="Times New Roman" w:eastAsia="Calibri" w:hAnsi="Times New Roman" w:cs="Times New Roman"/>
          <w:noProof/>
          <w:sz w:val="24"/>
          <w:vertAlign w:val="superscript"/>
        </w:rPr>
        <w:footnoteReference w:id="87"/>
      </w:r>
      <w:r>
        <w:rPr>
          <w:rFonts w:ascii="Times New Roman" w:hAnsi="Times New Roman"/>
          <w:noProof/>
          <w:sz w:val="24"/>
        </w:rPr>
        <w:t>).</w:t>
      </w:r>
      <w:bookmarkStart w:id="386" w:name="_Ref441218564"/>
      <w:bookmarkStart w:id="387" w:name="_Ref442346571"/>
    </w:p>
    <w:p>
      <w:pPr>
        <w:spacing w:before="240" w:after="120" w:line="240" w:lineRule="auto"/>
        <w:ind w:left="40"/>
        <w:jc w:val="both"/>
        <w:rPr>
          <w:rFonts w:ascii="Times New Roman" w:eastAsia="Calibri" w:hAnsi="Times New Roman" w:cs="Times New Roman"/>
          <w:i/>
          <w:noProof/>
          <w:sz w:val="24"/>
        </w:rPr>
      </w:pPr>
      <w:r>
        <w:rPr>
          <w:rFonts w:ascii="Times New Roman" w:hAnsi="Times New Roman"/>
          <w:b/>
          <w:noProof/>
          <w:sz w:val="24"/>
        </w:rPr>
        <w:t>Графика</w:t>
      </w:r>
      <w:bookmarkEnd w:id="386"/>
      <w:bookmarkEnd w:id="387"/>
      <w:r>
        <w:rPr>
          <w:rFonts w:ascii="Times New Roman" w:hAnsi="Times New Roman"/>
          <w:b/>
          <w:noProof/>
          <w:sz w:val="24"/>
        </w:rPr>
        <w:t>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 MERGEFORMAT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27</w:t>
      </w:r>
      <w:r>
        <w:rPr>
          <w:rFonts w:ascii="Times New Roman" w:eastAsia="Calibri" w:hAnsi="Times New Roman" w:cs="Times New Roman"/>
          <w:b/>
          <w:noProof/>
          <w:sz w:val="24"/>
        </w:rPr>
        <w:fldChar w:fldCharType="end"/>
      </w:r>
      <w:r>
        <w:rPr>
          <w:rFonts w:ascii="Times New Roman" w:hAnsi="Times New Roman"/>
          <w:b/>
          <w:noProof/>
          <w:sz w:val="24"/>
        </w:rPr>
        <w:t xml:space="preserve">: Насърчаване и стимулиране на използването на способи за АРС </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(източник: Европейска комисия (</w:t>
      </w:r>
      <w:r>
        <w:rPr>
          <w:rFonts w:ascii="Times New Roman" w:eastAsia="Calibri" w:hAnsi="Times New Roman" w:cs="Times New Roman"/>
          <w:i/>
          <w:noProof/>
          <w:sz w:val="24"/>
          <w:vertAlign w:val="superscript"/>
        </w:rPr>
        <w:footnoteReference w:id="88"/>
      </w:r>
      <w:r>
        <w:rPr>
          <w:rFonts w:ascii="Times New Roman" w:hAnsi="Times New Roman"/>
          <w:i/>
          <w:noProof/>
          <w:sz w:val="24"/>
        </w:rPr>
        <w:t>)</w:t>
      </w:r>
    </w:p>
    <w:p>
      <w:pPr>
        <w:spacing w:after="0" w:line="240" w:lineRule="auto"/>
        <w:jc w:val="both"/>
        <w:rPr>
          <w:rFonts w:ascii="Times New Roman" w:eastAsia="Calibri" w:hAnsi="Times New Roman" w:cs="Times New Roman"/>
          <w:i/>
          <w:noProof/>
          <w:sz w:val="24"/>
        </w:rPr>
      </w:pPr>
      <w:r>
        <w:rPr>
          <w:noProof/>
          <w:lang w:val="en-GB" w:eastAsia="en-GB"/>
        </w:rPr>
        <w:drawing>
          <wp:inline distT="0" distB="0" distL="0" distR="0">
            <wp:extent cx="5977255" cy="2639959"/>
            <wp:effectExtent l="0" t="0" r="4445" b="825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77255" cy="2639959"/>
                    </a:xfrm>
                    <a:prstGeom prst="rect">
                      <a:avLst/>
                    </a:prstGeom>
                    <a:noFill/>
                    <a:ln>
                      <a:noFill/>
                    </a:ln>
                  </pic:spPr>
                </pic:pic>
              </a:graphicData>
            </a:graphic>
          </wp:inline>
        </w:drawing>
      </w:r>
    </w:p>
    <w:p>
      <w:pPr>
        <w:spacing w:after="0" w:line="240" w:lineRule="auto"/>
        <w:ind w:left="40"/>
        <w:jc w:val="both"/>
        <w:rPr>
          <w:rFonts w:ascii="Times New Roman" w:eastAsia="Calibri" w:hAnsi="Times New Roman" w:cs="Times New Roman"/>
          <w:i/>
          <w:noProof/>
          <w:spacing w:val="-4"/>
          <w:sz w:val="24"/>
        </w:rPr>
      </w:pPr>
      <w:r>
        <w:rPr>
          <w:rFonts w:ascii="Times New Roman" w:hAnsi="Times New Roman"/>
          <w:i/>
          <w:noProof/>
          <w:spacing w:val="-4"/>
          <w:sz w:val="20"/>
        </w:rPr>
        <w:t xml:space="preserve">(*) Максимален брой точки: 48 точки. Агрегирани данни въз основа на следните показатели: 1) уебсайт с информация относно АРС, 2) информационни кампании в медиите, 3) брошури за широката общественост, 4) съдилищата предоставят специални информационни сесии относно АРС при поискване, 5) в съдилищата има координатори за АРС/медиация, 6) публикуване на оценки за използването на АРС, 7) публикуване на статистически данни за използването на АРС, 8) правната помощ покрива направените за АРС разходи (частично или изцяло), 9) пълно или частично възстановяване на съдебните такси (включително държавните такси, ако АРС е довело до успешно решаване на спора), 10) не се изисква адвокат за процедурата по АРС, 11) съдията може да действа като медиатор, и 12) споразумението, постигнато от страните, се признава от съда. За всеки един от тези 12 показателя се присъжда по една точка за всяка област на правото. </w:t>
      </w:r>
      <w:r>
        <w:rPr>
          <w:rFonts w:ascii="Times New Roman" w:hAnsi="Times New Roman"/>
          <w:b/>
          <w:i/>
          <w:noProof/>
          <w:spacing w:val="-4"/>
          <w:sz w:val="20"/>
        </w:rPr>
        <w:t>DK:</w:t>
      </w:r>
      <w:r>
        <w:rPr>
          <w:rFonts w:ascii="Times New Roman" w:hAnsi="Times New Roman"/>
          <w:i/>
          <w:noProof/>
          <w:spacing w:val="-4"/>
          <w:sz w:val="20"/>
        </w:rPr>
        <w:t xml:space="preserve"> всеки съд има представител, отговарящ за насърчаването на използването на медиация. Административните съдилища могат да предлагат на страните да прибягнат до медиация. </w:t>
      </w:r>
      <w:r>
        <w:rPr>
          <w:rFonts w:ascii="Times New Roman" w:hAnsi="Times New Roman"/>
          <w:b/>
          <w:i/>
          <w:noProof/>
          <w:spacing w:val="-4"/>
          <w:sz w:val="20"/>
        </w:rPr>
        <w:t>IE:</w:t>
      </w:r>
      <w:r>
        <w:rPr>
          <w:rFonts w:ascii="Times New Roman" w:hAnsi="Times New Roman"/>
          <w:i/>
          <w:noProof/>
          <w:spacing w:val="-4"/>
          <w:sz w:val="20"/>
        </w:rPr>
        <w:t xml:space="preserve"> административните дела са част от категорията на гражданските и търговските дела. </w:t>
      </w:r>
      <w:r>
        <w:rPr>
          <w:rFonts w:ascii="Times New Roman" w:hAnsi="Times New Roman"/>
          <w:b/>
          <w:i/>
          <w:noProof/>
          <w:spacing w:val="-4"/>
          <w:sz w:val="20"/>
        </w:rPr>
        <w:t>EL:</w:t>
      </w:r>
      <w:r>
        <w:rPr>
          <w:rFonts w:ascii="Times New Roman" w:hAnsi="Times New Roman"/>
          <w:i/>
          <w:noProof/>
          <w:spacing w:val="-4"/>
          <w:sz w:val="20"/>
        </w:rPr>
        <w:t xml:space="preserve"> при процедурите за възлагане на обществени поръчки има възможност за прилагане на АРС на етапа пред административните апелативни съдилища. </w:t>
      </w:r>
      <w:r>
        <w:rPr>
          <w:rFonts w:ascii="Times New Roman" w:hAnsi="Times New Roman"/>
          <w:b/>
          <w:i/>
          <w:noProof/>
          <w:spacing w:val="-4"/>
          <w:sz w:val="20"/>
        </w:rPr>
        <w:t>ES:</w:t>
      </w:r>
      <w:r>
        <w:rPr>
          <w:rFonts w:ascii="Times New Roman" w:hAnsi="Times New Roman"/>
          <w:i/>
          <w:noProof/>
          <w:spacing w:val="-4"/>
          <w:sz w:val="20"/>
        </w:rPr>
        <w:t xml:space="preserve"> АРС е задължително по трудовоправни казуси. </w:t>
      </w:r>
      <w:r>
        <w:rPr>
          <w:rFonts w:ascii="Times New Roman" w:hAnsi="Times New Roman"/>
          <w:b/>
          <w:i/>
          <w:noProof/>
          <w:spacing w:val="-4"/>
          <w:sz w:val="20"/>
        </w:rPr>
        <w:t>LT:</w:t>
      </w:r>
      <w:r>
        <w:rPr>
          <w:rFonts w:ascii="Times New Roman" w:hAnsi="Times New Roman"/>
          <w:i/>
          <w:noProof/>
          <w:spacing w:val="-4"/>
          <w:sz w:val="20"/>
        </w:rPr>
        <w:t xml:space="preserve"> секретар от Националната съдебна администрация координира процедурите по съдебна медиация в съдилищата. </w:t>
      </w:r>
      <w:r>
        <w:rPr>
          <w:rFonts w:ascii="Times New Roman" w:hAnsi="Times New Roman"/>
          <w:b/>
          <w:i/>
          <w:noProof/>
          <w:spacing w:val="-4"/>
          <w:sz w:val="20"/>
        </w:rPr>
        <w:t>PT:</w:t>
      </w:r>
      <w:r>
        <w:rPr>
          <w:rFonts w:ascii="Times New Roman" w:hAnsi="Times New Roman"/>
          <w:i/>
          <w:noProof/>
          <w:spacing w:val="-4"/>
          <w:sz w:val="20"/>
        </w:rPr>
        <w:t xml:space="preserve"> при граждански/търговски спорове съдебните такси се възстановяват само когато делото се гледа от мирови съдия. </w:t>
      </w:r>
      <w:r>
        <w:rPr>
          <w:rFonts w:ascii="Times New Roman" w:hAnsi="Times New Roman"/>
          <w:b/>
          <w:i/>
          <w:noProof/>
          <w:spacing w:val="-4"/>
          <w:sz w:val="20"/>
        </w:rPr>
        <w:t>SK:</w:t>
      </w:r>
      <w:r>
        <w:rPr>
          <w:rFonts w:ascii="Times New Roman" w:hAnsi="Times New Roman"/>
          <w:i/>
          <w:noProof/>
          <w:spacing w:val="-4"/>
          <w:sz w:val="20"/>
        </w:rPr>
        <w:t xml:space="preserve"> словашкият правен ред не допуска използването на АРС за административни цели. </w:t>
      </w:r>
      <w:r>
        <w:rPr>
          <w:rFonts w:ascii="Times New Roman" w:hAnsi="Times New Roman"/>
          <w:b/>
          <w:i/>
          <w:noProof/>
          <w:spacing w:val="-4"/>
          <w:sz w:val="20"/>
        </w:rPr>
        <w:t>SE:</w:t>
      </w:r>
      <w:r>
        <w:rPr>
          <w:rFonts w:ascii="Times New Roman" w:hAnsi="Times New Roman"/>
          <w:i/>
          <w:noProof/>
          <w:spacing w:val="-4"/>
          <w:sz w:val="20"/>
        </w:rPr>
        <w:t xml:space="preserve"> съдиите имат процесуална автономия по отношение на АРС. Разбира се, съдията е длъжен да се стреми към постигането на спогодби по взаимно съгласие, освен ако това е неуместно.</w:t>
      </w:r>
      <w:bookmarkStart w:id="388" w:name="_Toc438545678"/>
      <w:bookmarkStart w:id="389" w:name="_Toc438548328"/>
      <w:bookmarkStart w:id="390" w:name="_Toc438548514"/>
      <w:bookmarkStart w:id="391" w:name="_Toc440010581"/>
      <w:bookmarkStart w:id="392" w:name="_Toc440017700"/>
      <w:bookmarkStart w:id="393" w:name="_Toc440033382"/>
      <w:bookmarkStart w:id="394" w:name="_Toc440035233"/>
      <w:bookmarkStart w:id="395" w:name="_Toc440036528"/>
      <w:bookmarkStart w:id="396" w:name="_Toc440042470"/>
      <w:bookmarkStart w:id="397" w:name="_Toc440291123"/>
      <w:bookmarkStart w:id="398" w:name="_Toc440294686"/>
      <w:bookmarkStart w:id="399" w:name="_Toc440295188"/>
      <w:bookmarkStart w:id="400" w:name="_Toc440296593"/>
      <w:bookmarkStart w:id="401" w:name="_Toc440625077"/>
      <w:bookmarkStart w:id="402" w:name="_Toc440626407"/>
      <w:bookmarkStart w:id="403" w:name="_Toc440628861"/>
      <w:bookmarkStart w:id="404" w:name="_Toc441571134"/>
      <w:bookmarkStart w:id="405" w:name="_Toc441581636"/>
      <w:bookmarkStart w:id="406" w:name="_Toc441585903"/>
      <w:bookmarkStart w:id="407" w:name="_Toc441595838"/>
      <w:bookmarkStart w:id="408" w:name="_Toc441596015"/>
      <w:bookmarkStart w:id="409" w:name="_Toc441748140"/>
      <w:bookmarkStart w:id="410" w:name="_Toc441755425"/>
      <w:bookmarkStart w:id="411" w:name="_Toc441756462"/>
      <w:bookmarkStart w:id="412" w:name="_Toc441757506"/>
      <w:bookmarkStart w:id="413" w:name="_Toc441766635"/>
      <w:bookmarkStart w:id="414" w:name="_Toc441766974"/>
    </w:p>
    <w:p>
      <w:pPr>
        <w:keepNext/>
        <w:tabs>
          <w:tab w:val="left" w:pos="850"/>
        </w:tabs>
        <w:spacing w:before="240" w:after="120" w:line="240" w:lineRule="auto"/>
        <w:ind w:left="850" w:hanging="850"/>
        <w:jc w:val="both"/>
        <w:outlineLvl w:val="2"/>
        <w:rPr>
          <w:rFonts w:ascii="Times New Roman" w:eastAsia="Times New Roman" w:hAnsi="Times New Roman" w:cs="Times New Roman"/>
          <w:b/>
          <w:noProof/>
          <w:spacing w:val="-4"/>
          <w:sz w:val="24"/>
          <w:szCs w:val="24"/>
        </w:rPr>
      </w:pPr>
      <w:bookmarkStart w:id="415" w:name="_Toc442187975"/>
      <w:bookmarkStart w:id="416" w:name="_Toc442262067"/>
      <w:bookmarkStart w:id="417" w:name="_Toc442362474"/>
      <w:bookmarkStart w:id="418" w:name="_Toc442374810"/>
      <w:bookmarkStart w:id="419" w:name="_Toc442425950"/>
      <w:bookmarkStart w:id="420" w:name="_Toc442453076"/>
      <w:bookmarkStart w:id="421" w:name="_Toc443484534"/>
      <w:bookmarkStart w:id="422" w:name="_Toc443484756"/>
      <w:bookmarkStart w:id="423" w:name="_Toc443509497"/>
      <w:bookmarkStart w:id="424" w:name="_Toc446014826"/>
      <w:r>
        <w:rPr>
          <w:rFonts w:ascii="Times New Roman" w:hAnsi="Times New Roman"/>
          <w:b/>
          <w:noProof/>
          <w:spacing w:val="-4"/>
          <w:sz w:val="24"/>
          <w:szCs w:val="24"/>
        </w:rPr>
        <w:t>3.2.2. Ресурси</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pPr>
        <w:spacing w:after="120" w:line="240" w:lineRule="auto"/>
        <w:jc w:val="both"/>
        <w:rPr>
          <w:rFonts w:ascii="Times New Roman" w:eastAsia="Calibri" w:hAnsi="Times New Roman" w:cs="Times New Roman"/>
          <w:noProof/>
          <w:sz w:val="24"/>
        </w:rPr>
      </w:pPr>
      <w:r>
        <w:rPr>
          <w:rFonts w:ascii="Times New Roman" w:hAnsi="Times New Roman"/>
          <w:noProof/>
          <w:sz w:val="24"/>
        </w:rPr>
        <w:t>За да може съдебната система да функционира добре, е нужно да има достатъчно ресурси, включително необходимите инвестиции в материални и технически инфраструктури, както и високо квалифицирани и обучени служители от всички категории, получаващи адекватни възнаграждения. Липсата на подходящи съоръжения, инструменти или служители с необходимата квалификация, умения и достъп до текущо обучение излага на риск качеството на производствата и на съдебните решения.</w:t>
      </w:r>
    </w:p>
    <w:p>
      <w:pPr>
        <w:spacing w:before="240" w:after="120" w:line="240" w:lineRule="auto"/>
        <w:jc w:val="both"/>
        <w:rPr>
          <w:rFonts w:ascii="Times New Roman" w:eastAsia="Calibri" w:hAnsi="Times New Roman" w:cs="Times New Roman"/>
          <w:i/>
          <w:noProof/>
          <w:sz w:val="24"/>
        </w:rPr>
      </w:pPr>
      <w:r>
        <w:rPr>
          <w:rFonts w:ascii="Times New Roman" w:hAnsi="Times New Roman"/>
          <w:i/>
          <w:noProof/>
        </w:rPr>
        <w:t xml:space="preserve">— </w:t>
      </w:r>
      <w:r>
        <w:rPr>
          <w:rFonts w:ascii="Times New Roman" w:hAnsi="Times New Roman"/>
          <w:i/>
          <w:noProof/>
          <w:sz w:val="24"/>
        </w:rPr>
        <w:t>Финансови ресурси</w:t>
      </w:r>
      <w:r>
        <w:rPr>
          <w:rFonts w:ascii="Times New Roman" w:hAnsi="Times New Roman"/>
          <w:i/>
          <w:noProof/>
        </w:rPr>
        <w:t> —</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Графиките, представени по-долу, илюстрират действителните държавни разходи за функционирането на съдебната система (с изключение на затворите), както на глава от населението (графика 28), така и като дял от брутния вътрешен продукт (БВП) (графика 29), критериите за определяне на финансовите ресурси (графика 30) и, накрая, основните категории разходи за съдилищата (графика 31) (</w:t>
      </w:r>
      <w:r>
        <w:rPr>
          <w:rFonts w:ascii="Times New Roman" w:eastAsia="Calibri" w:hAnsi="Times New Roman" w:cs="Times New Roman"/>
          <w:noProof/>
          <w:sz w:val="24"/>
          <w:vertAlign w:val="superscript"/>
        </w:rPr>
        <w:footnoteReference w:id="89"/>
      </w:r>
      <w:r>
        <w:rPr>
          <w:rFonts w:ascii="Times New Roman" w:hAnsi="Times New Roman"/>
          <w:noProof/>
          <w:sz w:val="24"/>
        </w:rPr>
        <w:t>).</w:t>
      </w:r>
      <w:bookmarkStart w:id="425" w:name="_Ref441218579"/>
    </w:p>
    <w:p>
      <w:pPr>
        <w:spacing w:after="120" w:line="240" w:lineRule="auto"/>
        <w:jc w:val="both"/>
        <w:rPr>
          <w:rFonts w:ascii="Times New Roman" w:eastAsia="Calibri" w:hAnsi="Times New Roman" w:cs="Times New Roman"/>
          <w:i/>
          <w:noProof/>
          <w:sz w:val="24"/>
        </w:rPr>
      </w:pPr>
      <w:r>
        <w:rPr>
          <w:rFonts w:ascii="Times New Roman" w:hAnsi="Times New Roman"/>
          <w:b/>
          <w:noProof/>
          <w:sz w:val="24"/>
        </w:rPr>
        <w:t>Графика</w:t>
      </w:r>
      <w:bookmarkEnd w:id="425"/>
      <w:r>
        <w:rPr>
          <w:rFonts w:ascii="Times New Roman" w:hAnsi="Times New Roman"/>
          <w:b/>
          <w:noProof/>
          <w:sz w:val="24"/>
        </w:rPr>
        <w:t>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 MERGEFORMAT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28</w:t>
      </w:r>
      <w:r>
        <w:rPr>
          <w:rFonts w:ascii="Times New Roman" w:eastAsia="Calibri" w:hAnsi="Times New Roman" w:cs="Times New Roman"/>
          <w:b/>
          <w:noProof/>
          <w:sz w:val="24"/>
        </w:rPr>
        <w:fldChar w:fldCharType="end"/>
      </w:r>
      <w:r>
        <w:rPr>
          <w:rFonts w:ascii="Times New Roman" w:hAnsi="Times New Roman"/>
          <w:b/>
          <w:noProof/>
          <w:sz w:val="24"/>
        </w:rPr>
        <w:t xml:space="preserve">: Общ размер на общите държавни разходи за съдилищата </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(в EUR на глава от населението) (източник: Евростат)</w:t>
      </w:r>
    </w:p>
    <w:p>
      <w:pPr>
        <w:keepNext/>
        <w:spacing w:after="0" w:line="240" w:lineRule="auto"/>
        <w:jc w:val="both"/>
        <w:rPr>
          <w:rFonts w:ascii="Times New Roman" w:eastAsia="Calibri" w:hAnsi="Times New Roman" w:cs="Times New Roman"/>
          <w:noProof/>
          <w:sz w:val="20"/>
        </w:rPr>
      </w:pPr>
      <w:r>
        <w:rPr>
          <w:noProof/>
          <w:lang w:val="en-GB" w:eastAsia="en-GB"/>
        </w:rPr>
        <w:drawing>
          <wp:inline distT="0" distB="0" distL="0" distR="0">
            <wp:extent cx="5977255" cy="3072436"/>
            <wp:effectExtent l="0" t="0" r="444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77255" cy="3072436"/>
                    </a:xfrm>
                    <a:prstGeom prst="rect">
                      <a:avLst/>
                    </a:prstGeom>
                    <a:noFill/>
                    <a:ln>
                      <a:noFill/>
                    </a:ln>
                  </pic:spPr>
                </pic:pic>
              </a:graphicData>
            </a:graphic>
          </wp:inline>
        </w:drawing>
      </w:r>
    </w:p>
    <w:p>
      <w:pPr>
        <w:spacing w:after="0" w:line="240" w:lineRule="auto"/>
        <w:jc w:val="both"/>
        <w:rPr>
          <w:rFonts w:ascii="Times New Roman" w:hAnsi="Times New Roman"/>
          <w:i/>
          <w:noProof/>
          <w:sz w:val="20"/>
        </w:rPr>
      </w:pPr>
      <w:r>
        <w:rPr>
          <w:rFonts w:ascii="Times New Roman" w:hAnsi="Times New Roman"/>
          <w:i/>
          <w:noProof/>
          <w:sz w:val="20"/>
        </w:rPr>
        <w:t xml:space="preserve">(*) Държавите членки са подредени според размера на разходите през 2017 г. (от най-висок към най-нисък). Данните за </w:t>
      </w:r>
      <w:r>
        <w:rPr>
          <w:rFonts w:ascii="Times New Roman" w:hAnsi="Times New Roman"/>
          <w:b/>
          <w:i/>
          <w:noProof/>
          <w:sz w:val="20"/>
        </w:rPr>
        <w:t>ES</w:t>
      </w:r>
      <w:r>
        <w:rPr>
          <w:rFonts w:ascii="Times New Roman" w:hAnsi="Times New Roman"/>
          <w:i/>
          <w:noProof/>
          <w:sz w:val="20"/>
        </w:rPr>
        <w:t xml:space="preserve">, </w:t>
      </w:r>
      <w:r>
        <w:rPr>
          <w:rFonts w:ascii="Times New Roman" w:hAnsi="Times New Roman"/>
          <w:b/>
          <w:i/>
          <w:noProof/>
          <w:sz w:val="20"/>
        </w:rPr>
        <w:t>FR</w:t>
      </w:r>
      <w:r>
        <w:rPr>
          <w:rFonts w:ascii="Times New Roman" w:hAnsi="Times New Roman"/>
          <w:i/>
          <w:noProof/>
          <w:sz w:val="20"/>
        </w:rPr>
        <w:t xml:space="preserve">, </w:t>
      </w:r>
      <w:r>
        <w:rPr>
          <w:rFonts w:ascii="Times New Roman" w:hAnsi="Times New Roman"/>
          <w:b/>
          <w:i/>
          <w:noProof/>
          <w:sz w:val="20"/>
        </w:rPr>
        <w:t>HR</w:t>
      </w:r>
      <w:r>
        <w:rPr>
          <w:rFonts w:ascii="Times New Roman" w:hAnsi="Times New Roman"/>
          <w:i/>
          <w:noProof/>
          <w:sz w:val="20"/>
        </w:rPr>
        <w:t xml:space="preserve">, </w:t>
      </w:r>
      <w:r>
        <w:rPr>
          <w:rFonts w:ascii="Times New Roman" w:hAnsi="Times New Roman"/>
          <w:b/>
          <w:i/>
          <w:noProof/>
          <w:sz w:val="20"/>
        </w:rPr>
        <w:t>NL</w:t>
      </w:r>
      <w:r>
        <w:rPr>
          <w:rFonts w:ascii="Times New Roman" w:hAnsi="Times New Roman"/>
          <w:i/>
          <w:noProof/>
          <w:sz w:val="20"/>
        </w:rPr>
        <w:t xml:space="preserve"> и </w:t>
      </w:r>
      <w:r>
        <w:rPr>
          <w:rFonts w:ascii="Times New Roman" w:hAnsi="Times New Roman"/>
          <w:b/>
          <w:i/>
          <w:noProof/>
          <w:sz w:val="20"/>
        </w:rPr>
        <w:t>SK</w:t>
      </w:r>
      <w:r>
        <w:rPr>
          <w:rFonts w:ascii="Times New Roman" w:hAnsi="Times New Roman"/>
          <w:i/>
          <w:noProof/>
          <w:sz w:val="20"/>
        </w:rPr>
        <w:t xml:space="preserve"> за 2017 г. са само предварителни.</w:t>
      </w:r>
    </w:p>
    <w:p>
      <w:pPr>
        <w:rPr>
          <w:rFonts w:ascii="Times New Roman" w:hAnsi="Times New Roman"/>
          <w:i/>
          <w:noProof/>
          <w:sz w:val="20"/>
        </w:rPr>
      </w:pPr>
      <w:r>
        <w:rPr>
          <w:rFonts w:ascii="Times New Roman" w:hAnsi="Times New Roman"/>
          <w:i/>
          <w:noProof/>
          <w:sz w:val="20"/>
        </w:rPr>
        <w:br w:type="page"/>
      </w:r>
    </w:p>
    <w:p>
      <w:pPr>
        <w:keepNext/>
        <w:spacing w:before="240" w:after="120" w:line="240" w:lineRule="auto"/>
        <w:jc w:val="both"/>
        <w:rPr>
          <w:rFonts w:ascii="Times New Roman" w:eastAsia="Times New Roman" w:hAnsi="Times New Roman" w:cs="Times New Roman"/>
          <w:i/>
          <w:noProof/>
          <w:sz w:val="24"/>
          <w:szCs w:val="24"/>
        </w:rPr>
      </w:pPr>
      <w:r>
        <w:rPr>
          <w:rFonts w:ascii="Times New Roman" w:hAnsi="Times New Roman"/>
          <w:b/>
          <w:noProof/>
          <w:sz w:val="24"/>
          <w:szCs w:val="24"/>
        </w:rPr>
        <w:t>Графика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 MERGEFORMAT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29</w:t>
      </w:r>
      <w:r>
        <w:rPr>
          <w:rFonts w:ascii="Times New Roman" w:eastAsia="Calibri" w:hAnsi="Times New Roman" w:cs="Times New Roman"/>
          <w:b/>
          <w:noProof/>
          <w:sz w:val="24"/>
          <w:szCs w:val="24"/>
        </w:rPr>
        <w:fldChar w:fldCharType="end"/>
      </w:r>
      <w:r>
        <w:rPr>
          <w:rFonts w:ascii="Times New Roman" w:hAnsi="Times New Roman"/>
          <w:b/>
          <w:noProof/>
          <w:sz w:val="24"/>
          <w:szCs w:val="24"/>
        </w:rPr>
        <w:t xml:space="preserve">: Общ размер на общите държавни разходи за съдилищата </w:t>
      </w:r>
      <w:r>
        <w:rPr>
          <w:rFonts w:ascii="Times New Roman" w:hAnsi="Times New Roman"/>
          <w:noProof/>
          <w:sz w:val="24"/>
          <w:szCs w:val="24"/>
        </w:rPr>
        <w:t>(</w:t>
      </w:r>
      <w:r>
        <w:rPr>
          <w:noProof/>
          <w:sz w:val="24"/>
          <w:szCs w:val="24"/>
        </w:rPr>
        <w:t>*</w:t>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i/>
          <w:noProof/>
          <w:sz w:val="24"/>
          <w:szCs w:val="24"/>
        </w:rPr>
        <w:t>(като процент от БВП) (източник: Евростат)</w:t>
      </w:r>
    </w:p>
    <w:p>
      <w:pPr>
        <w:spacing w:after="0" w:line="240" w:lineRule="auto"/>
        <w:jc w:val="both"/>
        <w:rPr>
          <w:rFonts w:ascii="Times New Roman" w:eastAsia="Times New Roman" w:hAnsi="Times New Roman" w:cs="Times New Roman"/>
          <w:i/>
          <w:noProof/>
          <w:sz w:val="20"/>
          <w:szCs w:val="24"/>
        </w:rPr>
      </w:pPr>
      <w:bookmarkStart w:id="426" w:name="_Ref440969342"/>
      <w:r>
        <w:rPr>
          <w:noProof/>
          <w:lang w:val="en-GB" w:eastAsia="en-GB"/>
        </w:rPr>
        <w:drawing>
          <wp:inline distT="0" distB="0" distL="0" distR="0">
            <wp:extent cx="5977255" cy="2629434"/>
            <wp:effectExtent l="0" t="0" r="444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77255" cy="2629434"/>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noProof/>
        </w:rPr>
      </w:pPr>
      <w:r>
        <w:rPr>
          <w:rFonts w:ascii="Times New Roman" w:hAnsi="Times New Roman"/>
          <w:i/>
          <w:noProof/>
          <w:sz w:val="20"/>
        </w:rPr>
        <w:t xml:space="preserve">(*) Държавите членки са подредени според размера на разходите през 2017 г. (от най-висок към най-нисък). Данните за </w:t>
      </w:r>
      <w:r>
        <w:rPr>
          <w:rFonts w:ascii="Times New Roman" w:hAnsi="Times New Roman"/>
          <w:b/>
          <w:i/>
          <w:noProof/>
          <w:sz w:val="20"/>
        </w:rPr>
        <w:t>ES</w:t>
      </w:r>
      <w:r>
        <w:rPr>
          <w:rFonts w:ascii="Times New Roman" w:hAnsi="Times New Roman"/>
          <w:i/>
          <w:noProof/>
          <w:sz w:val="20"/>
        </w:rPr>
        <w:t xml:space="preserve">, </w:t>
      </w:r>
      <w:r>
        <w:rPr>
          <w:rFonts w:ascii="Times New Roman" w:hAnsi="Times New Roman"/>
          <w:b/>
          <w:i/>
          <w:noProof/>
          <w:sz w:val="20"/>
        </w:rPr>
        <w:t>FR</w:t>
      </w:r>
      <w:r>
        <w:rPr>
          <w:rFonts w:ascii="Times New Roman" w:hAnsi="Times New Roman"/>
          <w:i/>
          <w:noProof/>
          <w:sz w:val="20"/>
        </w:rPr>
        <w:t xml:space="preserve">, </w:t>
      </w:r>
      <w:r>
        <w:rPr>
          <w:rFonts w:ascii="Times New Roman" w:hAnsi="Times New Roman"/>
          <w:b/>
          <w:i/>
          <w:noProof/>
          <w:sz w:val="20"/>
        </w:rPr>
        <w:t>HR</w:t>
      </w:r>
      <w:r>
        <w:rPr>
          <w:rFonts w:ascii="Times New Roman" w:hAnsi="Times New Roman"/>
          <w:i/>
          <w:noProof/>
          <w:sz w:val="20"/>
        </w:rPr>
        <w:t xml:space="preserve">, </w:t>
      </w:r>
      <w:r>
        <w:rPr>
          <w:rFonts w:ascii="Times New Roman" w:hAnsi="Times New Roman"/>
          <w:b/>
          <w:i/>
          <w:noProof/>
          <w:sz w:val="20"/>
        </w:rPr>
        <w:t>NL</w:t>
      </w:r>
      <w:r>
        <w:rPr>
          <w:rFonts w:ascii="Times New Roman" w:hAnsi="Times New Roman"/>
          <w:i/>
          <w:noProof/>
          <w:sz w:val="20"/>
        </w:rPr>
        <w:t xml:space="preserve"> и </w:t>
      </w:r>
      <w:r>
        <w:rPr>
          <w:rFonts w:ascii="Times New Roman" w:hAnsi="Times New Roman"/>
          <w:b/>
          <w:i/>
          <w:noProof/>
          <w:sz w:val="20"/>
        </w:rPr>
        <w:t>SK</w:t>
      </w:r>
      <w:r>
        <w:rPr>
          <w:rFonts w:ascii="Times New Roman" w:hAnsi="Times New Roman"/>
          <w:i/>
          <w:noProof/>
          <w:sz w:val="20"/>
        </w:rPr>
        <w:t xml:space="preserve"> за 2017 г. са само предварителни.</w:t>
      </w:r>
    </w:p>
    <w:p>
      <w:pPr>
        <w:spacing w:before="240" w:after="0" w:line="240" w:lineRule="auto"/>
        <w:jc w:val="both"/>
        <w:rPr>
          <w:rFonts w:ascii="Times New Roman" w:eastAsia="Times New Roman" w:hAnsi="Times New Roman" w:cs="Times New Roman"/>
          <w:b/>
          <w:noProof/>
          <w:sz w:val="24"/>
        </w:rPr>
      </w:pPr>
      <w:r>
        <w:rPr>
          <w:rFonts w:ascii="Times New Roman" w:hAnsi="Times New Roman"/>
          <w:noProof/>
          <w:sz w:val="24"/>
        </w:rPr>
        <w:t>Графика 30 показва коя публична власт (съдебна, законодателна или изпълнителна) установява критериите за определяне на финансовите ресурси за съдебната система и видовете критерии, които се използват.</w:t>
      </w:r>
    </w:p>
    <w:p>
      <w:pPr>
        <w:keepNext/>
        <w:spacing w:before="240" w:after="120" w:line="240" w:lineRule="auto"/>
        <w:jc w:val="both"/>
        <w:rPr>
          <w:rFonts w:ascii="Times New Roman" w:eastAsia="Times New Roman" w:hAnsi="Times New Roman" w:cs="Times New Roman"/>
          <w:noProof/>
          <w:sz w:val="24"/>
        </w:rPr>
      </w:pPr>
      <w:r>
        <w:rPr>
          <w:rFonts w:ascii="Times New Roman" w:hAnsi="Times New Roman" w:cs="Times New Roman"/>
          <w:b/>
          <w:noProof/>
          <w:sz w:val="24"/>
        </w:rPr>
        <w:t>Графика</w:t>
      </w:r>
      <w:bookmarkEnd w:id="426"/>
      <w:r>
        <w:rPr>
          <w:rFonts w:ascii="Times New Roman" w:hAnsi="Times New Roman" w:cs="Times New Roman"/>
          <w:b/>
          <w:noProof/>
          <w:sz w:val="24"/>
        </w:rPr>
        <w:t>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 MERGEFORMAT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30</w:t>
      </w:r>
      <w:r>
        <w:rPr>
          <w:rFonts w:ascii="Times New Roman" w:eastAsia="Calibri" w:hAnsi="Times New Roman" w:cs="Times New Roman"/>
          <w:b/>
          <w:noProof/>
          <w:sz w:val="24"/>
        </w:rPr>
        <w:fldChar w:fldCharType="end"/>
      </w:r>
      <w:r>
        <w:rPr>
          <w:rFonts w:ascii="Times New Roman" w:hAnsi="Times New Roman" w:cs="Times New Roman"/>
          <w:b/>
          <w:noProof/>
          <w:sz w:val="24"/>
        </w:rPr>
        <w:t>: Критерии за определяне на финансовите ресурси за съдебната система </w:t>
      </w:r>
      <w:r>
        <w:rPr>
          <w:rFonts w:ascii="Times New Roman" w:hAnsi="Times New Roman" w:cs="Times New Roman"/>
          <w:noProof/>
          <w:sz w:val="24"/>
        </w:rPr>
        <w:t>(*) (</w:t>
      </w:r>
      <w:r>
        <w:rPr>
          <w:rFonts w:ascii="Times New Roman" w:eastAsia="Times New Roman" w:hAnsi="Times New Roman" w:cs="Times New Roman"/>
          <w:noProof/>
          <w:sz w:val="24"/>
          <w:vertAlign w:val="superscript"/>
        </w:rPr>
        <w:footnoteReference w:id="90"/>
      </w:r>
      <w:r>
        <w:rPr>
          <w:rFonts w:ascii="Times New Roman" w:hAnsi="Times New Roman" w:cs="Times New Roman"/>
          <w:noProof/>
          <w:sz w:val="24"/>
        </w:rPr>
        <w:t>)</w:t>
      </w:r>
    </w:p>
    <w:p>
      <w:pPr>
        <w:keepNext/>
        <w:spacing w:after="0" w:line="240" w:lineRule="auto"/>
        <w:rPr>
          <w:rFonts w:ascii="Times New Roman" w:eastAsia="Calibri" w:hAnsi="Times New Roman" w:cs="Times New Roman"/>
          <w:i/>
          <w:noProof/>
          <w:sz w:val="20"/>
        </w:rPr>
      </w:pPr>
      <w:r>
        <w:rPr>
          <w:noProof/>
          <w:lang w:val="en-GB" w:eastAsia="en-GB"/>
        </w:rPr>
        <w:drawing>
          <wp:inline distT="0" distB="0" distL="0" distR="0">
            <wp:extent cx="5977255" cy="2187464"/>
            <wp:effectExtent l="0" t="0" r="4445" b="381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77255" cy="2187464"/>
                    </a:xfrm>
                    <a:prstGeom prst="rect">
                      <a:avLst/>
                    </a:prstGeom>
                    <a:noFill/>
                    <a:ln>
                      <a:noFill/>
                    </a:ln>
                  </pic:spPr>
                </pic:pic>
              </a:graphicData>
            </a:graphic>
          </wp:inline>
        </w:drawing>
      </w:r>
    </w:p>
    <w:p>
      <w:pPr>
        <w:keepNext/>
        <w:spacing w:after="0" w:line="240" w:lineRule="auto"/>
        <w:rPr>
          <w:rFonts w:ascii="Times New Roman" w:eastAsia="Calibri" w:hAnsi="Times New Roman" w:cs="Times New Roman"/>
          <w:i/>
          <w:noProof/>
          <w:sz w:val="20"/>
        </w:rPr>
      </w:pPr>
    </w:p>
    <w:p>
      <w:pPr>
        <w:spacing w:after="0" w:line="240" w:lineRule="auto"/>
        <w:jc w:val="both"/>
        <w:rPr>
          <w:rFonts w:ascii="Times New Roman" w:eastAsia="Calibri" w:hAnsi="Times New Roman" w:cs="Times New Roman"/>
          <w:i/>
          <w:noProof/>
          <w:sz w:val="20"/>
        </w:rPr>
      </w:pPr>
      <w:r>
        <w:rPr>
          <w:rFonts w:ascii="Times New Roman" w:hAnsi="Times New Roman"/>
          <w:i/>
          <w:noProof/>
          <w:sz w:val="20"/>
        </w:rPr>
        <w:t xml:space="preserve">(*) </w:t>
      </w:r>
      <w:r>
        <w:rPr>
          <w:rFonts w:ascii="Times New Roman" w:hAnsi="Times New Roman"/>
          <w:b/>
          <w:i/>
          <w:noProof/>
          <w:sz w:val="20"/>
        </w:rPr>
        <w:t>DK:</w:t>
      </w:r>
      <w:r>
        <w:rPr>
          <w:rFonts w:ascii="Times New Roman" w:hAnsi="Times New Roman"/>
          <w:i/>
          <w:noProof/>
          <w:sz w:val="20"/>
        </w:rPr>
        <w:t xml:space="preserve"> взет е предвид броят на входящите и решените дела в първоинстанционните съдилища. </w:t>
      </w:r>
      <w:r>
        <w:rPr>
          <w:rFonts w:ascii="Times New Roman" w:hAnsi="Times New Roman"/>
          <w:b/>
          <w:i/>
          <w:noProof/>
          <w:sz w:val="20"/>
        </w:rPr>
        <w:t>DE</w:t>
      </w:r>
      <w:r>
        <w:rPr>
          <w:rFonts w:ascii="Times New Roman" w:hAnsi="Times New Roman"/>
          <w:i/>
          <w:noProof/>
          <w:sz w:val="20"/>
        </w:rPr>
        <w:t xml:space="preserve">: само за бюджета на Федералния върховен съд — по отношение на съдилищата от първа и втора инстанция. Съдебните системи се различават в различните федерални провинции. </w:t>
      </w:r>
      <w:r>
        <w:rPr>
          <w:rFonts w:ascii="Times New Roman" w:hAnsi="Times New Roman"/>
          <w:b/>
          <w:i/>
          <w:noProof/>
          <w:sz w:val="20"/>
        </w:rPr>
        <w:t>EE:</w:t>
      </w:r>
      <w:r>
        <w:rPr>
          <w:rFonts w:ascii="Times New Roman" w:hAnsi="Times New Roman"/>
          <w:i/>
          <w:noProof/>
          <w:sz w:val="20"/>
        </w:rPr>
        <w:t xml:space="preserve"> брой на входящите и решените дела в съдилищата от първа и втора инстанция.</w:t>
      </w:r>
      <w:r>
        <w:rPr>
          <w:rFonts w:ascii="Times New Roman" w:hAnsi="Times New Roman"/>
          <w:noProof/>
        </w:rPr>
        <w:t xml:space="preserve"> </w:t>
      </w:r>
      <w:r>
        <w:rPr>
          <w:rFonts w:ascii="Times New Roman" w:hAnsi="Times New Roman"/>
          <w:b/>
          <w:i/>
          <w:noProof/>
          <w:sz w:val="20"/>
        </w:rPr>
        <w:t>FR:</w:t>
      </w:r>
      <w:r>
        <w:rPr>
          <w:rFonts w:ascii="Times New Roman" w:hAnsi="Times New Roman"/>
          <w:i/>
          <w:noProof/>
          <w:sz w:val="20"/>
        </w:rPr>
        <w:t xml:space="preserve"> брой на входящите и решените дела в съдилищата от всички инстанции.</w:t>
      </w:r>
      <w:r>
        <w:rPr>
          <w:rFonts w:ascii="Times New Roman" w:hAnsi="Times New Roman"/>
          <w:noProof/>
        </w:rPr>
        <w:t xml:space="preserve"> </w:t>
      </w:r>
      <w:r>
        <w:rPr>
          <w:rFonts w:ascii="Times New Roman" w:hAnsi="Times New Roman"/>
          <w:i/>
          <w:noProof/>
          <w:sz w:val="20"/>
        </w:rPr>
        <w:t xml:space="preserve">Взема се предвид броят на решените дела въз основа на оценка на разходите за съдилищата. </w:t>
      </w:r>
      <w:r>
        <w:rPr>
          <w:rFonts w:ascii="Times New Roman" w:hAnsi="Times New Roman"/>
          <w:b/>
          <w:i/>
          <w:noProof/>
          <w:sz w:val="20"/>
        </w:rPr>
        <w:t>IT:</w:t>
      </w:r>
      <w:r>
        <w:rPr>
          <w:rFonts w:ascii="Times New Roman" w:hAnsi="Times New Roman"/>
          <w:i/>
          <w:noProof/>
          <w:sz w:val="20"/>
        </w:rPr>
        <w:t xml:space="preserve"> Министерството на правосъдието определя критериите за гражданските и наказателните съдилища, докато Съдебният съвет (CPGA) определя критериите за административните съдилища. </w:t>
      </w:r>
      <w:r>
        <w:rPr>
          <w:rFonts w:ascii="Times New Roman" w:hAnsi="Times New Roman"/>
          <w:b/>
          <w:i/>
          <w:noProof/>
          <w:sz w:val="20"/>
        </w:rPr>
        <w:t>HU:</w:t>
      </w:r>
      <w:r>
        <w:rPr>
          <w:rFonts w:ascii="Times New Roman" w:hAnsi="Times New Roman"/>
          <w:i/>
          <w:noProof/>
          <w:sz w:val="20"/>
        </w:rPr>
        <w:t xml:space="preserve"> по закон заплатите на съдиите трябва да бъдат определени в Закона за централния бюджет по такъв начин, че сумата да не бъде по-ниска, отколкото през предходната година. </w:t>
      </w:r>
      <w:r>
        <w:rPr>
          <w:rFonts w:ascii="Times New Roman" w:hAnsi="Times New Roman"/>
          <w:b/>
          <w:i/>
          <w:noProof/>
          <w:sz w:val="20"/>
        </w:rPr>
        <w:t>NL:</w:t>
      </w:r>
      <w:r>
        <w:rPr>
          <w:rFonts w:ascii="Times New Roman" w:hAnsi="Times New Roman"/>
          <w:i/>
          <w:noProof/>
          <w:sz w:val="20"/>
        </w:rPr>
        <w:t xml:space="preserve"> взема се предвид броят на решените дела въз основа на оценка на разходите за съдилищата.</w:t>
      </w:r>
      <w:r>
        <w:rPr>
          <w:rFonts w:ascii="Times New Roman" w:hAnsi="Times New Roman"/>
          <w:b/>
          <w:i/>
          <w:noProof/>
          <w:sz w:val="20"/>
        </w:rPr>
        <w:t xml:space="preserve"> FI:</w:t>
      </w:r>
      <w:r>
        <w:rPr>
          <w:rFonts w:ascii="Times New Roman" w:hAnsi="Times New Roman"/>
          <w:i/>
          <w:noProof/>
          <w:sz w:val="20"/>
        </w:rPr>
        <w:t xml:space="preserve"> Взема се предвид броят на решените дела въз основа на оценка на разходите за съдилищата.</w:t>
      </w:r>
    </w:p>
    <w:p>
      <w:pPr>
        <w:spacing w:before="120" w:after="0" w:line="240" w:lineRule="auto"/>
        <w:jc w:val="both"/>
        <w:rPr>
          <w:rFonts w:ascii="Times New Roman" w:eastAsia="Calibri" w:hAnsi="Times New Roman" w:cs="Times New Roman"/>
          <w:b/>
          <w:noProof/>
        </w:rPr>
      </w:pPr>
      <w:r>
        <w:rPr>
          <w:rFonts w:ascii="Times New Roman" w:hAnsi="Times New Roman"/>
          <w:noProof/>
          <w:sz w:val="24"/>
        </w:rPr>
        <w:t>На графика 31 са илюстрирани за пръв път основните стопански категории, обхващащи държавните разходи за съдилищата: 1) възнаграждения и заплати на съдиите и съдебния персонал, включително социалноосигурителни вноски („заплащане</w:t>
      </w:r>
      <w:r>
        <w:rPr>
          <w:rFonts w:ascii="Times New Roman" w:hAnsi="Times New Roman"/>
          <w:noProof/>
        </w:rPr>
        <w:t xml:space="preserve"> </w:t>
      </w:r>
      <w:r>
        <w:rPr>
          <w:rFonts w:ascii="Times New Roman" w:hAnsi="Times New Roman"/>
          <w:noProof/>
          <w:sz w:val="24"/>
        </w:rPr>
        <w:t xml:space="preserve">на служителите“ </w:t>
      </w:r>
      <w:r>
        <w:rPr>
          <w:rFonts w:ascii="Times New Roman" w:hAnsi="Times New Roman"/>
          <w:noProof/>
        </w:rPr>
        <w:t>(</w:t>
      </w:r>
      <w:r>
        <w:rPr>
          <w:rFonts w:ascii="Times New Roman" w:eastAsia="Calibri" w:hAnsi="Times New Roman" w:cs="Times New Roman"/>
          <w:noProof/>
          <w:vertAlign w:val="superscript"/>
        </w:rPr>
        <w:footnoteReference w:id="91"/>
      </w:r>
      <w:r>
        <w:rPr>
          <w:rFonts w:ascii="Times New Roman" w:hAnsi="Times New Roman"/>
          <w:noProof/>
        </w:rPr>
        <w:t xml:space="preserve">), </w:t>
      </w:r>
      <w:r>
        <w:rPr>
          <w:rFonts w:ascii="Times New Roman" w:hAnsi="Times New Roman"/>
          <w:noProof/>
          <w:sz w:val="24"/>
        </w:rPr>
        <w:t xml:space="preserve">2) оперативни разходи за стоки и услуги, използвани от съдилищата, например наем на сгради, канцеларски материали, енергия и правна помощ („междинно потребление“ </w:t>
      </w:r>
      <w:r>
        <w:rPr>
          <w:rFonts w:ascii="Times New Roman" w:hAnsi="Times New Roman"/>
          <w:noProof/>
        </w:rPr>
        <w:t>(</w:t>
      </w:r>
      <w:r>
        <w:rPr>
          <w:rFonts w:ascii="Times New Roman" w:eastAsia="Calibri" w:hAnsi="Times New Roman" w:cs="Times New Roman"/>
          <w:noProof/>
          <w:vertAlign w:val="superscript"/>
        </w:rPr>
        <w:footnoteReference w:id="92"/>
      </w:r>
      <w:r>
        <w:rPr>
          <w:rFonts w:ascii="Times New Roman" w:hAnsi="Times New Roman"/>
          <w:noProof/>
        </w:rPr>
        <w:t xml:space="preserve">), </w:t>
      </w:r>
      <w:r>
        <w:rPr>
          <w:rFonts w:ascii="Times New Roman" w:hAnsi="Times New Roman"/>
          <w:noProof/>
          <w:sz w:val="24"/>
        </w:rPr>
        <w:t>3) инвестиции в дълготрайни активи, като съдебни сгради и софтуер („бруто образуване на основен капитал“ (</w:t>
      </w:r>
      <w:r>
        <w:rPr>
          <w:rFonts w:ascii="Times New Roman" w:eastAsia="Calibri" w:hAnsi="Times New Roman" w:cs="Times New Roman"/>
          <w:noProof/>
          <w:sz w:val="24"/>
          <w:vertAlign w:val="superscript"/>
        </w:rPr>
        <w:footnoteReference w:id="93"/>
      </w:r>
      <w:r>
        <w:rPr>
          <w:rFonts w:ascii="Times New Roman" w:hAnsi="Times New Roman"/>
          <w:noProof/>
          <w:sz w:val="24"/>
        </w:rPr>
        <w:t>), и 4) други разходи.</w:t>
      </w:r>
    </w:p>
    <w:p>
      <w:pPr>
        <w:keepNext/>
        <w:spacing w:before="240" w:after="120" w:line="240" w:lineRule="auto"/>
        <w:jc w:val="both"/>
        <w:rPr>
          <w:rFonts w:ascii="Times New Roman" w:eastAsia="Times New Roman" w:hAnsi="Times New Roman" w:cs="Times New Roman"/>
          <w:i/>
          <w:noProof/>
          <w:sz w:val="24"/>
          <w:szCs w:val="24"/>
        </w:rPr>
      </w:pPr>
      <w:r>
        <w:rPr>
          <w:rFonts w:ascii="Times New Roman" w:hAnsi="Times New Roman"/>
          <w:b/>
          <w:noProof/>
          <w:sz w:val="24"/>
          <w:szCs w:val="24"/>
        </w:rPr>
        <w:t>Графика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 MERGEFORMAT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31</w:t>
      </w:r>
      <w:r>
        <w:rPr>
          <w:rFonts w:ascii="Times New Roman" w:eastAsia="Calibri" w:hAnsi="Times New Roman" w:cs="Times New Roman"/>
          <w:b/>
          <w:noProof/>
          <w:sz w:val="24"/>
          <w:szCs w:val="24"/>
        </w:rPr>
        <w:fldChar w:fldCharType="end"/>
      </w:r>
      <w:r>
        <w:rPr>
          <w:rFonts w:ascii="Times New Roman" w:hAnsi="Times New Roman"/>
          <w:b/>
          <w:noProof/>
          <w:sz w:val="24"/>
          <w:szCs w:val="24"/>
        </w:rPr>
        <w:t>: Общ размер на общите държавни разходи за съдилищата</w:t>
      </w:r>
      <w:r>
        <w:rPr>
          <w:rFonts w:ascii="Times New Roman" w:hAnsi="Times New Roman"/>
          <w:noProof/>
          <w:sz w:val="24"/>
          <w:szCs w:val="24"/>
        </w:rPr>
        <w:t xml:space="preserve"> </w:t>
      </w:r>
      <w:r>
        <w:rPr>
          <w:rFonts w:ascii="Times New Roman" w:hAnsi="Times New Roman"/>
          <w:i/>
          <w:noProof/>
          <w:sz w:val="24"/>
          <w:szCs w:val="24"/>
        </w:rPr>
        <w:t>(през 2017 г., като процент от разходите) (източник: Евростат)</w:t>
      </w:r>
    </w:p>
    <w:p>
      <w:pPr>
        <w:spacing w:after="0" w:line="240" w:lineRule="auto"/>
        <w:jc w:val="both"/>
        <w:rPr>
          <w:rFonts w:ascii="Times New Roman" w:eastAsia="Calibri" w:hAnsi="Times New Roman" w:cs="Times New Roman"/>
          <w:i/>
          <w:noProof/>
        </w:rPr>
      </w:pPr>
      <w:r>
        <w:rPr>
          <w:noProof/>
          <w:lang w:val="en-GB" w:eastAsia="en-GB"/>
        </w:rPr>
        <w:drawing>
          <wp:inline distT="0" distB="0" distL="0" distR="0">
            <wp:extent cx="5977255" cy="3004760"/>
            <wp:effectExtent l="0" t="0" r="4445" b="571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77255" cy="3004760"/>
                    </a:xfrm>
                    <a:prstGeom prst="rect">
                      <a:avLst/>
                    </a:prstGeom>
                    <a:noFill/>
                    <a:ln>
                      <a:noFill/>
                    </a:ln>
                  </pic:spPr>
                </pic:pic>
              </a:graphicData>
            </a:graphic>
          </wp:inline>
        </w:drawing>
      </w:r>
    </w:p>
    <w:p>
      <w:pPr>
        <w:spacing w:before="240" w:after="120" w:line="240" w:lineRule="auto"/>
        <w:jc w:val="both"/>
        <w:rPr>
          <w:rFonts w:ascii="Times New Roman" w:eastAsia="Calibri" w:hAnsi="Times New Roman" w:cs="Times New Roman"/>
          <w:noProof/>
          <w:sz w:val="24"/>
        </w:rPr>
      </w:pPr>
      <w:r>
        <w:rPr>
          <w:rFonts w:ascii="Times New Roman" w:hAnsi="Times New Roman"/>
          <w:i/>
          <w:noProof/>
        </w:rPr>
        <w:t xml:space="preserve">— </w:t>
      </w:r>
      <w:r>
        <w:rPr>
          <w:rFonts w:ascii="Times New Roman" w:hAnsi="Times New Roman"/>
          <w:i/>
          <w:noProof/>
          <w:sz w:val="24"/>
        </w:rPr>
        <w:t>Човешки ресурси</w:t>
      </w:r>
      <w:r>
        <w:rPr>
          <w:rFonts w:ascii="Times New Roman" w:hAnsi="Times New Roman"/>
          <w:i/>
          <w:noProof/>
        </w:rPr>
        <w:t> —</w:t>
      </w:r>
    </w:p>
    <w:p>
      <w:pPr>
        <w:spacing w:before="120" w:after="120" w:line="240" w:lineRule="auto"/>
        <w:jc w:val="both"/>
        <w:rPr>
          <w:rFonts w:ascii="Times New Roman" w:eastAsia="Calibri" w:hAnsi="Times New Roman" w:cs="Times New Roman"/>
          <w:b/>
          <w:noProof/>
          <w:sz w:val="24"/>
        </w:rPr>
      </w:pPr>
      <w:r>
        <w:rPr>
          <w:rFonts w:ascii="Times New Roman" w:hAnsi="Times New Roman"/>
          <w:noProof/>
          <w:sz w:val="24"/>
        </w:rPr>
        <w:t>Наличието на подходящи човешки ресурси е от много голямо значение за качеството на съдебната система. Разнообразието сред съдиите, включително балансът между половете, носи допълнителни знания, умения и опит и отразява обществената действителност.</w:t>
      </w:r>
    </w:p>
    <w:p>
      <w:pPr>
        <w:keepNext/>
        <w:spacing w:before="240" w:after="120" w:line="240" w:lineRule="auto"/>
        <w:jc w:val="both"/>
        <w:rPr>
          <w:rFonts w:ascii="Times New Roman" w:eastAsia="Calibri" w:hAnsi="Times New Roman" w:cs="Times New Roman"/>
          <w:b/>
          <w:noProof/>
          <w:sz w:val="24"/>
          <w:szCs w:val="24"/>
        </w:rPr>
      </w:pPr>
      <w:r>
        <w:rPr>
          <w:rFonts w:ascii="Times New Roman" w:hAnsi="Times New Roman"/>
          <w:b/>
          <w:noProof/>
          <w:sz w:val="24"/>
        </w:rPr>
        <w:t>Графика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 MERGEFORMAT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32</w:t>
      </w:r>
      <w:r>
        <w:rPr>
          <w:rFonts w:ascii="Times New Roman" w:eastAsia="Calibri" w:hAnsi="Times New Roman" w:cs="Times New Roman"/>
          <w:b/>
          <w:noProof/>
          <w:sz w:val="24"/>
          <w:szCs w:val="24"/>
        </w:rPr>
        <w:fldChar w:fldCharType="end"/>
      </w:r>
      <w:r>
        <w:rPr>
          <w:rFonts w:ascii="Times New Roman" w:hAnsi="Times New Roman"/>
          <w:b/>
          <w:noProof/>
          <w:sz w:val="24"/>
          <w:szCs w:val="24"/>
        </w:rPr>
        <w:t xml:space="preserve">: Брой на съдиите </w:t>
      </w:r>
      <w:r>
        <w:rPr>
          <w:rFonts w:ascii="Times New Roman" w:hAnsi="Times New Roman"/>
          <w:noProof/>
          <w:sz w:val="24"/>
          <w:szCs w:val="24"/>
        </w:rPr>
        <w:t>(</w:t>
      </w:r>
      <w:r>
        <w:rPr>
          <w:noProof/>
          <w:sz w:val="24"/>
          <w:szCs w:val="24"/>
        </w:rPr>
        <w:t>*</w:t>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i/>
          <w:noProof/>
          <w:sz w:val="24"/>
          <w:szCs w:val="24"/>
        </w:rPr>
        <w:t>(на 100 000 души от населението) (източник: проучване на CEPEJ)</w:t>
      </w:r>
    </w:p>
    <w:p>
      <w:pPr>
        <w:spacing w:after="0" w:line="240" w:lineRule="auto"/>
        <w:jc w:val="both"/>
        <w:rPr>
          <w:rFonts w:ascii="Times New Roman" w:eastAsia="Calibri" w:hAnsi="Times New Roman" w:cs="Times New Roman"/>
          <w:i/>
          <w:noProof/>
          <w:sz w:val="20"/>
          <w:szCs w:val="20"/>
        </w:rPr>
      </w:pPr>
      <w:r>
        <w:rPr>
          <w:noProof/>
          <w:lang w:val="en-GB" w:eastAsia="en-GB"/>
        </w:rPr>
        <w:drawing>
          <wp:inline distT="0" distB="0" distL="0" distR="0">
            <wp:extent cx="5977255" cy="2650569"/>
            <wp:effectExtent l="0" t="0" r="444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77255" cy="2650569"/>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b/>
          <w:noProof/>
          <w:color w:val="000000"/>
          <w:sz w:val="24"/>
          <w:szCs w:val="24"/>
        </w:rPr>
      </w:pPr>
      <w:r>
        <w:rPr>
          <w:rFonts w:ascii="Times New Roman" w:hAnsi="Times New Roman"/>
          <w:i/>
          <w:noProof/>
          <w:sz w:val="20"/>
          <w:szCs w:val="20"/>
        </w:rPr>
        <w:t xml:space="preserve">(*) Категорията се състои от съдии на пълно работно време съгласно методиката на CEPEJ. Тя не включва Rechtspfleger/съдебните администратори, които съществуват в някои държави членки. </w:t>
      </w:r>
      <w:r>
        <w:rPr>
          <w:rFonts w:ascii="Times New Roman" w:hAnsi="Times New Roman"/>
          <w:b/>
          <w:i/>
          <w:noProof/>
          <w:sz w:val="20"/>
          <w:szCs w:val="20"/>
        </w:rPr>
        <w:t>AT:</w:t>
      </w:r>
      <w:r>
        <w:rPr>
          <w:rFonts w:ascii="Times New Roman" w:hAnsi="Times New Roman"/>
          <w:i/>
          <w:noProof/>
          <w:sz w:val="20"/>
          <w:szCs w:val="20"/>
        </w:rPr>
        <w:t xml:space="preserve"> данните за административното правосъдие са въведени за първи път за цикъла за 2016 г. </w:t>
      </w:r>
      <w:r>
        <w:rPr>
          <w:rFonts w:ascii="Times New Roman" w:hAnsi="Times New Roman"/>
          <w:b/>
          <w:i/>
          <w:noProof/>
          <w:sz w:val="20"/>
        </w:rPr>
        <w:t>EL:</w:t>
      </w:r>
      <w:r>
        <w:rPr>
          <w:rFonts w:ascii="Times New Roman" w:hAnsi="Times New Roman"/>
          <w:i/>
          <w:noProof/>
          <w:sz w:val="20"/>
        </w:rPr>
        <w:t xml:space="preserve"> общият брой на професионалните съдии включва различни категории през посочените по-горе години, което отчасти обяснява варирането на този брой. От 2016 г. насам данните за броя на професионалните съдии включват всички категории съдии по наказателни и граждански дела, както и административните съдии. </w:t>
      </w:r>
      <w:r>
        <w:rPr>
          <w:rFonts w:ascii="Times New Roman" w:hAnsi="Times New Roman"/>
          <w:b/>
          <w:i/>
          <w:noProof/>
          <w:sz w:val="20"/>
        </w:rPr>
        <w:t>IT:</w:t>
      </w:r>
      <w:r>
        <w:rPr>
          <w:rFonts w:ascii="Times New Roman" w:hAnsi="Times New Roman"/>
          <w:i/>
          <w:noProof/>
          <w:sz w:val="20"/>
        </w:rPr>
        <w:t xml:space="preserve"> Областните административни съдилища, областните одитни комисии, местните данъчни комисии и военните съдилища не са взети под внимание. </w:t>
      </w:r>
      <w:r>
        <w:rPr>
          <w:rFonts w:ascii="Times New Roman" w:hAnsi="Times New Roman"/>
          <w:b/>
          <w:i/>
          <w:noProof/>
          <w:sz w:val="20"/>
        </w:rPr>
        <w:t>UK:</w:t>
      </w:r>
      <w:r>
        <w:rPr>
          <w:rFonts w:ascii="Times New Roman" w:hAnsi="Times New Roman"/>
          <w:i/>
          <w:noProof/>
          <w:sz w:val="20"/>
        </w:rPr>
        <w:t xml:space="preserve"> среднопретеглен брой за трите юрисдикции. данните за 2010 г. включват данни за </w:t>
      </w:r>
      <w:r>
        <w:rPr>
          <w:rFonts w:ascii="Times New Roman" w:hAnsi="Times New Roman"/>
          <w:b/>
          <w:i/>
          <w:noProof/>
          <w:sz w:val="20"/>
        </w:rPr>
        <w:t>UK (NI)</w:t>
      </w:r>
      <w:r>
        <w:rPr>
          <w:rFonts w:ascii="Times New Roman" w:hAnsi="Times New Roman"/>
          <w:i/>
          <w:noProof/>
          <w:sz w:val="20"/>
        </w:rPr>
        <w:t xml:space="preserve"> за 2012 г. </w:t>
      </w:r>
      <w:r>
        <w:rPr>
          <w:rFonts w:ascii="Times New Roman" w:hAnsi="Times New Roman"/>
          <w:b/>
          <w:i/>
          <w:noProof/>
          <w:sz w:val="20"/>
        </w:rPr>
        <w:t>LU:</w:t>
      </w:r>
      <w:r>
        <w:rPr>
          <w:rFonts w:ascii="Times New Roman" w:hAnsi="Times New Roman"/>
          <w:i/>
          <w:noProof/>
          <w:sz w:val="20"/>
        </w:rPr>
        <w:t xml:space="preserve"> данните са преразгледани въз основа на подобрена методология.</w:t>
      </w:r>
    </w:p>
    <w:p>
      <w:pPr>
        <w:spacing w:before="240" w:after="120" w:line="240" w:lineRule="auto"/>
        <w:jc w:val="both"/>
        <w:rPr>
          <w:rFonts w:ascii="Times New Roman" w:eastAsia="Calibri" w:hAnsi="Times New Roman" w:cs="Times New Roman"/>
          <w:i/>
          <w:noProof/>
          <w:sz w:val="24"/>
          <w:szCs w:val="24"/>
        </w:rPr>
      </w:pPr>
      <w:r>
        <w:rPr>
          <w:rFonts w:ascii="Times New Roman" w:hAnsi="Times New Roman"/>
          <w:b/>
          <w:noProof/>
          <w:color w:val="000000"/>
          <w:sz w:val="24"/>
          <w:szCs w:val="24"/>
        </w:rPr>
        <w:t>Графика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 MERGEFORMAT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33</w:t>
      </w:r>
      <w:r>
        <w:rPr>
          <w:rFonts w:ascii="Times New Roman" w:eastAsia="Calibri" w:hAnsi="Times New Roman" w:cs="Times New Roman"/>
          <w:b/>
          <w:noProof/>
          <w:sz w:val="24"/>
          <w:szCs w:val="24"/>
        </w:rPr>
        <w:fldChar w:fldCharType="end"/>
      </w:r>
      <w:r>
        <w:rPr>
          <w:rFonts w:ascii="Times New Roman" w:hAnsi="Times New Roman"/>
          <w:b/>
          <w:noProof/>
          <w:sz w:val="24"/>
          <w:szCs w:val="24"/>
        </w:rPr>
        <w:t>: Дял на жените професионални съдии в съдилищата от първа и втора инстанция през 2017 г.</w:t>
      </w:r>
      <w:r>
        <w:rPr>
          <w:rFonts w:ascii="Times New Roman" w:hAnsi="Times New Roman"/>
          <w:noProof/>
          <w:sz w:val="24"/>
          <w:szCs w:val="24"/>
        </w:rPr>
        <w:t xml:space="preserve"> </w:t>
      </w:r>
      <w:r>
        <w:rPr>
          <w:rFonts w:ascii="Times New Roman" w:hAnsi="Times New Roman"/>
          <w:i/>
          <w:noProof/>
          <w:sz w:val="24"/>
          <w:szCs w:val="24"/>
        </w:rPr>
        <w:t>(източник: проучване на CEPEJ)</w:t>
      </w:r>
    </w:p>
    <w:p>
      <w:pPr>
        <w:spacing w:after="0" w:line="240" w:lineRule="auto"/>
        <w:jc w:val="both"/>
        <w:rPr>
          <w:rFonts w:ascii="Times New Roman" w:eastAsia="Calibri" w:hAnsi="Times New Roman" w:cs="Times New Roman"/>
          <w:i/>
          <w:noProof/>
          <w:sz w:val="20"/>
          <w:szCs w:val="20"/>
        </w:rPr>
      </w:pPr>
      <w:bookmarkStart w:id="427" w:name="_Ref441218695"/>
      <w:r>
        <w:rPr>
          <w:noProof/>
          <w:lang w:val="en-GB" w:eastAsia="en-GB"/>
        </w:rPr>
        <w:drawing>
          <wp:inline distT="0" distB="0" distL="0" distR="0">
            <wp:extent cx="5977255" cy="2639959"/>
            <wp:effectExtent l="0" t="0" r="4445" b="825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77255" cy="2639959"/>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sz w:val="20"/>
          <w:szCs w:val="20"/>
        </w:rPr>
      </w:pPr>
      <w:r>
        <w:rPr>
          <w:rFonts w:ascii="Times New Roman" w:hAnsi="Times New Roman"/>
          <w:i/>
          <w:noProof/>
          <w:sz w:val="20"/>
          <w:szCs w:val="20"/>
        </w:rPr>
        <w:t xml:space="preserve">(*) </w:t>
      </w:r>
      <w:r>
        <w:rPr>
          <w:rFonts w:ascii="Times New Roman" w:hAnsi="Times New Roman"/>
          <w:b/>
          <w:i/>
          <w:noProof/>
          <w:sz w:val="20"/>
          <w:szCs w:val="20"/>
        </w:rPr>
        <w:t>EL:</w:t>
      </w:r>
      <w:r>
        <w:rPr>
          <w:rFonts w:ascii="Times New Roman" w:hAnsi="Times New Roman"/>
          <w:i/>
          <w:noProof/>
          <w:sz w:val="20"/>
          <w:szCs w:val="20"/>
        </w:rPr>
        <w:t xml:space="preserve"> данни за 2016 г.</w:t>
      </w:r>
    </w:p>
    <w:p>
      <w:pPr>
        <w:spacing w:before="240" w:after="120" w:line="240" w:lineRule="auto"/>
        <w:jc w:val="both"/>
        <w:rPr>
          <w:rFonts w:ascii="Times New Roman" w:eastAsia="Calibri" w:hAnsi="Times New Roman" w:cs="Times New Roman"/>
          <w:i/>
          <w:noProof/>
          <w:color w:val="000000"/>
          <w:sz w:val="24"/>
          <w:szCs w:val="24"/>
        </w:rPr>
      </w:pPr>
      <w:r>
        <w:rPr>
          <w:rFonts w:ascii="Times New Roman" w:hAnsi="Times New Roman"/>
          <w:b/>
          <w:noProof/>
          <w:color w:val="000000"/>
          <w:sz w:val="24"/>
        </w:rPr>
        <w:t>Графика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 MERGEFORMAT  \* MERGEFORMAT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34</w:t>
      </w:r>
      <w:r>
        <w:rPr>
          <w:rFonts w:ascii="Times New Roman" w:eastAsia="Calibri" w:hAnsi="Times New Roman" w:cs="Times New Roman"/>
          <w:b/>
          <w:noProof/>
          <w:sz w:val="24"/>
          <w:szCs w:val="24"/>
        </w:rPr>
        <w:fldChar w:fldCharType="end"/>
      </w:r>
      <w:bookmarkStart w:id="428" w:name="_Toc409530229"/>
      <w:bookmarkEnd w:id="427"/>
      <w:r>
        <w:rPr>
          <w:rFonts w:ascii="Times New Roman" w:hAnsi="Times New Roman"/>
          <w:b/>
          <w:noProof/>
          <w:color w:val="000000"/>
          <w:sz w:val="24"/>
          <w:szCs w:val="24"/>
        </w:rPr>
        <w:t>:</w:t>
      </w:r>
      <w:r>
        <w:rPr>
          <w:rFonts w:ascii="Times New Roman" w:hAnsi="Times New Roman"/>
          <w:b/>
          <w:noProof/>
          <w:color w:val="000000"/>
          <w:sz w:val="24"/>
        </w:rPr>
        <w:t xml:space="preserve"> Дял на жените професионални съдии във върховните съдилища през 2017 г. и 2018 г. </w:t>
      </w:r>
      <w:r>
        <w:rPr>
          <w:rFonts w:ascii="Times New Roman" w:hAnsi="Times New Roman"/>
          <w:noProof/>
          <w:color w:val="000000"/>
          <w:sz w:val="24"/>
        </w:rPr>
        <w:t xml:space="preserve">(*) </w:t>
      </w:r>
      <w:r>
        <w:rPr>
          <w:rFonts w:ascii="Times New Roman" w:hAnsi="Times New Roman"/>
          <w:i/>
          <w:noProof/>
          <w:color w:val="000000"/>
          <w:sz w:val="24"/>
          <w:szCs w:val="24"/>
        </w:rPr>
        <w:t>(източник: Европейска комисия (</w:t>
      </w:r>
      <w:r>
        <w:rPr>
          <w:rFonts w:ascii="Times New Roman" w:eastAsia="Calibri" w:hAnsi="Times New Roman" w:cs="Times New Roman"/>
          <w:i/>
          <w:noProof/>
          <w:color w:val="000000"/>
          <w:sz w:val="24"/>
          <w:szCs w:val="24"/>
          <w:vertAlign w:val="superscript"/>
        </w:rPr>
        <w:footnoteReference w:id="94"/>
      </w:r>
      <w:r>
        <w:rPr>
          <w:rFonts w:ascii="Times New Roman" w:hAnsi="Times New Roman"/>
          <w:i/>
          <w:noProof/>
          <w:color w:val="000000"/>
          <w:sz w:val="24"/>
          <w:szCs w:val="24"/>
        </w:rPr>
        <w:t>)</w:t>
      </w:r>
    </w:p>
    <w:p>
      <w:pPr>
        <w:spacing w:after="0" w:line="240" w:lineRule="auto"/>
        <w:jc w:val="both"/>
        <w:rPr>
          <w:rFonts w:ascii="Times New Roman" w:eastAsia="Calibri" w:hAnsi="Times New Roman" w:cs="Times New Roman"/>
          <w:i/>
          <w:noProof/>
          <w:sz w:val="20"/>
          <w:szCs w:val="20"/>
        </w:rPr>
      </w:pPr>
      <w:r>
        <w:rPr>
          <w:noProof/>
          <w:lang w:val="en-GB" w:eastAsia="en-GB"/>
        </w:rPr>
        <w:drawing>
          <wp:inline distT="0" distB="0" distL="0" distR="0">
            <wp:extent cx="5977255" cy="2314924"/>
            <wp:effectExtent l="0" t="0" r="4445" b="9525"/>
            <wp:docPr id="97312" name="Picture 9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77255" cy="2314924"/>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color w:val="000000"/>
          <w:sz w:val="24"/>
        </w:rPr>
      </w:pPr>
      <w:r>
        <w:rPr>
          <w:rFonts w:ascii="Times New Roman" w:hAnsi="Times New Roman"/>
          <w:i/>
          <w:noProof/>
          <w:sz w:val="20"/>
          <w:szCs w:val="20"/>
        </w:rPr>
        <w:t>(*) Подреждането на държавите членки е същото, както на графика 33.</w:t>
      </w:r>
    </w:p>
    <w:p>
      <w:pPr>
        <w:spacing w:before="240" w:after="120" w:line="240" w:lineRule="auto"/>
        <w:jc w:val="both"/>
        <w:rPr>
          <w:rFonts w:ascii="Times New Roman" w:eastAsia="Calibri" w:hAnsi="Times New Roman" w:cs="Times New Roman"/>
          <w:b/>
          <w:noProof/>
          <w:sz w:val="24"/>
          <w:szCs w:val="24"/>
        </w:rPr>
      </w:pPr>
      <w:r>
        <w:rPr>
          <w:rFonts w:ascii="Times New Roman" w:hAnsi="Times New Roman"/>
          <w:b/>
          <w:noProof/>
          <w:color w:val="000000"/>
          <w:sz w:val="24"/>
          <w:szCs w:val="24"/>
        </w:rPr>
        <w:t>Графика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 MERGEFORMAT  \* MERGEFORMAT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35</w:t>
      </w:r>
      <w:r>
        <w:rPr>
          <w:rFonts w:ascii="Times New Roman" w:eastAsia="Calibri" w:hAnsi="Times New Roman" w:cs="Times New Roman"/>
          <w:b/>
          <w:noProof/>
          <w:sz w:val="24"/>
          <w:szCs w:val="24"/>
        </w:rPr>
        <w:fldChar w:fldCharType="end"/>
      </w:r>
      <w:r>
        <w:rPr>
          <w:rFonts w:ascii="Times New Roman" w:hAnsi="Times New Roman"/>
          <w:b/>
          <w:noProof/>
          <w:sz w:val="24"/>
          <w:szCs w:val="24"/>
        </w:rPr>
        <w:t xml:space="preserve">: Брой на адвокатите </w:t>
      </w:r>
      <w:r>
        <w:rPr>
          <w:rFonts w:ascii="Times New Roman" w:hAnsi="Times New Roman"/>
          <w:noProof/>
          <w:sz w:val="24"/>
          <w:szCs w:val="24"/>
        </w:rPr>
        <w:t>(</w:t>
      </w:r>
      <w:r>
        <w:rPr>
          <w:noProof/>
          <w:sz w:val="24"/>
          <w:szCs w:val="24"/>
        </w:rPr>
        <w:t>*</w:t>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i/>
          <w:noProof/>
          <w:sz w:val="24"/>
          <w:szCs w:val="24"/>
        </w:rPr>
        <w:t>(на 100 000 души от населението) (източник: проучване на CEPEJ)</w:t>
      </w:r>
    </w:p>
    <w:p>
      <w:pPr>
        <w:spacing w:after="0" w:line="240" w:lineRule="auto"/>
        <w:rPr>
          <w:rFonts w:ascii="Times New Roman" w:eastAsia="Calibri" w:hAnsi="Times New Roman" w:cs="Times New Roman"/>
          <w:i/>
          <w:noProof/>
          <w:sz w:val="20"/>
          <w:szCs w:val="20"/>
        </w:rPr>
      </w:pPr>
      <w:r>
        <w:rPr>
          <w:noProof/>
          <w:lang w:val="en-GB" w:eastAsia="en-GB"/>
        </w:rPr>
        <w:drawing>
          <wp:inline distT="0" distB="0" distL="0" distR="0">
            <wp:extent cx="5977255" cy="2650569"/>
            <wp:effectExtent l="0" t="0" r="4445" b="0"/>
            <wp:docPr id="97313" name="Picture 97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77255" cy="2650569"/>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sz w:val="20"/>
          <w:szCs w:val="20"/>
        </w:rPr>
      </w:pPr>
      <w:r>
        <w:rPr>
          <w:rFonts w:ascii="Times New Roman" w:hAnsi="Times New Roman"/>
          <w:i/>
          <w:noProof/>
          <w:sz w:val="20"/>
          <w:szCs w:val="20"/>
        </w:rPr>
        <w:t xml:space="preserve">(*) Съгласно методиката на CEPEJ адвокатът е лице, получило необходимия ценз и право съгласно националното законодателство да пледира и да извършва действия от името на клиентите си, да упражнява юридическа професия, да се явява пред съдилищата или да консултира и представлява своите клиенти по правни въпроси (Препоръка Rec(2000)21 на Комитета на министрите на Съвета на Европа относно свободата на упражняване на адвокатската професия). </w:t>
      </w:r>
      <w:r>
        <w:rPr>
          <w:rFonts w:ascii="Times New Roman" w:hAnsi="Times New Roman"/>
          <w:b/>
          <w:i/>
          <w:noProof/>
          <w:sz w:val="20"/>
          <w:szCs w:val="20"/>
        </w:rPr>
        <w:t>DE:</w:t>
      </w:r>
      <w:r>
        <w:rPr>
          <w:rFonts w:ascii="Times New Roman" w:hAnsi="Times New Roman"/>
          <w:i/>
          <w:noProof/>
          <w:sz w:val="20"/>
          <w:szCs w:val="20"/>
        </w:rPr>
        <w:t xml:space="preserve"> в Германия не се прави разграничение между различни групи адвокати, като например между солиситъри и баристъри. </w:t>
      </w:r>
      <w:r>
        <w:rPr>
          <w:rFonts w:ascii="Times New Roman" w:hAnsi="Times New Roman"/>
          <w:b/>
          <w:i/>
          <w:noProof/>
          <w:sz w:val="20"/>
          <w:szCs w:val="20"/>
        </w:rPr>
        <w:t>FI:</w:t>
      </w:r>
      <w:r>
        <w:rPr>
          <w:rFonts w:ascii="Times New Roman" w:hAnsi="Times New Roman"/>
          <w:i/>
          <w:noProof/>
          <w:sz w:val="20"/>
          <w:szCs w:val="20"/>
        </w:rPr>
        <w:t xml:space="preserve"> от 2015 г. насам броят на адвокатите включва както броя на адвокатите, работещи в частния сектор, така и броя на адвокатите, работещи в публичния сектор.</w:t>
      </w:r>
      <w:r>
        <w:rPr>
          <w:rFonts w:ascii="Times New Roman" w:hAnsi="Times New Roman"/>
          <w:noProof/>
        </w:rPr>
        <w:t xml:space="preserve"> </w:t>
      </w:r>
      <w:r>
        <w:rPr>
          <w:rFonts w:ascii="Times New Roman" w:hAnsi="Times New Roman"/>
          <w:b/>
          <w:i/>
          <w:noProof/>
          <w:sz w:val="20"/>
          <w:szCs w:val="20"/>
        </w:rPr>
        <w:t>UK:</w:t>
      </w:r>
      <w:r>
        <w:rPr>
          <w:rFonts w:ascii="Times New Roman" w:hAnsi="Times New Roman"/>
          <w:i/>
          <w:noProof/>
          <w:sz w:val="20"/>
          <w:szCs w:val="20"/>
        </w:rPr>
        <w:t xml:space="preserve"> данните са за 2010 и 2014 г.</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i/>
          <w:noProof/>
          <w:sz w:val="24"/>
        </w:rPr>
        <w:t>— Обучение </w:t>
      </w:r>
      <w:r>
        <w:rPr>
          <w:rFonts w:ascii="Times New Roman" w:hAnsi="Times New Roman" w:cs="Times New Roman"/>
          <w:i/>
          <w:noProof/>
          <w:sz w:val="24"/>
        </w:rPr>
        <w:t>—</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Обучението на съдиите е от съществено значение за повишаване на качеството на съдебните решения, както и на услугите в сферата на правораздаването, предоставяни на гражданите. Посочените по-долу данни обхващат обучението на съдии в широк кръг от области, включително комуникацията със страните по съдебните производства и с пресата, както и в областта на съдебните умения.</w:t>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Графика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 MERGEFORMAT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36</w:t>
      </w:r>
      <w:r>
        <w:rPr>
          <w:rFonts w:ascii="Times New Roman" w:eastAsia="Calibri" w:hAnsi="Times New Roman" w:cs="Times New Roman"/>
          <w:b/>
          <w:noProof/>
          <w:sz w:val="24"/>
        </w:rPr>
        <w:fldChar w:fldCharType="end"/>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fldChar w:fldCharType="separate"/>
      </w:r>
      <w:r>
        <w:rPr>
          <w:rFonts w:ascii="Times New Roman" w:eastAsia="Calibri" w:hAnsi="Times New Roman" w:cs="Times New Roman"/>
          <w:bCs/>
          <w:noProof/>
          <w:sz w:val="24"/>
        </w:rPr>
        <w:t>Error! No sequence specified.</w:t>
      </w:r>
      <w:r>
        <w:rPr>
          <w:rFonts w:ascii="Times New Roman" w:eastAsia="Calibri" w:hAnsi="Times New Roman" w:cs="Times New Roman"/>
          <w:b/>
          <w:noProof/>
          <w:sz w:val="24"/>
        </w:rPr>
        <w:fldChar w:fldCharType="end"/>
      </w:r>
      <w:r>
        <w:rPr>
          <w:rFonts w:ascii="Times New Roman" w:hAnsi="Times New Roman"/>
          <w:b/>
          <w:noProof/>
          <w:sz w:val="24"/>
        </w:rPr>
        <w:t xml:space="preserve">: Съдии, участващи в дейности по продължаващо обучение по право на ЕС или право на друга държава членка </w:t>
      </w:r>
      <w:r>
        <w:rPr>
          <w:rFonts w:ascii="Times New Roman" w:hAnsi="Times New Roman"/>
          <w:noProof/>
          <w:sz w:val="24"/>
        </w:rPr>
        <w:t>(</w:t>
      </w:r>
      <w:r>
        <w:rPr>
          <w:noProof/>
          <w:sz w:val="24"/>
        </w:rPr>
        <w:t>*</w:t>
      </w:r>
      <w:r>
        <w:rPr>
          <w:rFonts w:ascii="Times New Roman" w:hAnsi="Times New Roman"/>
          <w:noProof/>
          <w:sz w:val="24"/>
        </w:rPr>
        <w:t xml:space="preserve">) </w:t>
      </w:r>
      <w:r>
        <w:rPr>
          <w:rFonts w:ascii="Times New Roman" w:hAnsi="Times New Roman"/>
          <w:i/>
          <w:noProof/>
          <w:sz w:val="24"/>
        </w:rPr>
        <w:t>(като процент от общия брой на съдиите) (източник: Европейска комисия (</w:t>
      </w:r>
      <w:r>
        <w:rPr>
          <w:rFonts w:ascii="Times New Roman" w:eastAsia="Calibri" w:hAnsi="Times New Roman" w:cs="Times New Roman"/>
          <w:i/>
          <w:noProof/>
          <w:sz w:val="24"/>
          <w:vertAlign w:val="superscript"/>
          <w:lang w:eastAsia="en-GB"/>
        </w:rPr>
        <w:footnoteReference w:id="95"/>
      </w:r>
      <w:r>
        <w:rPr>
          <w:rFonts w:ascii="Times New Roman" w:hAnsi="Times New Roman"/>
          <w:i/>
          <w:noProof/>
          <w:sz w:val="24"/>
        </w:rPr>
        <w:t>)</w:t>
      </w:r>
    </w:p>
    <w:p>
      <w:pPr>
        <w:spacing w:after="0" w:line="240" w:lineRule="auto"/>
        <w:jc w:val="both"/>
        <w:rPr>
          <w:rFonts w:ascii="Times New Roman" w:eastAsia="Calibri" w:hAnsi="Times New Roman" w:cs="Times New Roman"/>
          <w:i/>
          <w:noProof/>
          <w:sz w:val="24"/>
        </w:rPr>
      </w:pPr>
      <w:r>
        <w:rPr>
          <w:noProof/>
          <w:lang w:val="en-GB" w:eastAsia="en-GB"/>
        </w:rPr>
        <w:drawing>
          <wp:inline distT="0" distB="0" distL="0" distR="0">
            <wp:extent cx="5977255" cy="1997887"/>
            <wp:effectExtent l="0" t="0" r="4445" b="2540"/>
            <wp:docPr id="97314" name="Picture 9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77255" cy="1997887"/>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sz w:val="18"/>
        </w:rPr>
      </w:pPr>
      <w:r>
        <w:rPr>
          <w:rFonts w:ascii="Times New Roman" w:hAnsi="Times New Roman"/>
          <w:i/>
          <w:noProof/>
          <w:sz w:val="18"/>
          <w:szCs w:val="20"/>
        </w:rPr>
        <w:t>(*)</w:t>
      </w:r>
      <w:r>
        <w:rPr>
          <w:rFonts w:ascii="Times New Roman" w:hAnsi="Times New Roman"/>
          <w:i/>
          <w:noProof/>
          <w:sz w:val="18"/>
        </w:rPr>
        <w:t xml:space="preserve"> Стойностите за някои държави членки са намалени за целите на представянето (SI = 257 %). В няколко държави членки процентът на участниците надхвърля 100 %, което означава, че някои участници са се включили в повече от една дейност по обучение. </w:t>
      </w:r>
      <w:bookmarkStart w:id="429" w:name="_Ref441218667"/>
      <w:r>
        <w:rPr>
          <w:rFonts w:ascii="Times New Roman" w:hAnsi="Times New Roman"/>
          <w:b/>
          <w:i/>
          <w:noProof/>
          <w:sz w:val="18"/>
        </w:rPr>
        <w:t>DK:</w:t>
      </w:r>
      <w:r>
        <w:rPr>
          <w:rFonts w:ascii="Times New Roman" w:hAnsi="Times New Roman"/>
          <w:i/>
          <w:noProof/>
          <w:sz w:val="18"/>
        </w:rPr>
        <w:t xml:space="preserve"> включително съдебни служители. </w:t>
      </w:r>
      <w:r>
        <w:rPr>
          <w:rFonts w:ascii="Times New Roman" w:hAnsi="Times New Roman"/>
          <w:b/>
          <w:i/>
          <w:noProof/>
          <w:sz w:val="18"/>
        </w:rPr>
        <w:t>IT:</w:t>
      </w:r>
      <w:r>
        <w:rPr>
          <w:rFonts w:ascii="Times New Roman" w:hAnsi="Times New Roman"/>
          <w:i/>
          <w:noProof/>
          <w:sz w:val="18"/>
        </w:rPr>
        <w:t xml:space="preserve"> Областните административни съдилища, областните одитни комисии, местните данъчни комисии и военните съдилища не са взети под внимание. </w:t>
      </w:r>
      <w:r>
        <w:rPr>
          <w:rFonts w:ascii="Times New Roman" w:hAnsi="Times New Roman"/>
          <w:b/>
          <w:i/>
          <w:noProof/>
          <w:sz w:val="18"/>
        </w:rPr>
        <w:t>AT:</w:t>
      </w:r>
      <w:r>
        <w:rPr>
          <w:rFonts w:ascii="Times New Roman" w:hAnsi="Times New Roman"/>
          <w:i/>
          <w:noProof/>
          <w:sz w:val="18"/>
        </w:rPr>
        <w:t xml:space="preserve"> включително прокурори. </w:t>
      </w:r>
      <w:r>
        <w:rPr>
          <w:rFonts w:ascii="Times New Roman" w:hAnsi="Times New Roman"/>
          <w:b/>
          <w:i/>
          <w:noProof/>
          <w:sz w:val="18"/>
        </w:rPr>
        <w:t>UK:</w:t>
      </w:r>
      <w:r>
        <w:rPr>
          <w:rFonts w:ascii="Times New Roman" w:hAnsi="Times New Roman"/>
          <w:i/>
          <w:noProof/>
          <w:sz w:val="18"/>
        </w:rPr>
        <w:t xml:space="preserve"> Данните са за 2016 г. </w:t>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Графика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37</w:t>
      </w:r>
      <w:r>
        <w:rPr>
          <w:rFonts w:ascii="Times New Roman" w:eastAsia="Calibri" w:hAnsi="Times New Roman" w:cs="Times New Roman"/>
          <w:b/>
          <w:noProof/>
          <w:sz w:val="24"/>
        </w:rPr>
        <w:fldChar w:fldCharType="end"/>
      </w:r>
      <w:bookmarkEnd w:id="429"/>
      <w:r>
        <w:rPr>
          <w:rFonts w:ascii="Times New Roman" w:hAnsi="Times New Roman"/>
          <w:b/>
          <w:noProof/>
          <w:sz w:val="24"/>
        </w:rPr>
        <w:t xml:space="preserve">: Дял на продължаващото обучение на съдии по различни видове умения </w:t>
      </w:r>
      <w:r>
        <w:rPr>
          <w:rFonts w:ascii="Times New Roman" w:hAnsi="Times New Roman"/>
          <w:noProof/>
          <w:sz w:val="24"/>
        </w:rPr>
        <w:t>(</w:t>
      </w:r>
      <w:r>
        <w:rPr>
          <w:noProof/>
          <w:sz w:val="24"/>
        </w:rPr>
        <w:t>*</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(като процент от общия брой на съдиите, участващи в този вид обучения) (източник: Европейска комисия (</w:t>
      </w:r>
      <w:r>
        <w:rPr>
          <w:rFonts w:ascii="Times New Roman" w:eastAsia="Calibri" w:hAnsi="Times New Roman" w:cs="Times New Roman"/>
          <w:i/>
          <w:noProof/>
          <w:sz w:val="24"/>
          <w:vertAlign w:val="superscript"/>
          <w:lang w:eastAsia="en-GB"/>
        </w:rPr>
        <w:footnoteReference w:id="96"/>
      </w:r>
      <w:r>
        <w:rPr>
          <w:rFonts w:ascii="Times New Roman" w:hAnsi="Times New Roman"/>
          <w:i/>
          <w:noProof/>
          <w:sz w:val="24"/>
        </w:rPr>
        <w:t>)</w:t>
      </w:r>
      <w:bookmarkEnd w:id="428"/>
    </w:p>
    <w:p>
      <w:pPr>
        <w:spacing w:after="0" w:line="240" w:lineRule="auto"/>
        <w:jc w:val="both"/>
        <w:rPr>
          <w:rFonts w:ascii="Times New Roman" w:eastAsia="Calibri" w:hAnsi="Times New Roman" w:cs="Times New Roman"/>
          <w:i/>
          <w:noProof/>
          <w:sz w:val="24"/>
        </w:rPr>
      </w:pPr>
      <w:r>
        <w:rPr>
          <w:noProof/>
          <w:lang w:val="en-GB" w:eastAsia="en-GB"/>
        </w:rPr>
        <w:drawing>
          <wp:inline distT="0" distB="0" distL="0" distR="0">
            <wp:extent cx="5977255" cy="2335657"/>
            <wp:effectExtent l="0" t="0" r="4445" b="7620"/>
            <wp:docPr id="97315" name="Picture 97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77255" cy="2335657"/>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sz w:val="20"/>
        </w:rPr>
      </w:pPr>
      <w:r>
        <w:rPr>
          <w:rFonts w:ascii="Times New Roman" w:hAnsi="Times New Roman"/>
          <w:i/>
          <w:noProof/>
          <w:sz w:val="18"/>
        </w:rPr>
        <w:t>(*)</w:t>
      </w:r>
      <w:r>
        <w:rPr>
          <w:rFonts w:ascii="Times New Roman" w:hAnsi="Times New Roman"/>
          <w:b/>
          <w:noProof/>
        </w:rPr>
        <w:t xml:space="preserve"> </w:t>
      </w:r>
      <w:r>
        <w:rPr>
          <w:rFonts w:ascii="Times New Roman" w:hAnsi="Times New Roman"/>
          <w:i/>
          <w:noProof/>
          <w:sz w:val="18"/>
        </w:rPr>
        <w:t>В таблицата е показано разпределението на съдиите, участващи в дейности по продължаващо обучение (т.е. тези, които се провеждат след периода на началното обучение за съдия) във всяка от четирите набелязани области като процент от общия брой на обучените съдии в тези видове обучение. Дейностите, свързани с юридическо обучение, не са взети предвид.</w:t>
      </w:r>
      <w:r>
        <w:rPr>
          <w:rFonts w:ascii="Times New Roman" w:hAnsi="Times New Roman"/>
          <w:i/>
          <w:noProof/>
        </w:rPr>
        <w:t xml:space="preserve"> </w:t>
      </w:r>
      <w:r>
        <w:rPr>
          <w:rFonts w:ascii="Times New Roman" w:hAnsi="Times New Roman"/>
          <w:i/>
          <w:noProof/>
          <w:sz w:val="18"/>
        </w:rPr>
        <w:t xml:space="preserve">Органите, отговарящи за обучението на съдии в </w:t>
      </w:r>
      <w:r>
        <w:rPr>
          <w:rFonts w:ascii="Times New Roman" w:hAnsi="Times New Roman"/>
          <w:b/>
          <w:i/>
          <w:noProof/>
          <w:sz w:val="18"/>
        </w:rPr>
        <w:t>EL</w:t>
      </w:r>
      <w:r>
        <w:rPr>
          <w:rFonts w:ascii="Times New Roman" w:hAnsi="Times New Roman"/>
          <w:i/>
          <w:noProof/>
          <w:sz w:val="18"/>
        </w:rPr>
        <w:t xml:space="preserve">, </w:t>
      </w:r>
      <w:r>
        <w:rPr>
          <w:rFonts w:ascii="Times New Roman" w:hAnsi="Times New Roman"/>
          <w:b/>
          <w:i/>
          <w:noProof/>
          <w:sz w:val="18"/>
        </w:rPr>
        <w:t>CY</w:t>
      </w:r>
      <w:r>
        <w:rPr>
          <w:rFonts w:ascii="Times New Roman" w:hAnsi="Times New Roman"/>
          <w:i/>
          <w:noProof/>
          <w:sz w:val="18"/>
        </w:rPr>
        <w:t xml:space="preserve">, </w:t>
      </w:r>
      <w:r>
        <w:rPr>
          <w:rFonts w:ascii="Times New Roman" w:hAnsi="Times New Roman"/>
          <w:b/>
          <w:i/>
          <w:noProof/>
          <w:sz w:val="18"/>
        </w:rPr>
        <w:t>LU</w:t>
      </w:r>
      <w:r>
        <w:rPr>
          <w:rFonts w:ascii="Times New Roman" w:hAnsi="Times New Roman"/>
          <w:i/>
          <w:noProof/>
          <w:sz w:val="18"/>
        </w:rPr>
        <w:t xml:space="preserve"> и </w:t>
      </w:r>
      <w:r>
        <w:rPr>
          <w:rFonts w:ascii="Times New Roman" w:hAnsi="Times New Roman"/>
          <w:b/>
          <w:i/>
          <w:noProof/>
          <w:sz w:val="18"/>
        </w:rPr>
        <w:t>MT</w:t>
      </w:r>
      <w:r>
        <w:rPr>
          <w:rFonts w:ascii="Times New Roman" w:hAnsi="Times New Roman"/>
          <w:i/>
          <w:noProof/>
          <w:sz w:val="18"/>
        </w:rPr>
        <w:t xml:space="preserve">, не са провели конкретни дейности за обучение по избраните умения. </w:t>
      </w:r>
      <w:r>
        <w:rPr>
          <w:rFonts w:ascii="Times New Roman" w:hAnsi="Times New Roman"/>
          <w:b/>
          <w:i/>
          <w:noProof/>
          <w:sz w:val="20"/>
        </w:rPr>
        <w:t>DK:</w:t>
      </w:r>
      <w:r>
        <w:rPr>
          <w:rFonts w:ascii="Times New Roman" w:hAnsi="Times New Roman"/>
          <w:i/>
          <w:noProof/>
          <w:sz w:val="20"/>
        </w:rPr>
        <w:t xml:space="preserve"> включително съдебни служители. </w:t>
      </w:r>
      <w:r>
        <w:rPr>
          <w:rFonts w:ascii="Times New Roman" w:hAnsi="Times New Roman"/>
          <w:b/>
          <w:i/>
          <w:noProof/>
          <w:sz w:val="20"/>
        </w:rPr>
        <w:t>AT:</w:t>
      </w:r>
      <w:r>
        <w:rPr>
          <w:rFonts w:ascii="Times New Roman" w:hAnsi="Times New Roman"/>
          <w:i/>
          <w:noProof/>
          <w:sz w:val="20"/>
        </w:rPr>
        <w:t xml:space="preserve"> включително прокурори. </w:t>
      </w:r>
      <w:r>
        <w:rPr>
          <w:rFonts w:ascii="Times New Roman" w:hAnsi="Times New Roman"/>
          <w:i/>
          <w:noProof/>
          <w:sz w:val="18"/>
        </w:rPr>
        <w:t xml:space="preserve">Данните за </w:t>
      </w:r>
      <w:r>
        <w:rPr>
          <w:rFonts w:ascii="Times New Roman" w:hAnsi="Times New Roman"/>
          <w:b/>
          <w:i/>
          <w:noProof/>
          <w:sz w:val="18"/>
        </w:rPr>
        <w:t>Обединеното кралство (UK)</w:t>
      </w:r>
      <w:bookmarkStart w:id="430" w:name="_Ref441218678"/>
      <w:r>
        <w:rPr>
          <w:rFonts w:ascii="Times New Roman" w:hAnsi="Times New Roman"/>
          <w:i/>
          <w:noProof/>
          <w:sz w:val="18"/>
        </w:rPr>
        <w:t xml:space="preserve"> се отнасят за Англия и Уелс.</w:t>
      </w:r>
    </w:p>
    <w:p>
      <w:pPr>
        <w:spacing w:before="240" w:after="120" w:line="240" w:lineRule="auto"/>
        <w:jc w:val="both"/>
        <w:rPr>
          <w:rFonts w:ascii="Times New Roman" w:eastAsia="Calibri" w:hAnsi="Times New Roman" w:cs="Times New Roman"/>
          <w:i/>
          <w:noProof/>
          <w:sz w:val="24"/>
          <w:szCs w:val="24"/>
        </w:rPr>
      </w:pPr>
      <w:r>
        <w:rPr>
          <w:rFonts w:ascii="Times New Roman" w:hAnsi="Times New Roman"/>
          <w:b/>
          <w:noProof/>
          <w:color w:val="000000"/>
          <w:sz w:val="24"/>
          <w:szCs w:val="24"/>
        </w:rPr>
        <w:t>Графика</w:t>
      </w:r>
      <w:bookmarkEnd w:id="430"/>
      <w:r>
        <w:rPr>
          <w:rFonts w:ascii="Times New Roman" w:hAnsi="Times New Roman"/>
          <w:b/>
          <w:noProof/>
          <w:color w:val="000000"/>
          <w:sz w:val="24"/>
          <w:szCs w:val="24"/>
        </w:rPr>
        <w:t> </w:t>
      </w:r>
      <w:r>
        <w:rPr>
          <w:rFonts w:ascii="Times New Roman" w:eastAsia="Calibri" w:hAnsi="Times New Roman" w:cs="Times New Roman"/>
          <w:b/>
          <w:noProof/>
          <w:color w:val="000000"/>
          <w:sz w:val="24"/>
          <w:szCs w:val="24"/>
        </w:rPr>
        <w:fldChar w:fldCharType="begin"/>
      </w:r>
      <w:r>
        <w:rPr>
          <w:rFonts w:ascii="Times New Roman" w:eastAsia="Calibri" w:hAnsi="Times New Roman" w:cs="Times New Roman"/>
          <w:b/>
          <w:noProof/>
          <w:color w:val="000000"/>
          <w:sz w:val="24"/>
          <w:szCs w:val="24"/>
        </w:rPr>
        <w:instrText xml:space="preserve"> SEQ Figure \* ARABIC  \* MERGEFORMAT </w:instrText>
      </w:r>
      <w:r>
        <w:rPr>
          <w:rFonts w:ascii="Times New Roman" w:eastAsia="Calibri" w:hAnsi="Times New Roman" w:cs="Times New Roman"/>
          <w:b/>
          <w:noProof/>
          <w:color w:val="000000"/>
          <w:sz w:val="24"/>
          <w:szCs w:val="24"/>
        </w:rPr>
        <w:fldChar w:fldCharType="separate"/>
      </w:r>
      <w:r>
        <w:rPr>
          <w:rFonts w:ascii="Times New Roman" w:eastAsia="Calibri" w:hAnsi="Times New Roman" w:cs="Times New Roman"/>
          <w:b/>
          <w:noProof/>
          <w:color w:val="000000"/>
          <w:sz w:val="24"/>
          <w:szCs w:val="24"/>
        </w:rPr>
        <w:t>38</w:t>
      </w:r>
      <w:r>
        <w:rPr>
          <w:rFonts w:ascii="Times New Roman" w:eastAsia="Calibri" w:hAnsi="Times New Roman" w:cs="Times New Roman"/>
          <w:b/>
          <w:noProof/>
          <w:color w:val="000000"/>
          <w:sz w:val="24"/>
          <w:szCs w:val="24"/>
        </w:rPr>
        <w:fldChar w:fldCharType="end"/>
      </w:r>
      <w:r>
        <w:rPr>
          <w:rFonts w:ascii="Times New Roman" w:hAnsi="Times New Roman"/>
          <w:b/>
          <w:noProof/>
          <w:color w:val="000000"/>
          <w:sz w:val="24"/>
          <w:szCs w:val="24"/>
        </w:rPr>
        <w:t xml:space="preserve">: Наличие на обучения за съдии в областта на комуникацията </w:t>
      </w:r>
      <w:r>
        <w:rPr>
          <w:rFonts w:ascii="Times New Roman" w:hAnsi="Times New Roman"/>
          <w:noProof/>
          <w:sz w:val="24"/>
          <w:szCs w:val="24"/>
        </w:rPr>
        <w:t xml:space="preserve">(*) </w:t>
      </w:r>
      <w:r>
        <w:rPr>
          <w:rFonts w:ascii="Times New Roman" w:hAnsi="Times New Roman"/>
          <w:i/>
          <w:noProof/>
          <w:sz w:val="24"/>
          <w:szCs w:val="24"/>
        </w:rPr>
        <w:t>(източник: Европейска комисия (</w:t>
      </w:r>
      <w:r>
        <w:rPr>
          <w:rFonts w:ascii="Times New Roman" w:eastAsia="Calibri" w:hAnsi="Times New Roman" w:cs="Times New Roman"/>
          <w:i/>
          <w:noProof/>
          <w:sz w:val="24"/>
          <w:szCs w:val="24"/>
          <w:vertAlign w:val="superscript"/>
          <w:lang w:eastAsia="en-GB"/>
        </w:rPr>
        <w:footnoteReference w:id="97"/>
      </w:r>
      <w:r>
        <w:rPr>
          <w:rFonts w:ascii="Times New Roman" w:hAnsi="Times New Roman"/>
          <w:i/>
          <w:noProof/>
          <w:sz w:val="24"/>
          <w:szCs w:val="24"/>
        </w:rPr>
        <w:t>)</w:t>
      </w:r>
    </w:p>
    <w:p>
      <w:pPr>
        <w:spacing w:after="0" w:line="240" w:lineRule="auto"/>
        <w:jc w:val="both"/>
        <w:rPr>
          <w:rFonts w:ascii="Times New Roman" w:eastAsia="Calibri" w:hAnsi="Times New Roman" w:cs="Times New Roman"/>
          <w:i/>
          <w:noProof/>
        </w:rPr>
      </w:pPr>
      <w:r>
        <w:rPr>
          <w:noProof/>
          <w:lang w:val="en-GB" w:eastAsia="en-GB"/>
        </w:rPr>
        <w:drawing>
          <wp:inline distT="0" distB="0" distL="0" distR="0">
            <wp:extent cx="5977255" cy="2619614"/>
            <wp:effectExtent l="0" t="0" r="4445" b="9525"/>
            <wp:docPr id="97316" name="Picture 97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77255" cy="2619614"/>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rPr>
      </w:pPr>
      <w:r>
        <w:rPr>
          <w:rFonts w:ascii="Times New Roman" w:hAnsi="Times New Roman"/>
          <w:i/>
          <w:noProof/>
        </w:rPr>
        <w:t xml:space="preserve">(*) </w:t>
      </w:r>
      <w:r>
        <w:rPr>
          <w:rFonts w:ascii="Times New Roman" w:hAnsi="Times New Roman"/>
          <w:i/>
          <w:noProof/>
          <w:sz w:val="18"/>
          <w:szCs w:val="18"/>
        </w:rPr>
        <w:t>Максимален брой точки: 12 точки. На държавите членки е дадена 1 точка, ако осигуряват първоначално обучение и 1 точка, ако предлагат продължаващо обучение (максимум 2 точки за всеки вид обучение). DK: не се предлага обучение по комуникация с лица със зрителни или слухови увреждания, защото държавата предлага на тези лица подкрепа под формата на инструменти или помощник в съдебната зала, напр. жестомимичен преводач.</w:t>
      </w:r>
    </w:p>
    <w:p>
      <w:pPr>
        <w:keepNext/>
        <w:tabs>
          <w:tab w:val="left" w:pos="850"/>
        </w:tabs>
        <w:spacing w:before="240" w:after="120" w:line="240" w:lineRule="auto"/>
        <w:ind w:left="850" w:hanging="850"/>
        <w:jc w:val="both"/>
        <w:outlineLvl w:val="2"/>
        <w:rPr>
          <w:rFonts w:ascii="Times New Roman" w:eastAsia="Times New Roman" w:hAnsi="Times New Roman" w:cs="Times New Roman"/>
          <w:b/>
          <w:noProof/>
          <w:sz w:val="24"/>
          <w:szCs w:val="24"/>
        </w:rPr>
      </w:pPr>
      <w:r>
        <w:rPr>
          <w:rFonts w:ascii="Times New Roman" w:hAnsi="Times New Roman"/>
          <w:b/>
          <w:noProof/>
          <w:sz w:val="24"/>
          <w:szCs w:val="24"/>
        </w:rPr>
        <w:t>3.2.3. Инструменти за оценка</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pPr>
        <w:spacing w:after="0" w:line="240" w:lineRule="auto"/>
        <w:jc w:val="both"/>
        <w:rPr>
          <w:rFonts w:ascii="Times New Roman" w:hAnsi="Times New Roman"/>
          <w:noProof/>
          <w:sz w:val="24"/>
          <w:szCs w:val="24"/>
        </w:rPr>
      </w:pPr>
      <w:r>
        <w:rPr>
          <w:rFonts w:ascii="Times New Roman" w:hAnsi="Times New Roman"/>
          <w:noProof/>
          <w:sz w:val="24"/>
          <w:szCs w:val="24"/>
        </w:rPr>
        <w:t>Мониторингът и оценката на дейностите на съда спомагат за откриването на пропуски и потребности, като по този начин се способства за повишаването на качеството на правосъдната система. Редовната оценка би могла да подобри готовността на правосъдната система да реагира на настоящи и бъдещи предизвикателства. Подходящите инструменти на ИКТ могат да осигурят системи за управление на делата в реално време и да спомогнат за предоставяне на стандартизирани статистически данни в национален мащаб, свързани с дейността на съдилищата. В допълнение към това те биха могли да се използват за управление на изостаналите дела и като автоматизирани системи за ранно предупреждение. Извършването на проучвания е от голямо значение за оценяването на работата на правосъдните системи от гледна точка на практикуващите юристи и ползвателите на услугите на съдилищата. Предприемането на подходящи последващи действия в отговор на проучванията е предпоставка за подобряване на качеството на правосъдните системи.</w:t>
      </w:r>
    </w:p>
    <w:p>
      <w:pPr>
        <w:rPr>
          <w:rFonts w:ascii="Times New Roman" w:hAnsi="Times New Roman"/>
          <w:noProof/>
          <w:sz w:val="24"/>
          <w:szCs w:val="24"/>
        </w:rPr>
      </w:pPr>
      <w:r>
        <w:rPr>
          <w:rFonts w:ascii="Times New Roman" w:hAnsi="Times New Roman"/>
          <w:noProof/>
          <w:sz w:val="24"/>
          <w:szCs w:val="24"/>
        </w:rPr>
        <w:br w:type="page"/>
      </w:r>
    </w:p>
    <w:p>
      <w:pPr>
        <w:spacing w:before="240" w:after="120" w:line="240" w:lineRule="auto"/>
        <w:jc w:val="both"/>
        <w:rPr>
          <w:rFonts w:ascii="Times New Roman" w:eastAsia="Times New Roman" w:hAnsi="Times New Roman" w:cs="Times New Roman"/>
          <w:i/>
          <w:noProof/>
          <w:sz w:val="24"/>
          <w:szCs w:val="24"/>
        </w:rPr>
      </w:pPr>
      <w:bookmarkStart w:id="431" w:name="_Ref441218708"/>
      <w:r>
        <w:rPr>
          <w:rFonts w:ascii="Times New Roman" w:hAnsi="Times New Roman"/>
          <w:b/>
          <w:noProof/>
          <w:sz w:val="24"/>
          <w:szCs w:val="24"/>
        </w:rPr>
        <w:t>Графика </w:t>
      </w:r>
      <w:r>
        <w:rPr>
          <w:rFonts w:ascii="Times New Roman" w:eastAsia="Times New Roman" w:hAnsi="Times New Roman" w:cs="Times New Roman"/>
          <w:b/>
          <w:noProof/>
          <w:sz w:val="24"/>
          <w:szCs w:val="24"/>
        </w:rPr>
        <w:fldChar w:fldCharType="begin"/>
      </w:r>
      <w:r>
        <w:rPr>
          <w:rFonts w:ascii="Times New Roman" w:eastAsia="Times New Roman" w:hAnsi="Times New Roman" w:cs="Times New Roman"/>
          <w:b/>
          <w:noProof/>
          <w:sz w:val="24"/>
          <w:szCs w:val="24"/>
        </w:rPr>
        <w:instrText xml:space="preserve"> SEQ Figure \* ARABIC </w:instrText>
      </w:r>
      <w:r>
        <w:rPr>
          <w:rFonts w:ascii="Times New Roman" w:eastAsia="Times New Roman" w:hAnsi="Times New Roman" w:cs="Times New Roman"/>
          <w:b/>
          <w:noProof/>
          <w:sz w:val="24"/>
          <w:szCs w:val="24"/>
        </w:rPr>
        <w:fldChar w:fldCharType="separate"/>
      </w:r>
      <w:r>
        <w:rPr>
          <w:rFonts w:ascii="Times New Roman" w:eastAsia="Times New Roman" w:hAnsi="Times New Roman" w:cs="Times New Roman"/>
          <w:b/>
          <w:noProof/>
          <w:sz w:val="24"/>
          <w:szCs w:val="24"/>
        </w:rPr>
        <w:t>39</w:t>
      </w:r>
      <w:r>
        <w:rPr>
          <w:rFonts w:ascii="Times New Roman" w:eastAsia="Times New Roman" w:hAnsi="Times New Roman" w:cs="Times New Roman"/>
          <w:b/>
          <w:noProof/>
          <w:sz w:val="24"/>
          <w:szCs w:val="24"/>
        </w:rPr>
        <w:fldChar w:fldCharType="end"/>
      </w:r>
      <w:bookmarkEnd w:id="431"/>
      <w:r>
        <w:rPr>
          <w:rFonts w:ascii="Times New Roman" w:hAnsi="Times New Roman"/>
          <w:b/>
          <w:noProof/>
          <w:sz w:val="24"/>
          <w:szCs w:val="24"/>
        </w:rPr>
        <w:t xml:space="preserve">: Наличие на наблюдение и оценка на дейността на съдилищата </w:t>
      </w:r>
      <w:r>
        <w:rPr>
          <w:rFonts w:ascii="Times New Roman" w:hAnsi="Times New Roman"/>
          <w:noProof/>
          <w:sz w:val="24"/>
          <w:szCs w:val="24"/>
        </w:rPr>
        <w:t>(</w:t>
      </w:r>
      <w:r>
        <w:rPr>
          <w:noProof/>
          <w:sz w:val="24"/>
          <w:szCs w:val="24"/>
        </w:rPr>
        <w:t>*</w:t>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i/>
          <w:noProof/>
          <w:sz w:val="24"/>
          <w:szCs w:val="24"/>
        </w:rPr>
        <w:t>(източник: проучване на CEPEJ (</w:t>
      </w:r>
      <w:r>
        <w:rPr>
          <w:rFonts w:ascii="Times New Roman" w:eastAsia="Times New Roman" w:hAnsi="Times New Roman" w:cs="Times New Roman"/>
          <w:i/>
          <w:noProof/>
          <w:sz w:val="24"/>
          <w:szCs w:val="24"/>
          <w:vertAlign w:val="superscript"/>
        </w:rPr>
        <w:footnoteReference w:id="98"/>
      </w:r>
      <w:r>
        <w:rPr>
          <w:rFonts w:ascii="Times New Roman" w:hAnsi="Times New Roman"/>
          <w:i/>
          <w:noProof/>
          <w:sz w:val="24"/>
          <w:szCs w:val="24"/>
        </w:rPr>
        <w:t>)</w:t>
      </w:r>
    </w:p>
    <w:p>
      <w:pPr>
        <w:spacing w:after="0" w:line="240" w:lineRule="auto"/>
        <w:jc w:val="both"/>
        <w:rPr>
          <w:rFonts w:ascii="Times New Roman" w:eastAsia="Times New Roman" w:hAnsi="Times New Roman" w:cs="Times New Roman"/>
          <w:noProof/>
          <w:sz w:val="24"/>
          <w:szCs w:val="24"/>
        </w:rPr>
      </w:pPr>
      <w:r>
        <w:rPr>
          <w:noProof/>
          <w:lang w:val="en-GB" w:eastAsia="en-GB"/>
        </w:rPr>
        <w:drawing>
          <wp:inline distT="0" distB="0" distL="0" distR="0">
            <wp:extent cx="5715000" cy="2571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15000" cy="2571750"/>
                    </a:xfrm>
                    <a:prstGeom prst="rect">
                      <a:avLst/>
                    </a:prstGeom>
                  </pic:spPr>
                </pic:pic>
              </a:graphicData>
            </a:graphic>
          </wp:inline>
        </w:drawing>
      </w:r>
    </w:p>
    <w:p>
      <w:pPr>
        <w:spacing w:after="0" w:line="240" w:lineRule="auto"/>
        <w:jc w:val="both"/>
        <w:rPr>
          <w:rFonts w:ascii="Times New Roman" w:hAnsi="Times New Roman"/>
          <w:i/>
          <w:noProof/>
          <w:sz w:val="20"/>
        </w:rPr>
      </w:pPr>
      <w:r>
        <w:rPr>
          <w:rFonts w:ascii="Times New Roman" w:hAnsi="Times New Roman"/>
          <w:i/>
          <w:noProof/>
          <w:sz w:val="20"/>
        </w:rPr>
        <w:t xml:space="preserve">(*) Системата за оценка се отнася до резултатността на съдебните системи, като се използват показатели и цели. </w:t>
      </w:r>
      <w:bookmarkStart w:id="432" w:name="_Ref441218732"/>
      <w:r>
        <w:rPr>
          <w:rFonts w:ascii="Times New Roman" w:hAnsi="Times New Roman"/>
          <w:i/>
          <w:noProof/>
          <w:sz w:val="20"/>
        </w:rPr>
        <w:t>През 2018 г. всички държави членки са заявили, че разполагат със система, която позволява да се следят броят на новозаведените дела и постановените решения, както и продължителността на производствата, което прави тези категории излишни за графиката по-горе. Вместо тях като категория за оценка сега се използва по-задълбочената работа във връзка със стандартите за качество. Данните за „други елементи“ включват например дела на приключените производства (</w:t>
      </w:r>
      <w:r>
        <w:rPr>
          <w:rFonts w:ascii="Times New Roman" w:hAnsi="Times New Roman"/>
          <w:b/>
          <w:i/>
          <w:noProof/>
          <w:sz w:val="20"/>
        </w:rPr>
        <w:t>AT, FR</w:t>
      </w:r>
      <w:r>
        <w:rPr>
          <w:rFonts w:ascii="Times New Roman" w:hAnsi="Times New Roman"/>
          <w:i/>
          <w:noProof/>
          <w:sz w:val="20"/>
        </w:rPr>
        <w:t>), броя на обжалваните дела и на процедурите по принудително изпълнение (</w:t>
      </w:r>
      <w:r>
        <w:rPr>
          <w:rFonts w:ascii="Times New Roman" w:hAnsi="Times New Roman"/>
          <w:b/>
          <w:i/>
          <w:noProof/>
          <w:sz w:val="20"/>
        </w:rPr>
        <w:t>ES</w:t>
      </w:r>
      <w:r>
        <w:rPr>
          <w:rFonts w:ascii="Times New Roman" w:hAnsi="Times New Roman"/>
          <w:i/>
          <w:noProof/>
          <w:sz w:val="20"/>
        </w:rPr>
        <w:t>), броя на делата според вида на спора (</w:t>
      </w:r>
      <w:r>
        <w:rPr>
          <w:rFonts w:ascii="Times New Roman" w:hAnsi="Times New Roman"/>
          <w:b/>
          <w:i/>
          <w:noProof/>
          <w:sz w:val="20"/>
        </w:rPr>
        <w:t>SK</w:t>
      </w:r>
      <w:r>
        <w:rPr>
          <w:rFonts w:ascii="Times New Roman" w:hAnsi="Times New Roman"/>
          <w:i/>
          <w:noProof/>
          <w:sz w:val="20"/>
        </w:rPr>
        <w:t>), изхода на делото, напр. пълна или частична удовлетвореност (</w:t>
      </w:r>
      <w:r>
        <w:rPr>
          <w:rFonts w:ascii="Times New Roman" w:hAnsi="Times New Roman"/>
          <w:b/>
          <w:i/>
          <w:noProof/>
          <w:sz w:val="20"/>
        </w:rPr>
        <w:t>SK</w:t>
      </w:r>
      <w:r>
        <w:rPr>
          <w:rFonts w:ascii="Times New Roman" w:hAnsi="Times New Roman"/>
          <w:i/>
          <w:noProof/>
          <w:sz w:val="20"/>
        </w:rPr>
        <w:t>), окончателните присъди и спрените дела (</w:t>
      </w:r>
      <w:r>
        <w:rPr>
          <w:rFonts w:ascii="Times New Roman" w:hAnsi="Times New Roman"/>
          <w:b/>
          <w:i/>
          <w:noProof/>
          <w:sz w:val="20"/>
        </w:rPr>
        <w:t>RO</w:t>
      </w:r>
      <w:r>
        <w:rPr>
          <w:rFonts w:ascii="Times New Roman" w:hAnsi="Times New Roman"/>
          <w:i/>
          <w:noProof/>
          <w:sz w:val="20"/>
        </w:rPr>
        <w:t>) и броя на съдебните заседания (</w:t>
      </w:r>
      <w:r>
        <w:rPr>
          <w:rFonts w:ascii="Times New Roman" w:hAnsi="Times New Roman"/>
          <w:b/>
          <w:i/>
          <w:noProof/>
          <w:sz w:val="20"/>
        </w:rPr>
        <w:t>PL</w:t>
      </w:r>
      <w:r>
        <w:rPr>
          <w:rFonts w:ascii="Times New Roman" w:hAnsi="Times New Roman"/>
          <w:i/>
          <w:noProof/>
          <w:sz w:val="20"/>
        </w:rPr>
        <w:t>).</w:t>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Графика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40</w:t>
      </w:r>
      <w:r>
        <w:rPr>
          <w:rFonts w:ascii="Times New Roman" w:eastAsia="Calibri" w:hAnsi="Times New Roman" w:cs="Times New Roman"/>
          <w:b/>
          <w:noProof/>
          <w:sz w:val="24"/>
        </w:rPr>
        <w:fldChar w:fldCharType="end"/>
      </w:r>
      <w:bookmarkEnd w:id="432"/>
      <w:r>
        <w:rPr>
          <w:rFonts w:ascii="Times New Roman" w:hAnsi="Times New Roman"/>
          <w:b/>
          <w:noProof/>
          <w:sz w:val="24"/>
        </w:rPr>
        <w:t xml:space="preserve">: Наличие на ИКТ за управление на делата и статистически данни за дейността на съдилищата </w:t>
      </w:r>
      <w:r>
        <w:rPr>
          <w:rFonts w:ascii="Times New Roman" w:hAnsi="Times New Roman"/>
          <w:i/>
          <w:noProof/>
          <w:sz w:val="24"/>
        </w:rPr>
        <w:t>(0 = наличие на такава възможност в 0 % от съдилищата, 4 = наличие на такава възможност в 100 % от съдилищата (</w:t>
      </w:r>
      <w:r>
        <w:rPr>
          <w:rFonts w:ascii="Times New Roman" w:eastAsia="Calibri" w:hAnsi="Times New Roman" w:cs="Times New Roman"/>
          <w:i/>
          <w:noProof/>
          <w:sz w:val="24"/>
          <w:vertAlign w:val="superscript"/>
        </w:rPr>
        <w:footnoteReference w:id="99"/>
      </w:r>
      <w:r>
        <w:rPr>
          <w:rFonts w:ascii="Times New Roman" w:hAnsi="Times New Roman"/>
          <w:i/>
          <w:noProof/>
          <w:sz w:val="24"/>
        </w:rPr>
        <w:t>)</w:t>
      </w:r>
      <w:r>
        <w:rPr>
          <w:rFonts w:ascii="Times New Roman" w:hAnsi="Times New Roman"/>
          <w:i/>
          <w:noProof/>
        </w:rPr>
        <w:t xml:space="preserve"> </w:t>
      </w:r>
      <w:r>
        <w:rPr>
          <w:rFonts w:ascii="Times New Roman" w:hAnsi="Times New Roman"/>
          <w:i/>
          <w:noProof/>
          <w:sz w:val="24"/>
        </w:rPr>
        <w:t>(източник: проучване на CEPEJ)</w:t>
      </w:r>
    </w:p>
    <w:p>
      <w:pPr>
        <w:spacing w:after="0" w:line="240" w:lineRule="auto"/>
        <w:jc w:val="both"/>
        <w:rPr>
          <w:rFonts w:ascii="Times New Roman" w:eastAsia="Calibri" w:hAnsi="Times New Roman" w:cs="Times New Roman"/>
          <w:i/>
          <w:noProof/>
          <w:sz w:val="20"/>
        </w:rPr>
      </w:pPr>
      <w:r>
        <w:rPr>
          <w:noProof/>
          <w:lang w:val="en-GB" w:eastAsia="en-GB"/>
        </w:rPr>
        <w:drawing>
          <wp:inline distT="0" distB="0" distL="0" distR="0">
            <wp:extent cx="5972175" cy="1752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72175" cy="1752600"/>
                    </a:xfrm>
                    <a:prstGeom prst="rect">
                      <a:avLst/>
                    </a:prstGeom>
                  </pic:spPr>
                </pic:pic>
              </a:graphicData>
            </a:graphic>
          </wp:inline>
        </w:drawing>
      </w:r>
    </w:p>
    <w:p>
      <w:pPr>
        <w:keepNext/>
        <w:spacing w:before="240" w:after="120" w:line="240" w:lineRule="auto"/>
        <w:jc w:val="both"/>
        <w:rPr>
          <w:rFonts w:ascii="Times New Roman" w:eastAsia="Times New Roman" w:hAnsi="Times New Roman" w:cs="Times New Roman"/>
          <w:i/>
          <w:noProof/>
          <w:sz w:val="24"/>
          <w:szCs w:val="24"/>
        </w:rPr>
      </w:pPr>
      <w:bookmarkStart w:id="433" w:name="_Ref441218739"/>
      <w:r>
        <w:rPr>
          <w:rFonts w:ascii="Times New Roman" w:hAnsi="Times New Roman"/>
          <w:b/>
          <w:noProof/>
          <w:sz w:val="24"/>
        </w:rPr>
        <w:t>Графика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41</w:t>
      </w:r>
      <w:r>
        <w:rPr>
          <w:rFonts w:ascii="Times New Roman" w:eastAsia="Calibri" w:hAnsi="Times New Roman" w:cs="Times New Roman"/>
          <w:b/>
          <w:noProof/>
          <w:sz w:val="24"/>
        </w:rPr>
        <w:fldChar w:fldCharType="end"/>
      </w:r>
      <w:bookmarkEnd w:id="433"/>
      <w:r>
        <w:rPr>
          <w:rFonts w:ascii="Times New Roman" w:hAnsi="Times New Roman"/>
          <w:b/>
          <w:noProof/>
          <w:sz w:val="24"/>
        </w:rPr>
        <w:t xml:space="preserve">: Теми на проучвания, проведени сред ползватели на услугите на съдилищата или сред практикуващи юристи </w:t>
      </w:r>
      <w:r>
        <w:rPr>
          <w:rFonts w:ascii="Times New Roman" w:hAnsi="Times New Roman"/>
          <w:noProof/>
          <w:sz w:val="24"/>
          <w:szCs w:val="24"/>
        </w:rPr>
        <w:t>(*)</w:t>
      </w:r>
      <w:r>
        <w:rPr>
          <w:rFonts w:ascii="Times New Roman" w:hAnsi="Times New Roman"/>
          <w:i/>
          <w:noProof/>
          <w:sz w:val="24"/>
          <w:szCs w:val="24"/>
        </w:rPr>
        <w:t xml:space="preserve"> (източник: Европейска комисия (</w:t>
      </w:r>
      <w:r>
        <w:rPr>
          <w:rFonts w:ascii="Times New Roman" w:eastAsia="Times New Roman" w:hAnsi="Times New Roman" w:cs="Times New Roman"/>
          <w:i/>
          <w:noProof/>
          <w:sz w:val="24"/>
          <w:szCs w:val="24"/>
          <w:vertAlign w:val="superscript"/>
        </w:rPr>
        <w:footnoteReference w:id="100"/>
      </w:r>
      <w:r>
        <w:rPr>
          <w:rFonts w:ascii="Times New Roman" w:hAnsi="Times New Roman"/>
          <w:i/>
          <w:noProof/>
          <w:sz w:val="24"/>
          <w:szCs w:val="24"/>
        </w:rPr>
        <w:t>)</w:t>
      </w:r>
    </w:p>
    <w:p>
      <w:pPr>
        <w:spacing w:after="0" w:line="240" w:lineRule="auto"/>
        <w:jc w:val="both"/>
        <w:rPr>
          <w:rFonts w:ascii="Times New Roman" w:eastAsia="Calibri" w:hAnsi="Times New Roman" w:cs="Times New Roman"/>
          <w:noProof/>
          <w:sz w:val="20"/>
        </w:rPr>
      </w:pPr>
      <w:r>
        <w:rPr>
          <w:noProof/>
          <w:lang w:val="en-GB" w:eastAsia="en-GB"/>
        </w:rPr>
        <w:drawing>
          <wp:inline distT="0" distB="0" distL="0" distR="0">
            <wp:extent cx="5791200" cy="4029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91200" cy="4029075"/>
                    </a:xfrm>
                    <a:prstGeom prst="rect">
                      <a:avLst/>
                    </a:prstGeom>
                  </pic:spPr>
                </pic:pic>
              </a:graphicData>
            </a:graphic>
          </wp:inline>
        </w:drawing>
      </w:r>
    </w:p>
    <w:p>
      <w:pPr>
        <w:spacing w:after="0" w:line="240" w:lineRule="auto"/>
        <w:jc w:val="both"/>
        <w:rPr>
          <w:rFonts w:ascii="Times New Roman" w:eastAsia="Calibri" w:hAnsi="Times New Roman" w:cs="Times New Roman"/>
          <w:bCs/>
          <w:i/>
          <w:noProof/>
          <w:sz w:val="20"/>
          <w:szCs w:val="20"/>
        </w:rPr>
      </w:pPr>
      <w:r>
        <w:rPr>
          <w:rFonts w:ascii="Times New Roman" w:hAnsi="Times New Roman"/>
          <w:i/>
          <w:noProof/>
          <w:sz w:val="20"/>
          <w:szCs w:val="20"/>
        </w:rPr>
        <w:t>(*) На държавите членки бе дадена по една точка за всяка посочена тема на проучване, независимо дали проучването е проведено на национално или регионално равнище или на равнището на съдилищата.</w:t>
      </w:r>
      <w:r>
        <w:rPr>
          <w:rFonts w:ascii="Times New Roman" w:hAnsi="Times New Roman"/>
          <w:bCs/>
          <w:i/>
          <w:noProof/>
          <w:sz w:val="20"/>
          <w:szCs w:val="20"/>
        </w:rPr>
        <w:t xml:space="preserve"> „Други теми“ включват: </w:t>
      </w:r>
      <w:r>
        <w:rPr>
          <w:rFonts w:ascii="Times New Roman" w:hAnsi="Times New Roman"/>
          <w:i/>
          <w:noProof/>
          <w:sz w:val="20"/>
          <w:szCs w:val="20"/>
        </w:rPr>
        <w:t>физическа достъпност (</w:t>
      </w:r>
      <w:r>
        <w:rPr>
          <w:rFonts w:ascii="Times New Roman" w:hAnsi="Times New Roman"/>
          <w:b/>
          <w:i/>
          <w:noProof/>
          <w:sz w:val="20"/>
          <w:szCs w:val="20"/>
        </w:rPr>
        <w:t>MT</w:t>
      </w:r>
      <w:r>
        <w:rPr>
          <w:rFonts w:ascii="Times New Roman" w:hAnsi="Times New Roman"/>
          <w:i/>
          <w:noProof/>
          <w:sz w:val="20"/>
          <w:szCs w:val="20"/>
        </w:rPr>
        <w:t>);</w:t>
      </w:r>
      <w:r>
        <w:rPr>
          <w:rFonts w:ascii="Times New Roman" w:hAnsi="Times New Roman"/>
          <w:bCs/>
          <w:i/>
          <w:noProof/>
          <w:sz w:val="20"/>
          <w:szCs w:val="20"/>
        </w:rPr>
        <w:t xml:space="preserve"> </w:t>
      </w:r>
      <w:r>
        <w:rPr>
          <w:rFonts w:ascii="Times New Roman" w:hAnsi="Times New Roman"/>
          <w:i/>
          <w:noProof/>
          <w:sz w:val="20"/>
          <w:szCs w:val="20"/>
        </w:rPr>
        <w:t>използваемост на онлайн портала с информация от съда (</w:t>
      </w:r>
      <w:r>
        <w:rPr>
          <w:rFonts w:ascii="Times New Roman" w:hAnsi="Times New Roman"/>
          <w:b/>
          <w:i/>
          <w:noProof/>
          <w:sz w:val="20"/>
          <w:szCs w:val="20"/>
        </w:rPr>
        <w:t>DK</w:t>
      </w:r>
      <w:r>
        <w:rPr>
          <w:rFonts w:ascii="Times New Roman" w:hAnsi="Times New Roman"/>
          <w:i/>
          <w:noProof/>
          <w:sz w:val="20"/>
          <w:szCs w:val="20"/>
        </w:rPr>
        <w:t>);</w:t>
      </w:r>
      <w:r>
        <w:rPr>
          <w:rFonts w:ascii="Times New Roman" w:hAnsi="Times New Roman"/>
          <w:bCs/>
          <w:i/>
          <w:noProof/>
          <w:sz w:val="20"/>
          <w:szCs w:val="20"/>
        </w:rPr>
        <w:t xml:space="preserve"> </w:t>
      </w:r>
      <w:r>
        <w:rPr>
          <w:rFonts w:ascii="Times New Roman" w:hAnsi="Times New Roman"/>
          <w:i/>
          <w:noProof/>
          <w:sz w:val="20"/>
          <w:szCs w:val="20"/>
        </w:rPr>
        <w:t>достъп до съдебна информация (</w:t>
      </w:r>
      <w:r>
        <w:rPr>
          <w:rFonts w:ascii="Times New Roman" w:hAnsi="Times New Roman"/>
          <w:b/>
          <w:i/>
          <w:noProof/>
          <w:sz w:val="20"/>
          <w:szCs w:val="20"/>
        </w:rPr>
        <w:t>PT</w:t>
      </w:r>
      <w:r>
        <w:rPr>
          <w:rFonts w:ascii="Times New Roman" w:hAnsi="Times New Roman"/>
          <w:i/>
          <w:noProof/>
          <w:sz w:val="20"/>
          <w:szCs w:val="20"/>
        </w:rPr>
        <w:t>) и наличие и четивност на формулярите и на инструкциите за попълването им (</w:t>
      </w:r>
      <w:r>
        <w:rPr>
          <w:rFonts w:ascii="Times New Roman" w:hAnsi="Times New Roman"/>
          <w:b/>
          <w:i/>
          <w:noProof/>
          <w:sz w:val="20"/>
          <w:szCs w:val="20"/>
        </w:rPr>
        <w:t>PL</w:t>
      </w:r>
      <w:r>
        <w:rPr>
          <w:rFonts w:ascii="Times New Roman" w:hAnsi="Times New Roman"/>
          <w:i/>
          <w:noProof/>
          <w:sz w:val="20"/>
          <w:szCs w:val="20"/>
        </w:rPr>
        <w:t>).</w:t>
      </w:r>
      <w:r>
        <w:rPr>
          <w:rFonts w:ascii="Times New Roman" w:hAnsi="Times New Roman"/>
          <w:bCs/>
          <w:i/>
          <w:noProof/>
          <w:sz w:val="20"/>
          <w:szCs w:val="20"/>
        </w:rPr>
        <w:t xml:space="preserve"> </w:t>
      </w:r>
      <w:r>
        <w:rPr>
          <w:rFonts w:ascii="Times New Roman" w:hAnsi="Times New Roman"/>
          <w:i/>
          <w:noProof/>
          <w:sz w:val="20"/>
          <w:szCs w:val="20"/>
        </w:rPr>
        <w:t>Тази категория включва също проучвания сред служителите на съда, например относно почтеността на съдиите (</w:t>
      </w:r>
      <w:r>
        <w:rPr>
          <w:rFonts w:ascii="Times New Roman" w:hAnsi="Times New Roman"/>
          <w:b/>
          <w:i/>
          <w:noProof/>
          <w:sz w:val="20"/>
          <w:szCs w:val="20"/>
        </w:rPr>
        <w:t>HU</w:t>
      </w:r>
      <w:r>
        <w:rPr>
          <w:rFonts w:ascii="Times New Roman" w:hAnsi="Times New Roman"/>
          <w:i/>
          <w:noProof/>
          <w:sz w:val="20"/>
          <w:szCs w:val="20"/>
        </w:rPr>
        <w:t>), нивото на знания и лична култура на съдебните служители (</w:t>
      </w:r>
      <w:r>
        <w:rPr>
          <w:rFonts w:ascii="Times New Roman" w:hAnsi="Times New Roman"/>
          <w:b/>
          <w:i/>
          <w:noProof/>
          <w:sz w:val="20"/>
          <w:szCs w:val="20"/>
        </w:rPr>
        <w:t>PL</w:t>
      </w:r>
      <w:r>
        <w:rPr>
          <w:rFonts w:ascii="Times New Roman" w:hAnsi="Times New Roman"/>
          <w:i/>
          <w:noProof/>
          <w:sz w:val="20"/>
          <w:szCs w:val="20"/>
        </w:rPr>
        <w:t>) и профила на собствеността на съдебната власт (</w:t>
      </w:r>
      <w:r>
        <w:rPr>
          <w:rFonts w:ascii="Times New Roman" w:hAnsi="Times New Roman"/>
          <w:b/>
          <w:i/>
          <w:noProof/>
          <w:sz w:val="20"/>
          <w:szCs w:val="20"/>
        </w:rPr>
        <w:t>AT</w:t>
      </w:r>
      <w:r>
        <w:rPr>
          <w:rFonts w:ascii="Times New Roman" w:hAnsi="Times New Roman"/>
          <w:i/>
          <w:noProof/>
          <w:sz w:val="20"/>
          <w:szCs w:val="20"/>
        </w:rPr>
        <w:t>), качествени аспекти, като например удовлетвореността (</w:t>
      </w:r>
      <w:r>
        <w:rPr>
          <w:rFonts w:ascii="Times New Roman" w:hAnsi="Times New Roman"/>
          <w:b/>
          <w:i/>
          <w:noProof/>
          <w:sz w:val="20"/>
          <w:szCs w:val="20"/>
        </w:rPr>
        <w:t>AT</w:t>
      </w:r>
      <w:r>
        <w:rPr>
          <w:rFonts w:ascii="Times New Roman" w:hAnsi="Times New Roman"/>
          <w:i/>
          <w:noProof/>
          <w:sz w:val="20"/>
          <w:szCs w:val="20"/>
        </w:rPr>
        <w:t>), качеството на изпълнението на присъдите (</w:t>
      </w:r>
      <w:r>
        <w:rPr>
          <w:rFonts w:ascii="Times New Roman" w:hAnsi="Times New Roman"/>
          <w:b/>
          <w:i/>
          <w:noProof/>
          <w:sz w:val="20"/>
          <w:szCs w:val="20"/>
        </w:rPr>
        <w:t>MT</w:t>
      </w:r>
      <w:r>
        <w:rPr>
          <w:rFonts w:ascii="Times New Roman" w:hAnsi="Times New Roman"/>
          <w:i/>
          <w:noProof/>
          <w:sz w:val="20"/>
          <w:szCs w:val="20"/>
        </w:rPr>
        <w:t>), лоялността към съдилища (</w:t>
      </w:r>
      <w:r>
        <w:rPr>
          <w:rFonts w:ascii="Times New Roman" w:hAnsi="Times New Roman"/>
          <w:b/>
          <w:i/>
          <w:noProof/>
          <w:sz w:val="20"/>
          <w:szCs w:val="20"/>
        </w:rPr>
        <w:t>PT</w:t>
      </w:r>
      <w:r>
        <w:rPr>
          <w:rFonts w:ascii="Times New Roman" w:hAnsi="Times New Roman"/>
          <w:i/>
          <w:noProof/>
          <w:sz w:val="20"/>
          <w:szCs w:val="20"/>
        </w:rPr>
        <w:t>) и концепцията за подходящо наказание (</w:t>
      </w:r>
      <w:r>
        <w:rPr>
          <w:rFonts w:ascii="Times New Roman" w:hAnsi="Times New Roman"/>
          <w:b/>
          <w:i/>
          <w:noProof/>
          <w:sz w:val="20"/>
          <w:szCs w:val="20"/>
        </w:rPr>
        <w:t>FI</w:t>
      </w:r>
      <w:r>
        <w:rPr>
          <w:rFonts w:ascii="Times New Roman" w:hAnsi="Times New Roman"/>
          <w:i/>
          <w:noProof/>
          <w:sz w:val="20"/>
          <w:szCs w:val="20"/>
        </w:rPr>
        <w:t>).</w:t>
      </w:r>
    </w:p>
    <w:p>
      <w:pPr>
        <w:spacing w:after="0" w:line="240" w:lineRule="auto"/>
        <w:jc w:val="both"/>
        <w:rPr>
          <w:rFonts w:ascii="Times New Roman" w:eastAsia="Calibri" w:hAnsi="Times New Roman" w:cs="Times New Roman"/>
          <w:bCs/>
          <w:i/>
          <w:noProof/>
          <w:sz w:val="20"/>
          <w:szCs w:val="20"/>
        </w:rPr>
      </w:pPr>
    </w:p>
    <w:p>
      <w:pPr>
        <w:keepNext/>
        <w:spacing w:before="240" w:after="120" w:line="240" w:lineRule="auto"/>
        <w:contextualSpacing/>
        <w:jc w:val="both"/>
        <w:rPr>
          <w:rFonts w:ascii="Times New Roman" w:eastAsia="Times New Roman" w:hAnsi="Times New Roman" w:cs="Times New Roman"/>
          <w:i/>
          <w:noProof/>
          <w:sz w:val="24"/>
          <w:szCs w:val="24"/>
        </w:rPr>
      </w:pPr>
      <w:bookmarkStart w:id="434" w:name="_Ref441218744"/>
      <w:bookmarkEnd w:id="434"/>
      <w:r>
        <w:rPr>
          <w:rFonts w:ascii="Times New Roman" w:hAnsi="Times New Roman"/>
          <w:b/>
          <w:noProof/>
          <w:sz w:val="24"/>
        </w:rPr>
        <w:t>Графика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42</w:t>
      </w:r>
      <w:r>
        <w:rPr>
          <w:rFonts w:ascii="Times New Roman" w:eastAsia="Calibri" w:hAnsi="Times New Roman" w:cs="Times New Roman"/>
          <w:b/>
          <w:noProof/>
          <w:sz w:val="24"/>
        </w:rPr>
        <w:fldChar w:fldCharType="end"/>
      </w:r>
      <w:r>
        <w:rPr>
          <w:rFonts w:ascii="Times New Roman" w:hAnsi="Times New Roman"/>
          <w:b/>
          <w:noProof/>
          <w:sz w:val="24"/>
        </w:rPr>
        <w:t xml:space="preserve">: Последващи действия в отговор на проучвания, проведени сред ползватели на услугите на съдилищата или сред практикуващи юристи </w:t>
      </w:r>
      <w:r>
        <w:rPr>
          <w:rFonts w:ascii="Times New Roman" w:hAnsi="Times New Roman"/>
          <w:noProof/>
          <w:sz w:val="24"/>
        </w:rPr>
        <w:t>(*)</w:t>
      </w:r>
      <w:r>
        <w:rPr>
          <w:rFonts w:ascii="Times New Roman" w:hAnsi="Times New Roman"/>
          <w:i/>
          <w:noProof/>
          <w:sz w:val="28"/>
        </w:rPr>
        <w:t xml:space="preserve"> </w:t>
      </w:r>
      <w:r>
        <w:rPr>
          <w:rFonts w:ascii="Times New Roman" w:hAnsi="Times New Roman"/>
          <w:i/>
          <w:noProof/>
          <w:sz w:val="24"/>
          <w:szCs w:val="24"/>
        </w:rPr>
        <w:t>(източник: Европейска комисия (</w:t>
      </w:r>
      <w:r>
        <w:rPr>
          <w:rFonts w:ascii="Times New Roman" w:eastAsia="Times New Roman" w:hAnsi="Times New Roman" w:cs="Times New Roman"/>
          <w:i/>
          <w:noProof/>
          <w:sz w:val="24"/>
          <w:szCs w:val="24"/>
          <w:vertAlign w:val="superscript"/>
        </w:rPr>
        <w:footnoteReference w:id="101"/>
      </w:r>
      <w:r>
        <w:rPr>
          <w:rFonts w:ascii="Times New Roman" w:hAnsi="Times New Roman"/>
          <w:i/>
          <w:noProof/>
          <w:sz w:val="24"/>
          <w:szCs w:val="24"/>
        </w:rPr>
        <w:t>)</w:t>
      </w:r>
    </w:p>
    <w:p>
      <w:pPr>
        <w:spacing w:after="0" w:line="240" w:lineRule="auto"/>
        <w:jc w:val="both"/>
        <w:rPr>
          <w:rFonts w:ascii="Times New Roman" w:eastAsia="Calibri" w:hAnsi="Times New Roman" w:cs="Times New Roman"/>
          <w:noProof/>
        </w:rPr>
      </w:pPr>
      <w:bookmarkStart w:id="435" w:name="_Toc440017702"/>
      <w:bookmarkStart w:id="436" w:name="_Toc440018086"/>
      <w:bookmarkStart w:id="437" w:name="_Toc440033384"/>
      <w:bookmarkStart w:id="438" w:name="_Toc440035235"/>
      <w:bookmarkStart w:id="439" w:name="_Toc440036530"/>
      <w:bookmarkStart w:id="440" w:name="_Toc440042472"/>
      <w:bookmarkStart w:id="441" w:name="_Toc440291125"/>
      <w:bookmarkStart w:id="442" w:name="_Toc440294688"/>
      <w:bookmarkStart w:id="443" w:name="_Toc440295190"/>
      <w:bookmarkStart w:id="444" w:name="_Toc440296595"/>
      <w:bookmarkStart w:id="445" w:name="_Toc440625079"/>
      <w:bookmarkStart w:id="446" w:name="_Toc440626409"/>
      <w:bookmarkStart w:id="447" w:name="_Toc440628863"/>
      <w:bookmarkStart w:id="448" w:name="_Toc441571136"/>
      <w:bookmarkStart w:id="449" w:name="_Toc441581638"/>
      <w:bookmarkStart w:id="450" w:name="_Toc441585905"/>
      <w:bookmarkStart w:id="451" w:name="_Toc441595840"/>
      <w:bookmarkStart w:id="452" w:name="_Toc441596017"/>
      <w:bookmarkStart w:id="453" w:name="_Toc441748142"/>
      <w:bookmarkStart w:id="454" w:name="_Toc441755427"/>
      <w:bookmarkStart w:id="455" w:name="_Toc441756464"/>
      <w:bookmarkStart w:id="456" w:name="_Toc441757508"/>
      <w:bookmarkStart w:id="457" w:name="_Toc441766637"/>
      <w:bookmarkStart w:id="458" w:name="_Toc441766976"/>
      <w:r>
        <w:rPr>
          <w:noProof/>
          <w:lang w:val="en-GB" w:eastAsia="en-GB"/>
        </w:rPr>
        <w:drawing>
          <wp:inline distT="0" distB="0" distL="0" distR="0">
            <wp:extent cx="5810250" cy="30956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810250" cy="3095625"/>
                    </a:xfrm>
                    <a:prstGeom prst="rect">
                      <a:avLst/>
                    </a:prstGeom>
                  </pic:spPr>
                </pic:pic>
              </a:graphicData>
            </a:graphic>
          </wp:inline>
        </w:drawing>
      </w:r>
    </w:p>
    <w:p>
      <w:pPr>
        <w:spacing w:after="0" w:line="240" w:lineRule="auto"/>
        <w:jc w:val="both"/>
        <w:rPr>
          <w:rFonts w:ascii="Times New Roman" w:eastAsia="Calibri" w:hAnsi="Times New Roman" w:cs="Times New Roman"/>
          <w:i/>
          <w:noProof/>
          <w:sz w:val="20"/>
        </w:rPr>
      </w:pPr>
      <w:bookmarkStart w:id="459" w:name="_Toc442187977"/>
      <w:bookmarkStart w:id="460" w:name="_Toc442262069"/>
      <w:bookmarkStart w:id="461" w:name="_Toc442362476"/>
      <w:bookmarkStart w:id="462" w:name="_Toc442374812"/>
      <w:bookmarkStart w:id="463" w:name="_Toc442425952"/>
      <w:bookmarkStart w:id="464" w:name="_Toc442453078"/>
      <w:bookmarkStart w:id="465" w:name="_Toc443484536"/>
      <w:bookmarkStart w:id="466" w:name="_Toc443484758"/>
      <w:bookmarkStart w:id="467" w:name="_Toc443509499"/>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r>
        <w:rPr>
          <w:rFonts w:ascii="Times New Roman" w:hAnsi="Times New Roman"/>
          <w:i/>
          <w:noProof/>
          <w:sz w:val="20"/>
        </w:rPr>
        <w:t>(*) На държавите членки бе дадена по една точка за всеки вид последващо действие. Категорията „Други специфични последващи действия“ включва: насоки и рамка за нов онлайн портал (</w:t>
      </w:r>
      <w:r>
        <w:rPr>
          <w:rFonts w:ascii="Times New Roman" w:hAnsi="Times New Roman"/>
          <w:b/>
          <w:i/>
          <w:noProof/>
          <w:sz w:val="20"/>
        </w:rPr>
        <w:t>DK</w:t>
      </w:r>
      <w:r>
        <w:rPr>
          <w:rFonts w:ascii="Times New Roman" w:hAnsi="Times New Roman"/>
          <w:i/>
          <w:noProof/>
          <w:sz w:val="20"/>
        </w:rPr>
        <w:t>), насоки за политиката и оперативното ръководство (</w:t>
      </w:r>
      <w:r>
        <w:rPr>
          <w:rFonts w:ascii="Times New Roman" w:hAnsi="Times New Roman"/>
          <w:b/>
          <w:i/>
          <w:noProof/>
          <w:sz w:val="20"/>
        </w:rPr>
        <w:t>MT</w:t>
      </w:r>
      <w:r>
        <w:rPr>
          <w:rFonts w:ascii="Times New Roman" w:hAnsi="Times New Roman"/>
          <w:i/>
          <w:noProof/>
          <w:sz w:val="20"/>
        </w:rPr>
        <w:t>), подобряване на публичното възприятие за съдебната система (</w:t>
      </w:r>
      <w:r>
        <w:rPr>
          <w:rFonts w:ascii="Times New Roman" w:hAnsi="Times New Roman"/>
          <w:b/>
          <w:i/>
          <w:noProof/>
          <w:sz w:val="20"/>
        </w:rPr>
        <w:t>PT</w:t>
      </w:r>
      <w:r>
        <w:rPr>
          <w:rFonts w:ascii="Times New Roman" w:hAnsi="Times New Roman"/>
          <w:i/>
          <w:noProof/>
          <w:sz w:val="20"/>
        </w:rPr>
        <w:t xml:space="preserve">) </w:t>
      </w:r>
      <w:bookmarkStart w:id="468" w:name="_Toc446014828"/>
      <w:r>
        <w:rPr>
          <w:rFonts w:ascii="Times New Roman" w:hAnsi="Times New Roman"/>
          <w:i/>
          <w:noProof/>
          <w:sz w:val="20"/>
        </w:rPr>
        <w:t xml:space="preserve">и публикуване на информационни инструменти за широката общественост. </w:t>
      </w:r>
      <w:r>
        <w:rPr>
          <w:rFonts w:ascii="Times New Roman" w:hAnsi="Times New Roman"/>
          <w:b/>
          <w:i/>
          <w:noProof/>
          <w:sz w:val="20"/>
        </w:rPr>
        <w:t>IE:</w:t>
      </w:r>
      <w:r>
        <w:rPr>
          <w:rFonts w:ascii="Times New Roman" w:hAnsi="Times New Roman"/>
          <w:i/>
          <w:noProof/>
          <w:sz w:val="20"/>
        </w:rPr>
        <w:t xml:space="preserve"> данните се отнасят до проучване в областта на наследяването, проведено през 2016 г.</w:t>
      </w:r>
    </w:p>
    <w:p>
      <w:pPr>
        <w:spacing w:before="240" w:after="120" w:line="240" w:lineRule="auto"/>
        <w:jc w:val="both"/>
        <w:rPr>
          <w:rFonts w:ascii="Times New Roman" w:eastAsia="Calibri" w:hAnsi="Times New Roman" w:cs="Times New Roman"/>
          <w:b/>
          <w:noProof/>
          <w:sz w:val="24"/>
        </w:rPr>
      </w:pPr>
      <w:r>
        <w:rPr>
          <w:rFonts w:ascii="Times New Roman" w:hAnsi="Times New Roman"/>
          <w:b/>
          <w:noProof/>
          <w:sz w:val="24"/>
        </w:rPr>
        <w:t>3.2.4. Стандарти</w:t>
      </w:r>
      <w:bookmarkEnd w:id="468"/>
    </w:p>
    <w:p>
      <w:pPr>
        <w:spacing w:after="120" w:line="240" w:lineRule="auto"/>
        <w:jc w:val="both"/>
        <w:rPr>
          <w:rFonts w:ascii="Times New Roman" w:eastAsia="Calibri" w:hAnsi="Times New Roman" w:cs="Times New Roman"/>
          <w:noProof/>
          <w:spacing w:val="-4"/>
          <w:sz w:val="24"/>
        </w:rPr>
      </w:pPr>
      <w:r>
        <w:rPr>
          <w:rFonts w:ascii="Times New Roman" w:hAnsi="Times New Roman"/>
          <w:noProof/>
          <w:spacing w:val="-4"/>
          <w:sz w:val="24"/>
        </w:rPr>
        <w:t>Стандартите могат да подобрят качеството на правосъдните системи. За първи път въз основа на данните, събрани от Асоциацията на държавните съвети и върховните административни юрисдикции в ЕС (ACA-Europe), мрежата на председателите на върховните съдилища в ЕС (NPSJC), информационното табло на ЕС в областта на правосъдието за 2019 г. представя преглед на практиките, използвани от съдилищата от най-висока инстанция и тези от по-долна инстанция, които допринасят за качеството на съдебните решения (графика 43).</w:t>
      </w:r>
    </w:p>
    <w:p>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След разглеждането на стандартните мерки относно сроковете и информацията за страните в производствата в предишното издание, Информационното табло за 2019 г. се съсредоточава върху сроковете, изостаналите дела и работните графици като инструмент за управление в съдебната система (</w:t>
      </w:r>
      <w:r>
        <w:rPr>
          <w:rFonts w:ascii="Times New Roman" w:eastAsia="Calibri" w:hAnsi="Times New Roman" w:cs="Times New Roman"/>
          <w:noProof/>
          <w:sz w:val="24"/>
          <w:vertAlign w:val="superscript"/>
        </w:rPr>
        <w:footnoteReference w:id="102"/>
      </w:r>
      <w:r>
        <w:rPr>
          <w:rFonts w:ascii="Times New Roman" w:hAnsi="Times New Roman"/>
          <w:noProof/>
          <w:sz w:val="24"/>
        </w:rPr>
        <w:t>). На графика 44 е представен преглед на това кои държави членки използват стандартни мерки относно сроковете, работните графици и изостаналите дела. Под срокове се разбират количествените крайни срокове, например максималният брой дни между датата на завеждане на делото и първото съдебно заседание. Изостанали дела са дела, заведени преди определен период от време. Работните графици представляват измерими цели/практики, например предварителното определяне на броя на делата, които да бъдат приключени в рамките на определен период от време. На графика 45 са представени органите, които определят, наблюдават и предприемат последващи действия по отношение на стандартите за изостаналите дела, а на графика 46 са илюстрирани по-подробно някои аспекти, свързани с работните графици.</w:t>
      </w:r>
      <w:bookmarkStart w:id="469" w:name="_Ref441657918"/>
    </w:p>
    <w:p>
      <w:pPr>
        <w:spacing w:before="240" w:after="120" w:line="240" w:lineRule="auto"/>
        <w:jc w:val="both"/>
        <w:rPr>
          <w:rFonts w:ascii="Times New Roman" w:eastAsia="Calibri" w:hAnsi="Times New Roman" w:cs="Times New Roman"/>
          <w:i/>
          <w:noProof/>
        </w:rPr>
      </w:pPr>
      <w:r>
        <w:rPr>
          <w:rFonts w:ascii="Times New Roman" w:hAnsi="Times New Roman"/>
          <w:i/>
          <w:noProof/>
        </w:rPr>
        <w:t xml:space="preserve">— </w:t>
      </w:r>
      <w:r>
        <w:rPr>
          <w:rFonts w:ascii="Times New Roman" w:hAnsi="Times New Roman"/>
          <w:i/>
          <w:noProof/>
          <w:sz w:val="24"/>
          <w:szCs w:val="24"/>
        </w:rPr>
        <w:t>Качество на съдебните решения —</w:t>
      </w:r>
    </w:p>
    <w:p>
      <w:pPr>
        <w:spacing w:before="120" w:after="120" w:line="240" w:lineRule="auto"/>
        <w:jc w:val="both"/>
        <w:rPr>
          <w:rFonts w:ascii="Times New Roman" w:eastAsia="Calibri" w:hAnsi="Times New Roman" w:cs="Times New Roman"/>
          <w:noProof/>
          <w:sz w:val="24"/>
          <w:lang w:val="en-US"/>
        </w:rPr>
      </w:pPr>
      <w:r>
        <w:rPr>
          <w:rFonts w:ascii="Times New Roman" w:hAnsi="Times New Roman"/>
          <w:noProof/>
          <w:sz w:val="24"/>
        </w:rPr>
        <w:t xml:space="preserve">За съдебни решения с високо качество като цяло се възприемат тези, които са ясно формулирани, структурирани и с които се постига подходящ баланс между ясна обосновка и краткост, като по този начин те стават лесно разбираеми и изпълними. Формулировката и структурата на съдебните решения също може да окаже въздействие върху начина, по който те се обработват от софтуерни програми, по-специално приложенията за обработка на естествен език (NLP). Този краен резултат може да се постигне само чрез комбинация от сложен и многостранен набор от елементи, като например висококачествено професионално обучение на съдиите, възприемането на добри практики във връзка с изготвянето и наблюдението на качеството на решенията, при зачитане на независимостта на съдебната власт. </w:t>
      </w:r>
      <w:r>
        <w:rPr>
          <w:rFonts w:ascii="Times New Roman" w:hAnsi="Times New Roman"/>
          <w:noProof/>
          <w:sz w:val="24"/>
          <w:szCs w:val="24"/>
        </w:rPr>
        <w:t xml:space="preserve">Асоциацията на държавните съвети и върховните административни юрисдикции в ЕС (ACA-Europe) разработи въпросник, по който бяха получени отговори от върховните административни съдилища и от върховните съдилища (членове на Мрежата на председателите на върховните съдилища в ЕС (NPSJC). </w:t>
      </w:r>
      <w:r>
        <w:rPr>
          <w:rFonts w:ascii="Times New Roman" w:hAnsi="Times New Roman"/>
          <w:noProof/>
          <w:sz w:val="24"/>
        </w:rPr>
        <w:t>Без да оценява резултатите от взетите индивидуални решения, в графика 43 се представят стандартите, приети от държавите членки по отношение на избрани показатели, за които се смята, че допринасят за цялостното качество на съдебните решения.</w:t>
      </w:r>
      <w:bookmarkEnd w:id="469"/>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Графика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43</w:t>
      </w:r>
      <w:r>
        <w:rPr>
          <w:rFonts w:ascii="Times New Roman" w:eastAsia="Calibri" w:hAnsi="Times New Roman" w:cs="Times New Roman"/>
          <w:b/>
          <w:noProof/>
          <w:sz w:val="24"/>
        </w:rPr>
        <w:fldChar w:fldCharType="end"/>
      </w:r>
      <w:r>
        <w:rPr>
          <w:rFonts w:ascii="Times New Roman" w:hAnsi="Times New Roman"/>
          <w:b/>
          <w:noProof/>
          <w:sz w:val="24"/>
        </w:rPr>
        <w:t xml:space="preserve">: </w:t>
      </w:r>
      <w:r>
        <w:rPr>
          <w:rFonts w:ascii="Times New Roman" w:hAnsi="Times New Roman"/>
          <w:b/>
          <w:noProof/>
          <w:sz w:val="24"/>
          <w:szCs w:val="24"/>
        </w:rPr>
        <w:t xml:space="preserve">Стандарти, прилагани с цел подобряване на качеството на решенията, постановявани във върховните съдилища </w:t>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i/>
          <w:noProof/>
          <w:sz w:val="24"/>
        </w:rPr>
        <w:t>(източник: Европейската комисия съвместно с ACA-Europe и NPSJC)</w:t>
      </w:r>
    </w:p>
    <w:p>
      <w:pPr>
        <w:spacing w:before="240" w:after="120" w:line="240" w:lineRule="auto"/>
        <w:jc w:val="both"/>
        <w:rPr>
          <w:rFonts w:ascii="Times New Roman" w:eastAsia="Calibri" w:hAnsi="Times New Roman" w:cs="Times New Roman"/>
          <w:i/>
          <w:noProof/>
          <w:sz w:val="24"/>
        </w:rPr>
      </w:pPr>
      <w:r>
        <w:rPr>
          <w:noProof/>
          <w:lang w:val="en-GB" w:eastAsia="en-GB"/>
        </w:rPr>
        <w:drawing>
          <wp:inline distT="0" distB="0" distL="0" distR="0">
            <wp:extent cx="5969479" cy="3640347"/>
            <wp:effectExtent l="0" t="0" r="0" b="0"/>
            <wp:docPr id="97317" name="Picture 97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77255" cy="3645089"/>
                    </a:xfrm>
                    <a:prstGeom prst="rect">
                      <a:avLst/>
                    </a:prstGeom>
                    <a:noFill/>
                    <a:ln>
                      <a:noFill/>
                    </a:ln>
                  </pic:spPr>
                </pic:pic>
              </a:graphicData>
            </a:graphic>
          </wp:inline>
        </w:drawing>
      </w:r>
    </w:p>
    <w:p>
      <w:pPr>
        <w:spacing w:before="120" w:after="120" w:line="240" w:lineRule="auto"/>
        <w:jc w:val="both"/>
        <w:rPr>
          <w:rFonts w:ascii="Times New Roman" w:eastAsia="Calibri" w:hAnsi="Times New Roman" w:cs="Times New Roman"/>
          <w:i/>
          <w:noProof/>
          <w:sz w:val="20"/>
        </w:rPr>
      </w:pPr>
      <w:r>
        <w:rPr>
          <w:rFonts w:ascii="Times New Roman" w:hAnsi="Times New Roman"/>
          <w:i/>
          <w:noProof/>
          <w:sz w:val="20"/>
        </w:rPr>
        <w:t>(*) За всяка държава членка лявата колона представя практиките във върховните съдилища, а дясната колона — практиките във върховните административни съдилища (колона, отбелязана с буква „А“). Държавите членки са представени по азбучния ред на географските им имена на оригиналния език. На държавите членки бе дадена по една точка за всеки показател за качеството на съдебните решения. Обучението включва правно обучение на съдии по структурата на писмените решения (0,25 точки), правно обучение за съдии от върховния съд по стила на обосноваване на писмените съдебни решения, правни обучения на съдиите от по-долна инстанция по стила на обосноваване на писмени решения (0,25 точки) и обучение по изготвяне на съдебни решения (в университета, училището за съдии или на работното място) (0,25 точки). Смята се, че съществува задължение за използване на прост и ясен език, независимо дали се изисква по силата на закон, подзаконов акт или професионална практика (1 точка). Смята се, че съществува задължение за краткост, независимо дали се изисква по силата на закон, съдебни правилници или практики (1 точка). Оценката на качеството на съдебните решения се отнася до наличието на вътрешен механизъм на равнището на върховния съд за оценка на цялостното качество на собствените му решения (1 точка). IT</w:t>
      </w:r>
      <w:r>
        <w:rPr>
          <w:rFonts w:ascii="Times New Roman" w:hAnsi="Times New Roman"/>
          <w:b/>
          <w:i/>
          <w:noProof/>
          <w:sz w:val="20"/>
        </w:rPr>
        <w:t>:</w:t>
      </w:r>
      <w:r>
        <w:rPr>
          <w:rFonts w:ascii="Times New Roman" w:hAnsi="Times New Roman"/>
          <w:i/>
          <w:noProof/>
          <w:sz w:val="20"/>
        </w:rPr>
        <w:t xml:space="preserve"> Corte Suprema di Cassazione (Върховен касационен съд): въпреки че не съществува процесуален инструмент за изясняване на съдебните решения, в някои ситуации някои аспекти на делото могат все още да бъдат изяснени на етапа на изпълнение на решението от компетентен съдия. </w:t>
      </w:r>
      <w:r>
        <w:rPr>
          <w:rFonts w:ascii="Times New Roman" w:hAnsi="Times New Roman"/>
          <w:b/>
          <w:i/>
          <w:noProof/>
          <w:sz w:val="20"/>
        </w:rPr>
        <w:t>DK</w:t>
      </w:r>
      <w:r>
        <w:rPr>
          <w:rFonts w:ascii="Times New Roman" w:hAnsi="Times New Roman"/>
          <w:i/>
          <w:noProof/>
          <w:sz w:val="20"/>
        </w:rPr>
        <w:t xml:space="preserve"> и </w:t>
      </w:r>
      <w:r>
        <w:rPr>
          <w:rFonts w:ascii="Times New Roman" w:hAnsi="Times New Roman"/>
          <w:b/>
          <w:i/>
          <w:noProof/>
          <w:sz w:val="20"/>
        </w:rPr>
        <w:t>RO</w:t>
      </w:r>
      <w:r>
        <w:rPr>
          <w:rFonts w:ascii="Times New Roman" w:hAnsi="Times New Roman"/>
          <w:i/>
          <w:noProof/>
          <w:sz w:val="20"/>
        </w:rPr>
        <w:t xml:space="preserve">: няма данни. Участващи съдилища: </w:t>
      </w:r>
      <w:r>
        <w:rPr>
          <w:rFonts w:ascii="Times New Roman" w:hAnsi="Times New Roman"/>
          <w:b/>
          <w:i/>
          <w:noProof/>
          <w:sz w:val="20"/>
        </w:rPr>
        <w:t>BE:</w:t>
      </w:r>
      <w:r>
        <w:rPr>
          <w:rFonts w:ascii="Times New Roman" w:hAnsi="Times New Roman"/>
          <w:i/>
          <w:noProof/>
          <w:sz w:val="20"/>
        </w:rPr>
        <w:t xml:space="preserve"> Cour de cassation (Върховен съд) и Conseil d’Etat (Държавен съвет). </w:t>
      </w:r>
      <w:r>
        <w:rPr>
          <w:rFonts w:ascii="Times New Roman" w:hAnsi="Times New Roman"/>
          <w:b/>
          <w:i/>
          <w:noProof/>
          <w:sz w:val="20"/>
        </w:rPr>
        <w:t>BG:</w:t>
      </w:r>
      <w:r>
        <w:rPr>
          <w:rFonts w:ascii="Times New Roman" w:hAnsi="Times New Roman"/>
          <w:i/>
          <w:noProof/>
          <w:sz w:val="20"/>
        </w:rPr>
        <w:t xml:space="preserve"> Върховен касационен съд и Върховен административен съд. </w:t>
      </w:r>
      <w:r>
        <w:rPr>
          <w:rFonts w:ascii="Times New Roman" w:hAnsi="Times New Roman"/>
          <w:b/>
          <w:i/>
          <w:noProof/>
          <w:sz w:val="20"/>
        </w:rPr>
        <w:t>CZ:</w:t>
      </w:r>
      <w:r>
        <w:rPr>
          <w:rFonts w:ascii="Times New Roman" w:hAnsi="Times New Roman"/>
          <w:i/>
          <w:noProof/>
          <w:sz w:val="20"/>
        </w:rPr>
        <w:t xml:space="preserve"> Nejvyšší soud (Върховен съд) и Nejvyšší správní soud (Върховен административен съд). </w:t>
      </w:r>
      <w:r>
        <w:rPr>
          <w:rFonts w:ascii="Times New Roman" w:hAnsi="Times New Roman"/>
          <w:b/>
          <w:i/>
          <w:noProof/>
          <w:sz w:val="20"/>
        </w:rPr>
        <w:t>DE:</w:t>
      </w:r>
      <w:r>
        <w:rPr>
          <w:rFonts w:ascii="Times New Roman" w:hAnsi="Times New Roman"/>
          <w:i/>
          <w:noProof/>
          <w:sz w:val="20"/>
        </w:rPr>
        <w:t xml:space="preserve"> Bundesverwaltungsgericht (Федерален административен съд). </w:t>
      </w:r>
      <w:r>
        <w:rPr>
          <w:rFonts w:ascii="Times New Roman" w:hAnsi="Times New Roman"/>
          <w:b/>
          <w:i/>
          <w:noProof/>
          <w:sz w:val="20"/>
        </w:rPr>
        <w:t>EE:</w:t>
      </w:r>
      <w:r>
        <w:rPr>
          <w:rFonts w:ascii="Times New Roman" w:hAnsi="Times New Roman"/>
          <w:i/>
          <w:noProof/>
          <w:sz w:val="20"/>
        </w:rPr>
        <w:t xml:space="preserve"> Riikohus (Върховен съд). </w:t>
      </w:r>
      <w:r>
        <w:rPr>
          <w:rFonts w:ascii="Times New Roman" w:hAnsi="Times New Roman"/>
          <w:b/>
          <w:i/>
          <w:noProof/>
          <w:sz w:val="20"/>
        </w:rPr>
        <w:t>IE:</w:t>
      </w:r>
      <w:r>
        <w:rPr>
          <w:rFonts w:ascii="Times New Roman" w:hAnsi="Times New Roman"/>
          <w:i/>
          <w:noProof/>
          <w:sz w:val="20"/>
        </w:rPr>
        <w:t xml:space="preserve"> Chúirt Uachtarach (Върховен съд). </w:t>
      </w:r>
      <w:r>
        <w:rPr>
          <w:rFonts w:ascii="Times New Roman" w:hAnsi="Times New Roman"/>
          <w:b/>
          <w:i/>
          <w:noProof/>
          <w:sz w:val="20"/>
        </w:rPr>
        <w:t>EL:</w:t>
      </w:r>
      <w:r>
        <w:rPr>
          <w:rFonts w:ascii="Times New Roman" w:hAnsi="Times New Roman"/>
          <w:i/>
          <w:noProof/>
          <w:sz w:val="20"/>
        </w:rPr>
        <w:t xml:space="preserve"> Συμβούλιο της Επικρατείας (Държавен съвет). </w:t>
      </w:r>
      <w:r>
        <w:rPr>
          <w:rFonts w:ascii="Times New Roman" w:hAnsi="Times New Roman"/>
          <w:b/>
          <w:i/>
          <w:noProof/>
          <w:sz w:val="20"/>
        </w:rPr>
        <w:t>ES:</w:t>
      </w:r>
      <w:r>
        <w:rPr>
          <w:rFonts w:ascii="Times New Roman" w:hAnsi="Times New Roman"/>
          <w:i/>
          <w:noProof/>
          <w:sz w:val="20"/>
        </w:rPr>
        <w:t xml:space="preserve"> Tribunal Supremo (Върховен съд). </w:t>
      </w:r>
      <w:r>
        <w:rPr>
          <w:rFonts w:ascii="Times New Roman" w:hAnsi="Times New Roman"/>
          <w:b/>
          <w:i/>
          <w:noProof/>
          <w:sz w:val="20"/>
        </w:rPr>
        <w:t>FR:</w:t>
      </w:r>
      <w:r>
        <w:rPr>
          <w:rFonts w:ascii="Times New Roman" w:hAnsi="Times New Roman"/>
          <w:i/>
          <w:noProof/>
          <w:sz w:val="20"/>
        </w:rPr>
        <w:t xml:space="preserve"> Cour de cassation (Касационен съд) и Conseil d’Etat (Държавен съвет). </w:t>
      </w:r>
      <w:r>
        <w:rPr>
          <w:rFonts w:ascii="Times New Roman" w:hAnsi="Times New Roman"/>
          <w:b/>
          <w:i/>
          <w:noProof/>
          <w:sz w:val="20"/>
        </w:rPr>
        <w:t>HR:</w:t>
      </w:r>
      <w:r>
        <w:rPr>
          <w:rFonts w:ascii="Times New Roman" w:hAnsi="Times New Roman"/>
          <w:i/>
          <w:noProof/>
          <w:sz w:val="20"/>
        </w:rPr>
        <w:t xml:space="preserve"> Vrhovni sud (Върховен съд) и Visoki upravni (Върховен административен съд). </w:t>
      </w:r>
      <w:r>
        <w:rPr>
          <w:rFonts w:ascii="Times New Roman" w:hAnsi="Times New Roman"/>
          <w:b/>
          <w:i/>
          <w:noProof/>
          <w:sz w:val="20"/>
        </w:rPr>
        <w:t>IT:</w:t>
      </w:r>
      <w:r>
        <w:rPr>
          <w:rFonts w:ascii="Times New Roman" w:hAnsi="Times New Roman"/>
          <w:i/>
          <w:noProof/>
          <w:sz w:val="20"/>
        </w:rPr>
        <w:t xml:space="preserve"> Corte Suprema di Cassazione (Върховен касационен съд) и Consiglio de Stato (Държавен съвет). </w:t>
      </w:r>
      <w:r>
        <w:rPr>
          <w:rFonts w:ascii="Times New Roman" w:hAnsi="Times New Roman"/>
          <w:b/>
          <w:i/>
          <w:noProof/>
          <w:sz w:val="20"/>
        </w:rPr>
        <w:t>CY:</w:t>
      </w:r>
      <w:r>
        <w:rPr>
          <w:rFonts w:ascii="Times New Roman" w:hAnsi="Times New Roman"/>
          <w:i/>
          <w:noProof/>
          <w:sz w:val="20"/>
        </w:rPr>
        <w:t xml:space="preserve"> Ανώτατο Δικαστήριο (Върховен съд). </w:t>
      </w:r>
      <w:r>
        <w:rPr>
          <w:rFonts w:ascii="Times New Roman" w:hAnsi="Times New Roman"/>
          <w:b/>
          <w:i/>
          <w:noProof/>
          <w:sz w:val="20"/>
        </w:rPr>
        <w:t>LV:</w:t>
      </w:r>
      <w:r>
        <w:rPr>
          <w:rFonts w:ascii="Times New Roman" w:hAnsi="Times New Roman"/>
          <w:i/>
          <w:noProof/>
          <w:sz w:val="20"/>
        </w:rPr>
        <w:t xml:space="preserve"> Аugstākā tiеѕа (Върховен съд). </w:t>
      </w:r>
      <w:r>
        <w:rPr>
          <w:rFonts w:ascii="Times New Roman" w:hAnsi="Times New Roman"/>
          <w:b/>
          <w:i/>
          <w:noProof/>
          <w:sz w:val="20"/>
        </w:rPr>
        <w:t>LT:</w:t>
      </w:r>
      <w:r>
        <w:rPr>
          <w:rFonts w:ascii="Times New Roman" w:hAnsi="Times New Roman"/>
          <w:i/>
          <w:noProof/>
          <w:sz w:val="20"/>
        </w:rPr>
        <w:t xml:space="preserve"> Vyriausiasis Administracinis Teismas (Върховен административен съд). </w:t>
      </w:r>
      <w:r>
        <w:rPr>
          <w:rFonts w:ascii="Times New Roman" w:hAnsi="Times New Roman"/>
          <w:b/>
          <w:i/>
          <w:noProof/>
          <w:sz w:val="20"/>
        </w:rPr>
        <w:t>LU:</w:t>
      </w:r>
      <w:r>
        <w:rPr>
          <w:rFonts w:ascii="Times New Roman" w:hAnsi="Times New Roman"/>
          <w:i/>
          <w:noProof/>
          <w:sz w:val="20"/>
        </w:rPr>
        <w:t xml:space="preserve"> Cour de cassation (Върховен съд). </w:t>
      </w:r>
      <w:r>
        <w:rPr>
          <w:rFonts w:ascii="Times New Roman" w:hAnsi="Times New Roman"/>
          <w:b/>
          <w:i/>
          <w:noProof/>
          <w:sz w:val="20"/>
        </w:rPr>
        <w:t>HU:</w:t>
      </w:r>
      <w:r>
        <w:rPr>
          <w:rFonts w:ascii="Times New Roman" w:hAnsi="Times New Roman"/>
          <w:i/>
          <w:noProof/>
          <w:sz w:val="20"/>
        </w:rPr>
        <w:t xml:space="preserve"> Kúria (Върховен съд). </w:t>
      </w:r>
      <w:r>
        <w:rPr>
          <w:rFonts w:ascii="Times New Roman" w:hAnsi="Times New Roman"/>
          <w:b/>
          <w:i/>
          <w:noProof/>
          <w:sz w:val="20"/>
        </w:rPr>
        <w:t xml:space="preserve">MT: </w:t>
      </w:r>
      <w:r>
        <w:rPr>
          <w:rFonts w:ascii="Times New Roman" w:eastAsia="Calibri" w:hAnsi="Times New Roman" w:cs="Times New Roman"/>
          <w:i/>
          <w:noProof/>
          <w:sz w:val="20"/>
        </w:rPr>
        <w:t>Court of Appeal</w:t>
      </w:r>
      <w:r>
        <w:rPr>
          <w:rFonts w:ascii="Times New Roman" w:hAnsi="Times New Roman"/>
          <w:i/>
          <w:noProof/>
          <w:sz w:val="20"/>
        </w:rPr>
        <w:t xml:space="preserve"> (Апелативен съд). </w:t>
      </w:r>
      <w:r>
        <w:rPr>
          <w:rFonts w:ascii="Times New Roman" w:hAnsi="Times New Roman"/>
          <w:b/>
          <w:i/>
          <w:noProof/>
          <w:sz w:val="20"/>
        </w:rPr>
        <w:t>NL:</w:t>
      </w:r>
      <w:r>
        <w:rPr>
          <w:rFonts w:ascii="Times New Roman" w:hAnsi="Times New Roman"/>
          <w:i/>
          <w:noProof/>
          <w:sz w:val="20"/>
        </w:rPr>
        <w:t xml:space="preserve"> Hoge Raad (Върховен съд) и Raad van State (Държавен съвет). </w:t>
      </w:r>
      <w:r>
        <w:rPr>
          <w:rFonts w:ascii="Times New Roman" w:hAnsi="Times New Roman"/>
          <w:b/>
          <w:i/>
          <w:noProof/>
          <w:sz w:val="20"/>
        </w:rPr>
        <w:t>AT:</w:t>
      </w:r>
      <w:r>
        <w:rPr>
          <w:rFonts w:ascii="Times New Roman" w:hAnsi="Times New Roman"/>
          <w:i/>
          <w:noProof/>
          <w:sz w:val="20"/>
        </w:rPr>
        <w:t xml:space="preserve"> Oberster Gerichtshof (Върховен съд) и Verwaltungsgerichtshof (Върховен административен съд). </w:t>
      </w:r>
      <w:r>
        <w:rPr>
          <w:rFonts w:ascii="Times New Roman" w:hAnsi="Times New Roman"/>
          <w:b/>
          <w:i/>
          <w:noProof/>
          <w:sz w:val="20"/>
        </w:rPr>
        <w:t>PL:</w:t>
      </w:r>
      <w:r>
        <w:rPr>
          <w:rFonts w:ascii="Times New Roman" w:hAnsi="Times New Roman"/>
          <w:i/>
          <w:noProof/>
          <w:sz w:val="20"/>
        </w:rPr>
        <w:t xml:space="preserve"> Sąd Najwyższy (Върховен съд) и Naczelny Sąd Administracyjny (Върховен административен съд). </w:t>
      </w:r>
      <w:r>
        <w:rPr>
          <w:rFonts w:ascii="Times New Roman" w:hAnsi="Times New Roman"/>
          <w:b/>
          <w:i/>
          <w:noProof/>
          <w:sz w:val="20"/>
        </w:rPr>
        <w:t>PT:</w:t>
      </w:r>
      <w:r>
        <w:rPr>
          <w:rFonts w:ascii="Times New Roman" w:hAnsi="Times New Roman"/>
          <w:i/>
          <w:noProof/>
          <w:sz w:val="20"/>
        </w:rPr>
        <w:t xml:space="preserve"> Supremo Tribunal Administrativo (Върховен административен съд). </w:t>
      </w:r>
      <w:r>
        <w:rPr>
          <w:rFonts w:ascii="Times New Roman" w:hAnsi="Times New Roman"/>
          <w:b/>
          <w:i/>
          <w:noProof/>
          <w:sz w:val="20"/>
        </w:rPr>
        <w:t>SI:</w:t>
      </w:r>
      <w:r>
        <w:rPr>
          <w:rFonts w:ascii="Times New Roman" w:hAnsi="Times New Roman"/>
          <w:i/>
          <w:noProof/>
          <w:sz w:val="20"/>
        </w:rPr>
        <w:t xml:space="preserve"> Vrhovno sodišče (Върховен съд). </w:t>
      </w:r>
      <w:r>
        <w:rPr>
          <w:rFonts w:ascii="Times New Roman" w:hAnsi="Times New Roman"/>
          <w:b/>
          <w:i/>
          <w:noProof/>
          <w:sz w:val="20"/>
        </w:rPr>
        <w:t>SK:</w:t>
      </w:r>
      <w:r>
        <w:rPr>
          <w:rFonts w:ascii="Times New Roman" w:hAnsi="Times New Roman"/>
          <w:i/>
          <w:noProof/>
          <w:sz w:val="20"/>
        </w:rPr>
        <w:t xml:space="preserve"> Nаjvyšší súd (Върховен съд). </w:t>
      </w:r>
      <w:r>
        <w:rPr>
          <w:rFonts w:ascii="Times New Roman" w:hAnsi="Times New Roman"/>
          <w:b/>
          <w:i/>
          <w:noProof/>
          <w:sz w:val="20"/>
        </w:rPr>
        <w:t>FI:</w:t>
      </w:r>
      <w:r>
        <w:rPr>
          <w:rFonts w:ascii="Times New Roman" w:hAnsi="Times New Roman"/>
          <w:i/>
          <w:noProof/>
          <w:sz w:val="20"/>
        </w:rPr>
        <w:t xml:space="preserve"> Korkein hallinto-oikeus (Върховен административен съд). </w:t>
      </w:r>
      <w:r>
        <w:rPr>
          <w:rFonts w:ascii="Times New Roman" w:hAnsi="Times New Roman"/>
          <w:b/>
          <w:i/>
          <w:noProof/>
          <w:sz w:val="20"/>
        </w:rPr>
        <w:t>SE:</w:t>
      </w:r>
      <w:r>
        <w:rPr>
          <w:rFonts w:ascii="Times New Roman" w:hAnsi="Times New Roman"/>
          <w:i/>
          <w:noProof/>
          <w:sz w:val="20"/>
        </w:rPr>
        <w:t xml:space="preserve"> Högsta domstolen (Върховен съд) и Högsta förvaltningsdomstolen (Върховен административен съд). </w:t>
      </w:r>
      <w:r>
        <w:rPr>
          <w:rFonts w:ascii="Times New Roman" w:hAnsi="Times New Roman"/>
          <w:b/>
          <w:i/>
          <w:noProof/>
          <w:sz w:val="20"/>
        </w:rPr>
        <w:t>UK:</w:t>
      </w:r>
      <w:r>
        <w:rPr>
          <w:rFonts w:ascii="Times New Roman" w:hAnsi="Times New Roman"/>
          <w:i/>
          <w:noProof/>
          <w:sz w:val="20"/>
        </w:rPr>
        <w:t xml:space="preserve"> Supreme Court (Върховен съд).</w:t>
      </w:r>
    </w:p>
    <w:p>
      <w:pPr>
        <w:spacing w:before="240" w:after="120" w:line="240" w:lineRule="auto"/>
        <w:jc w:val="both"/>
        <w:rPr>
          <w:rFonts w:ascii="Times New Roman Bold" w:eastAsia="Calibri" w:hAnsi="Times New Roman Bold" w:cs="Times New Roman"/>
          <w:i/>
          <w:noProof/>
          <w:spacing w:val="-6"/>
          <w:sz w:val="24"/>
        </w:rPr>
      </w:pPr>
      <w:r>
        <w:rPr>
          <w:rFonts w:ascii="Times New Roman" w:hAnsi="Times New Roman"/>
          <w:b/>
          <w:noProof/>
          <w:sz w:val="24"/>
        </w:rPr>
        <w:t>Графика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44</w:t>
      </w:r>
      <w:r>
        <w:rPr>
          <w:rFonts w:ascii="Times New Roman" w:eastAsia="Calibri" w:hAnsi="Times New Roman" w:cs="Times New Roman"/>
          <w:b/>
          <w:noProof/>
          <w:sz w:val="24"/>
        </w:rPr>
        <w:fldChar w:fldCharType="end"/>
      </w:r>
      <w:r>
        <w:rPr>
          <w:rFonts w:ascii="Times New Roman" w:hAnsi="Times New Roman"/>
          <w:b/>
          <w:noProof/>
          <w:sz w:val="24"/>
        </w:rPr>
        <w:t xml:space="preserve">: Стандарти относно сроковете </w:t>
      </w:r>
      <w:r>
        <w:rPr>
          <w:rFonts w:ascii="Times New Roman" w:hAnsi="Times New Roman"/>
          <w:noProof/>
          <w:sz w:val="24"/>
        </w:rPr>
        <w:t xml:space="preserve">(*) </w:t>
      </w:r>
      <w:r>
        <w:rPr>
          <w:rFonts w:ascii="Times New Roman" w:hAnsi="Times New Roman"/>
          <w:i/>
          <w:noProof/>
          <w:sz w:val="24"/>
        </w:rPr>
        <w:t>(източник: Европейска комисия (</w:t>
      </w:r>
      <w:r>
        <w:rPr>
          <w:rFonts w:ascii="Times New Roman" w:eastAsia="Calibri" w:hAnsi="Times New Roman" w:cs="Times New Roman"/>
          <w:i/>
          <w:noProof/>
          <w:vertAlign w:val="superscript"/>
        </w:rPr>
        <w:footnoteReference w:id="103"/>
      </w:r>
      <w:r>
        <w:rPr>
          <w:rFonts w:ascii="Times New Roman" w:hAnsi="Times New Roman"/>
          <w:i/>
          <w:noProof/>
          <w:sz w:val="24"/>
        </w:rPr>
        <w:t>)</w:t>
      </w:r>
    </w:p>
    <w:p>
      <w:pPr>
        <w:keepNext/>
        <w:spacing w:after="0" w:line="240" w:lineRule="auto"/>
        <w:contextualSpacing/>
        <w:jc w:val="both"/>
        <w:rPr>
          <w:rFonts w:ascii="Times New Roman Bold" w:eastAsia="Calibri" w:hAnsi="Times New Roman Bold" w:cs="Times New Roman"/>
          <w:i/>
          <w:noProof/>
          <w:spacing w:val="-6"/>
          <w:sz w:val="24"/>
        </w:rPr>
      </w:pPr>
      <w:r>
        <w:rPr>
          <w:noProof/>
          <w:lang w:val="en-GB" w:eastAsia="en-GB"/>
        </w:rPr>
        <w:drawing>
          <wp:inline distT="0" distB="0" distL="0" distR="0">
            <wp:extent cx="5895975" cy="12382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895975" cy="1238250"/>
                    </a:xfrm>
                    <a:prstGeom prst="rect">
                      <a:avLst/>
                    </a:prstGeom>
                  </pic:spPr>
                </pic:pic>
              </a:graphicData>
            </a:graphic>
          </wp:inline>
        </w:drawing>
      </w:r>
    </w:p>
    <w:p>
      <w:pPr>
        <w:spacing w:after="0" w:line="240" w:lineRule="auto"/>
        <w:contextualSpacing/>
        <w:jc w:val="both"/>
        <w:rPr>
          <w:rFonts w:ascii="Times New Roman" w:eastAsia="Calibri" w:hAnsi="Times New Roman" w:cs="Times New Roman"/>
          <w:i/>
          <w:noProof/>
          <w:sz w:val="20"/>
          <w:szCs w:val="20"/>
        </w:rPr>
      </w:pPr>
      <w:r>
        <w:rPr>
          <w:rFonts w:ascii="Times New Roman" w:hAnsi="Times New Roman"/>
          <w:i/>
          <w:noProof/>
          <w:sz w:val="20"/>
          <w:szCs w:val="20"/>
        </w:rPr>
        <w:t>(*) На държавите членки бе дадена по една точка, ако има установени стандарти, независимо от областта (граждански/търговски, административни или други дела).</w:t>
      </w:r>
    </w:p>
    <w:p>
      <w:pPr>
        <w:spacing w:before="120" w:after="120" w:line="240" w:lineRule="auto"/>
        <w:jc w:val="both"/>
        <w:rPr>
          <w:rFonts w:ascii="Times New Roman" w:hAnsi="Times New Roman"/>
          <w:noProof/>
          <w:sz w:val="24"/>
        </w:rPr>
      </w:pPr>
      <w:r>
        <w:rPr>
          <w:rFonts w:ascii="Times New Roman" w:hAnsi="Times New Roman"/>
          <w:noProof/>
          <w:sz w:val="24"/>
        </w:rPr>
        <w:t>Графика 45 разглежда стандартите относно изостаналите дела, които се състоят от мерки за намаляване на забавянията и за подобряване на темпа на развитие на делата. На графиката са показани компетентностите на различните власти на държавите членки да определят, наблюдават и предприемат последващи действия по отношение на стандартите за изостаналите дела. Предмет на графика 46 са работните графици, които могат да бъдат ефективен инструмент за управление в съдебната система, тъй като те могат да спомогнат за откриването на потенциални проблеми с ефикасността и способстват за намирането на решения (напр. допълнителни човешки или финансови ресурси, реорганизация на процеса на управление на съдилищата, временна помощ за даден съд).</w:t>
      </w:r>
    </w:p>
    <w:p>
      <w:pPr>
        <w:rPr>
          <w:rFonts w:ascii="Times New Roman" w:hAnsi="Times New Roman"/>
          <w:noProof/>
          <w:sz w:val="24"/>
        </w:rPr>
      </w:pPr>
      <w:r>
        <w:rPr>
          <w:rFonts w:ascii="Times New Roman" w:hAnsi="Times New Roman"/>
          <w:noProof/>
          <w:sz w:val="24"/>
        </w:rPr>
        <w:br w:type="page"/>
      </w:r>
    </w:p>
    <w:p>
      <w:pPr>
        <w:spacing w:before="240" w:after="120" w:line="240" w:lineRule="auto"/>
        <w:rPr>
          <w:rFonts w:ascii="Times New Roman" w:eastAsia="Times New Roman" w:hAnsi="Times New Roman" w:cs="Times New Roman"/>
          <w:i/>
          <w:noProof/>
          <w:sz w:val="24"/>
          <w:szCs w:val="24"/>
        </w:rPr>
      </w:pPr>
      <w:r>
        <w:rPr>
          <w:rFonts w:ascii="Times New Roman" w:hAnsi="Times New Roman"/>
          <w:b/>
          <w:noProof/>
          <w:sz w:val="24"/>
        </w:rPr>
        <w:t>Графика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45</w:t>
      </w:r>
      <w:r>
        <w:rPr>
          <w:rFonts w:ascii="Times New Roman" w:eastAsia="Calibri" w:hAnsi="Times New Roman" w:cs="Times New Roman"/>
          <w:b/>
          <w:noProof/>
          <w:sz w:val="24"/>
        </w:rPr>
        <w:fldChar w:fldCharType="end"/>
      </w:r>
      <w:r>
        <w:rPr>
          <w:rFonts w:ascii="Times New Roman" w:hAnsi="Times New Roman"/>
          <w:b/>
          <w:noProof/>
          <w:sz w:val="24"/>
        </w:rPr>
        <w:t xml:space="preserve">: Определяне и наблюдение на стандартите </w:t>
      </w:r>
      <w:r>
        <w:rPr>
          <w:rFonts w:ascii="Times New Roman" w:hAnsi="Times New Roman"/>
          <w:b/>
          <w:noProof/>
          <w:sz w:val="24"/>
          <w:szCs w:val="24"/>
        </w:rPr>
        <w:t xml:space="preserve">относно изостаналите дела </w:t>
      </w:r>
      <w:r>
        <w:rPr>
          <w:rFonts w:ascii="Times New Roman" w:hAnsi="Times New Roman"/>
          <w:noProof/>
          <w:sz w:val="24"/>
          <w:szCs w:val="24"/>
        </w:rPr>
        <w:t xml:space="preserve">(*) </w:t>
      </w:r>
      <w:r>
        <w:rPr>
          <w:rFonts w:ascii="Times New Roman" w:hAnsi="Times New Roman"/>
          <w:i/>
          <w:noProof/>
          <w:sz w:val="24"/>
          <w:szCs w:val="24"/>
        </w:rPr>
        <w:t xml:space="preserve">(източник: </w:t>
      </w:r>
      <w:r>
        <w:rPr>
          <w:rFonts w:ascii="Times New Roman" w:hAnsi="Times New Roman"/>
          <w:i/>
          <w:noProof/>
          <w:szCs w:val="24"/>
        </w:rPr>
        <w:t>Европейска комисия (</w:t>
      </w:r>
      <w:r>
        <w:rPr>
          <w:rFonts w:ascii="Times New Roman" w:eastAsia="Times New Roman" w:hAnsi="Times New Roman" w:cs="Times New Roman"/>
          <w:noProof/>
          <w:szCs w:val="24"/>
          <w:vertAlign w:val="superscript"/>
        </w:rPr>
        <w:footnoteReference w:id="104"/>
      </w:r>
      <w:r>
        <w:rPr>
          <w:rFonts w:ascii="Times New Roman" w:hAnsi="Times New Roman"/>
          <w:i/>
          <w:noProof/>
          <w:sz w:val="24"/>
          <w:szCs w:val="24"/>
        </w:rPr>
        <w:t>)</w:t>
      </w:r>
    </w:p>
    <w:p>
      <w:pPr>
        <w:spacing w:after="0" w:line="240" w:lineRule="auto"/>
        <w:rPr>
          <w:rFonts w:ascii="Times New Roman" w:eastAsia="Times New Roman" w:hAnsi="Times New Roman" w:cs="Times New Roman"/>
          <w:noProof/>
          <w:snapToGrid w:val="0"/>
          <w:color w:val="000000"/>
          <w:w w:val="0"/>
          <w:sz w:val="0"/>
          <w:u w:color="000000"/>
          <w:bdr w:val="none" w:sz="0" w:space="0" w:color="000000"/>
          <w:shd w:val="clear" w:color="000000" w:fill="000000"/>
        </w:rPr>
      </w:pPr>
      <w:r>
        <w:rPr>
          <w:noProof/>
          <w:lang w:val="en-GB" w:eastAsia="en-GB"/>
        </w:rPr>
        <w:drawing>
          <wp:inline distT="0" distB="0" distL="0" distR="0">
            <wp:extent cx="5972810" cy="198628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72810" cy="1986280"/>
                    </a:xfrm>
                    <a:prstGeom prst="rect">
                      <a:avLst/>
                    </a:prstGeom>
                  </pic:spPr>
                </pic:pic>
              </a:graphicData>
            </a:graphic>
          </wp:inline>
        </w:drawing>
      </w:r>
    </w:p>
    <w:p>
      <w:pPr>
        <w:spacing w:after="0" w:line="240" w:lineRule="auto"/>
        <w:jc w:val="both"/>
        <w:rPr>
          <w:rFonts w:ascii="Times New Roman" w:eastAsia="Calibri" w:hAnsi="Times New Roman" w:cs="Times New Roman"/>
          <w:bCs/>
          <w:i/>
          <w:noProof/>
          <w:sz w:val="20"/>
          <w:szCs w:val="20"/>
        </w:rPr>
      </w:pPr>
      <w:r>
        <w:rPr>
          <w:rFonts w:ascii="Times New Roman" w:hAnsi="Times New Roman"/>
          <w:i/>
          <w:noProof/>
          <w:sz w:val="20"/>
        </w:rPr>
        <w:t>(*) „Изпълнителната власт“ обхваща институциите под прекия или косвения контрол на правителството.</w:t>
      </w:r>
      <w:r>
        <w:rPr>
          <w:rFonts w:ascii="Times New Roman" w:hAnsi="Times New Roman"/>
          <w:bCs/>
          <w:i/>
          <w:noProof/>
          <w:sz w:val="20"/>
          <w:szCs w:val="20"/>
        </w:rPr>
        <w:t xml:space="preserve"> „Други“ се отнася до Националната служба за съдебната власт в HU, оглавявана от председател, който се избира с квалифицирано мнозинство от парламента измежду съдии и чийто мандат е девет години. „Съдебната власт“ включва органи като председатели на съдилища, съдебни съвети, организации на съдии и др. </w:t>
      </w:r>
      <w:r>
        <w:rPr>
          <w:rFonts w:ascii="Times New Roman" w:hAnsi="Times New Roman"/>
          <w:i/>
          <w:noProof/>
          <w:sz w:val="20"/>
          <w:szCs w:val="20"/>
        </w:rPr>
        <w:t>HU</w:t>
      </w:r>
      <w:r>
        <w:rPr>
          <w:rFonts w:ascii="Times New Roman" w:hAnsi="Times New Roman"/>
          <w:b/>
          <w:i/>
          <w:noProof/>
          <w:sz w:val="20"/>
          <w:szCs w:val="20"/>
        </w:rPr>
        <w:t>:</w:t>
      </w:r>
      <w:r>
        <w:rPr>
          <w:rFonts w:ascii="Times New Roman" w:hAnsi="Times New Roman"/>
          <w:bCs/>
          <w:i/>
          <w:noProof/>
          <w:sz w:val="20"/>
          <w:szCs w:val="20"/>
        </w:rPr>
        <w:t xml:space="preserve"> Националната служба за съдебната власт участва в определянето, наблюдението и последващите действия по отношение на стандартите относно изостаналите дела.</w:t>
      </w:r>
    </w:p>
    <w:p>
      <w:pPr>
        <w:spacing w:before="240" w:after="120" w:line="240" w:lineRule="auto"/>
        <w:jc w:val="both"/>
        <w:rPr>
          <w:rFonts w:ascii="Times New Roman" w:eastAsia="Calibri" w:hAnsi="Times New Roman" w:cs="Times New Roman"/>
          <w:noProof/>
          <w:sz w:val="24"/>
        </w:rPr>
      </w:pPr>
      <w:r>
        <w:rPr>
          <w:rFonts w:ascii="Times New Roman" w:hAnsi="Times New Roman"/>
          <w:b/>
          <w:noProof/>
          <w:sz w:val="24"/>
        </w:rPr>
        <w:t>Графика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 MERGEFORMAT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46</w:t>
      </w:r>
      <w:r>
        <w:rPr>
          <w:rFonts w:ascii="Times New Roman" w:eastAsia="Calibri" w:hAnsi="Times New Roman" w:cs="Times New Roman"/>
          <w:b/>
          <w:noProof/>
          <w:sz w:val="24"/>
        </w:rPr>
        <w:fldChar w:fldCharType="end"/>
      </w:r>
      <w:r>
        <w:rPr>
          <w:rFonts w:ascii="Times New Roman" w:hAnsi="Times New Roman"/>
          <w:b/>
          <w:noProof/>
          <w:sz w:val="24"/>
        </w:rPr>
        <w:t>: Работни графици: определение, автоматизирано наблюдение и последващи действия</w:t>
      </w:r>
      <w:r>
        <w:rPr>
          <w:rFonts w:ascii="Times New Roman" w:hAnsi="Times New Roman"/>
          <w:noProof/>
          <w:sz w:val="24"/>
        </w:rPr>
        <w:t>(*) (</w:t>
      </w:r>
      <w:r>
        <w:rPr>
          <w:rFonts w:ascii="Times New Roman" w:hAnsi="Times New Roman"/>
          <w:i/>
          <w:noProof/>
          <w:sz w:val="24"/>
        </w:rPr>
        <w:t>източник: Европейска комисия (</w:t>
      </w:r>
      <w:r>
        <w:rPr>
          <w:rFonts w:ascii="Times New Roman" w:eastAsia="Calibri" w:hAnsi="Times New Roman" w:cs="Times New Roman"/>
          <w:i/>
          <w:noProof/>
          <w:sz w:val="24"/>
          <w:vertAlign w:val="superscript"/>
        </w:rPr>
        <w:footnoteReference w:id="105"/>
      </w:r>
      <w:r>
        <w:rPr>
          <w:rFonts w:ascii="Times New Roman" w:hAnsi="Times New Roman"/>
          <w:i/>
          <w:noProof/>
          <w:sz w:val="24"/>
        </w:rPr>
        <w:t>)</w:t>
      </w:r>
    </w:p>
    <w:p>
      <w:pPr>
        <w:spacing w:after="0" w:line="240" w:lineRule="auto"/>
        <w:jc w:val="both"/>
        <w:rPr>
          <w:rFonts w:ascii="Times New Roman" w:eastAsia="Calibri" w:hAnsi="Times New Roman" w:cs="Times New Roman"/>
          <w:noProof/>
          <w:sz w:val="24"/>
        </w:rPr>
      </w:pPr>
      <w:r>
        <w:rPr>
          <w:noProof/>
          <w:lang w:val="en-GB" w:eastAsia="en-GB"/>
        </w:rPr>
        <w:drawing>
          <wp:inline distT="0" distB="0" distL="0" distR="0">
            <wp:extent cx="5838825" cy="25527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838825" cy="2552700"/>
                    </a:xfrm>
                    <a:prstGeom prst="rect">
                      <a:avLst/>
                    </a:prstGeom>
                  </pic:spPr>
                </pic:pic>
              </a:graphicData>
            </a:graphic>
          </wp:inline>
        </w:drawing>
      </w:r>
    </w:p>
    <w:p>
      <w:pPr>
        <w:spacing w:before="240" w:after="120" w:line="240" w:lineRule="auto"/>
        <w:contextualSpacing/>
        <w:jc w:val="both"/>
        <w:rPr>
          <w:rFonts w:ascii="Times New Roman Bold" w:eastAsia="Calibri" w:hAnsi="Times New Roman Bold" w:cs="Times New Roman"/>
          <w:i/>
          <w:noProof/>
          <w:spacing w:val="-6"/>
          <w:sz w:val="24"/>
        </w:rPr>
      </w:pP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9"/>
      </w:tblGrid>
      <w:tr>
        <w:trPr>
          <w:trHeight w:val="839"/>
        </w:trPr>
        <w:tc>
          <w:tcPr>
            <w:tcW w:w="9729" w:type="dxa"/>
            <w:shd w:val="clear" w:color="auto" w:fill="auto"/>
          </w:tcPr>
          <w:p>
            <w:pPr>
              <w:widowControl w:val="0"/>
              <w:tabs>
                <w:tab w:val="left" w:pos="856"/>
              </w:tabs>
              <w:spacing w:after="0" w:line="240" w:lineRule="auto"/>
              <w:ind w:left="856" w:hanging="856"/>
              <w:jc w:val="both"/>
              <w:outlineLvl w:val="2"/>
              <w:rPr>
                <w:rFonts w:ascii="Times New Roman" w:eastAsia="Times New Roman" w:hAnsi="Times New Roman" w:cs="Times New Roman"/>
                <w:b/>
                <w:noProof/>
                <w:sz w:val="24"/>
                <w:szCs w:val="24"/>
                <w:u w:val="single"/>
              </w:rPr>
            </w:pPr>
            <w:r>
              <w:rPr>
                <w:noProof/>
              </w:rPr>
              <w:br w:type="page"/>
            </w:r>
            <w:r>
              <w:rPr>
                <w:rFonts w:ascii="Times New Roman" w:hAnsi="Times New Roman"/>
                <w:b/>
                <w:noProof/>
                <w:sz w:val="24"/>
                <w:szCs w:val="24"/>
              </w:rPr>
              <w:t>3.2.5. Обобщение относно качеството на правосъдните системи</w:t>
            </w:r>
          </w:p>
          <w:p>
            <w:pPr>
              <w:widowControl w:val="0"/>
              <w:spacing w:before="120" w:after="0" w:line="240" w:lineRule="auto"/>
              <w:jc w:val="both"/>
              <w:rPr>
                <w:rFonts w:ascii="Times New Roman" w:eastAsia="Calibri" w:hAnsi="Times New Roman" w:cs="Times New Roman"/>
                <w:noProof/>
                <w:sz w:val="24"/>
              </w:rPr>
            </w:pPr>
            <w:r>
              <w:rPr>
                <w:rFonts w:ascii="Times New Roman" w:hAnsi="Times New Roman"/>
                <w:noProof/>
                <w:sz w:val="24"/>
              </w:rPr>
              <w:t>Лесният достъп, достатъчните ресурси, ефективните инструменти за оценка и подходящите стандарти са факторите, които допринасят за качеството на правосъдните системи. Гражданите и предприятията очакват висококачествени решения от една ефективна правосъдна система (</w:t>
            </w:r>
            <w:r>
              <w:rPr>
                <w:rFonts w:ascii="Times New Roman" w:eastAsia="Calibri" w:hAnsi="Times New Roman" w:cs="Times New Roman"/>
                <w:noProof/>
                <w:sz w:val="24"/>
                <w:vertAlign w:val="superscript"/>
              </w:rPr>
              <w:footnoteReference w:id="106"/>
            </w:r>
            <w:r>
              <w:rPr>
                <w:rFonts w:ascii="Times New Roman" w:hAnsi="Times New Roman"/>
                <w:noProof/>
                <w:sz w:val="24"/>
              </w:rPr>
              <w:t>). В Информационното табло на ЕС в областта на правосъдието за 2019 г. се прави сравнителна оценка на тези фактори.</w:t>
            </w:r>
          </w:p>
          <w:p>
            <w:pPr>
              <w:widowControl w:val="0"/>
              <w:spacing w:before="240" w:after="120" w:line="240" w:lineRule="auto"/>
              <w:jc w:val="both"/>
              <w:rPr>
                <w:rFonts w:ascii="Times New Roman" w:eastAsia="Calibri" w:hAnsi="Times New Roman" w:cs="Times New Roman"/>
                <w:i/>
                <w:noProof/>
                <w:sz w:val="24"/>
              </w:rPr>
            </w:pPr>
            <w:r>
              <w:rPr>
                <w:rFonts w:ascii="Times New Roman" w:hAnsi="Times New Roman"/>
                <w:i/>
                <w:noProof/>
                <w:sz w:val="24"/>
              </w:rPr>
              <w:t>Достъпност</w:t>
            </w:r>
          </w:p>
          <w:p>
            <w:pPr>
              <w:widowControl w:val="0"/>
              <w:spacing w:after="0" w:line="240" w:lineRule="auto"/>
              <w:jc w:val="both"/>
              <w:rPr>
                <w:rFonts w:ascii="Times New Roman" w:eastAsia="Calibri" w:hAnsi="Times New Roman" w:cs="Times New Roman"/>
                <w:noProof/>
                <w:sz w:val="24"/>
              </w:rPr>
            </w:pPr>
            <w:r>
              <w:rPr>
                <w:rFonts w:ascii="Times New Roman" w:hAnsi="Times New Roman"/>
                <w:bCs/>
                <w:iCs/>
                <w:noProof/>
                <w:sz w:val="24"/>
                <w:szCs w:val="24"/>
              </w:rPr>
              <w:t>В настоящото издание се разглеждат елементите, които допринасят за това правосъдната система да бъде достъпна за гражданите:</w:t>
            </w:r>
          </w:p>
          <w:p>
            <w:pPr>
              <w:widowControl w:val="0"/>
              <w:numPr>
                <w:ilvl w:val="0"/>
                <w:numId w:val="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Почти всички държави членки предоставят достъп до </w:t>
            </w:r>
            <w:r>
              <w:rPr>
                <w:rFonts w:ascii="Times New Roman" w:hAnsi="Times New Roman"/>
                <w:b/>
                <w:noProof/>
                <w:sz w:val="24"/>
                <w:szCs w:val="24"/>
              </w:rPr>
              <w:t>някаква информация онлайн</w:t>
            </w:r>
            <w:r>
              <w:rPr>
                <w:rFonts w:ascii="Times New Roman" w:hAnsi="Times New Roman"/>
                <w:noProof/>
                <w:sz w:val="24"/>
                <w:szCs w:val="24"/>
              </w:rPr>
              <w:t xml:space="preserve"> относно своите съдебни системи, включително централизиран уебпортал с формуляри и интерактивно обучение онлайн относно законните права (графика 20). Разликите са в съдържанието на информацията и това доколко тя отговаря на потребностите на хората. Например, по отношение на възможността за изчисляване на правната помощ чрез онлайн симулация, по-голям брой държави членки (13) от преди дават възможност на гражданите да разберат дали отговарят на условията за правна помощ. Макар че по-голямата част от държавите членки предоставят информация за лицата, чийто майчин език не е официалният език, това не винаги е така с информацията, насочена към децата и лицата с увредено зрение или слух.</w:t>
            </w:r>
          </w:p>
          <w:p>
            <w:pPr>
              <w:widowControl w:val="0"/>
              <w:numPr>
                <w:ilvl w:val="0"/>
                <w:numId w:val="6"/>
              </w:numPr>
              <w:spacing w:after="120" w:line="240" w:lineRule="auto"/>
              <w:jc w:val="both"/>
              <w:rPr>
                <w:rFonts w:ascii="Times New Roman" w:eastAsia="Times New Roman" w:hAnsi="Times New Roman" w:cs="Times New Roman"/>
                <w:noProof/>
                <w:sz w:val="24"/>
                <w:szCs w:val="24"/>
              </w:rPr>
            </w:pPr>
            <w:r>
              <w:rPr>
                <w:rFonts w:ascii="Times New Roman" w:hAnsi="Times New Roman"/>
                <w:b/>
                <w:noProof/>
                <w:sz w:val="24"/>
                <w:szCs w:val="24"/>
              </w:rPr>
              <w:t>Наличието на правна помощ и размерът на съдебните такси</w:t>
            </w:r>
            <w:r>
              <w:rPr>
                <w:rFonts w:ascii="Times New Roman" w:hAnsi="Times New Roman"/>
                <w:noProof/>
                <w:sz w:val="24"/>
                <w:szCs w:val="24"/>
              </w:rPr>
              <w:t xml:space="preserve"> имат значително отражение върху достъпа до правосъдие, особено за хората, живеещи в бедност. Графика 21 показва, че в някои държави членки потребителите с доходи под прага на бедността, установен от Евростат, не биха получили правна помощ. В сравнение с миналата година обаче две от тези държави членки са взели мерки за подобряването на достъпа до правна помощ. В същото време с течение на времето правната помощ е станала по-малко достъпна в някои държави членки. Размерът на съдебните такси (графика 22) се запази в голяма степен стабилен от 2016 г. насам, въпреки че в няколко държави членки съдебните такси са се увеличили като дял от иска, особено при искове с ниска стойност, поради увеличението на приложимата минимална съдебна такса. Трудностите при получаването на правна помощ в комбинация с отчасти високите съдебни такси в някои държави членки биха могли да имат възпиращ ефект за хората, живеещи в бедност, да потърсят правосъдие.</w:t>
            </w:r>
          </w:p>
          <w:p>
            <w:pPr>
              <w:widowControl w:val="0"/>
              <w:numPr>
                <w:ilvl w:val="0"/>
                <w:numId w:val="6"/>
              </w:numPr>
              <w:spacing w:after="120" w:line="240" w:lineRule="auto"/>
              <w:jc w:val="both"/>
              <w:rPr>
                <w:rFonts w:ascii="Times New Roman" w:eastAsia="Times New Roman" w:hAnsi="Times New Roman" w:cs="Times New Roman"/>
                <w:noProof/>
                <w:sz w:val="20"/>
                <w:szCs w:val="24"/>
              </w:rPr>
            </w:pPr>
            <w:r>
              <w:rPr>
                <w:rFonts w:ascii="Times New Roman" w:hAnsi="Times New Roman"/>
                <w:b/>
                <w:noProof/>
                <w:sz w:val="24"/>
                <w:szCs w:val="24"/>
              </w:rPr>
              <w:t>Наличието на електронни средства</w:t>
            </w:r>
            <w:r>
              <w:rPr>
                <w:rFonts w:ascii="Times New Roman" w:hAnsi="Times New Roman"/>
                <w:noProof/>
                <w:sz w:val="24"/>
                <w:szCs w:val="24"/>
              </w:rPr>
              <w:t xml:space="preserve"> в хода съдебната процедура допринася за улесняването на достъпа до правосъдие и за намаляването на закъсненията и разходите. Графика 23 показва, че в повече от половината държави членки електронното подаване на искове не е възможно или е възможно само в ограничена степен, както и че не всички държави членки позволяват да се следи напредъкът на съдебните производства онлайн.</w:t>
            </w:r>
          </w:p>
          <w:p>
            <w:pPr>
              <w:widowControl w:val="0"/>
              <w:numPr>
                <w:ilvl w:val="0"/>
                <w:numId w:val="6"/>
              </w:numPr>
              <w:spacing w:after="120" w:line="240" w:lineRule="auto"/>
              <w:jc w:val="both"/>
              <w:rPr>
                <w:rFonts w:ascii="Times New Roman" w:eastAsia="Times New Roman" w:hAnsi="Times New Roman" w:cs="Times New Roman"/>
                <w:noProof/>
                <w:sz w:val="20"/>
                <w:szCs w:val="24"/>
              </w:rPr>
            </w:pPr>
            <w:r>
              <w:rPr>
                <w:rFonts w:ascii="Times New Roman" w:hAnsi="Times New Roman"/>
                <w:noProof/>
                <w:sz w:val="24"/>
                <w:szCs w:val="24"/>
              </w:rPr>
              <w:t xml:space="preserve">Повечето държави членки са въвели стандарти относно </w:t>
            </w:r>
            <w:r>
              <w:rPr>
                <w:rFonts w:ascii="Times New Roman" w:hAnsi="Times New Roman"/>
                <w:b/>
                <w:noProof/>
                <w:sz w:val="24"/>
                <w:szCs w:val="24"/>
              </w:rPr>
              <w:t>начините за информиране на страните в производството за хода на делото</w:t>
            </w:r>
            <w:r>
              <w:rPr>
                <w:rFonts w:ascii="Times New Roman" w:hAnsi="Times New Roman"/>
                <w:noProof/>
                <w:sz w:val="24"/>
                <w:szCs w:val="24"/>
              </w:rPr>
              <w:t>, работната програма на съда или потенциалните забавяния (графика 24). В сравнение с предходни години няколко държави членки значително са подобрили тези стандарти. Разликите между държавите членки са свързани най-вече с използваните методи. Докато някои държави членки разполагат със система за автоматично уведомяване по електронна поща или SMS, с която се предоставя информация относно забавяния, графика или общия ход на делото, други просто осигуряват онлайн достъп до информацията по делото, а трети оставят това на преценката на съдилищата.</w:t>
            </w:r>
          </w:p>
          <w:p>
            <w:pPr>
              <w:widowControl w:val="0"/>
              <w:numPr>
                <w:ilvl w:val="0"/>
                <w:numId w:val="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В сравнение с предходните години </w:t>
            </w:r>
            <w:r>
              <w:rPr>
                <w:rFonts w:ascii="Times New Roman" w:hAnsi="Times New Roman"/>
                <w:b/>
                <w:noProof/>
                <w:sz w:val="24"/>
                <w:szCs w:val="24"/>
              </w:rPr>
              <w:t>онлайн достъпът до съдебните решения</w:t>
            </w:r>
            <w:r>
              <w:rPr>
                <w:rFonts w:ascii="Times New Roman" w:hAnsi="Times New Roman"/>
                <w:noProof/>
                <w:sz w:val="24"/>
                <w:szCs w:val="24"/>
              </w:rPr>
              <w:t xml:space="preserve"> (графика 25) се е подобрил, особено що се отнася до публикуването на решенията на най-висшата инстанция: 19 държави членки публикуват всички граждански/търговски и административни съдебни решения. За първи път в Информационното табло се представя публикуването на съдебни решения по наказателни дела. Данните показват, че 19 държави членки публикуват всички решения по наказателни дела, гледани на най-висша инстанция. Тези положителни развития са знак за всички държави членки да подобрят допълнително своя достъп до съдебните решения, тъй като решенията на най-висшата инстанция играят важна роля за последователността на съдебната практика. Тъй като различните практики за публикуване онлайн (графика 26) могат да улеснят търсенето на релевантна съдебна практика, свързването на съдебни решения с ключови думи и по-широкото въвеждане на европейския идентификатор за съдебна практика (ECLI) биха могли да се използват в по-голяма степен.</w:t>
            </w:r>
          </w:p>
          <w:p>
            <w:pPr>
              <w:widowControl w:val="0"/>
              <w:numPr>
                <w:ilvl w:val="0"/>
                <w:numId w:val="6"/>
              </w:numPr>
              <w:spacing w:after="120" w:line="240" w:lineRule="auto"/>
              <w:jc w:val="both"/>
              <w:rPr>
                <w:rFonts w:ascii="Times New Roman" w:eastAsia="Times New Roman" w:hAnsi="Times New Roman" w:cs="Times New Roman"/>
                <w:b/>
                <w:noProof/>
                <w:sz w:val="24"/>
                <w:szCs w:val="24"/>
              </w:rPr>
            </w:pPr>
            <w:r>
              <w:rPr>
                <w:rFonts w:ascii="Times New Roman" w:hAnsi="Times New Roman"/>
                <w:noProof/>
                <w:sz w:val="24"/>
                <w:szCs w:val="24"/>
              </w:rPr>
              <w:t xml:space="preserve">Броят на държавите членки, поощряващи доброволното използване на </w:t>
            </w:r>
            <w:r>
              <w:rPr>
                <w:rFonts w:ascii="Times New Roman" w:hAnsi="Times New Roman"/>
                <w:b/>
                <w:noProof/>
                <w:sz w:val="24"/>
                <w:szCs w:val="24"/>
              </w:rPr>
              <w:t xml:space="preserve">алтернативни способи за разрешаване на спорове </w:t>
            </w:r>
            <w:r>
              <w:rPr>
                <w:rFonts w:ascii="Times New Roman" w:hAnsi="Times New Roman"/>
                <w:noProof/>
                <w:sz w:val="24"/>
                <w:szCs w:val="24"/>
              </w:rPr>
              <w:t>(АРС) (графика 27) за частни спорове продължава да се увеличава в сравнение с предходни години. Това се постига основно чрез въвеждането на повече стимули за използването на АРС в различни области на правото. Административните спорове също са взети под внимание и по-малко от половината от държавите членки дават възможност за АРС в тази област.</w:t>
            </w:r>
          </w:p>
          <w:p>
            <w:pPr>
              <w:widowControl w:val="0"/>
              <w:spacing w:before="120" w:after="60"/>
              <w:rPr>
                <w:rFonts w:ascii="Times New Roman" w:eastAsia="Calibri" w:hAnsi="Times New Roman" w:cs="Times New Roman"/>
                <w:i/>
                <w:noProof/>
                <w:sz w:val="24"/>
              </w:rPr>
            </w:pPr>
            <w:r>
              <w:rPr>
                <w:rFonts w:ascii="Times New Roman" w:hAnsi="Times New Roman"/>
                <w:i/>
                <w:noProof/>
                <w:sz w:val="24"/>
              </w:rPr>
              <w:t>Ресурси</w:t>
            </w:r>
          </w:p>
          <w:p>
            <w:pPr>
              <w:widowControl w:val="0"/>
              <w:spacing w:after="0" w:line="240" w:lineRule="auto"/>
              <w:ind w:left="-20"/>
              <w:jc w:val="both"/>
              <w:rPr>
                <w:rFonts w:ascii="Times New Roman" w:eastAsia="Calibri" w:hAnsi="Times New Roman" w:cs="Times New Roman"/>
                <w:noProof/>
              </w:rPr>
            </w:pPr>
            <w:r>
              <w:rPr>
                <w:rFonts w:ascii="Times New Roman" w:hAnsi="Times New Roman"/>
                <w:noProof/>
                <w:sz w:val="24"/>
              </w:rPr>
              <w:t>Високото качество на правосъдните системи в държавите членки изисква достатъчни нива на финансови и човешки ресурси, включително необходимите инвестиции във физическа и техническа инфраструктура, подходящо първоначално и текущо обучение, както и многообразие сред съдиите, включително баланс между половете. Информационното табло на ЕС в областта на правосъдието за 2019 г. показва следното:</w:t>
            </w:r>
          </w:p>
          <w:p>
            <w:pPr>
              <w:widowControl w:val="0"/>
              <w:numPr>
                <w:ilvl w:val="0"/>
                <w:numId w:val="6"/>
              </w:numPr>
              <w:spacing w:before="120" w:after="0" w:line="240" w:lineRule="auto"/>
              <w:jc w:val="both"/>
              <w:rPr>
                <w:rFonts w:ascii="Times New Roman" w:eastAsia="Times New Roman" w:hAnsi="Times New Roman" w:cs="Times New Roman"/>
                <w:noProof/>
                <w:spacing w:val="-4"/>
                <w:sz w:val="24"/>
                <w:szCs w:val="24"/>
              </w:rPr>
            </w:pPr>
            <w:r>
              <w:rPr>
                <w:rFonts w:ascii="Times New Roman" w:hAnsi="Times New Roman"/>
                <w:noProof/>
                <w:spacing w:val="-4"/>
                <w:sz w:val="24"/>
                <w:szCs w:val="24"/>
              </w:rPr>
              <w:t>От гледна точка на</w:t>
            </w:r>
            <w:r>
              <w:rPr>
                <w:rFonts w:ascii="Times New Roman" w:hAnsi="Times New Roman"/>
                <w:b/>
                <w:noProof/>
                <w:spacing w:val="-4"/>
                <w:sz w:val="24"/>
                <w:szCs w:val="24"/>
              </w:rPr>
              <w:t xml:space="preserve"> финансовите ресурси</w:t>
            </w:r>
            <w:r>
              <w:rPr>
                <w:rFonts w:ascii="Times New Roman" w:hAnsi="Times New Roman"/>
                <w:noProof/>
                <w:spacing w:val="-4"/>
                <w:sz w:val="24"/>
                <w:szCs w:val="24"/>
              </w:rPr>
              <w:t xml:space="preserve"> данните показват, че като цяло през 2017 г. общите държавни разходи за съдилищата са останали стабилни в държавите членки, като остават големи разлики в действителните суми, както в евро на глава от населението, така и като процент от БВП между държавите членки (графики 28 и 29). Въпреки това по-малко държави членки са увеличили разходите си през 2017 г. в сравнение с 2016 г. Държавите членки използват най-вече исторически или действителни разходи, за да определят финансовите ресурси за съдебната система, и малко от тях разчитат на действителната натовареност или исканията на съдилищата (графика 30).</w:t>
            </w:r>
          </w:p>
          <w:p>
            <w:pPr>
              <w:widowControl w:val="0"/>
              <w:numPr>
                <w:ilvl w:val="0"/>
                <w:numId w:val="6"/>
              </w:numPr>
              <w:spacing w:before="120" w:after="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За първи път въз основа на данните, събрани от Евростат, Информационното табло на ЕС в областта на правосъдието за 2019 г. представя също така </w:t>
            </w:r>
            <w:r>
              <w:rPr>
                <w:rFonts w:ascii="Times New Roman" w:hAnsi="Times New Roman"/>
                <w:b/>
                <w:noProof/>
                <w:sz w:val="24"/>
                <w:szCs w:val="24"/>
              </w:rPr>
              <w:t>разпределението на общите разходи в различни категории</w:t>
            </w:r>
            <w:r>
              <w:rPr>
                <w:rFonts w:ascii="Times New Roman" w:hAnsi="Times New Roman"/>
                <w:noProof/>
                <w:sz w:val="24"/>
                <w:szCs w:val="24"/>
              </w:rPr>
              <w:t>. Графика 31 показва значителни различия между държавите членки в начина на извършване на разходите. От една страна, докато възнагражденията и заплатите на съдиите и съдебните служители (включително вноските за социално осигуряване) представляват най-големият дял в повечето държави членки, инвестициите в дълготрайни активи, като сгради и софтуер, са много ниски, а в някои случаи дори липсват. Оперативните разходи (напр. за наем на сгради, правна помощ и други консумативи), от друга страна, са значително по-високи в някои държави членки (графика 31).</w:t>
            </w:r>
          </w:p>
          <w:p>
            <w:pPr>
              <w:widowControl w:val="0"/>
              <w:numPr>
                <w:ilvl w:val="0"/>
                <w:numId w:val="6"/>
              </w:numPr>
              <w:spacing w:before="120" w:after="0" w:line="240" w:lineRule="auto"/>
              <w:jc w:val="both"/>
              <w:rPr>
                <w:rFonts w:ascii="Times New Roman" w:eastAsia="Times New Roman" w:hAnsi="Times New Roman" w:cs="Times New Roman"/>
                <w:b/>
                <w:i/>
                <w:noProof/>
                <w:sz w:val="24"/>
                <w:szCs w:val="24"/>
              </w:rPr>
            </w:pPr>
            <w:r>
              <w:rPr>
                <w:rFonts w:ascii="Times New Roman" w:hAnsi="Times New Roman"/>
                <w:b/>
                <w:bCs/>
                <w:noProof/>
                <w:sz w:val="24"/>
                <w:szCs w:val="24"/>
              </w:rPr>
              <w:t>Жените</w:t>
            </w:r>
            <w:r>
              <w:rPr>
                <w:rFonts w:ascii="Times New Roman" w:hAnsi="Times New Roman"/>
                <w:noProof/>
                <w:sz w:val="24"/>
                <w:szCs w:val="24"/>
              </w:rPr>
              <w:t xml:space="preserve"> представляват мнозинство сред съдиите. В съдилища от първа и втора инстанция те преобладават в по-голямата част от държавите членки (графика 33). Във върховните съдилища обаче ситуацията е обратна — жените представляват по-малко от петдесет процента от съдиите в повечето държави членки (графика 34). Въпреки това делът на жените съдии във върховните съдилища нараства от 2010 г. насам в повечето държави членки.</w:t>
            </w:r>
          </w:p>
          <w:p>
            <w:pPr>
              <w:widowControl w:val="0"/>
              <w:numPr>
                <w:ilvl w:val="0"/>
                <w:numId w:val="6"/>
              </w:numPr>
              <w:spacing w:before="120" w:after="120" w:line="240" w:lineRule="auto"/>
              <w:jc w:val="both"/>
              <w:rPr>
                <w:rFonts w:ascii="Times New Roman" w:eastAsia="Times New Roman" w:hAnsi="Times New Roman" w:cs="Times New Roman"/>
                <w:noProof/>
                <w:sz w:val="24"/>
                <w:szCs w:val="24"/>
              </w:rPr>
            </w:pPr>
            <w:r>
              <w:rPr>
                <w:rFonts w:ascii="Times New Roman" w:hAnsi="Times New Roman"/>
                <w:bCs/>
                <w:noProof/>
                <w:sz w:val="24"/>
                <w:szCs w:val="24"/>
              </w:rPr>
              <w:t xml:space="preserve">Що се отнася до </w:t>
            </w:r>
            <w:r>
              <w:rPr>
                <w:rFonts w:ascii="Times New Roman" w:hAnsi="Times New Roman"/>
                <w:b/>
                <w:bCs/>
                <w:noProof/>
                <w:sz w:val="24"/>
                <w:szCs w:val="24"/>
              </w:rPr>
              <w:t>обучението на съдиите</w:t>
            </w:r>
            <w:r>
              <w:rPr>
                <w:rFonts w:ascii="Times New Roman" w:hAnsi="Times New Roman"/>
                <w:bCs/>
                <w:noProof/>
                <w:sz w:val="24"/>
                <w:szCs w:val="24"/>
              </w:rPr>
              <w:t>, въпреки че повечето държави членки осигуряват текущо обучение по право на ЕС, право на друга държава членка и професията на съдията, по-малко са държавите, които предлагат обучения за повишаване на уменията в областта на ИТ и в управлението на съдилищата и за съдебна етика (графика 37). По отношение на обучението за комуникация с уязвима група страни изглежда, че има подобрения в полза на децата, лицата с увредено зрение или слух и жертвите на насилие, основано на пола (графика 38), и в по-малка степен по отношение на лицата, търсещи убежище. По-малко от половината от държавите членки предоставят обучения за повишаване на осведомеността и способността да се действа по отношение на фалшивите новини и проблемите, свързани със социалните медии.</w:t>
            </w:r>
          </w:p>
          <w:p>
            <w:pPr>
              <w:widowControl w:val="0"/>
              <w:spacing w:before="120" w:after="60"/>
              <w:rPr>
                <w:rFonts w:ascii="Times New Roman" w:eastAsia="Calibri" w:hAnsi="Times New Roman" w:cs="Times New Roman"/>
                <w:i/>
                <w:noProof/>
                <w:sz w:val="24"/>
              </w:rPr>
            </w:pPr>
            <w:r>
              <w:rPr>
                <w:rFonts w:ascii="Times New Roman" w:hAnsi="Times New Roman"/>
                <w:i/>
                <w:noProof/>
                <w:sz w:val="24"/>
              </w:rPr>
              <w:t>Инструменти за оценка</w:t>
            </w:r>
          </w:p>
          <w:p>
            <w:pPr>
              <w:widowControl w:val="0"/>
              <w:numPr>
                <w:ilvl w:val="0"/>
                <w:numId w:val="6"/>
              </w:numPr>
              <w:spacing w:after="120" w:line="240" w:lineRule="auto"/>
              <w:jc w:val="both"/>
              <w:rPr>
                <w:rFonts w:ascii="Times New Roman" w:eastAsia="Times New Roman" w:hAnsi="Times New Roman" w:cs="Times New Roman"/>
                <w:noProof/>
                <w:sz w:val="24"/>
                <w:szCs w:val="24"/>
              </w:rPr>
            </w:pPr>
            <w:r>
              <w:rPr>
                <w:rFonts w:ascii="Times New Roman" w:hAnsi="Times New Roman"/>
                <w:b/>
                <w:noProof/>
                <w:sz w:val="24"/>
                <w:szCs w:val="24"/>
              </w:rPr>
              <w:t>Наблюдение и оценка</w:t>
            </w:r>
            <w:r>
              <w:rPr>
                <w:rFonts w:ascii="Times New Roman" w:hAnsi="Times New Roman"/>
                <w:noProof/>
                <w:sz w:val="24"/>
                <w:szCs w:val="24"/>
              </w:rPr>
              <w:t xml:space="preserve"> на дейността на съдилищата (графика 39) се осъществяват във всички държави членки. Те обикновено включват различни показатели за резултати и качество и редовно докладване. Почти всички държави членки следят броя и продължителността на съдебните дела и разполагат със системи за редовна оценка. В сравнение с предходни години няколко държави членки са разширили наблюдението до по-конкретни елементи, а някои прибягват до по-специализирани съдебни служители по качеството.</w:t>
            </w:r>
          </w:p>
          <w:p>
            <w:pPr>
              <w:widowControl w:val="0"/>
              <w:numPr>
                <w:ilvl w:val="0"/>
                <w:numId w:val="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Много държави членки все още предстои да въведат </w:t>
            </w:r>
            <w:r>
              <w:rPr>
                <w:rFonts w:ascii="Times New Roman" w:hAnsi="Times New Roman"/>
                <w:b/>
                <w:noProof/>
                <w:sz w:val="24"/>
                <w:szCs w:val="24"/>
              </w:rPr>
              <w:t>ИКТ системите за управление на делата</w:t>
            </w:r>
            <w:r>
              <w:rPr>
                <w:rFonts w:ascii="Times New Roman" w:hAnsi="Times New Roman"/>
                <w:noProof/>
                <w:sz w:val="24"/>
                <w:szCs w:val="24"/>
              </w:rPr>
              <w:t xml:space="preserve"> в пълния им потенциал и тук не бе постигнат напредък в сравнение с предходни години (графика 40). Тези системи служат за различни цели, включително за генерирането на статистически данни, и следват да бъдат последователно внедрени в цялата правосъдна система. Някои държави членки разполагат със системи за ранно предупреждение с оглед откриването на проблеми или неспазване на стандартите за обработване на делата, което улеснява своевременното намиране на решения. В някои държави членки събирането на данни от всички области на правосъдието все още не може да се осъществи в национален мащаб.</w:t>
            </w:r>
          </w:p>
          <w:p>
            <w:pPr>
              <w:widowControl w:val="0"/>
              <w:numPr>
                <w:ilvl w:val="0"/>
                <w:numId w:val="6"/>
              </w:numPr>
              <w:spacing w:after="120" w:line="240" w:lineRule="auto"/>
              <w:jc w:val="both"/>
              <w:rPr>
                <w:rFonts w:ascii="Times New Roman" w:eastAsia="Times New Roman" w:hAnsi="Times New Roman" w:cs="Times New Roman"/>
                <w:noProof/>
                <w:spacing w:val="-4"/>
                <w:sz w:val="24"/>
                <w:szCs w:val="24"/>
              </w:rPr>
            </w:pPr>
            <w:r>
              <w:rPr>
                <w:rFonts w:ascii="Times New Roman" w:hAnsi="Times New Roman"/>
                <w:b/>
                <w:noProof/>
                <w:spacing w:val="-4"/>
                <w:sz w:val="24"/>
                <w:szCs w:val="24"/>
              </w:rPr>
              <w:t>Използването на проучвания</w:t>
            </w:r>
            <w:r>
              <w:rPr>
                <w:rFonts w:ascii="Times New Roman" w:hAnsi="Times New Roman"/>
                <w:noProof/>
                <w:spacing w:val="-4"/>
                <w:sz w:val="24"/>
                <w:szCs w:val="24"/>
              </w:rPr>
              <w:t xml:space="preserve"> сред ползвателите на услугите на съдилищата и практикуващите юристи (графика 41) е намаляло, а броят на държавите членки, които предпочитат да не провеждат проучвания, се увеличава. Достъпността, обслужването на клиентите, съдебните заседания и съдебните решения, както и общото доверие в съдебната система продължават да бъдат ключови теми в проучванията, но само няколко държави членки зададоха въпроси във връзка с удовлетвореността на групите със специални нужди и осведомеността относно правата. Освен това почти всички държави членки, които са направили проучвания, предприеха последващи действия (графика 42) в отговор на тях, макар че обхватът на тези действия далеч не е еднакъв навсякъде. Като цяло резултатите от проучванията са били публикувани и използвани при изготвянето на доклади, като в повечето държави членки резултатите от проучването са позволили да се установи необходимостта от изменение на законодателството.</w:t>
            </w:r>
          </w:p>
          <w:p>
            <w:pPr>
              <w:widowControl w:val="0"/>
              <w:spacing w:before="120" w:after="60" w:line="240" w:lineRule="auto"/>
              <w:jc w:val="both"/>
              <w:rPr>
                <w:rFonts w:ascii="Times New Roman" w:eastAsia="Times New Roman" w:hAnsi="Times New Roman" w:cs="Times New Roman"/>
                <w:bCs/>
                <w:i/>
                <w:iCs/>
                <w:noProof/>
                <w:sz w:val="24"/>
                <w:szCs w:val="24"/>
              </w:rPr>
            </w:pPr>
            <w:r>
              <w:rPr>
                <w:rFonts w:ascii="Times New Roman" w:hAnsi="Times New Roman"/>
                <w:i/>
                <w:noProof/>
                <w:sz w:val="24"/>
                <w:szCs w:val="24"/>
              </w:rPr>
              <w:t>Стандарти</w:t>
            </w:r>
          </w:p>
          <w:p>
            <w:pPr>
              <w:widowControl w:val="0"/>
              <w:spacing w:after="120" w:line="240" w:lineRule="auto"/>
              <w:jc w:val="both"/>
              <w:rPr>
                <w:rFonts w:ascii="Times New Roman" w:eastAsia="Calibri" w:hAnsi="Times New Roman" w:cs="Times New Roman"/>
                <w:b/>
                <w:noProof/>
                <w:sz w:val="24"/>
              </w:rPr>
            </w:pPr>
            <w:r>
              <w:rPr>
                <w:rFonts w:ascii="Times New Roman" w:hAnsi="Times New Roman"/>
                <w:noProof/>
                <w:sz w:val="24"/>
              </w:rPr>
              <w:t>Стандартите могат да подобрят качеството на правосъдните системи. В настоящото издание продължават да се разглеждат по-подробно някои стандарти, целящи подобряването на времевите рамки на производствата и информирането на страните по тях. За първи път в Информационното табло на ЕС в областта на правосъдието за 2019 г. също се включват данни относно стандартите по отношение на качеството на съдебните решения.</w:t>
            </w:r>
          </w:p>
          <w:p>
            <w:pPr>
              <w:widowControl w:val="0"/>
              <w:numPr>
                <w:ilvl w:val="0"/>
                <w:numId w:val="6"/>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Въз основа на данните, събрани от ACA-Europe и NPSJC, графика 43 показва, че стандартите по отношение на </w:t>
            </w:r>
            <w:r>
              <w:rPr>
                <w:rFonts w:ascii="Times New Roman" w:hAnsi="Times New Roman"/>
                <w:b/>
                <w:noProof/>
                <w:sz w:val="24"/>
                <w:szCs w:val="24"/>
              </w:rPr>
              <w:t>качеството на съдебните решения</w:t>
            </w:r>
            <w:r>
              <w:rPr>
                <w:rFonts w:ascii="Times New Roman" w:hAnsi="Times New Roman"/>
                <w:noProof/>
                <w:sz w:val="24"/>
                <w:szCs w:val="24"/>
              </w:rPr>
              <w:t xml:space="preserve"> се различават значително в отделните държави членки, а в някои държави членки дори между разглежданите съдилища. Повечето държави членки обаче предоставят някакъв вид професионално обучение за съдии относно структурата, стила на обосноваване и изготвянето на съдебни решения.</w:t>
            </w:r>
          </w:p>
          <w:p>
            <w:pPr>
              <w:widowControl w:val="0"/>
              <w:spacing w:after="120" w:line="240" w:lineRule="auto"/>
              <w:ind w:left="357"/>
              <w:jc w:val="both"/>
              <w:rPr>
                <w:rFonts w:ascii="Times New Roman" w:eastAsia="Times New Roman" w:hAnsi="Times New Roman" w:cs="Times New Roman"/>
                <w:noProof/>
                <w:sz w:val="24"/>
                <w:szCs w:val="24"/>
              </w:rPr>
            </w:pPr>
            <w:r>
              <w:rPr>
                <w:rFonts w:ascii="Times New Roman" w:hAnsi="Times New Roman"/>
                <w:noProof/>
                <w:sz w:val="24"/>
                <w:szCs w:val="24"/>
              </w:rPr>
              <w:t xml:space="preserve">В повечето държави членки </w:t>
            </w:r>
            <w:r>
              <w:rPr>
                <w:rFonts w:ascii="Times New Roman" w:hAnsi="Times New Roman"/>
                <w:b/>
                <w:noProof/>
                <w:sz w:val="24"/>
                <w:szCs w:val="24"/>
              </w:rPr>
              <w:t>структурата и обосновката на решенията</w:t>
            </w:r>
            <w:r>
              <w:rPr>
                <w:rFonts w:ascii="Times New Roman" w:hAnsi="Times New Roman"/>
                <w:noProof/>
                <w:sz w:val="24"/>
                <w:szCs w:val="24"/>
              </w:rPr>
              <w:t xml:space="preserve"> включват предварително определени елементи. Освен това в някои държави членки ползвателите на услугите на съдилищата имат достъп до механизми за получаване на разяснения относно съдебните решения, което представлява интересна практика за подобряване на достъпността на правосъдните системи за гражданите.</w:t>
            </w:r>
          </w:p>
          <w:p>
            <w:pPr>
              <w:widowControl w:val="0"/>
              <w:spacing w:after="120" w:line="240" w:lineRule="auto"/>
              <w:ind w:left="357"/>
              <w:jc w:val="both"/>
              <w:rPr>
                <w:rFonts w:ascii="Times New Roman" w:eastAsia="Times New Roman" w:hAnsi="Times New Roman" w:cs="Times New Roman"/>
                <w:noProof/>
                <w:sz w:val="24"/>
                <w:szCs w:val="24"/>
              </w:rPr>
            </w:pPr>
            <w:r>
              <w:rPr>
                <w:rFonts w:ascii="Times New Roman" w:hAnsi="Times New Roman"/>
                <w:noProof/>
                <w:sz w:val="24"/>
                <w:szCs w:val="24"/>
              </w:rPr>
              <w:t xml:space="preserve">Върховните съдилища, които използват </w:t>
            </w:r>
            <w:r>
              <w:rPr>
                <w:rFonts w:ascii="Times New Roman" w:hAnsi="Times New Roman"/>
                <w:b/>
                <w:noProof/>
                <w:sz w:val="24"/>
                <w:szCs w:val="24"/>
              </w:rPr>
              <w:t>инструменти за самооценка на качеството</w:t>
            </w:r>
            <w:r>
              <w:rPr>
                <w:rFonts w:ascii="Times New Roman" w:hAnsi="Times New Roman"/>
                <w:noProof/>
                <w:sz w:val="24"/>
                <w:szCs w:val="24"/>
              </w:rPr>
              <w:t xml:space="preserve"> на техните решения са малцинство, въпреки че подобна практика, при зачитане на независимостта на съдебната власт, би дала възможност за подобрения.</w:t>
            </w:r>
          </w:p>
          <w:p>
            <w:pPr>
              <w:widowControl w:val="0"/>
              <w:numPr>
                <w:ilvl w:val="0"/>
                <w:numId w:val="6"/>
              </w:numPr>
              <w:spacing w:after="120" w:line="240" w:lineRule="auto"/>
              <w:ind w:left="357" w:hanging="357"/>
              <w:jc w:val="both"/>
              <w:rPr>
                <w:rFonts w:ascii="Times New Roman" w:eastAsia="Times New Roman" w:hAnsi="Times New Roman" w:cs="Times New Roman"/>
                <w:noProof/>
                <w:sz w:val="24"/>
                <w:szCs w:val="24"/>
              </w:rPr>
            </w:pPr>
            <w:r>
              <w:rPr>
                <w:rFonts w:ascii="Times New Roman" w:hAnsi="Times New Roman"/>
                <w:noProof/>
                <w:sz w:val="24"/>
                <w:szCs w:val="24"/>
              </w:rPr>
              <w:t xml:space="preserve">Повечето държави членки използват </w:t>
            </w:r>
            <w:r>
              <w:rPr>
                <w:rFonts w:ascii="Times New Roman" w:hAnsi="Times New Roman"/>
                <w:b/>
                <w:noProof/>
                <w:sz w:val="24"/>
                <w:szCs w:val="24"/>
              </w:rPr>
              <w:t>стандарти относно времевите рамки</w:t>
            </w:r>
            <w:r>
              <w:rPr>
                <w:rFonts w:ascii="Times New Roman" w:hAnsi="Times New Roman"/>
                <w:noProof/>
                <w:sz w:val="24"/>
                <w:szCs w:val="24"/>
              </w:rPr>
              <w:t>. При все това някои държави членки, които са изправени пред специфични предизвикателства във връзка с ефикасността, понастоящем не използват такива стандарти. Стандартите относно изостаналите дела все още не са толкова широко разпространени, колкото тези, с които се фиксират срокове (напр. фиксиран срок между датата на завеждане на делото и първото съдебно заседание) и времеви рамки (напр. предварителното определяне на процента на делата, които да бъдат приключени в рамките на определен период от време) (графика 44).</w:t>
            </w:r>
          </w:p>
          <w:p>
            <w:pPr>
              <w:widowControl w:val="0"/>
              <w:numPr>
                <w:ilvl w:val="0"/>
                <w:numId w:val="6"/>
              </w:numPr>
              <w:spacing w:after="120" w:line="240" w:lineRule="auto"/>
              <w:ind w:left="357" w:hanging="357"/>
              <w:jc w:val="both"/>
              <w:rPr>
                <w:rFonts w:ascii="Times New Roman" w:eastAsia="Times New Roman" w:hAnsi="Times New Roman" w:cs="Times New Roman"/>
                <w:noProof/>
                <w:sz w:val="24"/>
                <w:szCs w:val="24"/>
              </w:rPr>
            </w:pPr>
            <w:r>
              <w:rPr>
                <w:rFonts w:ascii="Times New Roman" w:hAnsi="Times New Roman"/>
                <w:noProof/>
                <w:sz w:val="24"/>
                <w:szCs w:val="24"/>
              </w:rPr>
              <w:t xml:space="preserve">Стандартите относно </w:t>
            </w:r>
            <w:r>
              <w:rPr>
                <w:rFonts w:ascii="Times New Roman" w:hAnsi="Times New Roman"/>
                <w:b/>
                <w:noProof/>
                <w:sz w:val="24"/>
                <w:szCs w:val="24"/>
              </w:rPr>
              <w:t>изостаналите дела</w:t>
            </w:r>
            <w:r>
              <w:rPr>
                <w:rFonts w:ascii="Times New Roman" w:hAnsi="Times New Roman"/>
                <w:noProof/>
                <w:sz w:val="24"/>
                <w:szCs w:val="24"/>
              </w:rPr>
              <w:t xml:space="preserve"> са полезен инструмент, който може да допринесе за по-доброто управление на делата и за повишаване на ефикасността. Графика 45 показва, че изостаналите дела се определят основно само от съдебната власт или в сътрудничество с изпълнителните органи. Мониторингът и последващите действия са отговорност най-вече на съдебната власт, докато в някои държави членки изпълнителната власт също играе роля при мониторинга и последващите действия.</w:t>
            </w:r>
          </w:p>
          <w:p>
            <w:pPr>
              <w:widowControl w:val="0"/>
              <w:numPr>
                <w:ilvl w:val="0"/>
                <w:numId w:val="6"/>
              </w:numPr>
              <w:spacing w:after="0" w:line="240" w:lineRule="auto"/>
              <w:ind w:left="357" w:hanging="357"/>
              <w:jc w:val="both"/>
              <w:rPr>
                <w:rFonts w:ascii="Times New Roman" w:eastAsia="Times New Roman" w:hAnsi="Times New Roman" w:cs="Times New Roman"/>
                <w:b/>
                <w:noProof/>
                <w:sz w:val="24"/>
                <w:szCs w:val="24"/>
              </w:rPr>
            </w:pPr>
            <w:r>
              <w:rPr>
                <w:rFonts w:ascii="Times New Roman" w:hAnsi="Times New Roman"/>
                <w:noProof/>
                <w:sz w:val="24"/>
                <w:szCs w:val="24"/>
              </w:rPr>
              <w:t xml:space="preserve">Въпреки че по-голямата част от държавите членки разполагат със стандарти относно </w:t>
            </w:r>
            <w:r>
              <w:rPr>
                <w:rFonts w:ascii="Times New Roman" w:hAnsi="Times New Roman"/>
                <w:b/>
                <w:noProof/>
                <w:sz w:val="24"/>
                <w:szCs w:val="24"/>
              </w:rPr>
              <w:t>работните графици</w:t>
            </w:r>
            <w:r>
              <w:rPr>
                <w:rFonts w:ascii="Times New Roman" w:hAnsi="Times New Roman"/>
                <w:noProof/>
                <w:sz w:val="24"/>
                <w:szCs w:val="24"/>
              </w:rPr>
              <w:t xml:space="preserve"> (графика 46), само в няколко от тях има постоянни механизми за мониторинг по предварително определените срокове. Информационното табло на ЕС в областта на правосъдието за 2019 г. показва, че по-голямата част от държавите членки заделят допълнителни ресурси за последващи мерки, които обаче се различават по своя обхват. Най-често срещаната последваща мярка е реорганизацията на процеса на управление на съда, а възможността за временно подпомагане от специални съдии е предвидена само в няколко държави членки.</w:t>
            </w:r>
          </w:p>
        </w:tc>
      </w:tr>
    </w:tbl>
    <w:p>
      <w:pPr>
        <w:keepNext/>
        <w:spacing w:before="360" w:after="120" w:line="240" w:lineRule="auto"/>
        <w:jc w:val="both"/>
        <w:outlineLvl w:val="1"/>
        <w:rPr>
          <w:rFonts w:ascii="Times New Roman" w:eastAsia="Times New Roman" w:hAnsi="Times New Roman" w:cs="Times New Roman"/>
          <w:b/>
          <w:bCs/>
          <w:iCs/>
          <w:noProof/>
          <w:sz w:val="24"/>
          <w:szCs w:val="28"/>
        </w:rPr>
      </w:pPr>
    </w:p>
    <w:p>
      <w:pPr>
        <w:rPr>
          <w:rFonts w:ascii="Times New Roman" w:eastAsia="Times New Roman" w:hAnsi="Times New Roman" w:cs="Times New Roman"/>
          <w:b/>
          <w:bCs/>
          <w:iCs/>
          <w:noProof/>
          <w:sz w:val="24"/>
          <w:szCs w:val="28"/>
        </w:rPr>
      </w:pPr>
      <w:r>
        <w:rPr>
          <w:noProof/>
        </w:rPr>
        <w:br w:type="page"/>
      </w:r>
    </w:p>
    <w:p>
      <w:pPr>
        <w:keepNext/>
        <w:spacing w:before="360" w:after="120" w:line="240" w:lineRule="auto"/>
        <w:jc w:val="both"/>
        <w:outlineLvl w:val="1"/>
        <w:rPr>
          <w:rFonts w:ascii="Times New Roman" w:eastAsia="Times New Roman" w:hAnsi="Times New Roman" w:cs="Times New Roman"/>
          <w:b/>
          <w:bCs/>
          <w:iCs/>
          <w:noProof/>
          <w:sz w:val="24"/>
          <w:szCs w:val="28"/>
        </w:rPr>
      </w:pPr>
      <w:r>
        <w:rPr>
          <w:rFonts w:ascii="Times New Roman" w:hAnsi="Times New Roman"/>
          <w:b/>
          <w:bCs/>
          <w:iCs/>
          <w:noProof/>
          <w:sz w:val="24"/>
          <w:szCs w:val="28"/>
        </w:rPr>
        <w:t>3.3. Независимост</w:t>
      </w:r>
    </w:p>
    <w:p>
      <w:pPr>
        <w:spacing w:after="120" w:line="240" w:lineRule="auto"/>
        <w:jc w:val="both"/>
        <w:rPr>
          <w:rFonts w:ascii="Times New Roman" w:eastAsia="Calibri" w:hAnsi="Times New Roman" w:cs="Times New Roman"/>
          <w:noProof/>
          <w:sz w:val="24"/>
        </w:rPr>
      </w:pPr>
      <w:r>
        <w:rPr>
          <w:rFonts w:ascii="Times New Roman" w:hAnsi="Times New Roman"/>
          <w:noProof/>
          <w:sz w:val="24"/>
        </w:rPr>
        <w:t>Независимостта на съдебната власт е изискване, произтичащо от принципа на ефективна съдебна защита, посочен в член 19 от ДЕС, и от правото на ефективни правни средства за защита пред съд, залегнало в Хартата на основните права на ЕС (член 47) (</w:t>
      </w:r>
      <w:r>
        <w:rPr>
          <w:rFonts w:ascii="Times New Roman" w:eastAsia="Calibri" w:hAnsi="Times New Roman" w:cs="Times New Roman"/>
          <w:noProof/>
          <w:sz w:val="24"/>
          <w:vertAlign w:val="superscript"/>
        </w:rPr>
        <w:footnoteReference w:id="107"/>
      </w:r>
      <w:r>
        <w:rPr>
          <w:rFonts w:ascii="Times New Roman" w:hAnsi="Times New Roman"/>
          <w:noProof/>
          <w:sz w:val="24"/>
        </w:rPr>
        <w:t>). Тя гарантира справедливост, предвидимост и сигурност на правната система, които представляват важни елементи за поддържане на върховенството на закона и създаването на привлекателна инвестиционна среда.</w:t>
      </w:r>
      <w:r>
        <w:rPr>
          <w:rFonts w:ascii="Times New Roman" w:hAnsi="Times New Roman"/>
          <w:noProof/>
          <w:color w:val="1D1D1D"/>
          <w:sz w:val="24"/>
        </w:rPr>
        <w:t xml:space="preserve"> Усещането за независимост на съдебната власт е фактор, засилващ растежа, тъй както усещането за липса на независимост може да възпрепятства инвестициите. </w:t>
      </w:r>
      <w:r>
        <w:rPr>
          <w:rFonts w:ascii="Times New Roman" w:hAnsi="Times New Roman"/>
          <w:noProof/>
          <w:sz w:val="24"/>
        </w:rPr>
        <w:t>В допълнение към показателите за усещането за независимостта на съдебната власт, събрани от различни източници, Информационното табло представя редица показатели за това как са организирани правосъдните системи, така че да бъде защитена независимостта на съдебната власт в определени видове ситуации, при които тя би могла да бъде застрашена. Като отрази приноса на Европейската мрежа на съдебните съвети (ЕМСС), Мрежата на председателите на върховните съдилища в ЕС (NPSJC), Асоциацията на държавните съвети и върховните административни юрисдикции в ЕС (ACA-Europe), Информационното табло на ЕС в областта на правосъдието за 2019 г. съдържа нови или актуализирани показатели във връзка с правните гаранции относно дисциплинарните производства срещу съдиите и назначаването на съдии — членове на съдебните съвети, и относно организацията на прокуратурата.</w:t>
      </w:r>
    </w:p>
    <w:p>
      <w:pPr>
        <w:keepNext/>
        <w:tabs>
          <w:tab w:val="left" w:pos="850"/>
        </w:tabs>
        <w:spacing w:before="240" w:after="120" w:line="240" w:lineRule="auto"/>
        <w:ind w:left="850" w:hanging="850"/>
        <w:jc w:val="both"/>
        <w:outlineLvl w:val="2"/>
        <w:rPr>
          <w:rFonts w:ascii="Times New Roman" w:eastAsia="Times New Roman" w:hAnsi="Times New Roman" w:cs="Times New Roman"/>
          <w:b/>
          <w:noProof/>
          <w:sz w:val="24"/>
          <w:szCs w:val="24"/>
        </w:rPr>
      </w:pPr>
      <w:bookmarkStart w:id="470" w:name="_Toc409530231"/>
      <w:bookmarkStart w:id="471" w:name="_Toc438545680"/>
      <w:bookmarkStart w:id="472" w:name="_Toc438548330"/>
      <w:bookmarkStart w:id="473" w:name="_Toc438548516"/>
      <w:bookmarkStart w:id="474" w:name="_Toc440017704"/>
      <w:bookmarkStart w:id="475" w:name="_Toc440018088"/>
      <w:bookmarkStart w:id="476" w:name="_Toc440033386"/>
      <w:bookmarkStart w:id="477" w:name="_Toc440035237"/>
      <w:bookmarkStart w:id="478" w:name="_Toc440036532"/>
      <w:bookmarkStart w:id="479" w:name="_Toc440042474"/>
      <w:bookmarkStart w:id="480" w:name="_Toc440291127"/>
      <w:bookmarkStart w:id="481" w:name="_Toc440294690"/>
      <w:bookmarkStart w:id="482" w:name="_Toc440295192"/>
      <w:bookmarkStart w:id="483" w:name="_Toc440296597"/>
      <w:bookmarkStart w:id="484" w:name="_Toc440625081"/>
      <w:bookmarkStart w:id="485" w:name="_Toc440626411"/>
      <w:bookmarkStart w:id="486" w:name="_Toc440628865"/>
      <w:bookmarkStart w:id="487" w:name="_Toc441571139"/>
      <w:bookmarkStart w:id="488" w:name="_Toc441581641"/>
      <w:bookmarkStart w:id="489" w:name="_Toc441585908"/>
      <w:bookmarkStart w:id="490" w:name="_Toc441595843"/>
      <w:bookmarkStart w:id="491" w:name="_Toc441596020"/>
      <w:bookmarkStart w:id="492" w:name="_Toc441748145"/>
      <w:bookmarkStart w:id="493" w:name="_Toc441755430"/>
      <w:bookmarkStart w:id="494" w:name="_Toc441756467"/>
      <w:bookmarkStart w:id="495" w:name="_Toc441757511"/>
      <w:bookmarkStart w:id="496" w:name="_Toc441766640"/>
      <w:bookmarkStart w:id="497" w:name="_Toc441766979"/>
      <w:bookmarkStart w:id="498" w:name="_Toc442187980"/>
      <w:bookmarkStart w:id="499" w:name="_Toc442262072"/>
      <w:bookmarkStart w:id="500" w:name="_Toc442362479"/>
      <w:bookmarkStart w:id="501" w:name="_Toc442374815"/>
      <w:bookmarkStart w:id="502" w:name="_Toc442425955"/>
      <w:bookmarkStart w:id="503" w:name="_Toc442453081"/>
      <w:bookmarkStart w:id="504" w:name="_Toc443484539"/>
      <w:bookmarkStart w:id="505" w:name="_Toc443484761"/>
      <w:bookmarkStart w:id="506" w:name="_Toc443509502"/>
      <w:bookmarkStart w:id="507" w:name="_Toc446014831"/>
      <w:r>
        <w:rPr>
          <w:rFonts w:ascii="Times New Roman" w:hAnsi="Times New Roman"/>
          <w:b/>
          <w:noProof/>
          <w:sz w:val="24"/>
          <w:szCs w:val="24"/>
        </w:rPr>
        <w:t xml:space="preserve">3.3.1. </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r>
        <w:rPr>
          <w:rFonts w:ascii="Times New Roman" w:hAnsi="Times New Roman"/>
          <w:b/>
          <w:noProof/>
          <w:sz w:val="24"/>
          <w:szCs w:val="24"/>
        </w:rPr>
        <w:t>Усещане за независимостта на съдебната власт</w:t>
      </w:r>
    </w:p>
    <w:p>
      <w:pPr>
        <w:spacing w:before="240" w:after="120" w:line="240" w:lineRule="auto"/>
        <w:jc w:val="both"/>
        <w:rPr>
          <w:rFonts w:ascii="Times New Roman" w:eastAsia="Times New Roman" w:hAnsi="Times New Roman" w:cs="Times New Roman"/>
          <w:b/>
          <w:noProof/>
          <w:sz w:val="24"/>
        </w:rPr>
      </w:pPr>
      <w:bookmarkStart w:id="508" w:name="_Ref441845830"/>
      <w:r>
        <w:rPr>
          <w:rFonts w:ascii="Times New Roman" w:hAnsi="Times New Roman"/>
          <w:b/>
          <w:noProof/>
          <w:sz w:val="24"/>
        </w:rPr>
        <w:t>Графика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47</w:t>
      </w:r>
      <w:r>
        <w:rPr>
          <w:rFonts w:ascii="Times New Roman" w:eastAsia="Calibri" w:hAnsi="Times New Roman" w:cs="Times New Roman"/>
          <w:b/>
          <w:noProof/>
          <w:sz w:val="24"/>
        </w:rPr>
        <w:fldChar w:fldCharType="end"/>
      </w:r>
      <w:bookmarkEnd w:id="508"/>
      <w:r>
        <w:rPr>
          <w:rFonts w:ascii="Times New Roman" w:hAnsi="Times New Roman"/>
          <w:b/>
          <w:noProof/>
          <w:sz w:val="24"/>
        </w:rPr>
        <w:t xml:space="preserve">: Усещане за независимост на съдилищата и съдиите сред широката общественост </w:t>
      </w:r>
      <w:r>
        <w:rPr>
          <w:rFonts w:ascii="Times New Roman" w:hAnsi="Times New Roman"/>
          <w:noProof/>
          <w:sz w:val="24"/>
        </w:rPr>
        <w:t>(*)</w:t>
      </w:r>
      <w:r>
        <w:rPr>
          <w:rFonts w:ascii="Times New Roman" w:hAnsi="Times New Roman"/>
          <w:i/>
          <w:noProof/>
          <w:sz w:val="24"/>
        </w:rPr>
        <w:t xml:space="preserve"> (източник: Евробарометър (</w:t>
      </w:r>
      <w:r>
        <w:rPr>
          <w:rFonts w:ascii="Times New Roman" w:eastAsia="Times New Roman" w:hAnsi="Times New Roman" w:cs="Times New Roman"/>
          <w:i/>
          <w:noProof/>
          <w:sz w:val="24"/>
          <w:vertAlign w:val="superscript"/>
        </w:rPr>
        <w:footnoteReference w:id="108"/>
      </w:r>
      <w:r>
        <w:rPr>
          <w:rFonts w:ascii="Times New Roman" w:hAnsi="Times New Roman"/>
          <w:i/>
          <w:noProof/>
          <w:sz w:val="24"/>
        </w:rPr>
        <w:t>) — в по-светли цветове: 2016 г., 2017 г. и 2018 г., в по-тъмни цветове: 2019 г.)</w:t>
      </w:r>
    </w:p>
    <w:p>
      <w:pPr>
        <w:spacing w:after="0" w:line="240" w:lineRule="auto"/>
        <w:rPr>
          <w:rFonts w:ascii="Times New Roman" w:eastAsia="Calibri" w:hAnsi="Times New Roman" w:cs="Times New Roman"/>
          <w:noProof/>
          <w:sz w:val="24"/>
        </w:rPr>
      </w:pPr>
      <w:r>
        <w:rPr>
          <w:noProof/>
          <w:lang w:val="en-GB" w:eastAsia="en-GB"/>
        </w:rPr>
        <w:drawing>
          <wp:inline distT="0" distB="0" distL="0" distR="0">
            <wp:extent cx="5972810" cy="284226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72810" cy="2842260"/>
                    </a:xfrm>
                    <a:prstGeom prst="rect">
                      <a:avLst/>
                    </a:prstGeom>
                  </pic:spPr>
                </pic:pic>
              </a:graphicData>
            </a:graphic>
          </wp:inline>
        </w:drawing>
      </w:r>
      <w:bookmarkStart w:id="509" w:name="_Ref441845836"/>
    </w:p>
    <w:p>
      <w:pPr>
        <w:spacing w:after="0" w:line="240" w:lineRule="auto"/>
        <w:jc w:val="both"/>
        <w:rPr>
          <w:rFonts w:ascii="Times New Roman" w:eastAsia="Calibri" w:hAnsi="Times New Roman" w:cs="Times New Roman"/>
          <w:noProof/>
          <w:spacing w:val="-4"/>
          <w:sz w:val="24"/>
        </w:rPr>
      </w:pPr>
      <w:r>
        <w:rPr>
          <w:rFonts w:ascii="Times New Roman" w:hAnsi="Times New Roman"/>
          <w:i/>
          <w:noProof/>
          <w:spacing w:val="-4"/>
          <w:sz w:val="18"/>
        </w:rPr>
        <w:t>(*) Държавите членки са подредени по процента на анкетираните, заявили, че независимостта на съдилищата и съдиите е в много добро или относително добро състояние (общо добро състояние); ако някои държави членки имат еднакъв процент на общо добро състояние, то те са подредени по процента на анкетираните, заявили, че независимостта на съдилищата и съдиите е в относително лошо състояние или в много лошо състояние (общо лошо състояние); ако някои държави членки имат еднакъв процент на общо добро и общо лошо състояние, то те са подредени по процента на анкетираните, заявили, че независимостта на съдилищата и съдиите е в много добро състояние; ако някои държави членки имат еднакъв процент на общо добро, общо лошо и много добро състояние, то те са подредени по процента на анкетираните, заявили, че независимостта на съдилищата и съдиите е в много лошо състояние.</w:t>
      </w:r>
    </w:p>
    <w:p>
      <w:pPr>
        <w:spacing w:before="120" w:after="0" w:line="240" w:lineRule="auto"/>
        <w:jc w:val="both"/>
        <w:rPr>
          <w:rFonts w:ascii="Times New Roman" w:eastAsia="Calibri" w:hAnsi="Times New Roman" w:cs="Times New Roman"/>
          <w:noProof/>
          <w:sz w:val="24"/>
        </w:rPr>
      </w:pPr>
      <w:r>
        <w:rPr>
          <w:rFonts w:ascii="Times New Roman" w:hAnsi="Times New Roman"/>
          <w:noProof/>
          <w:sz w:val="24"/>
        </w:rPr>
        <w:t>На графика 48 са показани основните причини за усещането за липса на независимост на съдилищата и съдиите. Отговорилите, по чиято преценка независимостта на правосъдната система е „в относително лошо състояние“ или „в много лошо състояние“, са можели да избират измежду три причини, които да обяснят тяхната оценка. Държавите членки са подредени по същия ред, както в графика 47.</w:t>
      </w:r>
    </w:p>
    <w:p>
      <w:pPr>
        <w:spacing w:before="240" w:after="120" w:line="240" w:lineRule="auto"/>
        <w:jc w:val="both"/>
        <w:rPr>
          <w:rFonts w:ascii="Times New Roman" w:eastAsia="Times New Roman" w:hAnsi="Times New Roman" w:cs="Times New Roman"/>
          <w:i/>
          <w:noProof/>
          <w:sz w:val="24"/>
        </w:rPr>
      </w:pPr>
      <w:r>
        <w:rPr>
          <w:rFonts w:ascii="Times New Roman" w:hAnsi="Times New Roman"/>
          <w:b/>
          <w:noProof/>
          <w:sz w:val="24"/>
        </w:rPr>
        <w:t>Графика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48</w:t>
      </w:r>
      <w:r>
        <w:rPr>
          <w:rFonts w:ascii="Times New Roman" w:eastAsia="Calibri" w:hAnsi="Times New Roman" w:cs="Times New Roman"/>
          <w:b/>
          <w:noProof/>
          <w:sz w:val="24"/>
        </w:rPr>
        <w:fldChar w:fldCharType="end"/>
      </w:r>
      <w:r>
        <w:rPr>
          <w:rFonts w:ascii="Times New Roman" w:hAnsi="Times New Roman"/>
          <w:b/>
          <w:noProof/>
          <w:sz w:val="24"/>
        </w:rPr>
        <w:t xml:space="preserve">: Основни причини за усещането сред широката общественост за липсата на независимост </w:t>
      </w:r>
      <w:r>
        <w:rPr>
          <w:rFonts w:ascii="Times New Roman" w:hAnsi="Times New Roman"/>
          <w:i/>
          <w:noProof/>
          <w:sz w:val="24"/>
        </w:rPr>
        <w:t>(дял от всички отговорили </w:t>
      </w:r>
      <w:r>
        <w:rPr>
          <w:rFonts w:ascii="Times New Roman" w:hAnsi="Times New Roman"/>
          <w:noProof/>
          <w:sz w:val="24"/>
        </w:rPr>
        <w:t xml:space="preserve">— </w:t>
      </w:r>
      <w:r>
        <w:rPr>
          <w:rFonts w:ascii="Times New Roman" w:hAnsi="Times New Roman"/>
          <w:i/>
          <w:noProof/>
          <w:sz w:val="24"/>
        </w:rPr>
        <w:t>по-висока стойност означава по-голямо влияние) (източник: Евробарометър (</w:t>
      </w:r>
      <w:r>
        <w:rPr>
          <w:rFonts w:ascii="Times New Roman" w:eastAsia="Times New Roman" w:hAnsi="Times New Roman" w:cs="Times New Roman"/>
          <w:i/>
          <w:noProof/>
          <w:sz w:val="24"/>
          <w:vertAlign w:val="superscript"/>
        </w:rPr>
        <w:footnoteReference w:id="109"/>
      </w:r>
      <w:r>
        <w:rPr>
          <w:rFonts w:ascii="Times New Roman" w:hAnsi="Times New Roman"/>
          <w:i/>
          <w:noProof/>
          <w:sz w:val="24"/>
        </w:rPr>
        <w:t>)</w:t>
      </w:r>
    </w:p>
    <w:p>
      <w:pPr>
        <w:spacing w:after="0" w:line="240" w:lineRule="auto"/>
        <w:rPr>
          <w:rFonts w:ascii="Times New Roman" w:eastAsia="Times New Roman" w:hAnsi="Times New Roman" w:cs="Times New Roman"/>
          <w:b/>
          <w:noProof/>
          <w:sz w:val="24"/>
        </w:rPr>
      </w:pPr>
      <w:r>
        <w:rPr>
          <w:noProof/>
          <w:lang w:val="en-GB" w:eastAsia="en-GB"/>
        </w:rPr>
        <w:drawing>
          <wp:inline distT="0" distB="0" distL="0" distR="0">
            <wp:extent cx="5972810" cy="2755265"/>
            <wp:effectExtent l="0" t="0" r="8890" b="6985"/>
            <wp:docPr id="97287" name="Picture 97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72810" cy="2755265"/>
                    </a:xfrm>
                    <a:prstGeom prst="rect">
                      <a:avLst/>
                    </a:prstGeom>
                  </pic:spPr>
                </pic:pic>
              </a:graphicData>
            </a:graphic>
          </wp:inline>
        </w:drawing>
      </w:r>
    </w:p>
    <w:p>
      <w:pPr>
        <w:rPr>
          <w:rFonts w:ascii="Times New Roman" w:eastAsia="Times New Roman" w:hAnsi="Times New Roman" w:cs="Times New Roman"/>
          <w:b/>
          <w:noProof/>
          <w:sz w:val="24"/>
        </w:rPr>
      </w:pPr>
      <w:r>
        <w:rPr>
          <w:rFonts w:ascii="Times New Roman" w:eastAsia="Times New Roman" w:hAnsi="Times New Roman" w:cs="Times New Roman"/>
          <w:b/>
          <w:noProof/>
          <w:sz w:val="24"/>
        </w:rPr>
        <w:br w:type="page"/>
      </w:r>
    </w:p>
    <w:p>
      <w:pPr>
        <w:spacing w:before="240" w:after="120" w:line="240" w:lineRule="auto"/>
        <w:jc w:val="both"/>
        <w:rPr>
          <w:rFonts w:ascii="Times New Roman" w:eastAsia="Times New Roman" w:hAnsi="Times New Roman" w:cs="Times New Roman"/>
          <w:b/>
          <w:noProof/>
          <w:sz w:val="24"/>
        </w:rPr>
      </w:pPr>
      <w:r>
        <w:rPr>
          <w:rFonts w:ascii="Times New Roman" w:hAnsi="Times New Roman"/>
          <w:b/>
          <w:noProof/>
          <w:sz w:val="24"/>
        </w:rPr>
        <w:t>Графика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49</w:t>
      </w:r>
      <w:r>
        <w:rPr>
          <w:rFonts w:ascii="Times New Roman" w:eastAsia="Calibri" w:hAnsi="Times New Roman" w:cs="Times New Roman"/>
          <w:b/>
          <w:noProof/>
          <w:sz w:val="24"/>
        </w:rPr>
        <w:fldChar w:fldCharType="end"/>
      </w:r>
      <w:bookmarkEnd w:id="509"/>
      <w:r>
        <w:rPr>
          <w:rFonts w:ascii="Times New Roman" w:hAnsi="Times New Roman"/>
          <w:b/>
          <w:noProof/>
          <w:sz w:val="24"/>
        </w:rPr>
        <w:t xml:space="preserve">: Усещане за независимост на съдилищата и съдиите сред дружествата </w:t>
      </w:r>
      <w:r>
        <w:rPr>
          <w:rFonts w:ascii="Times New Roman" w:hAnsi="Times New Roman"/>
          <w:noProof/>
          <w:sz w:val="24"/>
        </w:rPr>
        <w:t>(*)</w:t>
      </w:r>
      <w:r>
        <w:rPr>
          <w:rFonts w:ascii="Times New Roman" w:hAnsi="Times New Roman"/>
          <w:i/>
          <w:noProof/>
          <w:sz w:val="24"/>
        </w:rPr>
        <w:t xml:space="preserve"> (източник: Евробарометър (</w:t>
      </w:r>
      <w:r>
        <w:rPr>
          <w:rFonts w:ascii="Times New Roman" w:eastAsia="Times New Roman" w:hAnsi="Times New Roman" w:cs="Times New Roman"/>
          <w:i/>
          <w:noProof/>
          <w:sz w:val="24"/>
          <w:vertAlign w:val="superscript"/>
        </w:rPr>
        <w:footnoteReference w:id="110"/>
      </w:r>
      <w:r>
        <w:rPr>
          <w:rFonts w:ascii="Times New Roman" w:hAnsi="Times New Roman"/>
          <w:i/>
          <w:noProof/>
          <w:sz w:val="24"/>
        </w:rPr>
        <w:t>) — в по-светли цветове: 2016 г., 2017 г. и 2018 г., в по-тъмни цветове: 2019 г.)</w:t>
      </w:r>
    </w:p>
    <w:p>
      <w:pPr>
        <w:spacing w:after="0" w:line="240" w:lineRule="auto"/>
        <w:jc w:val="both"/>
        <w:rPr>
          <w:rFonts w:ascii="Times New Roman" w:eastAsia="Calibri" w:hAnsi="Times New Roman" w:cs="Times New Roman"/>
          <w:noProof/>
          <w:sz w:val="24"/>
        </w:rPr>
      </w:pPr>
      <w:r>
        <w:rPr>
          <w:noProof/>
          <w:lang w:val="en-GB" w:eastAsia="en-GB"/>
        </w:rPr>
        <w:drawing>
          <wp:inline distT="0" distB="0" distL="0" distR="0">
            <wp:extent cx="5972810" cy="2767965"/>
            <wp:effectExtent l="0" t="0" r="8890" b="0"/>
            <wp:docPr id="97288" name="Picture 97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72810" cy="2767965"/>
                    </a:xfrm>
                    <a:prstGeom prst="rect">
                      <a:avLst/>
                    </a:prstGeom>
                  </pic:spPr>
                </pic:pic>
              </a:graphicData>
            </a:graphic>
          </wp:inline>
        </w:drawing>
      </w:r>
    </w:p>
    <w:p>
      <w:pPr>
        <w:spacing w:after="0" w:line="240" w:lineRule="auto"/>
        <w:jc w:val="both"/>
        <w:rPr>
          <w:rFonts w:ascii="Times New Roman" w:eastAsia="Calibri" w:hAnsi="Times New Roman" w:cs="Times New Roman"/>
          <w:noProof/>
        </w:rPr>
      </w:pPr>
      <w:bookmarkStart w:id="510" w:name="_Ref441845852"/>
      <w:r>
        <w:rPr>
          <w:rFonts w:ascii="Times New Roman" w:hAnsi="Times New Roman"/>
          <w:i/>
          <w:noProof/>
          <w:sz w:val="16"/>
        </w:rPr>
        <w:t>(*) Държавите членки са подредени по процента на анкетираните, заявили, че независимостта на съдилищата и съдиите е в много добро или относително добро състояние (общо добро състояние); ако някои държави членки имат еднакъв процент на общо добро състояние, то те са подредени по процента на анкетираните, заявили, че независимостта на съдилищата и съдиите е в относително лошо състояние или в много лошо състояние (общо лошо състояние); ако някои държави членки имат еднакъв процент на общо добро и общо лошо състояние, то те са подредени по процента на анкетираните, заявили, че независимостта на съдилищата и съдиите е в много добро състояние; ако някои държави членки имат еднакъв процент на общо добро, общо лошо и много добро състояние, то те са подредени по процента на анкетираните, заявили, че независимостта на съдилищата и съдиите е в много лошо състояние.</w:t>
      </w:r>
    </w:p>
    <w:p>
      <w:pPr>
        <w:spacing w:before="120" w:after="240" w:line="240" w:lineRule="auto"/>
        <w:jc w:val="both"/>
        <w:rPr>
          <w:rFonts w:ascii="Times New Roman" w:eastAsia="Calibri" w:hAnsi="Times New Roman" w:cs="Times New Roman"/>
          <w:noProof/>
          <w:sz w:val="24"/>
        </w:rPr>
      </w:pPr>
      <w:r>
        <w:rPr>
          <w:rFonts w:ascii="Times New Roman" w:hAnsi="Times New Roman"/>
          <w:noProof/>
          <w:sz w:val="24"/>
        </w:rPr>
        <w:t>На графика 50 са показани основните причини за усещането за липса на независимост на съдилищата и съдиите. Отговорилите дружества, по чиято преценка независимостта на правосъдната система е „в относително лошо състояние“ или „в много лошо състояние“, са можели да избират измежду три причини, които да обяснят тяхната оценка. Държавите членки са подредени по същия ред, както в графика 49.</w:t>
      </w:r>
    </w:p>
    <w:p>
      <w:pPr>
        <w:keepNext/>
        <w:spacing w:before="240" w:after="120" w:line="240" w:lineRule="auto"/>
        <w:jc w:val="both"/>
        <w:rPr>
          <w:rFonts w:ascii="Times New Roman" w:eastAsia="Times New Roman" w:hAnsi="Times New Roman" w:cs="Times New Roman"/>
          <w:i/>
          <w:noProof/>
          <w:sz w:val="24"/>
        </w:rPr>
      </w:pPr>
      <w:r>
        <w:rPr>
          <w:rFonts w:ascii="Times New Roman" w:hAnsi="Times New Roman"/>
          <w:b/>
          <w:noProof/>
          <w:sz w:val="24"/>
        </w:rPr>
        <w:t>Графика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50</w:t>
      </w:r>
      <w:r>
        <w:rPr>
          <w:rFonts w:ascii="Times New Roman" w:eastAsia="Calibri" w:hAnsi="Times New Roman" w:cs="Times New Roman"/>
          <w:b/>
          <w:noProof/>
          <w:sz w:val="24"/>
        </w:rPr>
        <w:fldChar w:fldCharType="end"/>
      </w:r>
      <w:r>
        <w:rPr>
          <w:rFonts w:ascii="Times New Roman" w:hAnsi="Times New Roman"/>
          <w:b/>
          <w:noProof/>
          <w:sz w:val="24"/>
        </w:rPr>
        <w:t xml:space="preserve">: Основни причини за усещането сред дружествата за липсата на независимост </w:t>
      </w:r>
      <w:r>
        <w:rPr>
          <w:rFonts w:ascii="Times New Roman" w:hAnsi="Times New Roman"/>
          <w:i/>
          <w:noProof/>
          <w:sz w:val="24"/>
        </w:rPr>
        <w:t>(дял от всички отговорили </w:t>
      </w:r>
      <w:r>
        <w:rPr>
          <w:rFonts w:ascii="Times New Roman" w:hAnsi="Times New Roman"/>
          <w:noProof/>
          <w:sz w:val="24"/>
        </w:rPr>
        <w:t xml:space="preserve">— </w:t>
      </w:r>
      <w:r>
        <w:rPr>
          <w:rFonts w:ascii="Times New Roman" w:hAnsi="Times New Roman"/>
          <w:i/>
          <w:noProof/>
          <w:sz w:val="24"/>
        </w:rPr>
        <w:t>по-висока стойност означава по-голямо влияние) (източник: Евробарометър (</w:t>
      </w:r>
      <w:r>
        <w:rPr>
          <w:rFonts w:ascii="Times New Roman" w:eastAsia="Times New Roman" w:hAnsi="Times New Roman" w:cs="Times New Roman"/>
          <w:i/>
          <w:noProof/>
          <w:sz w:val="24"/>
          <w:vertAlign w:val="superscript"/>
        </w:rPr>
        <w:footnoteReference w:id="111"/>
      </w:r>
      <w:r>
        <w:rPr>
          <w:rFonts w:ascii="Times New Roman" w:hAnsi="Times New Roman"/>
          <w:i/>
          <w:noProof/>
          <w:sz w:val="24"/>
        </w:rPr>
        <w:t>)</w:t>
      </w:r>
    </w:p>
    <w:p>
      <w:pPr>
        <w:spacing w:after="0" w:line="240" w:lineRule="auto"/>
        <w:rPr>
          <w:rFonts w:ascii="Times New Roman" w:eastAsia="Times New Roman" w:hAnsi="Times New Roman" w:cs="Times New Roman"/>
          <w:b/>
          <w:noProof/>
          <w:sz w:val="24"/>
        </w:rPr>
      </w:pPr>
      <w:r>
        <w:rPr>
          <w:noProof/>
          <w:lang w:val="en-GB" w:eastAsia="en-GB"/>
        </w:rPr>
        <w:drawing>
          <wp:inline distT="0" distB="0" distL="0" distR="0">
            <wp:extent cx="5972810" cy="2751455"/>
            <wp:effectExtent l="0" t="0" r="8890" b="0"/>
            <wp:docPr id="97289" name="Picture 97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72810" cy="2751455"/>
                    </a:xfrm>
                    <a:prstGeom prst="rect">
                      <a:avLst/>
                    </a:prstGeom>
                  </pic:spPr>
                </pic:pic>
              </a:graphicData>
            </a:graphic>
          </wp:inline>
        </w:drawing>
      </w:r>
    </w:p>
    <w:p>
      <w:pPr>
        <w:spacing w:before="120" w:after="120" w:line="240" w:lineRule="auto"/>
        <w:rPr>
          <w:rFonts w:ascii="Times New Roman" w:eastAsia="Times New Roman" w:hAnsi="Times New Roman" w:cs="Times New Roman"/>
          <w:b/>
          <w:noProof/>
          <w:sz w:val="24"/>
        </w:rPr>
      </w:pPr>
      <w:r>
        <w:rPr>
          <w:rFonts w:ascii="Times New Roman" w:hAnsi="Times New Roman"/>
          <w:b/>
          <w:noProof/>
          <w:sz w:val="24"/>
        </w:rPr>
        <w:t>Графика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51</w:t>
      </w:r>
      <w:r>
        <w:rPr>
          <w:rFonts w:ascii="Times New Roman" w:eastAsia="Calibri" w:hAnsi="Times New Roman" w:cs="Times New Roman"/>
          <w:b/>
          <w:noProof/>
          <w:sz w:val="24"/>
        </w:rPr>
        <w:fldChar w:fldCharType="end"/>
      </w:r>
      <w:bookmarkEnd w:id="510"/>
      <w:r>
        <w:rPr>
          <w:rFonts w:ascii="Times New Roman" w:hAnsi="Times New Roman"/>
          <w:b/>
          <w:noProof/>
          <w:sz w:val="24"/>
        </w:rPr>
        <w:t xml:space="preserve">: СИФ: усещане на предприятията за независимостта на съдебната власт </w:t>
      </w:r>
      <w:r>
        <w:rPr>
          <w:rFonts w:ascii="Times New Roman" w:hAnsi="Times New Roman"/>
          <w:i/>
          <w:noProof/>
          <w:sz w:val="24"/>
        </w:rPr>
        <w:t>(усещане </w:t>
      </w:r>
      <w:r>
        <w:rPr>
          <w:rFonts w:ascii="Times New Roman" w:hAnsi="Times New Roman"/>
          <w:noProof/>
          <w:sz w:val="24"/>
        </w:rPr>
        <w:t xml:space="preserve">— </w:t>
      </w:r>
      <w:r>
        <w:rPr>
          <w:rFonts w:ascii="Times New Roman" w:hAnsi="Times New Roman"/>
          <w:i/>
          <w:noProof/>
          <w:sz w:val="24"/>
        </w:rPr>
        <w:t>по-висока стойност означава по-положително усещане) (източник: Световен икономически форум (</w:t>
      </w:r>
      <w:r>
        <w:rPr>
          <w:rFonts w:ascii="Times New Roman" w:eastAsia="Calibri" w:hAnsi="Times New Roman" w:cs="Times New Roman"/>
          <w:noProof/>
          <w:vertAlign w:val="superscript"/>
        </w:rPr>
        <w:footnoteReference w:id="112"/>
      </w:r>
      <w:r>
        <w:rPr>
          <w:rFonts w:ascii="Times New Roman" w:hAnsi="Times New Roman"/>
          <w:i/>
          <w:noProof/>
          <w:sz w:val="24"/>
        </w:rPr>
        <w:t>)</w:t>
      </w:r>
    </w:p>
    <w:p>
      <w:pPr>
        <w:spacing w:after="0" w:line="240" w:lineRule="auto"/>
        <w:rPr>
          <w:rFonts w:ascii="Times New Roman" w:eastAsia="Calibri" w:hAnsi="Times New Roman" w:cs="Times New Roman"/>
          <w:noProof/>
          <w:sz w:val="20"/>
          <w:szCs w:val="24"/>
        </w:rPr>
      </w:pPr>
      <w:r>
        <w:rPr>
          <w:noProof/>
          <w:lang w:val="en-GB" w:eastAsia="en-GB"/>
        </w:rPr>
        <w:drawing>
          <wp:inline distT="0" distB="0" distL="0" distR="0">
            <wp:extent cx="5762445" cy="2639683"/>
            <wp:effectExtent l="0" t="0" r="0" b="8890"/>
            <wp:docPr id="97293" name="Picture 97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62625" cy="2639765"/>
                    </a:xfrm>
                    <a:prstGeom prst="rect">
                      <a:avLst/>
                    </a:prstGeom>
                  </pic:spPr>
                </pic:pic>
              </a:graphicData>
            </a:graphic>
          </wp:inline>
        </w:drawing>
      </w:r>
    </w:p>
    <w:p>
      <w:pPr>
        <w:keepNext/>
        <w:tabs>
          <w:tab w:val="left" w:pos="850"/>
        </w:tabs>
        <w:spacing w:before="240" w:after="120" w:line="240" w:lineRule="auto"/>
        <w:ind w:left="850" w:hanging="850"/>
        <w:jc w:val="both"/>
        <w:outlineLvl w:val="2"/>
        <w:rPr>
          <w:rFonts w:ascii="Times New Roman" w:eastAsia="Times New Roman" w:hAnsi="Times New Roman" w:cs="Times New Roman"/>
          <w:b/>
          <w:noProof/>
          <w:sz w:val="24"/>
          <w:szCs w:val="24"/>
        </w:rPr>
      </w:pPr>
      <w:bookmarkStart w:id="511" w:name="_Toc409530232"/>
      <w:bookmarkStart w:id="512" w:name="_Toc438545681"/>
      <w:bookmarkStart w:id="513" w:name="_Toc438548331"/>
      <w:bookmarkStart w:id="514" w:name="_Toc438548517"/>
      <w:bookmarkStart w:id="515" w:name="_Toc440017705"/>
      <w:bookmarkStart w:id="516" w:name="_Toc440018089"/>
      <w:bookmarkStart w:id="517" w:name="_Toc440033387"/>
      <w:bookmarkStart w:id="518" w:name="_Toc440035238"/>
      <w:bookmarkStart w:id="519" w:name="_Toc440036533"/>
      <w:bookmarkStart w:id="520" w:name="_Toc440042475"/>
      <w:bookmarkStart w:id="521" w:name="_Toc440291128"/>
      <w:bookmarkStart w:id="522" w:name="_Toc440294691"/>
      <w:bookmarkStart w:id="523" w:name="_Toc440295193"/>
      <w:bookmarkStart w:id="524" w:name="_Toc440296598"/>
      <w:bookmarkStart w:id="525" w:name="_Toc440625082"/>
      <w:bookmarkStart w:id="526" w:name="_Toc440626412"/>
      <w:bookmarkStart w:id="527" w:name="_Toc440628866"/>
      <w:bookmarkStart w:id="528" w:name="_Toc441571140"/>
      <w:bookmarkStart w:id="529" w:name="_Toc441581642"/>
      <w:bookmarkStart w:id="530" w:name="_Toc441585909"/>
      <w:bookmarkStart w:id="531" w:name="_Toc441595844"/>
      <w:bookmarkStart w:id="532" w:name="_Toc441596021"/>
      <w:bookmarkStart w:id="533" w:name="_Toc441748146"/>
      <w:bookmarkStart w:id="534" w:name="_Toc441755431"/>
      <w:bookmarkStart w:id="535" w:name="_Toc441756468"/>
      <w:bookmarkStart w:id="536" w:name="_Toc441757512"/>
      <w:bookmarkStart w:id="537" w:name="_Toc441766641"/>
      <w:bookmarkStart w:id="538" w:name="_Toc441766980"/>
      <w:bookmarkStart w:id="539" w:name="_Toc442187981"/>
      <w:bookmarkStart w:id="540" w:name="_Toc442262073"/>
      <w:bookmarkStart w:id="541" w:name="_Toc442362480"/>
      <w:bookmarkStart w:id="542" w:name="_Toc442374816"/>
      <w:bookmarkStart w:id="543" w:name="_Toc442425956"/>
      <w:bookmarkStart w:id="544" w:name="_Toc442453082"/>
      <w:bookmarkStart w:id="545" w:name="_Toc443484540"/>
      <w:bookmarkStart w:id="546" w:name="_Toc443484762"/>
      <w:bookmarkStart w:id="547" w:name="_Toc443509503"/>
      <w:bookmarkStart w:id="548" w:name="_Toc446014832"/>
      <w:r>
        <w:rPr>
          <w:rFonts w:ascii="Times New Roman" w:hAnsi="Times New Roman"/>
          <w:b/>
          <w:noProof/>
          <w:sz w:val="24"/>
          <w:szCs w:val="24"/>
        </w:rPr>
        <w:t>3.3.2. Структурна независимост</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pPr>
        <w:spacing w:after="120" w:line="240" w:lineRule="auto"/>
        <w:jc w:val="both"/>
        <w:rPr>
          <w:rFonts w:ascii="Times New Roman" w:eastAsia="Times New Roman" w:hAnsi="Times New Roman" w:cs="Times New Roman"/>
          <w:noProof/>
          <w:sz w:val="24"/>
        </w:rPr>
      </w:pPr>
      <w:r>
        <w:rPr>
          <w:rFonts w:ascii="Times New Roman" w:hAnsi="Times New Roman"/>
          <w:noProof/>
          <w:sz w:val="24"/>
        </w:rPr>
        <w:t>Гаранциите за структурна независимост изискват правила, по-конкретно що се отнася до състава на съда и назначаването, продължителността на трудовия стаж и основанията за въздържане, отвод и освобождаване от длъжност на членовете му, с цел да се разсеят всички основателни съмнения в съзнанието на хората по отношение на неподатливостта на този съд към външни фактори и неутралността му по отношение на интересите, представени пред него (</w:t>
      </w:r>
      <w:r>
        <w:rPr>
          <w:rFonts w:ascii="Times New Roman" w:eastAsia="Times New Roman" w:hAnsi="Times New Roman" w:cs="Times New Roman"/>
          <w:noProof/>
          <w:sz w:val="24"/>
          <w:vertAlign w:val="superscript"/>
        </w:rPr>
        <w:footnoteReference w:id="113"/>
      </w:r>
      <w:r>
        <w:rPr>
          <w:rFonts w:ascii="Times New Roman" w:hAnsi="Times New Roman"/>
          <w:noProof/>
          <w:sz w:val="24"/>
        </w:rPr>
        <w:t>).</w:t>
      </w:r>
    </w:p>
    <w:p>
      <w:pPr>
        <w:spacing w:after="120" w:line="240" w:lineRule="auto"/>
        <w:jc w:val="both"/>
        <w:rPr>
          <w:rFonts w:ascii="Times New Roman" w:eastAsia="Times New Roman" w:hAnsi="Times New Roman" w:cs="Times New Roman"/>
          <w:noProof/>
          <w:spacing w:val="-6"/>
          <w:sz w:val="24"/>
        </w:rPr>
      </w:pPr>
      <w:r>
        <w:rPr>
          <w:rFonts w:ascii="Times New Roman" w:hAnsi="Times New Roman"/>
          <w:noProof/>
          <w:spacing w:val="-6"/>
          <w:sz w:val="24"/>
        </w:rPr>
        <w:t xml:space="preserve">Бяха разработени европейски стандарти, по-конкретно от Съвета на Европа, като например в </w:t>
      </w:r>
      <w:r>
        <w:rPr>
          <w:rFonts w:ascii="Times New Roman" w:hAnsi="Times New Roman"/>
          <w:i/>
          <w:noProof/>
          <w:spacing w:val="-6"/>
          <w:sz w:val="24"/>
        </w:rPr>
        <w:t>Препоръката на Съвета на Европа от 2010 г. относно съдиите: независимост, ефикасност и отговорности</w:t>
      </w:r>
      <w:r>
        <w:rPr>
          <w:rFonts w:ascii="Times New Roman" w:hAnsi="Times New Roman"/>
          <w:noProof/>
          <w:spacing w:val="-6"/>
          <w:sz w:val="24"/>
        </w:rPr>
        <w:t xml:space="preserve"> (</w:t>
      </w:r>
      <w:r>
        <w:rPr>
          <w:rFonts w:ascii="Times New Roman" w:eastAsia="Calibri" w:hAnsi="Times New Roman" w:cs="Times New Roman"/>
          <w:noProof/>
          <w:spacing w:val="-6"/>
          <w:sz w:val="24"/>
          <w:vertAlign w:val="superscript"/>
        </w:rPr>
        <w:footnoteReference w:id="114"/>
      </w:r>
      <w:r>
        <w:rPr>
          <w:rFonts w:ascii="Times New Roman" w:hAnsi="Times New Roman"/>
          <w:noProof/>
          <w:spacing w:val="-6"/>
          <w:sz w:val="24"/>
        </w:rPr>
        <w:t>). В Информационното табло се представят редица показатели за това как са организирани правосъдните системи, така че да гарантират независимостта на съдебната власт.</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За първи път в настоящото издание на Информационното табло се включват показатели за институции и органи, които участват в дисциплинарните производства срещу съдиите (графики 52 и 53), и както и миналата година, се съдържа показател за назначаването на съдиите — членове на съдебните съвети (графика 54) (</w:t>
      </w:r>
      <w:r>
        <w:rPr>
          <w:rFonts w:ascii="Times New Roman" w:eastAsia="Calibri" w:hAnsi="Times New Roman" w:cs="Times New Roman"/>
          <w:noProof/>
          <w:sz w:val="24"/>
          <w:szCs w:val="24"/>
          <w:vertAlign w:val="superscript"/>
        </w:rPr>
        <w:footnoteReference w:id="115"/>
      </w:r>
      <w:r>
        <w:rPr>
          <w:rFonts w:ascii="Times New Roman" w:hAnsi="Times New Roman"/>
          <w:noProof/>
          <w:sz w:val="24"/>
        </w:rPr>
        <w:t>). Информационното табло на ЕС в областта на правосъдието за 2019 г. разширява прегледа на начина, по който се управлява и организира прокуратурата в държавите членки (графики 55, 56 и 57) (</w:t>
      </w:r>
      <w:r>
        <w:rPr>
          <w:rFonts w:ascii="Times New Roman" w:eastAsia="Calibri" w:hAnsi="Times New Roman" w:cs="Times New Roman"/>
          <w:noProof/>
          <w:sz w:val="24"/>
          <w:vertAlign w:val="superscript"/>
        </w:rPr>
        <w:footnoteReference w:id="116"/>
      </w:r>
      <w:r>
        <w:rPr>
          <w:rFonts w:ascii="Times New Roman" w:hAnsi="Times New Roman"/>
          <w:noProof/>
          <w:sz w:val="24"/>
        </w:rPr>
        <w:t>).</w:t>
      </w:r>
      <w:r>
        <w:rPr>
          <w:rFonts w:ascii="Times New Roman" w:hAnsi="Times New Roman"/>
          <w:noProof/>
          <w:sz w:val="24"/>
          <w:szCs w:val="24"/>
        </w:rPr>
        <w:t xml:space="preserve"> Графиките представят действащите национални уредби към декември 2018 г.</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Графиките в Информационното табло не представят оценка или количествени данни за ефективността на правните гаранции. Те нямат за цел да отразят сложността и подробната уредба на тези гаранции. Само по себе си наличието на повече гаранции не обезпечава ефективността на съдебната система. Трябва също така да се отбележи, че осъществяването на политики и практики за насърчаване на почтеността и за предотвратяване на корупцията в рамките на съдебната власт също е от съществено значение за гарантирането на нейната независимост. Ефективната защита на независимостта на съдебната власт се нуждае в крайна сметка от култура на почтеност и безпристрастност, споделяна от магистратите и зачитана от обществото като цяло.</w:t>
      </w:r>
    </w:p>
    <w:p>
      <w:pPr>
        <w:rPr>
          <w:rFonts w:ascii="Times New Roman" w:eastAsia="Calibri" w:hAnsi="Times New Roman" w:cs="Times New Roman"/>
          <w:i/>
          <w:noProof/>
          <w:sz w:val="24"/>
          <w:szCs w:val="24"/>
        </w:rPr>
      </w:pPr>
      <w:r>
        <w:rPr>
          <w:noProof/>
        </w:rPr>
        <w:br w:type="page"/>
      </w:r>
    </w:p>
    <w:p>
      <w:pPr>
        <w:spacing w:before="240" w:after="120"/>
        <w:rPr>
          <w:rFonts w:ascii="Times New Roman" w:eastAsia="Calibri" w:hAnsi="Times New Roman" w:cs="Times New Roman"/>
          <w:i/>
          <w:noProof/>
          <w:sz w:val="24"/>
        </w:rPr>
      </w:pPr>
      <w:r>
        <w:rPr>
          <w:rFonts w:ascii="Times New Roman" w:hAnsi="Times New Roman"/>
          <w:noProof/>
          <w:sz w:val="24"/>
        </w:rPr>
        <w:t xml:space="preserve">— </w:t>
      </w:r>
      <w:r>
        <w:rPr>
          <w:rFonts w:ascii="Times New Roman" w:hAnsi="Times New Roman"/>
          <w:i/>
          <w:noProof/>
          <w:sz w:val="24"/>
        </w:rPr>
        <w:t>Правни гаранции за дисциплинарните производства срещу съдиите —</w:t>
      </w:r>
    </w:p>
    <w:p>
      <w:pPr>
        <w:spacing w:after="120" w:line="240" w:lineRule="auto"/>
        <w:jc w:val="both"/>
        <w:rPr>
          <w:rFonts w:ascii="Times New Roman" w:eastAsia="Times New Roman" w:hAnsi="Times New Roman" w:cs="Times New Roman"/>
          <w:noProof/>
          <w:sz w:val="24"/>
        </w:rPr>
      </w:pPr>
      <w:r>
        <w:rPr>
          <w:rFonts w:ascii="Times New Roman" w:hAnsi="Times New Roman"/>
          <w:noProof/>
          <w:sz w:val="24"/>
        </w:rPr>
        <w:t>Дисциплинарните производства срещу съдиите са сред най-чувствителните ситуации във връзка с независимостта на съдебната власт. Според Съда на ЕС „изискването за независимост налага също дисциплинарният режим на съдиите да включва необходимите гаранции за пълното избягване на риска от използване на подобен режим като система за политически контрол на съдържанието на съдебните решения.“ (</w:t>
      </w:r>
      <w:r>
        <w:rPr>
          <w:rFonts w:ascii="Times New Roman" w:eastAsia="Times New Roman" w:hAnsi="Times New Roman" w:cs="Times New Roman"/>
          <w:noProof/>
          <w:sz w:val="24"/>
          <w:vertAlign w:val="superscript"/>
        </w:rPr>
        <w:footnoteReference w:id="117"/>
      </w:r>
      <w:r>
        <w:rPr>
          <w:rFonts w:ascii="Times New Roman" w:hAnsi="Times New Roman"/>
          <w:noProof/>
          <w:sz w:val="24"/>
        </w:rPr>
        <w:t>) Наборът гаранции, определени от Съда като съществени за опазване на независимостта на съдебната власт, включва правила, които определят както действията, които представляват дисциплинарни нарушения, така и конкретно приложимите санкции, правила, които предвиждат намесата на независим орган по реда на процедура, гарантираща изцяло прогласените в членове 47 и 48 от Хартата права, по-конкретно правото на защита, и правила, които закрепват възможността за оспорване пред съд на решенията на дисциплинарните органи (</w:t>
      </w:r>
      <w:r>
        <w:rPr>
          <w:rFonts w:ascii="Times New Roman" w:eastAsia="Times New Roman" w:hAnsi="Times New Roman" w:cs="Times New Roman"/>
          <w:noProof/>
          <w:sz w:val="24"/>
          <w:vertAlign w:val="superscript"/>
        </w:rPr>
        <w:footnoteReference w:id="118"/>
      </w:r>
      <w:r>
        <w:rPr>
          <w:rFonts w:ascii="Times New Roman" w:hAnsi="Times New Roman"/>
          <w:noProof/>
          <w:sz w:val="24"/>
        </w:rPr>
        <w:t>). Съдът на Европейския съюз постанови, че „член 267 ДФЕС предоставя на националните юрисдикции най-широко право да сезират Съда, (...) във всеки момент от производството, който според тях е подходящ“ (</w:t>
      </w:r>
      <w:r>
        <w:rPr>
          <w:rStyle w:val="FootnoteReference"/>
          <w:rFonts w:ascii="Times New Roman" w:eastAsia="Times New Roman" w:hAnsi="Times New Roman" w:cs="Times New Roman"/>
          <w:noProof/>
          <w:sz w:val="24"/>
        </w:rPr>
        <w:footnoteReference w:id="119"/>
      </w:r>
      <w:r>
        <w:rPr>
          <w:rFonts w:ascii="Times New Roman" w:hAnsi="Times New Roman"/>
          <w:noProof/>
          <w:sz w:val="24"/>
        </w:rPr>
        <w:t>). Съдът добавя, че всички национални правила, ограничаващи това право на преценка , с цел да се избегне (...) налагане на дисциплинарни наказания“ „засягат правомощията, признати на националните юрисдикции с член 267 ДФЕС, а с това и ефективността на сътрудничеството между Съда и националните юрисдикции, въведено с механизма на преюдициалното запитване.“ (</w:t>
      </w:r>
      <w:r>
        <w:rPr>
          <w:rStyle w:val="FootnoteReference"/>
          <w:rFonts w:ascii="Times New Roman" w:eastAsia="Times New Roman" w:hAnsi="Times New Roman" w:cs="Times New Roman"/>
          <w:noProof/>
          <w:sz w:val="24"/>
        </w:rPr>
        <w:footnoteReference w:id="120"/>
      </w:r>
      <w:r>
        <w:rPr>
          <w:rFonts w:ascii="Times New Roman" w:hAnsi="Times New Roman"/>
          <w:noProof/>
          <w:sz w:val="24"/>
        </w:rPr>
        <w:t>). По-късно Съдът заяви, че „неизлагането на дисциплинарни наказания за (...) изпращане на искане за преюдициално заключение до Съда (...) представлява гаранция от съществено значение за независимостта на съдебната система“ (</w:t>
      </w:r>
      <w:r>
        <w:rPr>
          <w:rStyle w:val="FootnoteReference"/>
          <w:rFonts w:ascii="Times New Roman" w:eastAsia="Times New Roman" w:hAnsi="Times New Roman" w:cs="Times New Roman"/>
          <w:noProof/>
          <w:sz w:val="24"/>
        </w:rPr>
        <w:footnoteReference w:id="121"/>
      </w:r>
      <w:r>
        <w:rPr>
          <w:rFonts w:ascii="Times New Roman" w:hAnsi="Times New Roman"/>
          <w:noProof/>
          <w:sz w:val="24"/>
        </w:rPr>
        <w:t>).</w:t>
      </w:r>
    </w:p>
    <w:p>
      <w:pPr>
        <w:spacing w:after="120" w:line="240" w:lineRule="auto"/>
        <w:jc w:val="both"/>
        <w:rPr>
          <w:rFonts w:ascii="Times New Roman" w:eastAsia="Times New Roman" w:hAnsi="Times New Roman" w:cs="Times New Roman"/>
          <w:noProof/>
          <w:sz w:val="24"/>
        </w:rPr>
      </w:pPr>
      <w:r>
        <w:rPr>
          <w:rFonts w:ascii="Times New Roman" w:hAnsi="Times New Roman"/>
          <w:noProof/>
          <w:sz w:val="24"/>
        </w:rPr>
        <w:t>Съгласно стандартите на Съвета на Европа дисциплинарни производства, засягащи съдии, могат да бъдат образувани, когато те не изпълняват задълженията си по ефикасен и правилен начин (</w:t>
      </w:r>
      <w:r>
        <w:rPr>
          <w:rFonts w:ascii="Times New Roman" w:eastAsia="Times New Roman" w:hAnsi="Times New Roman" w:cs="Times New Roman"/>
          <w:noProof/>
          <w:sz w:val="24"/>
          <w:vertAlign w:val="superscript"/>
        </w:rPr>
        <w:footnoteReference w:id="122"/>
      </w:r>
      <w:r>
        <w:rPr>
          <w:rFonts w:ascii="Times New Roman" w:hAnsi="Times New Roman"/>
          <w:noProof/>
          <w:sz w:val="24"/>
        </w:rPr>
        <w:t>). Тълкуването на закона, преценката на факти или доказателства, извършена от съдии, за определяне на обстоятелствата по дадено дело, не следва да пораждат гражданска или дисциплинарна отговорност, освен в случаи на злонамереност и груба небрежност (</w:t>
      </w:r>
      <w:r>
        <w:rPr>
          <w:rFonts w:ascii="Times New Roman" w:eastAsia="Times New Roman" w:hAnsi="Times New Roman" w:cs="Times New Roman"/>
          <w:noProof/>
          <w:sz w:val="24"/>
          <w:vertAlign w:val="superscript"/>
        </w:rPr>
        <w:footnoteReference w:id="123"/>
      </w:r>
      <w:r>
        <w:rPr>
          <w:rFonts w:ascii="Times New Roman" w:hAnsi="Times New Roman"/>
          <w:noProof/>
          <w:sz w:val="24"/>
        </w:rPr>
        <w:t>). Освен това дисциплинарните производства следва да се водят от независим орган, като съд, с всички гаранции за справедлив съдебен процес. Съдията, обект на дисциплинарно производство, следва да има право да оспорва решението и наложеното наказание. Дисциплинарните наказания следва да бъдат съразмерни (</w:t>
      </w:r>
      <w:r>
        <w:rPr>
          <w:rFonts w:ascii="Times New Roman" w:eastAsia="Times New Roman" w:hAnsi="Times New Roman" w:cs="Times New Roman"/>
          <w:noProof/>
          <w:sz w:val="24"/>
          <w:vertAlign w:val="superscript"/>
        </w:rPr>
        <w:footnoteReference w:id="124"/>
      </w:r>
      <w:r>
        <w:rPr>
          <w:rFonts w:ascii="Times New Roman" w:hAnsi="Times New Roman"/>
          <w:noProof/>
          <w:sz w:val="24"/>
        </w:rPr>
        <w:t>).</w:t>
      </w:r>
    </w:p>
    <w:p>
      <w:pPr>
        <w:spacing w:after="120" w:line="240" w:lineRule="auto"/>
        <w:jc w:val="both"/>
        <w:rPr>
          <w:rFonts w:ascii="Times New Roman" w:eastAsia="Times New Roman" w:hAnsi="Times New Roman" w:cs="Times New Roman"/>
          <w:b/>
          <w:noProof/>
          <w:sz w:val="24"/>
        </w:rPr>
      </w:pPr>
      <w:r>
        <w:rPr>
          <w:rFonts w:ascii="Times New Roman" w:hAnsi="Times New Roman"/>
          <w:noProof/>
          <w:sz w:val="24"/>
        </w:rPr>
        <w:t>На графика 52 е представен преглед на органите, които вземат решения за налагането на дисциплинарни наказания на общите съдии, които могат да бъдат или а) редовни независими органи, като например съдилища (Върховен съд, Административен съд или председател на съд) или съдебни съвети, или б) други органи, чиито членове са назначени специално от съдебен съвет, съдии или от изпълнителната власт да вземат решения по дисциплинарни производства, засягащи съдии.</w:t>
      </w:r>
    </w:p>
    <w:p>
      <w:pPr>
        <w:spacing w:before="240" w:after="120" w:line="240" w:lineRule="auto"/>
        <w:jc w:val="both"/>
        <w:rPr>
          <w:rFonts w:ascii="Times New Roman" w:eastAsia="Times New Roman" w:hAnsi="Times New Roman" w:cs="Times New Roman"/>
          <w:b/>
          <w:noProof/>
          <w:sz w:val="24"/>
        </w:rPr>
      </w:pPr>
      <w:r>
        <w:rPr>
          <w:rFonts w:ascii="Times New Roman" w:hAnsi="Times New Roman"/>
          <w:b/>
          <w:noProof/>
          <w:sz w:val="24"/>
        </w:rPr>
        <w:t>Графика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52</w:t>
      </w:r>
      <w:r>
        <w:rPr>
          <w:rFonts w:ascii="Times New Roman" w:eastAsia="Calibri" w:hAnsi="Times New Roman" w:cs="Times New Roman"/>
          <w:b/>
          <w:noProof/>
          <w:sz w:val="24"/>
          <w:szCs w:val="24"/>
        </w:rPr>
        <w:fldChar w:fldCharType="end"/>
      </w:r>
      <w:r>
        <w:rPr>
          <w:rFonts w:ascii="Times New Roman" w:hAnsi="Times New Roman"/>
          <w:b/>
          <w:noProof/>
          <w:sz w:val="24"/>
        </w:rPr>
        <w:t xml:space="preserve">: Орган, който взема решения за налагането на дисциплинарни наказания на съдии (*) </w:t>
      </w:r>
      <w:r>
        <w:rPr>
          <w:rFonts w:ascii="Times New Roman" w:hAnsi="Times New Roman"/>
          <w:i/>
          <w:noProof/>
          <w:sz w:val="24"/>
        </w:rPr>
        <w:t>(</w:t>
      </w:r>
      <w:r>
        <w:rPr>
          <w:rFonts w:ascii="Times New Roman" w:eastAsia="Times New Roman" w:hAnsi="Times New Roman" w:cs="Times New Roman"/>
          <w:i/>
          <w:noProof/>
          <w:sz w:val="24"/>
          <w:szCs w:val="24"/>
          <w:vertAlign w:val="superscript"/>
        </w:rPr>
        <w:footnoteReference w:id="125"/>
      </w:r>
      <w:r>
        <w:rPr>
          <w:rFonts w:ascii="Times New Roman" w:hAnsi="Times New Roman"/>
          <w:i/>
          <w:noProof/>
          <w:sz w:val="24"/>
        </w:rPr>
        <w:t>)</w:t>
      </w:r>
    </w:p>
    <w:p>
      <w:pPr>
        <w:spacing w:after="0" w:line="240" w:lineRule="auto"/>
        <w:jc w:val="both"/>
        <w:rPr>
          <w:rFonts w:ascii="Times New Roman" w:eastAsia="Calibri" w:hAnsi="Times New Roman" w:cs="Times New Roman"/>
          <w:i/>
          <w:noProof/>
          <w:sz w:val="18"/>
        </w:rPr>
      </w:pPr>
      <w:r>
        <w:rPr>
          <w:noProof/>
          <w:lang w:val="en-GB" w:eastAsia="en-GB"/>
        </w:rPr>
        <w:drawing>
          <wp:inline distT="0" distB="0" distL="0" distR="0">
            <wp:extent cx="5972810" cy="1517650"/>
            <wp:effectExtent l="0" t="0" r="8890" b="6350"/>
            <wp:docPr id="97294" name="Picture 9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72810" cy="1517650"/>
                    </a:xfrm>
                    <a:prstGeom prst="rect">
                      <a:avLst/>
                    </a:prstGeom>
                  </pic:spPr>
                </pic:pic>
              </a:graphicData>
            </a:graphic>
          </wp:inline>
        </w:drawing>
      </w:r>
    </w:p>
    <w:p>
      <w:pPr>
        <w:spacing w:after="0" w:line="240" w:lineRule="auto"/>
        <w:jc w:val="both"/>
        <w:rPr>
          <w:rFonts w:ascii="Times New Roman" w:eastAsia="Calibri" w:hAnsi="Times New Roman" w:cs="Times New Roman"/>
          <w:i/>
          <w:noProof/>
          <w:sz w:val="18"/>
        </w:rPr>
      </w:pPr>
      <w:r>
        <w:rPr>
          <w:rFonts w:ascii="Times New Roman" w:hAnsi="Times New Roman"/>
          <w:i/>
          <w:noProof/>
          <w:sz w:val="18"/>
        </w:rPr>
        <w:t xml:space="preserve">(*) </w:t>
      </w:r>
      <w:r>
        <w:rPr>
          <w:rFonts w:ascii="Times New Roman" w:hAnsi="Times New Roman"/>
          <w:b/>
          <w:i/>
          <w:noProof/>
          <w:sz w:val="18"/>
        </w:rPr>
        <w:t>BG:</w:t>
      </w:r>
      <w:r>
        <w:rPr>
          <w:rFonts w:ascii="Times New Roman" w:hAnsi="Times New Roman"/>
          <w:i/>
          <w:noProof/>
          <w:sz w:val="18"/>
        </w:rPr>
        <w:t xml:space="preserve"> по-леки дисциплинарни наказания могат да бъдат налагани от председателя на Съда. </w:t>
      </w:r>
      <w:r>
        <w:rPr>
          <w:rFonts w:ascii="Times New Roman" w:hAnsi="Times New Roman"/>
          <w:b/>
          <w:i/>
          <w:noProof/>
          <w:sz w:val="18"/>
        </w:rPr>
        <w:t>CZ:</w:t>
      </w:r>
      <w:r>
        <w:rPr>
          <w:rFonts w:ascii="Times New Roman" w:hAnsi="Times New Roman"/>
          <w:i/>
          <w:noProof/>
          <w:sz w:val="18"/>
        </w:rPr>
        <w:t xml:space="preserve"> дисциплинарните производства се водят от дисциплинарни състави на Върховния административен съд. Членовете се предлагат от председателя на Съда от списък на съдиите и се избират чрез жребий. </w:t>
      </w:r>
      <w:r>
        <w:rPr>
          <w:rFonts w:ascii="Times New Roman" w:hAnsi="Times New Roman"/>
          <w:b/>
          <w:i/>
          <w:noProof/>
          <w:sz w:val="18"/>
        </w:rPr>
        <w:t>DK:</w:t>
      </w:r>
      <w:r>
        <w:rPr>
          <w:rFonts w:ascii="Times New Roman" w:hAnsi="Times New Roman"/>
          <w:i/>
          <w:noProof/>
          <w:sz w:val="18"/>
        </w:rPr>
        <w:t xml:space="preserve"> взема решение Съдът на обвинителния акт и преразглеждането, чиито членове са предложени от няколко участници (съдебната система, адвокатски кантори и обществени организации) и назначени от Министерството на правосъдието по препоръка на Съвета за назначенията в съдебната система (независим орган). </w:t>
      </w:r>
      <w:r>
        <w:rPr>
          <w:rFonts w:ascii="Times New Roman" w:hAnsi="Times New Roman"/>
          <w:b/>
          <w:i/>
          <w:noProof/>
          <w:sz w:val="18"/>
        </w:rPr>
        <w:t>DE:</w:t>
      </w:r>
      <w:r>
        <w:rPr>
          <w:rFonts w:ascii="Times New Roman" w:hAnsi="Times New Roman"/>
          <w:i/>
          <w:noProof/>
          <w:sz w:val="18"/>
        </w:rPr>
        <w:t xml:space="preserve"> дисциплинарни мерки могат да се налагат с официални дисциплинарни производства (член 63 от германския Закон за съдебната власт) от служебни съдилища („Dienstgerichte der Länder“ спрямо федерални държавни съдии и „Dienstgericht des Bundes“ спрямо федерални съдии), които представляват специални състави в общите съдилища. Членовете на тези състави се назначават от съдиите („Präsidium“) на съответния съд (окръжен съд или районен съд или Федералния съд). По-леки дисциплинарни мерки, като например порицание, могат да се налагат в дисциплинарно определение (член 64 от германския Закон за съдебната власт) от председател на съд или Министерството на правосъдието (на равнището на федералните провинции и на федерално равнище). </w:t>
      </w:r>
      <w:r>
        <w:rPr>
          <w:rFonts w:ascii="Times New Roman" w:hAnsi="Times New Roman"/>
          <w:b/>
          <w:i/>
          <w:noProof/>
          <w:sz w:val="18"/>
        </w:rPr>
        <w:t>EE:</w:t>
      </w:r>
      <w:r>
        <w:rPr>
          <w:rFonts w:ascii="Times New Roman" w:hAnsi="Times New Roman"/>
          <w:i/>
          <w:noProof/>
          <w:sz w:val="18"/>
        </w:rPr>
        <w:t xml:space="preserve"> дисциплинарни производства се разглеждат от дисциплинарен състав от съдии, назначени от Върховния съд и от Общото събрание на всички естонски съдии. </w:t>
      </w:r>
      <w:r>
        <w:rPr>
          <w:rFonts w:ascii="Times New Roman" w:hAnsi="Times New Roman"/>
          <w:b/>
          <w:i/>
          <w:noProof/>
          <w:sz w:val="18"/>
        </w:rPr>
        <w:t>IE:</w:t>
      </w:r>
      <w:r>
        <w:rPr>
          <w:rFonts w:ascii="Times New Roman" w:hAnsi="Times New Roman"/>
          <w:i/>
          <w:noProof/>
          <w:sz w:val="18"/>
        </w:rPr>
        <w:t xml:space="preserve"> съдиите не са подвластни на действията на дисциплинарни органи или на специален дисциплинарен режим освен на процедурата, предвидена в Конституцията, при която съдия може да бъде отстранен от длъжност при доказано неправомерно поведение или неспособност да изпълняват функциите си въз основа на резолюции, приети от двете камари на Парламента (Oireachtas), които искат отстраняването на съдията. </w:t>
      </w:r>
      <w:r>
        <w:rPr>
          <w:rFonts w:ascii="Times New Roman" w:hAnsi="Times New Roman"/>
          <w:b/>
          <w:i/>
          <w:noProof/>
          <w:sz w:val="18"/>
        </w:rPr>
        <w:t>EL:</w:t>
      </w:r>
      <w:r>
        <w:rPr>
          <w:rFonts w:ascii="Times New Roman" w:hAnsi="Times New Roman"/>
          <w:i/>
          <w:noProof/>
          <w:sz w:val="18"/>
        </w:rPr>
        <w:t xml:space="preserve"> дисциплинарният контрол спрямо съдиите се упражнява на първа и втора инстанция от съвети, съставени от редовни съдии от по-висок ранг, избрани чрез теглене на жребий. Дисциплинарен контрол над висши съдии се упражнява от Висшия дисциплинарен съвет. </w:t>
      </w:r>
      <w:r>
        <w:rPr>
          <w:rFonts w:ascii="Times New Roman" w:hAnsi="Times New Roman"/>
          <w:b/>
          <w:i/>
          <w:noProof/>
          <w:sz w:val="18"/>
        </w:rPr>
        <w:t>LV:</w:t>
      </w:r>
      <w:r>
        <w:rPr>
          <w:rFonts w:ascii="Times New Roman" w:hAnsi="Times New Roman"/>
          <w:i/>
          <w:noProof/>
          <w:sz w:val="18"/>
        </w:rPr>
        <w:t xml:space="preserve"> дисциплинарните производства се разглеждат от Съдебния дисциплинарен съвет, чиито членове се назначават от общото събрание на съдиите. </w:t>
      </w:r>
      <w:r>
        <w:rPr>
          <w:rFonts w:ascii="Times New Roman" w:hAnsi="Times New Roman"/>
          <w:b/>
          <w:i/>
          <w:noProof/>
          <w:sz w:val="18"/>
        </w:rPr>
        <w:t>ES:</w:t>
      </w:r>
      <w:r>
        <w:rPr>
          <w:rFonts w:ascii="Times New Roman" w:hAnsi="Times New Roman"/>
          <w:i/>
          <w:noProof/>
          <w:sz w:val="18"/>
        </w:rPr>
        <w:t xml:space="preserve"> дисциплинарните решения, отнасящи се до леки дисциплинарните нарушения се вземат от управленския състав на съответния съд на района, в който заседава съдията, обект на дисциплинарно производство (висшия съд, националния съд и Върховния съд). </w:t>
      </w:r>
      <w:r>
        <w:rPr>
          <w:rFonts w:ascii="Times New Roman" w:hAnsi="Times New Roman"/>
          <w:b/>
          <w:i/>
          <w:noProof/>
        </w:rPr>
        <w:t>LT:</w:t>
      </w:r>
      <w:r>
        <w:rPr>
          <w:rFonts w:ascii="Times New Roman" w:hAnsi="Times New Roman"/>
          <w:noProof/>
        </w:rPr>
        <w:t xml:space="preserve"> </w:t>
      </w:r>
      <w:r>
        <w:rPr>
          <w:rFonts w:ascii="Times New Roman" w:hAnsi="Times New Roman"/>
          <w:i/>
          <w:noProof/>
          <w:sz w:val="18"/>
        </w:rPr>
        <w:t xml:space="preserve">в първоинстанционното производство решава Дисциплинарният съд, чиито членове и председател (съдия, избран от Съдебния съвет) са установени в определението на Съдебния съвет. Дисциплинарният съд се състои от шестима съдии, избрани и назначени от Съдебния съвет, двама членове, назначени от президента на Републиката и двама членове, назначени от председателя на Сейма. На втора инстанция решава Върховният съд. </w:t>
      </w:r>
      <w:r>
        <w:rPr>
          <w:rFonts w:ascii="Times New Roman" w:hAnsi="Times New Roman"/>
          <w:b/>
          <w:i/>
          <w:noProof/>
          <w:sz w:val="18"/>
        </w:rPr>
        <w:t>HU:</w:t>
      </w:r>
      <w:r>
        <w:rPr>
          <w:rFonts w:ascii="Times New Roman" w:hAnsi="Times New Roman"/>
          <w:i/>
          <w:noProof/>
          <w:sz w:val="18"/>
        </w:rPr>
        <w:t xml:space="preserve"> дисциплинарни производства се разглеждат от Служебния съд, назначен от Съдебния съвет. </w:t>
      </w:r>
      <w:r>
        <w:rPr>
          <w:rFonts w:ascii="Times New Roman" w:hAnsi="Times New Roman"/>
          <w:b/>
          <w:i/>
          <w:noProof/>
          <w:sz w:val="18"/>
        </w:rPr>
        <w:t>MT:</w:t>
      </w:r>
      <w:r>
        <w:rPr>
          <w:rFonts w:ascii="Times New Roman" w:hAnsi="Times New Roman"/>
          <w:i/>
          <w:noProof/>
          <w:sz w:val="18"/>
        </w:rPr>
        <w:t xml:space="preserve"> решава Комисията по правораздаване. </w:t>
      </w:r>
      <w:r>
        <w:rPr>
          <w:rFonts w:ascii="Times New Roman" w:hAnsi="Times New Roman"/>
          <w:b/>
          <w:i/>
          <w:noProof/>
          <w:sz w:val="18"/>
        </w:rPr>
        <w:t>PL:</w:t>
      </w:r>
      <w:r>
        <w:rPr>
          <w:rFonts w:ascii="Times New Roman" w:hAnsi="Times New Roman"/>
          <w:i/>
          <w:noProof/>
          <w:sz w:val="18"/>
        </w:rPr>
        <w:t xml:space="preserve"> министърът на правосъдието избира дисциплинарни съдии след незадължителна консултация с Националния съдебен съвет. </w:t>
      </w:r>
      <w:r>
        <w:rPr>
          <w:rFonts w:ascii="Times New Roman" w:hAnsi="Times New Roman"/>
          <w:b/>
          <w:i/>
          <w:noProof/>
          <w:sz w:val="18"/>
        </w:rPr>
        <w:t>SI:</w:t>
      </w:r>
      <w:r>
        <w:rPr>
          <w:rFonts w:ascii="Times New Roman" w:hAnsi="Times New Roman"/>
          <w:i/>
          <w:noProof/>
          <w:sz w:val="18"/>
        </w:rPr>
        <w:t xml:space="preserve"> дисциплинарният съд се назначават от Съдебния съвет измежду членовете на самия Съвет, както и измежду съдии, предложени от Върховния съд. </w:t>
      </w:r>
      <w:r>
        <w:rPr>
          <w:rFonts w:ascii="Times New Roman" w:hAnsi="Times New Roman"/>
          <w:b/>
          <w:i/>
          <w:noProof/>
          <w:sz w:val="18"/>
        </w:rPr>
        <w:t>SK:</w:t>
      </w:r>
      <w:r>
        <w:rPr>
          <w:rFonts w:ascii="Times New Roman" w:hAnsi="Times New Roman"/>
          <w:i/>
          <w:noProof/>
          <w:sz w:val="18"/>
        </w:rPr>
        <w:t xml:space="preserve"> дисциплинарните състави се назначават от Съдебния съвет. Конституционният съд е компетентен за дисциплинарните производства срещу председателя и заместник-председателя на Върховния съд. </w:t>
      </w:r>
      <w:r>
        <w:rPr>
          <w:rFonts w:ascii="Times New Roman" w:hAnsi="Times New Roman"/>
          <w:b/>
          <w:i/>
          <w:noProof/>
          <w:sz w:val="18"/>
        </w:rPr>
        <w:t>SE:</w:t>
      </w:r>
      <w:r>
        <w:rPr>
          <w:rFonts w:ascii="Times New Roman" w:hAnsi="Times New Roman"/>
          <w:i/>
          <w:noProof/>
          <w:sz w:val="18"/>
        </w:rPr>
        <w:t xml:space="preserve"> постоянен съдия може да бъде отстранен от длъжност само ако е извършил тежко престъпление или многократно е пренебрегвал задълженията си, като по този начин се е показал явно негоден да заема тази длъжност. Ако решението за отстраняване на съдия от длъжност е взето от друг орган, а не от съда (на практика от Националната комисия за дисциплинарни нарушения), съответният съдия може да поиска от съда да преразгледа това решение. </w:t>
      </w:r>
      <w:r>
        <w:rPr>
          <w:rFonts w:ascii="Times New Roman" w:hAnsi="Times New Roman"/>
          <w:b/>
          <w:i/>
          <w:noProof/>
          <w:sz w:val="18"/>
        </w:rPr>
        <w:t>UK (EN и WL):</w:t>
      </w:r>
      <w:r>
        <w:rPr>
          <w:rFonts w:ascii="Times New Roman" w:hAnsi="Times New Roman"/>
          <w:i/>
          <w:noProof/>
          <w:sz w:val="18"/>
        </w:rPr>
        <w:t xml:space="preserve"> главният съдия (Lord Chief Justice) е компетентен, със съгласието на лорд канцлера (Lord Chancellor), да даде на съдията официално становище, официално предупреждение или порицание или да го отстрани временно от длъжност при определени обстоятелства. </w:t>
      </w:r>
      <w:r>
        <w:rPr>
          <w:rFonts w:ascii="Times New Roman" w:hAnsi="Times New Roman"/>
          <w:b/>
          <w:i/>
          <w:noProof/>
          <w:sz w:val="18"/>
        </w:rPr>
        <w:t>UK (NI):</w:t>
      </w:r>
      <w:r>
        <w:rPr>
          <w:rFonts w:ascii="Times New Roman" w:hAnsi="Times New Roman"/>
          <w:i/>
          <w:noProof/>
          <w:sz w:val="18"/>
        </w:rPr>
        <w:t xml:space="preserve"> решения по дисциплинарни дела се вземат от главния съдия (Lord Chief Justice) и омбудсмана по назначенията в съдебната система.</w:t>
      </w:r>
    </w:p>
    <w:p>
      <w:pPr>
        <w:spacing w:before="240" w:after="120" w:line="240" w:lineRule="auto"/>
        <w:jc w:val="both"/>
        <w:rPr>
          <w:rFonts w:ascii="Times New Roman" w:eastAsia="Times New Roman" w:hAnsi="Times New Roman" w:cs="Times New Roman"/>
          <w:noProof/>
          <w:sz w:val="24"/>
        </w:rPr>
      </w:pPr>
      <w:r>
        <w:rPr>
          <w:rFonts w:ascii="Times New Roman" w:hAnsi="Times New Roman"/>
          <w:noProof/>
          <w:sz w:val="24"/>
        </w:rPr>
        <w:t>На графика 53 се прави обзор на разследващите органи, които извършват официално разследване по дисциплинарни производства срещу съдии. Той не обхваща предварителните проверки, чрез които се решава дали да се започне официално дисциплинарно производство. Фазата на разследване е особено чувствителен етап в рамките на дисциплинарното производство и би могла да повлияе на независимостта на съдебната власт. Правомощието по разследване може да бъде упражнявано или а) от редовни независими органи, като например председатели на съдилища или на съдебни съвети, или б) от други разследващи служители, които са специално назначени от съдебния съвет, от съдии или от други органи с цел провеждане на разследвания по дисциплинарни производства срещу съдии.</w:t>
      </w:r>
    </w:p>
    <w:p>
      <w:pPr>
        <w:spacing w:before="240" w:after="120" w:line="240" w:lineRule="auto"/>
        <w:jc w:val="both"/>
        <w:rPr>
          <w:rFonts w:ascii="Times New Roman" w:eastAsia="Times New Roman" w:hAnsi="Times New Roman" w:cs="Times New Roman"/>
          <w:b/>
          <w:noProof/>
          <w:sz w:val="24"/>
        </w:rPr>
      </w:pPr>
      <w:r>
        <w:rPr>
          <w:rFonts w:ascii="Times New Roman" w:hAnsi="Times New Roman"/>
          <w:b/>
          <w:noProof/>
          <w:sz w:val="24"/>
        </w:rPr>
        <w:t>Графика</w:t>
      </w:r>
      <w:r>
        <w:rPr>
          <w:rFonts w:ascii="Times New Roman" w:hAnsi="Times New Roman"/>
          <w:b/>
          <w:noProof/>
          <w:sz w:val="24"/>
          <w:lang w:val="en-US"/>
        </w:rPr>
        <w:t>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53</w:t>
      </w:r>
      <w:r>
        <w:rPr>
          <w:rFonts w:ascii="Times New Roman" w:eastAsia="Calibri" w:hAnsi="Times New Roman" w:cs="Times New Roman"/>
          <w:b/>
          <w:noProof/>
          <w:sz w:val="24"/>
          <w:szCs w:val="24"/>
        </w:rPr>
        <w:fldChar w:fldCharType="end"/>
      </w:r>
      <w:r>
        <w:rPr>
          <w:rFonts w:ascii="Times New Roman" w:hAnsi="Times New Roman"/>
          <w:b/>
          <w:noProof/>
          <w:sz w:val="24"/>
        </w:rPr>
        <w:t xml:space="preserve">: Разследващ служител, отговарящ за официалните дисциплинарни производства срещу съдии </w:t>
      </w:r>
      <w:r>
        <w:rPr>
          <w:rFonts w:ascii="Times New Roman" w:hAnsi="Times New Roman"/>
          <w:noProof/>
          <w:sz w:val="24"/>
        </w:rPr>
        <w:t>(*) (</w:t>
      </w:r>
      <w:r>
        <w:rPr>
          <w:rFonts w:ascii="Times New Roman" w:hAnsi="Times New Roman"/>
          <w:noProof/>
          <w:sz w:val="24"/>
          <w:vertAlign w:val="superscript"/>
        </w:rPr>
        <w:footnoteReference w:id="126"/>
      </w:r>
      <w:r>
        <w:rPr>
          <w:rFonts w:ascii="Times New Roman" w:hAnsi="Times New Roman"/>
          <w:noProof/>
          <w:sz w:val="24"/>
        </w:rPr>
        <w:t>)</w:t>
      </w:r>
    </w:p>
    <w:p>
      <w:pPr>
        <w:spacing w:after="0" w:line="240" w:lineRule="auto"/>
        <w:jc w:val="both"/>
        <w:rPr>
          <w:rFonts w:ascii="Times New Roman" w:eastAsia="Calibri" w:hAnsi="Times New Roman" w:cs="Times New Roman"/>
          <w:i/>
          <w:noProof/>
          <w:sz w:val="18"/>
        </w:rPr>
      </w:pPr>
      <w:r>
        <w:rPr>
          <w:noProof/>
          <w:lang w:val="en-GB" w:eastAsia="en-GB"/>
        </w:rPr>
        <w:drawing>
          <wp:inline distT="0" distB="0" distL="0" distR="0">
            <wp:extent cx="5977255" cy="1985802"/>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77255" cy="1985802"/>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sz w:val="18"/>
          <w:szCs w:val="18"/>
        </w:rPr>
      </w:pPr>
      <w:r>
        <w:rPr>
          <w:rFonts w:ascii="Times New Roman" w:hAnsi="Times New Roman"/>
          <w:i/>
          <w:noProof/>
          <w:sz w:val="18"/>
        </w:rPr>
        <w:t xml:space="preserve">(*) </w:t>
      </w:r>
      <w:r>
        <w:rPr>
          <w:rFonts w:ascii="Times New Roman" w:hAnsi="Times New Roman"/>
          <w:b/>
          <w:i/>
          <w:noProof/>
          <w:sz w:val="18"/>
        </w:rPr>
        <w:t>BG:</w:t>
      </w:r>
      <w:r>
        <w:rPr>
          <w:rFonts w:ascii="Times New Roman" w:hAnsi="Times New Roman"/>
          <w:i/>
          <w:noProof/>
          <w:sz w:val="18"/>
        </w:rPr>
        <w:t xml:space="preserve"> разследва съответният административен ръководител на съда или Съдийската колегия на Висшия съдебен</w:t>
      </w:r>
      <w:r>
        <w:rPr>
          <w:rFonts w:ascii="Times New Roman" w:hAnsi="Times New Roman"/>
          <w:b/>
          <w:noProof/>
          <w:sz w:val="18"/>
        </w:rPr>
        <w:t xml:space="preserve"> </w:t>
      </w:r>
      <w:r>
        <w:rPr>
          <w:rFonts w:ascii="Times New Roman" w:hAnsi="Times New Roman"/>
          <w:i/>
          <w:noProof/>
          <w:sz w:val="18"/>
        </w:rPr>
        <w:t xml:space="preserve">съвет на България. </w:t>
      </w:r>
      <w:r>
        <w:rPr>
          <w:rFonts w:ascii="Times New Roman" w:hAnsi="Times New Roman"/>
          <w:b/>
          <w:i/>
          <w:noProof/>
          <w:sz w:val="18"/>
        </w:rPr>
        <w:t>CZ:</w:t>
      </w:r>
      <w:r>
        <w:rPr>
          <w:rFonts w:ascii="Times New Roman" w:hAnsi="Times New Roman"/>
          <w:i/>
          <w:noProof/>
          <w:sz w:val="18"/>
        </w:rPr>
        <w:t xml:space="preserve"> </w:t>
      </w:r>
      <w:r>
        <w:rPr>
          <w:rFonts w:ascii="Times New Roman" w:hAnsi="Times New Roman"/>
          <w:i/>
          <w:noProof/>
          <w:color w:val="000000" w:themeColor="text1"/>
          <w:sz w:val="18"/>
        </w:rPr>
        <w:t xml:space="preserve">министърът на правосъдието също може да провежда някои предварителни проверки, за да подготви предложението за образуване на дисциплинарно производство, като по правило се консултира с председателя на съда, в който заседава съответният съдия. </w:t>
      </w:r>
      <w:r>
        <w:rPr>
          <w:rFonts w:ascii="Times New Roman" w:hAnsi="Times New Roman"/>
          <w:b/>
          <w:i/>
          <w:noProof/>
          <w:color w:val="000000" w:themeColor="text1"/>
          <w:sz w:val="18"/>
        </w:rPr>
        <w:t>DK:</w:t>
      </w:r>
      <w:r>
        <w:rPr>
          <w:rFonts w:ascii="Times New Roman" w:hAnsi="Times New Roman"/>
          <w:i/>
          <w:noProof/>
          <w:color w:val="000000" w:themeColor="text1"/>
          <w:sz w:val="18"/>
        </w:rPr>
        <w:t xml:space="preserve"> разследва директорът на прокуратурата. </w:t>
      </w:r>
      <w:r>
        <w:rPr>
          <w:rFonts w:ascii="Times New Roman" w:hAnsi="Times New Roman"/>
          <w:b/>
          <w:i/>
          <w:noProof/>
          <w:color w:val="000000" w:themeColor="text1"/>
          <w:sz w:val="18"/>
        </w:rPr>
        <w:t>DE:</w:t>
      </w:r>
      <w:r>
        <w:rPr>
          <w:rFonts w:ascii="Times New Roman" w:hAnsi="Times New Roman"/>
          <w:i/>
          <w:noProof/>
          <w:color w:val="000000" w:themeColor="text1"/>
          <w:sz w:val="18"/>
        </w:rPr>
        <w:t xml:space="preserve"> няма официална фаза на предварително разследване. Когато става въпрос за дисциплинарни заповеди, отнасящи се до по-леки дисциплинарни наказания, като например порицание, фактите се преценяват от председателя на съда и най-горестоящия орган на ведомството (обикновено министерството на правосъдието, както на равнище федерални провинции, така и на федерално равнище). Най-горестоящият орган на ведомството решава дали да започне дисциплинарно производство в съда. След това съдът извършва официално разследване.</w:t>
      </w:r>
      <w:r>
        <w:rPr>
          <w:rFonts w:ascii="Times New Roman" w:hAnsi="Times New Roman"/>
          <w:i/>
          <w:noProof/>
          <w:color w:val="943634" w:themeColor="accent2" w:themeShade="BF"/>
          <w:sz w:val="18"/>
        </w:rPr>
        <w:t xml:space="preserve"> </w:t>
      </w:r>
      <w:r>
        <w:rPr>
          <w:rFonts w:ascii="Times New Roman" w:hAnsi="Times New Roman"/>
          <w:b/>
          <w:i/>
          <w:noProof/>
          <w:sz w:val="18"/>
        </w:rPr>
        <w:t>EE:</w:t>
      </w:r>
      <w:r>
        <w:rPr>
          <w:rFonts w:ascii="Times New Roman" w:hAnsi="Times New Roman"/>
          <w:i/>
          <w:noProof/>
          <w:sz w:val="18"/>
        </w:rPr>
        <w:t xml:space="preserve"> председателят на съда или канцлерът по правосъдието (омбудсманът) може да провежда разследване. </w:t>
      </w:r>
      <w:r>
        <w:rPr>
          <w:rFonts w:ascii="Times New Roman" w:hAnsi="Times New Roman"/>
          <w:b/>
          <w:i/>
          <w:noProof/>
          <w:sz w:val="18"/>
        </w:rPr>
        <w:t>IE:</w:t>
      </w:r>
      <w:r>
        <w:rPr>
          <w:rFonts w:ascii="Times New Roman" w:hAnsi="Times New Roman"/>
          <w:i/>
          <w:noProof/>
          <w:sz w:val="18"/>
        </w:rPr>
        <w:t xml:space="preserve"> съдиите не са подвластни на действията на дисциплинарни органи или на специален дисциплинарен режим освен на процедурата, предвидена в Конституцията, при която съдия може да бъде отстранен от длъжност при доказано неправомерно поведение или неспособност да изпълняват функциите си въз основа на резолюции, приети от двете камари на Парламента (Oireachtas), които искат отстраняването на съдията. </w:t>
      </w:r>
      <w:r>
        <w:rPr>
          <w:rFonts w:ascii="Times New Roman" w:hAnsi="Times New Roman"/>
          <w:b/>
          <w:i/>
          <w:noProof/>
          <w:sz w:val="18"/>
        </w:rPr>
        <w:t>EL:</w:t>
      </w:r>
      <w:r>
        <w:rPr>
          <w:rFonts w:ascii="Times New Roman" w:hAnsi="Times New Roman"/>
          <w:i/>
          <w:noProof/>
          <w:sz w:val="18"/>
        </w:rPr>
        <w:t xml:space="preserve"> граждански и наказателни съдилища: органът за съдебни инспекции, който се избира сред съдиите чрез жребий. Административни съдилища: разследващият служител се избира чрез жребий сред членовете на Държавния съвет. </w:t>
      </w:r>
      <w:r>
        <w:rPr>
          <w:rFonts w:ascii="Times New Roman" w:hAnsi="Times New Roman"/>
          <w:b/>
          <w:i/>
          <w:noProof/>
          <w:sz w:val="18"/>
        </w:rPr>
        <w:t>ES:</w:t>
      </w:r>
      <w:r>
        <w:rPr>
          <w:rFonts w:ascii="Times New Roman" w:hAnsi="Times New Roman"/>
          <w:i/>
          <w:noProof/>
          <w:sz w:val="18"/>
        </w:rPr>
        <w:t xml:space="preserve"> организаторът на дисциплинарната дейност се назначава от Генералния съвет на съдебната власт. Организаторът се избира измежду съдиите от Върховния съд и магистратите с повече от 25 години юридически стаж, но упражнява изключително функциите на организатор по време на своя мандат. </w:t>
      </w:r>
      <w:r>
        <w:rPr>
          <w:rFonts w:ascii="Times New Roman" w:hAnsi="Times New Roman"/>
          <w:b/>
          <w:i/>
          <w:noProof/>
          <w:sz w:val="18"/>
        </w:rPr>
        <w:t>IT:</w:t>
      </w:r>
      <w:r>
        <w:rPr>
          <w:rFonts w:ascii="Times New Roman" w:hAnsi="Times New Roman"/>
          <w:i/>
          <w:noProof/>
          <w:sz w:val="18"/>
        </w:rPr>
        <w:t xml:space="preserve"> право да провежда разследвания има главният прокурор към Върховния съд (който е член на Съдебния съвет). </w:t>
      </w:r>
      <w:r>
        <w:rPr>
          <w:rFonts w:ascii="Times New Roman" w:hAnsi="Times New Roman"/>
          <w:b/>
          <w:i/>
          <w:noProof/>
          <w:sz w:val="18"/>
        </w:rPr>
        <w:t>CY:</w:t>
      </w:r>
      <w:r>
        <w:rPr>
          <w:rFonts w:ascii="Times New Roman" w:hAnsi="Times New Roman"/>
          <w:i/>
          <w:noProof/>
          <w:sz w:val="18"/>
        </w:rPr>
        <w:t xml:space="preserve"> разследва съдия-следователят, назначен от Върховния съд. </w:t>
      </w:r>
      <w:r>
        <w:rPr>
          <w:rFonts w:ascii="Times New Roman" w:hAnsi="Times New Roman"/>
          <w:b/>
          <w:i/>
          <w:noProof/>
          <w:sz w:val="18"/>
        </w:rPr>
        <w:t>LV:</w:t>
      </w:r>
      <w:r>
        <w:rPr>
          <w:rFonts w:ascii="Times New Roman" w:hAnsi="Times New Roman"/>
          <w:i/>
          <w:noProof/>
          <w:sz w:val="18"/>
        </w:rPr>
        <w:t xml:space="preserve"> разследва Съдебният дисциплинарен съвет. </w:t>
      </w:r>
      <w:r>
        <w:rPr>
          <w:rFonts w:ascii="Times New Roman" w:hAnsi="Times New Roman"/>
          <w:b/>
          <w:i/>
          <w:noProof/>
          <w:sz w:val="18"/>
        </w:rPr>
        <w:t>HU:</w:t>
      </w:r>
      <w:r>
        <w:rPr>
          <w:rFonts w:ascii="Times New Roman" w:hAnsi="Times New Roman"/>
          <w:i/>
          <w:noProof/>
          <w:sz w:val="18"/>
        </w:rPr>
        <w:t xml:space="preserve"> разследва дисциплинарният комисар, назначен от Служебния съд (дисциплинарен съд). </w:t>
      </w:r>
      <w:r>
        <w:rPr>
          <w:rFonts w:ascii="Times New Roman" w:hAnsi="Times New Roman"/>
          <w:b/>
          <w:i/>
          <w:noProof/>
          <w:sz w:val="18"/>
        </w:rPr>
        <w:t>LT:</w:t>
      </w:r>
      <w:r>
        <w:rPr>
          <w:rFonts w:ascii="Times New Roman" w:hAnsi="Times New Roman"/>
          <w:i/>
          <w:noProof/>
          <w:sz w:val="18"/>
        </w:rPr>
        <w:t xml:space="preserve"> разследва Комисията по етика и дисциплина, чиито членове и председател (избран от Съдебния съвет) са определени в решението на Съдебния съвет, като тя се състои от четирима съдии, назначени от Съдебния съвет, двама членове, назначени от президента на Републиката, и един член, назначен от председателя на Сейма. Председателят на Комисията по етика и дисциплина има право да делегира провеждането на разследването и представянето на резултатите от него на председателя на съда, в който работи съдията, или на председателя на по-висшестоящия съд. </w:t>
      </w:r>
      <w:r>
        <w:rPr>
          <w:rFonts w:ascii="Times New Roman" w:hAnsi="Times New Roman"/>
          <w:b/>
          <w:i/>
          <w:noProof/>
          <w:sz w:val="18"/>
        </w:rPr>
        <w:t>MT:</w:t>
      </w:r>
      <w:r>
        <w:rPr>
          <w:rFonts w:ascii="Times New Roman" w:hAnsi="Times New Roman"/>
          <w:i/>
          <w:noProof/>
          <w:sz w:val="18"/>
        </w:rPr>
        <w:t xml:space="preserve"> разследва Комисията по правораздаване. </w:t>
      </w:r>
      <w:r>
        <w:rPr>
          <w:rFonts w:ascii="Times New Roman" w:hAnsi="Times New Roman"/>
          <w:b/>
          <w:i/>
          <w:noProof/>
          <w:sz w:val="18"/>
        </w:rPr>
        <w:t>NL:</w:t>
      </w:r>
      <w:r>
        <w:rPr>
          <w:rFonts w:ascii="Times New Roman" w:hAnsi="Times New Roman"/>
          <w:i/>
          <w:noProof/>
          <w:sz w:val="18"/>
        </w:rPr>
        <w:t xml:space="preserve"> разследва генералният прокурор. </w:t>
      </w:r>
      <w:r>
        <w:rPr>
          <w:rFonts w:ascii="Times New Roman" w:hAnsi="Times New Roman"/>
          <w:b/>
          <w:i/>
          <w:noProof/>
          <w:sz w:val="18"/>
        </w:rPr>
        <w:t>PL:</w:t>
      </w:r>
      <w:r>
        <w:rPr>
          <w:rFonts w:ascii="Times New Roman" w:hAnsi="Times New Roman"/>
          <w:i/>
          <w:noProof/>
          <w:sz w:val="18"/>
        </w:rPr>
        <w:t xml:space="preserve"> министърът на правосъдието назначава дисциплинарния служител за съдиите от обикновените съдилища и неговите двама заместници (те от своя страна могат да назначат свои заместници измежду кандидатите, предложени от съдиите, но при определени обстоятелства могат да назначат заместници по свой избор), които разследват. Министърът на правосъдието може да изземе всяко текущо разследване чрез назначаване на специален дисциплинарен служител на министъра на правосъдието. </w:t>
      </w:r>
      <w:r>
        <w:rPr>
          <w:rFonts w:ascii="Times New Roman" w:hAnsi="Times New Roman"/>
          <w:b/>
          <w:i/>
          <w:noProof/>
          <w:sz w:val="18"/>
        </w:rPr>
        <w:t>PT:</w:t>
      </w:r>
      <w:r>
        <w:rPr>
          <w:rFonts w:ascii="Times New Roman" w:hAnsi="Times New Roman"/>
          <w:i/>
          <w:noProof/>
          <w:sz w:val="18"/>
        </w:rPr>
        <w:t xml:space="preserve"> Съдебният съвет назначава органа за съдебни инспекции, който разследва. </w:t>
      </w:r>
      <w:r>
        <w:rPr>
          <w:rFonts w:ascii="Times New Roman" w:hAnsi="Times New Roman"/>
          <w:b/>
          <w:i/>
          <w:noProof/>
          <w:sz w:val="18"/>
        </w:rPr>
        <w:t>RO:</w:t>
      </w:r>
      <w:r>
        <w:rPr>
          <w:rFonts w:ascii="Times New Roman" w:hAnsi="Times New Roman"/>
          <w:i/>
          <w:noProof/>
          <w:sz w:val="18"/>
        </w:rPr>
        <w:t xml:space="preserve"> разследва органът за съдебни инспекции. </w:t>
      </w:r>
      <w:r>
        <w:rPr>
          <w:rFonts w:ascii="Times New Roman" w:hAnsi="Times New Roman"/>
          <w:b/>
          <w:i/>
          <w:noProof/>
          <w:sz w:val="18"/>
        </w:rPr>
        <w:t>SI:</w:t>
      </w:r>
      <w:r>
        <w:rPr>
          <w:rFonts w:ascii="Times New Roman" w:hAnsi="Times New Roman"/>
          <w:i/>
          <w:noProof/>
          <w:sz w:val="18"/>
        </w:rPr>
        <w:t xml:space="preserve"> Съдебният съвет назначава дисциплинарен прокурор измежду кандидатите, предложени от Върховния съд, който разследва.</w:t>
      </w:r>
      <w:r>
        <w:rPr>
          <w:rFonts w:ascii="Times New Roman" w:hAnsi="Times New Roman"/>
          <w:i/>
          <w:noProof/>
          <w:color w:val="FF0000"/>
          <w:sz w:val="18"/>
        </w:rPr>
        <w:t xml:space="preserve"> </w:t>
      </w:r>
      <w:r>
        <w:rPr>
          <w:rFonts w:ascii="Times New Roman" w:hAnsi="Times New Roman"/>
          <w:b/>
          <w:i/>
          <w:noProof/>
          <w:sz w:val="18"/>
        </w:rPr>
        <w:t>SK:</w:t>
      </w:r>
      <w:r>
        <w:rPr>
          <w:rFonts w:ascii="Times New Roman" w:hAnsi="Times New Roman"/>
          <w:i/>
          <w:noProof/>
          <w:sz w:val="18"/>
        </w:rPr>
        <w:t xml:space="preserve"> разследването провежда дисциплинарният състав, назначен от Съдебния съвет. </w:t>
      </w:r>
      <w:r>
        <w:rPr>
          <w:rFonts w:ascii="Times New Roman" w:hAnsi="Times New Roman"/>
          <w:b/>
          <w:i/>
          <w:noProof/>
          <w:sz w:val="18"/>
        </w:rPr>
        <w:t>SE:</w:t>
      </w:r>
      <w:r>
        <w:rPr>
          <w:rFonts w:ascii="Times New Roman" w:hAnsi="Times New Roman"/>
          <w:i/>
          <w:noProof/>
          <w:sz w:val="18"/>
        </w:rPr>
        <w:t xml:space="preserve"> парламентарните омбудсмани и канцлерът по правосъдието действат като прокурори в случаи на сериозни нарушения. </w:t>
      </w:r>
      <w:r>
        <w:rPr>
          <w:rFonts w:ascii="Times New Roman" w:hAnsi="Times New Roman"/>
          <w:b/>
          <w:i/>
          <w:noProof/>
          <w:sz w:val="18"/>
        </w:rPr>
        <w:t>UK (EN и WL):</w:t>
      </w:r>
      <w:r>
        <w:rPr>
          <w:rFonts w:ascii="Times New Roman" w:hAnsi="Times New Roman"/>
          <w:noProof/>
          <w:sz w:val="18"/>
        </w:rPr>
        <w:t xml:space="preserve"> </w:t>
      </w:r>
      <w:r>
        <w:rPr>
          <w:rFonts w:ascii="Times New Roman" w:hAnsi="Times New Roman"/>
          <w:i/>
          <w:noProof/>
          <w:sz w:val="18"/>
        </w:rPr>
        <w:t xml:space="preserve">в зависимост от естеството на делото и от това на какъв етап от дисциплинарния процес се намира случаят, различни органи разглеждат жалбите на различни етапи от дисциплинарния процес: Службата за разследване на поведението на съдебните служители разглежда документите на първа инстанция; предложените съдии, подбрани от главния съдия (Lord Chief Justice), обикновено вземат решения само въз основа на документите, но могат да решат и да разпитат страните по тях; дисциплинарните състави, подбрани от главния съдия и лорд-канцлера, обикновено разглеждат документите и събират лично доказателства от жалбоподателя; и съдиите-следователи, подбрани от главния съдия, обикновено разпитват жалбоподателя, като могат да разпитат и други страни. Следва да се отбележи, че не всяка жалба преминава през всички тези етапи. </w:t>
      </w:r>
      <w:r>
        <w:rPr>
          <w:rFonts w:ascii="Times New Roman" w:hAnsi="Times New Roman"/>
          <w:b/>
          <w:i/>
          <w:noProof/>
          <w:sz w:val="18"/>
        </w:rPr>
        <w:t>UK (NI):</w:t>
      </w:r>
      <w:r>
        <w:rPr>
          <w:rFonts w:ascii="Times New Roman" w:hAnsi="Times New Roman"/>
          <w:i/>
          <w:noProof/>
          <w:sz w:val="18"/>
        </w:rPr>
        <w:t xml:space="preserve"> главният съдия на Северна Ирландия (Lord Chief Justice for Northern Ireland).</w:t>
      </w:r>
    </w:p>
    <w:p>
      <w:pPr>
        <w:spacing w:before="240" w:after="120" w:line="240" w:lineRule="auto"/>
        <w:jc w:val="both"/>
        <w:rPr>
          <w:rFonts w:ascii="Times New Roman" w:eastAsia="Calibri" w:hAnsi="Times New Roman" w:cs="Times New Roman"/>
          <w:i/>
          <w:noProof/>
          <w:sz w:val="24"/>
        </w:rPr>
      </w:pPr>
      <w:r>
        <w:rPr>
          <w:rFonts w:ascii="Times New Roman" w:hAnsi="Times New Roman"/>
          <w:i/>
          <w:noProof/>
          <w:sz w:val="24"/>
        </w:rPr>
        <w:t>— Гаранции при предлагането на съдиите — членове на съдебните съвети </w:t>
      </w:r>
      <w:r>
        <w:rPr>
          <w:rFonts w:ascii="Times New Roman" w:hAnsi="Times New Roman"/>
          <w:i/>
          <w:noProof/>
        </w:rPr>
        <w:t>—</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Съдебните съвети са основните органи, които гарантират независимостта на правосъдието. От държавите членки зависи как да организират своите правосъдни системи, включително да решат дали да създадат съдебен съвет или не. В добре установените европейски стандарти, по-специално в Препоръка CM/Rec(2010)12, се препоръчва обаче „поне половината от членовете на [съдебните съвети] [...] да бъдат съдии, избрани от своите колеги от всички равнища на съдебната власт и при съблюдаване на плурализма в рамките на съдебната власт“ (</w:t>
      </w:r>
      <w:r>
        <w:rPr>
          <w:rFonts w:ascii="Times New Roman" w:hAnsi="Times New Roman"/>
          <w:noProof/>
          <w:sz w:val="24"/>
          <w:vertAlign w:val="superscript"/>
        </w:rPr>
        <w:footnoteReference w:id="127"/>
      </w:r>
      <w:r>
        <w:rPr>
          <w:rFonts w:ascii="Times New Roman" w:hAnsi="Times New Roman"/>
          <w:noProof/>
          <w:sz w:val="24"/>
        </w:rPr>
        <w:t>). Графиката по-долу описва дали съдебната власт участва в назначаването на съдиите — членове на съдебните съвети.</w:t>
      </w:r>
    </w:p>
    <w:p>
      <w:pPr>
        <w:spacing w:before="240" w:after="120" w:line="240" w:lineRule="auto"/>
        <w:jc w:val="both"/>
        <w:rPr>
          <w:rFonts w:ascii="Times New Roman" w:eastAsia="Times New Roman" w:hAnsi="Times New Roman" w:cs="Times New Roman"/>
          <w:b/>
          <w:noProof/>
          <w:sz w:val="24"/>
          <w:szCs w:val="24"/>
        </w:rPr>
      </w:pPr>
      <w:r>
        <w:rPr>
          <w:rFonts w:ascii="Times New Roman" w:hAnsi="Times New Roman"/>
          <w:b/>
          <w:noProof/>
          <w:sz w:val="24"/>
        </w:rPr>
        <w:t>Графика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54</w:t>
      </w:r>
      <w:r>
        <w:rPr>
          <w:rFonts w:ascii="Times New Roman" w:eastAsia="Calibri" w:hAnsi="Times New Roman" w:cs="Times New Roman"/>
          <w:b/>
          <w:noProof/>
          <w:sz w:val="24"/>
          <w:szCs w:val="24"/>
        </w:rPr>
        <w:fldChar w:fldCharType="end"/>
      </w:r>
      <w:r>
        <w:rPr>
          <w:rFonts w:ascii="Times New Roman" w:hAnsi="Times New Roman"/>
          <w:b/>
          <w:noProof/>
          <w:sz w:val="24"/>
        </w:rPr>
        <w:t xml:space="preserve">: Назначаване на съдии — членове на съдебни съвети: участие на съдебната власт </w:t>
      </w:r>
      <w:r>
        <w:rPr>
          <w:rFonts w:ascii="Times New Roman" w:hAnsi="Times New Roman"/>
          <w:noProof/>
          <w:sz w:val="24"/>
        </w:rPr>
        <w:t>(*) (</w:t>
      </w:r>
      <w:r>
        <w:rPr>
          <w:rFonts w:ascii="Times New Roman" w:hAnsi="Times New Roman"/>
          <w:noProof/>
          <w:sz w:val="24"/>
          <w:vertAlign w:val="superscript"/>
        </w:rPr>
        <w:footnoteReference w:id="128"/>
      </w:r>
      <w:r>
        <w:rPr>
          <w:rFonts w:ascii="Times New Roman" w:hAnsi="Times New Roman"/>
          <w:noProof/>
          <w:sz w:val="24"/>
        </w:rPr>
        <w:t>)</w:t>
      </w:r>
    </w:p>
    <w:p>
      <w:pPr>
        <w:spacing w:after="0" w:line="240" w:lineRule="auto"/>
        <w:jc w:val="both"/>
        <w:rPr>
          <w:rFonts w:ascii="Times New Roman" w:eastAsia="Times New Roman" w:hAnsi="Times New Roman" w:cs="Times New Roman"/>
          <w:noProof/>
          <w:sz w:val="24"/>
        </w:rPr>
      </w:pPr>
      <w:r>
        <w:rPr>
          <w:noProof/>
          <w:lang w:val="en-GB" w:eastAsia="en-GB"/>
        </w:rPr>
        <w:drawing>
          <wp:inline distT="0" distB="0" distL="0" distR="0">
            <wp:extent cx="5963920" cy="18967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63920" cy="1896745"/>
                    </a:xfrm>
                    <a:prstGeom prst="rect">
                      <a:avLst/>
                    </a:prstGeom>
                    <a:noFill/>
                    <a:ln>
                      <a:noFill/>
                    </a:ln>
                  </pic:spPr>
                </pic:pic>
              </a:graphicData>
            </a:graphic>
          </wp:inline>
        </w:drawing>
      </w:r>
    </w:p>
    <w:p>
      <w:pPr>
        <w:spacing w:after="0" w:line="240" w:lineRule="auto"/>
        <w:jc w:val="both"/>
        <w:rPr>
          <w:rFonts w:ascii="Times New Roman" w:eastAsia="Times New Roman" w:hAnsi="Times New Roman" w:cs="Times New Roman"/>
          <w:noProof/>
          <w:sz w:val="24"/>
        </w:rPr>
      </w:pPr>
      <w:r>
        <w:rPr>
          <w:rFonts w:ascii="Times New Roman" w:hAnsi="Times New Roman"/>
          <w:i/>
          <w:noProof/>
          <w:sz w:val="20"/>
        </w:rPr>
        <w:t xml:space="preserve">(*) Държавите членки са представени по азбучния ред на географските им имена на оригиналния език. Графиката представя действащите национални уредби към декември 2017 г. </w:t>
      </w:r>
      <w:r>
        <w:rPr>
          <w:rFonts w:ascii="Times New Roman" w:hAnsi="Times New Roman"/>
          <w:b/>
          <w:i/>
          <w:noProof/>
          <w:sz w:val="20"/>
        </w:rPr>
        <w:t>DK:</w:t>
      </w:r>
      <w:r>
        <w:rPr>
          <w:rFonts w:ascii="Times New Roman" w:hAnsi="Times New Roman"/>
          <w:i/>
          <w:noProof/>
          <w:sz w:val="20"/>
        </w:rPr>
        <w:t xml:space="preserve"> съдиите — членове на Съдебния съвет, се подбират от съдии. Всички членове се назначават официално от министъра на правосъдието. </w:t>
      </w:r>
      <w:r>
        <w:rPr>
          <w:rFonts w:ascii="Times New Roman" w:hAnsi="Times New Roman"/>
          <w:b/>
          <w:i/>
          <w:noProof/>
          <w:sz w:val="20"/>
        </w:rPr>
        <w:t>EL:</w:t>
      </w:r>
      <w:r>
        <w:rPr>
          <w:rFonts w:ascii="Times New Roman" w:hAnsi="Times New Roman"/>
          <w:i/>
          <w:noProof/>
          <w:sz w:val="20"/>
        </w:rPr>
        <w:t xml:space="preserve"> съдиите — членове на Съдебния съвет, се избират с жребий. </w:t>
      </w:r>
      <w:r>
        <w:rPr>
          <w:rFonts w:ascii="Times New Roman" w:hAnsi="Times New Roman"/>
          <w:b/>
          <w:i/>
          <w:noProof/>
          <w:sz w:val="20"/>
        </w:rPr>
        <w:t>ES:</w:t>
      </w:r>
      <w:r>
        <w:rPr>
          <w:rFonts w:ascii="Times New Roman" w:hAnsi="Times New Roman"/>
          <w:i/>
          <w:noProof/>
          <w:sz w:val="20"/>
        </w:rPr>
        <w:t xml:space="preserve"> съдиите — членове на Съдебния съвет, се назначават от парламента — Съветът съобщава на парламента списъка на кандидатите, които са получили подкрепата на сдружение на съдии или на 25 съдии. </w:t>
      </w:r>
      <w:r>
        <w:rPr>
          <w:rFonts w:ascii="Times New Roman" w:hAnsi="Times New Roman"/>
          <w:b/>
          <w:i/>
          <w:noProof/>
          <w:sz w:val="20"/>
        </w:rPr>
        <w:t>NL:</w:t>
      </w:r>
      <w:r>
        <w:rPr>
          <w:rFonts w:ascii="Times New Roman" w:hAnsi="Times New Roman"/>
          <w:i/>
          <w:noProof/>
          <w:sz w:val="20"/>
        </w:rPr>
        <w:t xml:space="preserve"> съдиите — членове на Съдебния съвет, се избират от съдебната власт и се назначават по предложение на Съвета въз основа, наред с другото, на становището на комисията за подбор (състояща се предимно от съдии и съдебни служители). Всички членове на Съвета се назначават официално с кралски указ — административен акт, който не предоставя свобода на преценка на изпълнителната власт. </w:t>
      </w:r>
      <w:r>
        <w:rPr>
          <w:rFonts w:ascii="Times New Roman" w:hAnsi="Times New Roman"/>
          <w:b/>
          <w:i/>
          <w:noProof/>
          <w:sz w:val="20"/>
        </w:rPr>
        <w:t>PL:</w:t>
      </w:r>
      <w:r>
        <w:rPr>
          <w:rFonts w:ascii="Times New Roman" w:hAnsi="Times New Roman"/>
          <w:i/>
          <w:noProof/>
          <w:sz w:val="20"/>
        </w:rPr>
        <w:t xml:space="preserve"> съдиите — кандидати за членове на Съдебния съвет, се предлагат от групи от поне 2 000 граждани или 25 съдии. От всички предложени кандидати парламентарните групи подбират най-много 9, а комисия на долната камара на парламента (Сейм) съставя окончателен списък с 15 кандидати, които се назначават от Сейма. </w:t>
      </w:r>
      <w:r>
        <w:rPr>
          <w:rFonts w:ascii="Times New Roman" w:hAnsi="Times New Roman"/>
          <w:b/>
          <w:i/>
          <w:noProof/>
          <w:sz w:val="20"/>
        </w:rPr>
        <w:t>RO:</w:t>
      </w:r>
      <w:r>
        <w:rPr>
          <w:rFonts w:ascii="Times New Roman" w:hAnsi="Times New Roman"/>
          <w:i/>
          <w:noProof/>
          <w:sz w:val="20"/>
        </w:rPr>
        <w:t xml:space="preserve"> кампанията и изборът на съдии — членове на Съдебния съвет, се организират от Висшия съдебен съвет. След потвърждаването на окончателния списък на избраните съдии — членове на съдебния съвет, Сенатът го валидира наедно. Сенатът може да откаже да валидира списъка само в случай на нарушение на закона при процедурата за избор на членове на Съвета и само ако нарушението се е отразило на резултата от изборите. Сенатът няма право на преценка при избора на кандидатите. </w:t>
      </w:r>
      <w:r>
        <w:rPr>
          <w:rFonts w:ascii="Times New Roman" w:hAnsi="Times New Roman"/>
          <w:b/>
          <w:i/>
          <w:noProof/>
          <w:sz w:val="20"/>
        </w:rPr>
        <w:t>UK:</w:t>
      </w:r>
      <w:r>
        <w:rPr>
          <w:rFonts w:ascii="Times New Roman" w:hAnsi="Times New Roman"/>
          <w:i/>
          <w:noProof/>
          <w:sz w:val="20"/>
        </w:rPr>
        <w:t xml:space="preserve"> съдиите — членове на Съдебния съвет, се подбират от съдии.</w:t>
      </w:r>
    </w:p>
    <w:p>
      <w:pPr>
        <w:keepNext/>
        <w:spacing w:before="240" w:after="120" w:line="240" w:lineRule="auto"/>
        <w:jc w:val="both"/>
        <w:rPr>
          <w:rFonts w:ascii="Times New Roman" w:eastAsia="Calibri" w:hAnsi="Times New Roman" w:cs="Times New Roman"/>
          <w:i/>
          <w:noProof/>
          <w:sz w:val="24"/>
        </w:rPr>
      </w:pPr>
      <w:r>
        <w:rPr>
          <w:rFonts w:ascii="Times New Roman" w:hAnsi="Times New Roman"/>
          <w:i/>
          <w:noProof/>
          <w:sz w:val="24"/>
        </w:rPr>
        <w:t>— Гаранции, свързани с функционирането на националните прокуратури в ЕС </w:t>
      </w:r>
      <w:r>
        <w:rPr>
          <w:rFonts w:ascii="Times New Roman" w:hAnsi="Times New Roman"/>
          <w:i/>
          <w:noProof/>
        </w:rPr>
        <w:t>—</w:t>
      </w:r>
    </w:p>
    <w:p>
      <w:pPr>
        <w:spacing w:after="120" w:line="240" w:lineRule="auto"/>
        <w:jc w:val="both"/>
        <w:rPr>
          <w:rFonts w:ascii="Times New Roman" w:eastAsia="Times New Roman" w:hAnsi="Times New Roman" w:cs="Times New Roman"/>
          <w:noProof/>
          <w:spacing w:val="-4"/>
          <w:sz w:val="24"/>
          <w:szCs w:val="24"/>
        </w:rPr>
      </w:pPr>
      <w:r>
        <w:rPr>
          <w:rFonts w:ascii="Times New Roman" w:hAnsi="Times New Roman"/>
          <w:noProof/>
          <w:spacing w:val="-4"/>
          <w:sz w:val="24"/>
        </w:rPr>
        <w:t>Прокуратурата изпълнява основна роля в системата за наказателно правосъдие, както и в сътрудничеството по наказателноправни въпроси. Правилното функциониране на националната прокуратура е от голямо значение за борбата с изпирането на пари и корупцията. Според съдебната практика на Съда на ЕС, в контекста на Рамковото решение относно европейската заповед за арест (</w:t>
      </w:r>
      <w:r>
        <w:rPr>
          <w:rStyle w:val="FootnoteReference"/>
          <w:rFonts w:ascii="Times New Roman" w:hAnsi="Times New Roman"/>
          <w:noProof/>
          <w:spacing w:val="-4"/>
          <w:sz w:val="24"/>
        </w:rPr>
        <w:footnoteReference w:id="129"/>
      </w:r>
      <w:r>
        <w:rPr>
          <w:rFonts w:ascii="Times New Roman" w:hAnsi="Times New Roman"/>
          <w:noProof/>
          <w:spacing w:val="-4"/>
          <w:sz w:val="24"/>
        </w:rPr>
        <w:t>), прокуратурата може да се смята за съдебен орган на държава членка, който отговаря за администрирането на наказателното правосъдие, когато може да бъде разграничена от изпълнителната власт, в съответствие с принципа на разделение на властите, характерен за функционирането на всяка правова държава (</w:t>
      </w:r>
      <w:r>
        <w:rPr>
          <w:rFonts w:ascii="Times New Roman" w:hAnsi="Times New Roman"/>
          <w:noProof/>
          <w:spacing w:val="-4"/>
          <w:sz w:val="24"/>
          <w:vertAlign w:val="superscript"/>
        </w:rPr>
        <w:footnoteReference w:id="130"/>
      </w:r>
      <w:r>
        <w:rPr>
          <w:rFonts w:ascii="Times New Roman" w:hAnsi="Times New Roman"/>
          <w:noProof/>
          <w:spacing w:val="-4"/>
          <w:sz w:val="24"/>
        </w:rPr>
        <w:t>).</w:t>
      </w:r>
    </w:p>
    <w:p>
      <w:pPr>
        <w:spacing w:after="120" w:line="240" w:lineRule="auto"/>
        <w:jc w:val="both"/>
        <w:rPr>
          <w:rFonts w:ascii="Times New Roman" w:eastAsia="Times New Roman" w:hAnsi="Times New Roman" w:cs="Times New Roman"/>
          <w:noProof/>
          <w:sz w:val="24"/>
        </w:rPr>
      </w:pPr>
      <w:r>
        <w:rPr>
          <w:rFonts w:ascii="Times New Roman" w:hAnsi="Times New Roman"/>
          <w:noProof/>
          <w:sz w:val="24"/>
        </w:rPr>
        <w:t>Организацията на националните прокуратури е различна в рамките на ЕС, като не съществува единен модел за всички държави членки. Въпреки това, съществува широко разпространена тенденция прокуратурата да бъде по-независима институция, вместо да е подчинена или свързана с изпълнителната власт (</w:t>
      </w:r>
      <w:r>
        <w:rPr>
          <w:rFonts w:ascii="Times New Roman" w:hAnsi="Times New Roman"/>
          <w:noProof/>
          <w:sz w:val="24"/>
          <w:vertAlign w:val="superscript"/>
        </w:rPr>
        <w:footnoteReference w:id="131"/>
      </w:r>
      <w:r>
        <w:rPr>
          <w:rFonts w:ascii="Times New Roman" w:hAnsi="Times New Roman"/>
          <w:noProof/>
          <w:sz w:val="24"/>
        </w:rPr>
        <w:t>). Управленските правомощия по отношение на националните прокурори, заедно с процедурите за назначаване и освобождаване от длъжност на прокурорите, могат да повлияят на степента на независимост на прокуратурата. Независимо от модела на националната правосъдна система или правната традиция, на които тя се гради, европейските стандарти изискват държавите членки да предприемат ефективни мерки, за да се гарантира, че прокурорите са в състояние да изпълняват професионалните си задължения и отговорности при подходящи правни и организационни условия (</w:t>
      </w:r>
      <w:r>
        <w:rPr>
          <w:rFonts w:ascii="Times New Roman" w:hAnsi="Times New Roman"/>
          <w:noProof/>
          <w:sz w:val="24"/>
          <w:vertAlign w:val="superscript"/>
        </w:rPr>
        <w:footnoteReference w:id="132"/>
      </w:r>
      <w:r>
        <w:rPr>
          <w:rFonts w:ascii="Times New Roman" w:hAnsi="Times New Roman"/>
          <w:noProof/>
          <w:sz w:val="24"/>
        </w:rPr>
        <w:t>) и без неоправдано вмешателство (</w:t>
      </w:r>
      <w:r>
        <w:rPr>
          <w:rFonts w:ascii="Times New Roman" w:hAnsi="Times New Roman"/>
          <w:noProof/>
          <w:sz w:val="24"/>
          <w:vertAlign w:val="superscript"/>
        </w:rPr>
        <w:footnoteReference w:id="133"/>
      </w:r>
      <w:r>
        <w:rPr>
          <w:rFonts w:ascii="Times New Roman" w:hAnsi="Times New Roman"/>
          <w:noProof/>
          <w:sz w:val="24"/>
        </w:rPr>
        <w:t>). По-конкретно, когато правителството предоставя указания от общ характер, отнасящи се например до политиката за борба с престъпността, такива указания трябва да бъдат в писмена форма и да се публикуват по подходящ начин (</w:t>
      </w:r>
      <w:r>
        <w:rPr>
          <w:rFonts w:ascii="Times New Roman" w:hAnsi="Times New Roman"/>
          <w:noProof/>
          <w:sz w:val="24"/>
          <w:vertAlign w:val="superscript"/>
        </w:rPr>
        <w:footnoteReference w:id="134"/>
      </w:r>
      <w:r>
        <w:rPr>
          <w:rFonts w:ascii="Times New Roman" w:hAnsi="Times New Roman"/>
          <w:noProof/>
          <w:sz w:val="24"/>
        </w:rPr>
        <w:t>). Когато правителството е оправомощено да дава указания за наказателно преследване по специфично дело, те трябва да се придружават от адекватни гаранции (</w:t>
      </w:r>
      <w:r>
        <w:rPr>
          <w:rFonts w:ascii="Times New Roman" w:hAnsi="Times New Roman"/>
          <w:noProof/>
          <w:sz w:val="24"/>
          <w:vertAlign w:val="superscript"/>
        </w:rPr>
        <w:footnoteReference w:id="135"/>
      </w:r>
      <w:r>
        <w:rPr>
          <w:rFonts w:ascii="Times New Roman" w:hAnsi="Times New Roman"/>
          <w:noProof/>
          <w:sz w:val="24"/>
        </w:rPr>
        <w:t>). Съгласно Препоръката от 2000 г. на Комитета на министрите на Съвета на Европа трябва да се забрани даването на указания да не се провежда наказателно преследване (</w:t>
      </w:r>
      <w:r>
        <w:rPr>
          <w:rFonts w:ascii="Times New Roman" w:hAnsi="Times New Roman"/>
          <w:noProof/>
          <w:sz w:val="24"/>
          <w:vertAlign w:val="superscript"/>
        </w:rPr>
        <w:footnoteReference w:id="136"/>
      </w:r>
      <w:r>
        <w:rPr>
          <w:rFonts w:ascii="Times New Roman" w:hAnsi="Times New Roman"/>
          <w:noProof/>
          <w:sz w:val="24"/>
        </w:rPr>
        <w:t>). Заинтересованите страни (включително жертвите) би трябвало да могат да обжалват решение на прокурор да не се провежда наказателно преследване по даден случай (</w:t>
      </w:r>
      <w:r>
        <w:rPr>
          <w:rFonts w:ascii="Times New Roman" w:hAnsi="Times New Roman"/>
          <w:noProof/>
          <w:sz w:val="24"/>
          <w:vertAlign w:val="superscript"/>
        </w:rPr>
        <w:footnoteReference w:id="137"/>
      </w:r>
      <w:r>
        <w:rPr>
          <w:rFonts w:ascii="Times New Roman" w:hAnsi="Times New Roman"/>
          <w:noProof/>
          <w:sz w:val="24"/>
        </w:rPr>
        <w:t>).</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На графика 55 се прави обзор на разпределението на основните управленски правомощия по отношение на националните прокурори между различните органи. Графиката показва кой орган има следните управленски правомощия — главният прокурор; съдебният съвет/прокурорският съвет; министърът на правосъдието/правителството/президентът; или парламентът:</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1) да издава общи насоки относно политиката на наказателно преследване,</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2) да дава указания за наказателно преследване по отделни дела,</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3) да оценяват прокурорите,</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4) да повишава прокурорите,</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5)</w:t>
      </w:r>
      <w:r>
        <w:rPr>
          <w:rFonts w:ascii="Times New Roman" w:hAnsi="Times New Roman"/>
          <w:noProof/>
          <w:spacing w:val="-6"/>
          <w:sz w:val="24"/>
        </w:rPr>
        <w:t xml:space="preserve"> да отнема конкретно дело, което е било възложено на даден прокурор (прехвърляне на дело),</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6) да взема решения по дисциплинарни мерки срещу прокурори и</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7) да премества прокурорите без тяхното съгласие. </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Освен тези подбрани основни управленски правомощия, същите или други органи могат да имат допълнителни правомощия по отношение на националните прокуратури (напр. правомощието за разрешаване на спорове за компетентност между прокуратурите на държавите членки, за</w:t>
      </w:r>
      <w:r>
        <w:rPr>
          <w:rFonts w:ascii="Times New Roman" w:hAnsi="Times New Roman"/>
          <w:noProof/>
        </w:rPr>
        <w:t xml:space="preserve"> </w:t>
      </w:r>
      <w:r>
        <w:rPr>
          <w:rFonts w:ascii="Times New Roman" w:hAnsi="Times New Roman"/>
          <w:noProof/>
          <w:sz w:val="24"/>
        </w:rPr>
        <w:t>събиране на данни и информация от долустоящите прокуратури). Следва да се отбележи, че други органи могат да имат роля в горепосочените управленски правомощия (напр. дисциплинарен съд може да взема решения относно някои дисциплинарни мерки).</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На графика 55 се прави само фактически обзор на някои аспекти на организацията на прокуратурите, без да се оценява ефективното им функциониране, за което се изисква качествена оценка при отчитане на специфичните условия във всяка държава членка.</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Процентът представлява разпределението на седемте посочени по-горе управленски правомощия между четирите възможни органа, без претегляне по отношение на важността на всяка точка</w:t>
      </w:r>
      <w:r>
        <w:rPr>
          <w:rFonts w:ascii="Times New Roman" w:hAnsi="Times New Roman"/>
          <w:i/>
          <w:noProof/>
          <w:sz w:val="24"/>
        </w:rPr>
        <w:t>.</w:t>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Графика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rPr>
        <w:t>55</w:t>
      </w:r>
      <w:r>
        <w:rPr>
          <w:rFonts w:ascii="Times New Roman" w:eastAsia="Calibri" w:hAnsi="Times New Roman" w:cs="Times New Roman"/>
          <w:b/>
          <w:noProof/>
          <w:sz w:val="24"/>
          <w:szCs w:val="24"/>
        </w:rPr>
        <w:fldChar w:fldCharType="end"/>
      </w:r>
      <w:r>
        <w:rPr>
          <w:rFonts w:ascii="Times New Roman" w:hAnsi="Times New Roman"/>
          <w:b/>
          <w:noProof/>
          <w:sz w:val="24"/>
        </w:rPr>
        <w:t>: Разпределение на основните управленски правомощия по отношение на националните прокуратури</w:t>
      </w:r>
      <w:r>
        <w:rPr>
          <w:rFonts w:ascii="Times New Roman" w:hAnsi="Times New Roman"/>
          <w:noProof/>
          <w:sz w:val="24"/>
        </w:rPr>
        <w:t xml:space="preserve"> (*)</w:t>
      </w:r>
      <w:r>
        <w:rPr>
          <w:rFonts w:ascii="Times New Roman" w:hAnsi="Times New Roman"/>
          <w:b/>
          <w:noProof/>
          <w:sz w:val="24"/>
        </w:rPr>
        <w:t xml:space="preserve"> </w:t>
      </w:r>
      <w:r>
        <w:rPr>
          <w:rFonts w:ascii="Times New Roman" w:hAnsi="Times New Roman"/>
          <w:i/>
          <w:noProof/>
          <w:sz w:val="24"/>
        </w:rPr>
        <w:t>(източник: Европейската комисия и Експертната група по въпросите на изпирането на пари и финансирането на тероризма)</w:t>
      </w:r>
    </w:p>
    <w:p>
      <w:pPr>
        <w:spacing w:after="0" w:line="240" w:lineRule="auto"/>
        <w:jc w:val="both"/>
        <w:rPr>
          <w:rFonts w:ascii="Times New Roman" w:eastAsia="Calibri" w:hAnsi="Times New Roman" w:cs="Times New Roman"/>
          <w:i/>
          <w:noProof/>
          <w:sz w:val="18"/>
        </w:rPr>
      </w:pPr>
      <w:r>
        <w:rPr>
          <w:noProof/>
          <w:lang w:val="en-GB" w:eastAsia="en-GB"/>
        </w:rPr>
        <w:drawing>
          <wp:inline distT="0" distB="0" distL="0" distR="0">
            <wp:extent cx="5977255" cy="2303536"/>
            <wp:effectExtent l="0" t="0" r="444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77255" cy="2303536"/>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spacing w:val="-4"/>
          <w:sz w:val="18"/>
        </w:rPr>
      </w:pPr>
      <w:r>
        <w:rPr>
          <w:rFonts w:ascii="Times New Roman" w:hAnsi="Times New Roman"/>
          <w:i/>
          <w:noProof/>
          <w:spacing w:val="-4"/>
          <w:sz w:val="18"/>
        </w:rPr>
        <w:t xml:space="preserve">(*) Държавите членки са представени по азбучния ред на географските им имена на оригиналния език. Основните управленски правомощия на главния прокурор са описани в графика 56. </w:t>
      </w:r>
      <w:r>
        <w:rPr>
          <w:rFonts w:ascii="Times New Roman" w:hAnsi="Times New Roman"/>
          <w:b/>
          <w:i/>
          <w:noProof/>
          <w:spacing w:val="-4"/>
          <w:sz w:val="18"/>
        </w:rPr>
        <w:t>BE:</w:t>
      </w:r>
      <w:r>
        <w:rPr>
          <w:rFonts w:ascii="Times New Roman" w:hAnsi="Times New Roman"/>
          <w:i/>
          <w:noProof/>
          <w:spacing w:val="-4"/>
          <w:sz w:val="18"/>
        </w:rPr>
        <w:t xml:space="preserve"> съдебен съвет: правомощие да взема решения относно повишенията на прокурорите. Министър на правосъдието: правомощия за издаване на общи насоки относно политиката на наказателно преследване по препоръка на Съвета на главните прокурори и за даване на указания за наказателно преследване по отделни дела (в член 364 от Наказателно-процесуалния кодекс и член 151, параграф 1 от Конституцията е предвидено право за издаване на разпореждане за провеждане на наказателно преследване). </w:t>
      </w:r>
      <w:r>
        <w:rPr>
          <w:rFonts w:ascii="Times New Roman" w:hAnsi="Times New Roman"/>
          <w:b/>
          <w:i/>
          <w:noProof/>
          <w:spacing w:val="-4"/>
          <w:sz w:val="18"/>
        </w:rPr>
        <w:t>BG:</w:t>
      </w:r>
      <w:r>
        <w:rPr>
          <w:rFonts w:ascii="Times New Roman" w:hAnsi="Times New Roman"/>
          <w:i/>
          <w:noProof/>
          <w:spacing w:val="-4"/>
          <w:sz w:val="18"/>
        </w:rPr>
        <w:t xml:space="preserve"> съдебен съвет (Прокурорската колегия на Висшия съдебен съвет): правомощия за вземане на решения относно дисциплинарни мерки срещу прокурорите, за индивидуални оценки и за повишаване на прокурорите. Министърът на правосъдието може да прави предложения за назначаването, повишаването, понижаването, преместването и освобождаването от длъжност на съдиите, прокурорите и следователите. </w:t>
      </w:r>
      <w:r>
        <w:rPr>
          <w:rFonts w:ascii="Times New Roman" w:hAnsi="Times New Roman"/>
          <w:b/>
          <w:i/>
          <w:noProof/>
          <w:spacing w:val="-4"/>
          <w:sz w:val="18"/>
        </w:rPr>
        <w:t>CZ:</w:t>
      </w:r>
      <w:r>
        <w:rPr>
          <w:rFonts w:ascii="Times New Roman" w:hAnsi="Times New Roman"/>
          <w:i/>
          <w:noProof/>
          <w:spacing w:val="-4"/>
          <w:sz w:val="18"/>
        </w:rPr>
        <w:t xml:space="preserve"> министър на правосъдието: правомощие за вземане на решения относно повишенията на прокурорите; правомощие за преместване на прокурорите без тяхното съгласие само в случай на организационни промени въз основа на закона. </w:t>
      </w:r>
      <w:r>
        <w:rPr>
          <w:rFonts w:ascii="Times New Roman" w:hAnsi="Times New Roman"/>
          <w:b/>
          <w:i/>
          <w:noProof/>
          <w:spacing w:val="-4"/>
          <w:sz w:val="18"/>
        </w:rPr>
        <w:t>DK:</w:t>
      </w:r>
      <w:r>
        <w:rPr>
          <w:rFonts w:ascii="Times New Roman" w:hAnsi="Times New Roman"/>
          <w:i/>
          <w:noProof/>
          <w:spacing w:val="-4"/>
          <w:sz w:val="18"/>
        </w:rPr>
        <w:t xml:space="preserve"> министър на правосъдието: правомощия за вземане на решения относно дисциплинарни мерки срещу прокурорите и за повишаване на прокурорите. </w:t>
      </w:r>
      <w:r>
        <w:rPr>
          <w:rFonts w:ascii="Times New Roman" w:hAnsi="Times New Roman"/>
          <w:b/>
          <w:i/>
          <w:noProof/>
          <w:spacing w:val="-4"/>
          <w:sz w:val="18"/>
        </w:rPr>
        <w:t>DE:</w:t>
      </w:r>
      <w:r>
        <w:rPr>
          <w:rFonts w:ascii="Times New Roman" w:hAnsi="Times New Roman"/>
          <w:i/>
          <w:noProof/>
          <w:spacing w:val="-4"/>
          <w:sz w:val="18"/>
        </w:rPr>
        <w:t xml:space="preserve"> министър на правосъдието: правомощия за издаване на общи насоки относно политиката на наказателно преследване и за даване на указания за наказателно преследване по отделни дела. </w:t>
      </w:r>
      <w:r>
        <w:rPr>
          <w:rFonts w:ascii="Times New Roman" w:hAnsi="Times New Roman"/>
          <w:b/>
          <w:i/>
          <w:noProof/>
          <w:spacing w:val="-4"/>
          <w:sz w:val="18"/>
        </w:rPr>
        <w:t xml:space="preserve">EE: </w:t>
      </w:r>
      <w:r>
        <w:rPr>
          <w:rFonts w:ascii="Times New Roman" w:hAnsi="Times New Roman"/>
          <w:i/>
          <w:noProof/>
          <w:spacing w:val="-4"/>
          <w:sz w:val="18"/>
        </w:rPr>
        <w:t xml:space="preserve">дисциплинарното производство се образува по искане на заинтересовано лице или по собствена инициатива от министъра на правосъдието срещу генералния прокурор, главен държавен прокурор или главен прокурор. </w:t>
      </w:r>
      <w:r>
        <w:rPr>
          <w:rFonts w:ascii="Times New Roman" w:hAnsi="Times New Roman"/>
          <w:b/>
          <w:i/>
          <w:noProof/>
          <w:spacing w:val="-4"/>
          <w:sz w:val="18"/>
        </w:rPr>
        <w:t>EL:</w:t>
      </w:r>
      <w:r>
        <w:rPr>
          <w:rFonts w:ascii="Times New Roman" w:hAnsi="Times New Roman"/>
          <w:i/>
          <w:noProof/>
          <w:spacing w:val="-4"/>
          <w:sz w:val="18"/>
        </w:rPr>
        <w:t xml:space="preserve"> Висш съдебен съвет: правомощия за повишаване и за преместване на прокурорите, които се упражняват с президентски указ.</w:t>
      </w:r>
      <w:r>
        <w:rPr>
          <w:noProof/>
          <w:spacing w:val="-4"/>
          <w:sz w:val="20"/>
        </w:rPr>
        <w:t xml:space="preserve"> </w:t>
      </w:r>
      <w:r>
        <w:rPr>
          <w:rFonts w:ascii="Times New Roman" w:hAnsi="Times New Roman"/>
          <w:i/>
          <w:noProof/>
          <w:spacing w:val="-4"/>
          <w:sz w:val="18"/>
        </w:rPr>
        <w:t xml:space="preserve">На министъра на правосъдието по изключение е разрешено да издава указания с информация от общ характер на вниманието на прокурорите във връзка с прилагането на правните инструменти, приети в Съвета на Европейския съюз, относно съдебното сътрудничество на държавите членки в областта на предотвратяването и борбата с определени видове престъпления. </w:t>
      </w:r>
      <w:r>
        <w:rPr>
          <w:rFonts w:ascii="Times New Roman" w:hAnsi="Times New Roman"/>
          <w:b/>
          <w:i/>
          <w:noProof/>
          <w:spacing w:val="-4"/>
          <w:sz w:val="18"/>
        </w:rPr>
        <w:t>ES:</w:t>
      </w:r>
      <w:r>
        <w:rPr>
          <w:rFonts w:ascii="Times New Roman" w:hAnsi="Times New Roman"/>
          <w:i/>
          <w:noProof/>
          <w:spacing w:val="-4"/>
          <w:sz w:val="18"/>
        </w:rPr>
        <w:t xml:space="preserve"> Фискалният съвет (Прокурорският съвет) има правомощието да преразглежда решенията, взети от главния прокурор, в предвидените от закона случаи. </w:t>
      </w:r>
      <w:r>
        <w:rPr>
          <w:rFonts w:ascii="Times New Roman" w:hAnsi="Times New Roman"/>
          <w:b/>
          <w:i/>
          <w:noProof/>
          <w:spacing w:val="-4"/>
          <w:sz w:val="18"/>
        </w:rPr>
        <w:t>FR:</w:t>
      </w:r>
      <w:r>
        <w:rPr>
          <w:rFonts w:ascii="Times New Roman" w:hAnsi="Times New Roman"/>
          <w:i/>
          <w:noProof/>
          <w:spacing w:val="-4"/>
          <w:sz w:val="18"/>
        </w:rPr>
        <w:t xml:space="preserve"> министър на правосъдието: правомощие за издаване на общи насоки относно политиката на наказателно преследване; правомощие за вземане на решения относно дисциплинарни мерки срещу прокурорите въз основа на становището на Висшия съдебен съвет (Conseil Supérieur de la Magistrature) (член 65 от френската Конституция и членове 48, 58-1 и 59 от Наредбата, която представлява основен закон за статута на магистратите). Ако министърът възнамерява да вземе решение, с което налага по-тежка мярка от предложената от Висшия съдебен съвет, трябва да се извърши повторна консултация със Съвета (член 58-1 от Наредбата, която представлява основен закон за статута на магистратите). Президентът на Републиката издава указ за повишаване на прокурорите по предложение на Висшия съдебен съвет. Висшият съдебен съвет дава становище по дисциплинарните мерки, преместването на прокурорите без тяхното съгласие и повишаването на прокурорите. </w:t>
      </w:r>
      <w:r>
        <w:rPr>
          <w:rFonts w:ascii="Times New Roman" w:hAnsi="Times New Roman"/>
          <w:b/>
          <w:i/>
          <w:noProof/>
          <w:spacing w:val="-4"/>
          <w:sz w:val="18"/>
        </w:rPr>
        <w:t>HR:</w:t>
      </w:r>
      <w:r>
        <w:rPr>
          <w:rFonts w:ascii="Times New Roman" w:hAnsi="Times New Roman"/>
          <w:i/>
          <w:noProof/>
          <w:spacing w:val="-4"/>
          <w:sz w:val="18"/>
        </w:rPr>
        <w:t xml:space="preserve"> прокурорски съвет: правомощия за вземане на решения относно дисциплинарни мерки и за повишаване на прокурорите. </w:t>
      </w:r>
      <w:r>
        <w:rPr>
          <w:rFonts w:ascii="Times New Roman" w:hAnsi="Times New Roman"/>
          <w:b/>
          <w:i/>
          <w:noProof/>
          <w:spacing w:val="-4"/>
          <w:sz w:val="18"/>
        </w:rPr>
        <w:t>IT:</w:t>
      </w:r>
      <w:r>
        <w:rPr>
          <w:rFonts w:ascii="Times New Roman" w:hAnsi="Times New Roman"/>
          <w:i/>
          <w:noProof/>
          <w:spacing w:val="-4"/>
          <w:sz w:val="18"/>
        </w:rPr>
        <w:t xml:space="preserve"> съдебен съвет: правомощия за вземане на решения относно дисциплинарни мерки срещу прокурорите, за преместване на прокурорите без тяхното съгласие, за вземане на решения по индивидуалните оценки на прокурорите и за повишаване на прокурорите. </w:t>
      </w:r>
      <w:r>
        <w:rPr>
          <w:rFonts w:ascii="Times New Roman" w:hAnsi="Times New Roman"/>
          <w:b/>
          <w:i/>
          <w:noProof/>
          <w:spacing w:val="-4"/>
          <w:sz w:val="18"/>
        </w:rPr>
        <w:t>CY:</w:t>
      </w:r>
      <w:r>
        <w:rPr>
          <w:rFonts w:ascii="Times New Roman" w:hAnsi="Times New Roman"/>
          <w:i/>
          <w:noProof/>
          <w:spacing w:val="-4"/>
          <w:sz w:val="18"/>
        </w:rPr>
        <w:t xml:space="preserve"> Съдебният съвет освобождава от длъжност главния прокурор. </w:t>
      </w:r>
      <w:r>
        <w:rPr>
          <w:rFonts w:ascii="Times New Roman" w:hAnsi="Times New Roman"/>
          <w:b/>
          <w:i/>
          <w:noProof/>
          <w:spacing w:val="-4"/>
          <w:sz w:val="18"/>
        </w:rPr>
        <w:t>LV:</w:t>
      </w:r>
      <w:r>
        <w:rPr>
          <w:rFonts w:ascii="Times New Roman" w:hAnsi="Times New Roman"/>
          <w:i/>
          <w:noProof/>
          <w:spacing w:val="-4"/>
          <w:sz w:val="18"/>
        </w:rPr>
        <w:t xml:space="preserve"> Съвет на главния прокурор: съгласно член 29, част 2 от Закона за прокуратурата Съветът като колегиална консултативна институция разглежда основните въпроси, свързани с организацията и функционирането на прокуратурата, и изпълнява други предвидени в закона функции (напр. изготвя и приема подзаконовите актове, уреждащи подбора, стажовете и проверката на квалификациите на кандидатите за длъжността прокурор, и подзаконовите актове за оценка на професионалните резултати на прокурорите). </w:t>
      </w:r>
      <w:r>
        <w:rPr>
          <w:rFonts w:ascii="Times New Roman" w:hAnsi="Times New Roman"/>
          <w:b/>
          <w:i/>
          <w:noProof/>
          <w:spacing w:val="-4"/>
          <w:sz w:val="18"/>
        </w:rPr>
        <w:t>LT:</w:t>
      </w:r>
      <w:r>
        <w:rPr>
          <w:rFonts w:ascii="Times New Roman" w:hAnsi="Times New Roman"/>
          <w:i/>
          <w:noProof/>
          <w:spacing w:val="-4"/>
          <w:sz w:val="18"/>
        </w:rPr>
        <w:t xml:space="preserve"> парламентът (Сеймът) определя оперативните приоритети на прокуратурата и осъществява парламентарен контрол над непроцедурните действия. </w:t>
      </w:r>
      <w:r>
        <w:rPr>
          <w:rFonts w:ascii="Times New Roman" w:hAnsi="Times New Roman"/>
          <w:b/>
          <w:i/>
          <w:noProof/>
          <w:spacing w:val="-4"/>
          <w:sz w:val="18"/>
        </w:rPr>
        <w:t>LU:</w:t>
      </w:r>
      <w:r>
        <w:rPr>
          <w:rFonts w:ascii="Times New Roman" w:hAnsi="Times New Roman"/>
          <w:i/>
          <w:noProof/>
          <w:spacing w:val="-4"/>
          <w:sz w:val="18"/>
        </w:rPr>
        <w:t xml:space="preserve"> министърът на правосъдието може да даде указания на прокуратурата да се проведе наказателно преследване по дадено дело (но не може да даде указания да не се провежда наказателно преследване). Въпреки това през последните над 20 години не са били давани никакви указания. Не съществува правно изискване министърът на правосъдието да се консултира с прокурор или да иска становището на главния прокурор за такова указание. Великият херцог, в качеството си на държавен глава, има компетентността да взема решения за повишаването на прокурорите въз основа на положително становище от страна на държавния прокурор/главния прокурор.</w:t>
      </w:r>
      <w:r>
        <w:rPr>
          <w:noProof/>
          <w:spacing w:val="-4"/>
        </w:rPr>
        <w:t xml:space="preserve"> </w:t>
      </w:r>
      <w:r>
        <w:rPr>
          <w:rFonts w:ascii="Times New Roman" w:hAnsi="Times New Roman"/>
          <w:b/>
          <w:i/>
          <w:noProof/>
          <w:spacing w:val="-4"/>
          <w:sz w:val="18"/>
        </w:rPr>
        <w:t>MT:</w:t>
      </w:r>
      <w:r>
        <w:rPr>
          <w:rFonts w:ascii="Times New Roman" w:hAnsi="Times New Roman"/>
          <w:i/>
          <w:noProof/>
          <w:spacing w:val="-4"/>
          <w:sz w:val="18"/>
        </w:rPr>
        <w:t xml:space="preserve"> полицията има изключителната компетентност да образува и да провежда наказателни производства и да действа като прокурор пред по-нисшестоящите съдилища. Главният прокурор действа като прокурор пред по-висшите съдилища, когато събирането на доказателства пред по-нисшестоящите съдилищата е приключило. </w:t>
      </w:r>
      <w:r>
        <w:rPr>
          <w:rFonts w:ascii="Times New Roman" w:hAnsi="Times New Roman"/>
          <w:b/>
          <w:i/>
          <w:noProof/>
          <w:spacing w:val="-4"/>
          <w:sz w:val="18"/>
        </w:rPr>
        <w:t>NL:</w:t>
      </w:r>
      <w:r>
        <w:rPr>
          <w:rFonts w:ascii="Times New Roman" w:hAnsi="Times New Roman"/>
          <w:i/>
          <w:noProof/>
          <w:spacing w:val="-4"/>
          <w:sz w:val="18"/>
        </w:rPr>
        <w:t xml:space="preserve"> Съвет на генералните прокурори (College van procureurs-generaal): правомощие за издаване на общи насоки относно политиката на наказателно преследване. Министър на правосъдието: правомощия за издаване на общи насоки относно политиката на наказателно преследване и за вземане на решения относно някои дисциплинарни мерки срещу прокурорите. Той може да даде указания на прокуратурата да проведе или да не проведе наказателно преследване по дадено дело, но трябва преди това да получи писмено мотивирано становище от Съвета на генералните прокурори (College van procureurs-generaal) по предложените указания и е необходимо парламентът да бъде уведомен за това. Въпреки това, досега е имало само един такъв случай преди повече от двадесет години. Ръководителят на прокуратурата в района, в който работи даден прокурор, има правомощия да взема решения по дисциплинарните мерки и по оценката на прокурора. </w:t>
      </w:r>
      <w:r>
        <w:rPr>
          <w:rFonts w:ascii="Times New Roman" w:hAnsi="Times New Roman"/>
          <w:b/>
          <w:i/>
          <w:noProof/>
          <w:spacing w:val="-4"/>
          <w:sz w:val="18"/>
        </w:rPr>
        <w:t>AT:</w:t>
      </w:r>
      <w:r>
        <w:rPr>
          <w:rFonts w:ascii="Times New Roman" w:hAnsi="Times New Roman"/>
          <w:i/>
          <w:noProof/>
          <w:spacing w:val="-4"/>
          <w:sz w:val="18"/>
        </w:rPr>
        <w:t xml:space="preserve"> министър на правосъдието: правомощия за издаване на общи насоки относно политиката на наказателно преследване и за даване на указания за наказателно преследване по отделни дела с одобрението на независимия Съвет по указанията (Weisungsrat) към Главната прокуратура. Правомощията на главния прокурор не включват пряко управление на прокуратурата, както е посочено в графиката. Другите управленски правомощия, посочени в диаграмата, се упражняват или от Върховния прокурор, или от независимата Комисия за персонала (Personalkommission), състояща се от четирима членове, които трябва да са прокурори (вж. коментарите под графика 56). Що се отнася до повишаването на прокурор, то изисква кандидатстване за заемане на по-висока длъжност и следва правилата, приложими за назначаването на прокурорска длъжност (т.е. предложение от независимата Комисия за персонала (Personalkommission) и назначаване от федералния президент, делегирано на министъра на правосъдието). Правомощието за вземане на решения относно дисциплинарни мерки срещу прокурорите се упражнява от дисциплинарните съдилища, които също така имат правомощието да преместват прокурорите като санкция. </w:t>
      </w:r>
      <w:r>
        <w:rPr>
          <w:rFonts w:ascii="Times New Roman" w:hAnsi="Times New Roman"/>
          <w:b/>
          <w:i/>
          <w:noProof/>
          <w:spacing w:val="-4"/>
          <w:sz w:val="18"/>
        </w:rPr>
        <w:t>PL:</w:t>
      </w:r>
      <w:r>
        <w:rPr>
          <w:rFonts w:ascii="Times New Roman" w:hAnsi="Times New Roman"/>
          <w:i/>
          <w:noProof/>
          <w:spacing w:val="-4"/>
          <w:sz w:val="18"/>
        </w:rPr>
        <w:t xml:space="preserve"> главният прокурор е също така министър на правосъдието. </w:t>
      </w:r>
      <w:r>
        <w:rPr>
          <w:rFonts w:ascii="Times New Roman" w:hAnsi="Times New Roman"/>
          <w:b/>
          <w:i/>
          <w:noProof/>
          <w:spacing w:val="-4"/>
          <w:sz w:val="18"/>
        </w:rPr>
        <w:t>PT: с</w:t>
      </w:r>
      <w:r>
        <w:rPr>
          <w:rFonts w:ascii="Times New Roman" w:hAnsi="Times New Roman"/>
          <w:i/>
          <w:noProof/>
          <w:spacing w:val="-4"/>
          <w:sz w:val="18"/>
        </w:rPr>
        <w:t xml:space="preserve">ъдебен съвет: правомощия за вземане на решения относно дисциплинарни мерки срещу прокурорите, за преместване на прокурорите без тяхното съгласие, за вземане на решения по индивидуалните оценки на прокурорите и за повишаване на прокурорите. Парламентът може да издава общи насоки относно политиката на наказателно преследване. </w:t>
      </w:r>
      <w:r>
        <w:rPr>
          <w:rFonts w:ascii="Times New Roman" w:hAnsi="Times New Roman"/>
          <w:b/>
          <w:i/>
          <w:noProof/>
          <w:spacing w:val="-4"/>
          <w:sz w:val="18"/>
        </w:rPr>
        <w:t>RO:</w:t>
      </w:r>
      <w:r>
        <w:rPr>
          <w:rFonts w:ascii="Times New Roman" w:hAnsi="Times New Roman"/>
          <w:i/>
          <w:noProof/>
          <w:spacing w:val="-4"/>
          <w:sz w:val="18"/>
        </w:rPr>
        <w:t xml:space="preserve"> съдебен съвет: правомощия за вземане на решения относно дисциплинарни мерки срещу прокурорите и за вземане на решения за повишаване на прокурорите (в съответствие с член 40, параграф 2, буква i) от Закон № 317/2004 Прокурорското отделение на Висшия съдебен съвет (ВСС) издава решението за повишаване на прокурорите, но повишаването им се решава само след провеждане на конкурс (член 43 от Закон № 303/2004). Съгласно наскоро изменения</w:t>
      </w:r>
      <w:r>
        <w:rPr>
          <w:rFonts w:ascii="Times New Roman" w:hAnsi="Times New Roman"/>
          <w:noProof/>
          <w:spacing w:val="-4"/>
        </w:rPr>
        <w:t xml:space="preserve"> </w:t>
      </w:r>
      <w:r>
        <w:rPr>
          <w:rFonts w:ascii="Times New Roman" w:hAnsi="Times New Roman"/>
          <w:i/>
          <w:noProof/>
          <w:spacing w:val="-4"/>
          <w:sz w:val="18"/>
        </w:rPr>
        <w:t xml:space="preserve">член 69 от Закон № 304/2004 относно организацията на съдебната система министърът на правосъдието може да поиска от главния прокурор към прокуратурата към Върховния касационен съд или, в зависимост от случая, от главния прокурор към Националната прокуратура за борба с корупцията информация относно дейността на прокуратурата и може да издаде писмени насоки относно действията, които трябва да бъдат предприети в областта на предотвратяването и контрола на престъпността. Съгласно член 40, параграф 2, буква h) от Закон № 317/2004 относно ВСС Прокурорското отделение на ВСС е компетентно да взема решения по жалби срещу окончателното решение на комисията за оценка („рейтингът“). Съгласно член 39, параграф 3 от Закон № 303/2004 относно статута на съдиите и прокурорите индивидуалната оценка на прокурорите се изготвя от специални комисии, образувани по решение на Висшия съдебен съвет. </w:t>
      </w:r>
      <w:r>
        <w:rPr>
          <w:rFonts w:ascii="Times New Roman" w:hAnsi="Times New Roman"/>
          <w:b/>
          <w:i/>
          <w:noProof/>
          <w:spacing w:val="-4"/>
          <w:sz w:val="18"/>
        </w:rPr>
        <w:t>SI:</w:t>
      </w:r>
      <w:r>
        <w:rPr>
          <w:rFonts w:ascii="Times New Roman" w:hAnsi="Times New Roman"/>
          <w:i/>
          <w:noProof/>
          <w:spacing w:val="-4"/>
          <w:sz w:val="18"/>
        </w:rPr>
        <w:t xml:space="preserve"> Държавен прокурорски съвет: правомощия за преместване на прокурорите без тяхното съгласие, за вземане на решения по индивидуалните оценки на прокурорите и за повишаване на прокурорите. Освен това Държавният прокурорски съвет отговаря за назначаването и освобождаването от длъжност на ръководителите на окръжните прокуратури, оценката на работата и повишаването, преместването, командироването и участието в процедурата за назначаване на държавните прокурори, предоставянето на становища по политиката на наказателно преследване, оценката на ефективността и ефикасността на работата на държавните прокуратури, гарантиране на независимостта при изпълнението на прокурорските функции и изпълнението на други функции в съответствие със Закона за държавната прокуратура. </w:t>
      </w:r>
      <w:r>
        <w:rPr>
          <w:rFonts w:ascii="Times New Roman" w:hAnsi="Times New Roman"/>
          <w:b/>
          <w:i/>
          <w:noProof/>
          <w:spacing w:val="-4"/>
          <w:sz w:val="18"/>
        </w:rPr>
        <w:t xml:space="preserve">SK: </w:t>
      </w:r>
      <w:r>
        <w:rPr>
          <w:rFonts w:ascii="Times New Roman" w:hAnsi="Times New Roman"/>
          <w:i/>
          <w:noProof/>
          <w:spacing w:val="-4"/>
          <w:sz w:val="18"/>
        </w:rPr>
        <w:t xml:space="preserve">правомощията на Прокурорския съвет (Прокурорската колегия) не включват пряко управление на прокуратурата, както е посочено в графиката. Прокурорският съвет има други правомощия (напр. решения по възраженията на прокурор срещу съдържанието на оценката, които ръководителят на прокуратурата не е взел предвид, и даване на становище по временното назначаване на прокурор в друга прокуратура). </w:t>
      </w:r>
      <w:r>
        <w:rPr>
          <w:rFonts w:ascii="Times New Roman" w:hAnsi="Times New Roman"/>
          <w:b/>
          <w:i/>
          <w:noProof/>
          <w:spacing w:val="-4"/>
          <w:sz w:val="18"/>
        </w:rPr>
        <w:t>SE:</w:t>
      </w:r>
      <w:r>
        <w:rPr>
          <w:rFonts w:ascii="Times New Roman" w:hAnsi="Times New Roman"/>
          <w:i/>
          <w:noProof/>
          <w:spacing w:val="-4"/>
          <w:sz w:val="18"/>
        </w:rPr>
        <w:t xml:space="preserve"> правителството може да издава общи насоки относно политиката на наказателно преследване.</w:t>
      </w:r>
    </w:p>
    <w:p>
      <w:pPr>
        <w:spacing w:before="240" w:after="120" w:line="240" w:lineRule="auto"/>
        <w:jc w:val="both"/>
        <w:rPr>
          <w:rFonts w:ascii="Times New Roman" w:eastAsia="Times New Roman" w:hAnsi="Times New Roman" w:cs="Times New Roman"/>
          <w:noProof/>
          <w:sz w:val="24"/>
          <w:szCs w:val="24"/>
        </w:rPr>
      </w:pPr>
      <w:r>
        <w:rPr>
          <w:rFonts w:ascii="Times New Roman" w:hAnsi="Times New Roman"/>
          <w:noProof/>
          <w:sz w:val="24"/>
        </w:rPr>
        <w:t>В графика 56 се прави фактически обзор на основните управленски правомощия на главния прокурор по отношение на прокурорите: 1) издаване на общи насоки относно политиката на наказателно преследване, 2) даване на указания за наказателно преследване по отделни дела, 3) оценяване на прокурорите, 4) повишаване на прокурорите, 5) отнемане на конкретно дело, което е било възложено на даден прокурор (прехвърляне на дело), 6) вземане на решения относно дисциплинарни мерки срещу прокурорите и 7) преместване на прокурорите без тяхното съгласие. Освен тези правомощия главният прокурор може да има други правомощия, които не са представени в графиката (</w:t>
      </w:r>
      <w:r>
        <w:rPr>
          <w:rFonts w:ascii="Times New Roman" w:hAnsi="Times New Roman"/>
          <w:noProof/>
          <w:sz w:val="24"/>
          <w:vertAlign w:val="superscript"/>
        </w:rPr>
        <w:footnoteReference w:id="138"/>
      </w:r>
      <w:r>
        <w:rPr>
          <w:rFonts w:ascii="Times New Roman" w:hAnsi="Times New Roman"/>
          <w:noProof/>
          <w:sz w:val="24"/>
        </w:rPr>
        <w:t>).</w:t>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Графика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56</w:t>
      </w:r>
      <w:r>
        <w:rPr>
          <w:rFonts w:ascii="Times New Roman" w:eastAsia="Calibri" w:hAnsi="Times New Roman" w:cs="Times New Roman"/>
          <w:b/>
          <w:noProof/>
          <w:sz w:val="24"/>
          <w:szCs w:val="24"/>
        </w:rPr>
        <w:fldChar w:fldCharType="end"/>
      </w:r>
      <w:r>
        <w:rPr>
          <w:rFonts w:ascii="Times New Roman" w:hAnsi="Times New Roman"/>
          <w:b/>
          <w:noProof/>
          <w:sz w:val="24"/>
        </w:rPr>
        <w:t xml:space="preserve">: Управленски правомощия на главния прокурор </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(източник: Европейската комисия и Експертната група по въпросите на изпирането на пари и финансирането на тероризма)</w:t>
      </w:r>
    </w:p>
    <w:p>
      <w:pPr>
        <w:spacing w:after="0" w:line="240" w:lineRule="auto"/>
        <w:jc w:val="both"/>
        <w:rPr>
          <w:rFonts w:ascii="Times New Roman" w:eastAsia="Calibri" w:hAnsi="Times New Roman" w:cs="Times New Roman"/>
          <w:i/>
          <w:noProof/>
          <w:sz w:val="18"/>
        </w:rPr>
      </w:pPr>
      <w:r>
        <w:rPr>
          <w:noProof/>
          <w:lang w:val="en-GB" w:eastAsia="en-GB"/>
        </w:rPr>
        <w:drawing>
          <wp:inline distT="0" distB="0" distL="0" distR="0">
            <wp:extent cx="5969479" cy="3258609"/>
            <wp:effectExtent l="0" t="0" r="0" b="0"/>
            <wp:docPr id="97286" name="Picture 97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77255" cy="3262854"/>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sz w:val="18"/>
        </w:rPr>
      </w:pPr>
      <w:r>
        <w:rPr>
          <w:rFonts w:ascii="Times New Roman" w:hAnsi="Times New Roman"/>
          <w:i/>
          <w:noProof/>
          <w:sz w:val="18"/>
        </w:rPr>
        <w:t xml:space="preserve">(*) Държавите членки са представени по азбучния ред на географските им имена на оригиналния език. </w:t>
      </w:r>
      <w:r>
        <w:rPr>
          <w:rFonts w:ascii="Times New Roman" w:hAnsi="Times New Roman"/>
          <w:b/>
          <w:i/>
          <w:noProof/>
          <w:sz w:val="18"/>
        </w:rPr>
        <w:t>BE:</w:t>
      </w:r>
      <w:r>
        <w:rPr>
          <w:rFonts w:ascii="Times New Roman" w:hAnsi="Times New Roman"/>
          <w:i/>
          <w:noProof/>
          <w:sz w:val="18"/>
        </w:rPr>
        <w:t xml:space="preserve"> що се отнася до</w:t>
      </w:r>
      <w:r>
        <w:rPr>
          <w:rFonts w:ascii="Times New Roman" w:hAnsi="Times New Roman"/>
          <w:noProof/>
        </w:rPr>
        <w:t xml:space="preserve"> </w:t>
      </w:r>
      <w:r>
        <w:rPr>
          <w:rFonts w:ascii="Times New Roman" w:hAnsi="Times New Roman"/>
          <w:i/>
          <w:noProof/>
          <w:sz w:val="18"/>
        </w:rPr>
        <w:t xml:space="preserve">правомощието за даване на указания за наказателно преследване по отделни дела, правото за издаване на разпореждане за провеждане на наказателно преследване от кралския прокурор е предвидено в член 364 от Наказателно-процесуалния кодекс. Член 150, параграф 2 и член 138, параграф 2 от Съдебния кодекс предвиждат общо право за упражняване на ръководство над кралския прокурор. </w:t>
      </w:r>
      <w:r>
        <w:rPr>
          <w:rFonts w:ascii="Times New Roman" w:hAnsi="Times New Roman"/>
          <w:b/>
          <w:i/>
          <w:noProof/>
          <w:sz w:val="18"/>
        </w:rPr>
        <w:t>CZ:</w:t>
      </w:r>
      <w:r>
        <w:rPr>
          <w:rFonts w:ascii="Times New Roman" w:hAnsi="Times New Roman"/>
          <w:i/>
          <w:noProof/>
          <w:sz w:val="18"/>
        </w:rPr>
        <w:t xml:space="preserve"> правомощие за даване на указания за наказателно преследване по отделни дела само в рамките на Главната прокуратура и към по-горестоящите прокуратури. </w:t>
      </w:r>
      <w:r>
        <w:rPr>
          <w:rFonts w:ascii="Times New Roman" w:hAnsi="Times New Roman"/>
          <w:b/>
          <w:i/>
          <w:noProof/>
          <w:sz w:val="18"/>
        </w:rPr>
        <w:t>EL:</w:t>
      </w:r>
      <w:r>
        <w:rPr>
          <w:rFonts w:ascii="Times New Roman" w:hAnsi="Times New Roman"/>
          <w:i/>
          <w:noProof/>
          <w:sz w:val="18"/>
        </w:rPr>
        <w:t xml:space="preserve"> прокурорът към Върховния съд (т.е. главният прокурор) има право да отправя към всички прокурори в страната общи насоки и препоръки във връзка с изпълнението на техните задължения, без, разбира се, адресатите на тези насоки и препоръки да са обвързани от формулировката и от изразеното становище. </w:t>
      </w:r>
      <w:r>
        <w:rPr>
          <w:rFonts w:ascii="Times New Roman" w:hAnsi="Times New Roman"/>
          <w:b/>
          <w:i/>
          <w:noProof/>
          <w:sz w:val="18"/>
        </w:rPr>
        <w:t>ES:</w:t>
      </w:r>
      <w:r>
        <w:rPr>
          <w:rFonts w:ascii="Times New Roman" w:hAnsi="Times New Roman"/>
          <w:i/>
          <w:noProof/>
          <w:sz w:val="18"/>
        </w:rPr>
        <w:t xml:space="preserve"> главният прокурор дава вътрешни заповеди и инструкции, подходящи за службата и свързани с упражняването на функциите по наказателно преследване, които могат да бъдат общи или свързани с конкретни въпроси. Общите насоки са от съществено значение за поддържане на принципа на единство на действията и се дават основно чрез циркулярни писма, инструкции и консултации.</w:t>
      </w:r>
      <w:r>
        <w:rPr>
          <w:noProof/>
        </w:rPr>
        <w:t xml:space="preserve"> </w:t>
      </w:r>
      <w:r>
        <w:rPr>
          <w:rFonts w:ascii="Times New Roman" w:hAnsi="Times New Roman"/>
          <w:i/>
          <w:noProof/>
          <w:sz w:val="18"/>
        </w:rPr>
        <w:t xml:space="preserve">По отношение на преместването без съгласие — само в случаи на голяма работна натовареност. </w:t>
      </w:r>
      <w:r>
        <w:rPr>
          <w:rFonts w:ascii="Times New Roman" w:hAnsi="Times New Roman"/>
          <w:b/>
          <w:i/>
          <w:noProof/>
          <w:sz w:val="18"/>
        </w:rPr>
        <w:t>IT:</w:t>
      </w:r>
      <w:r>
        <w:rPr>
          <w:rFonts w:ascii="Times New Roman" w:hAnsi="Times New Roman"/>
          <w:i/>
          <w:noProof/>
          <w:sz w:val="18"/>
        </w:rPr>
        <w:t xml:space="preserve"> в случай на бездействие главните прокурори към Апелативните съдилища имат правомощия да отнемат конкретно дело, което е било възложено на прокурор с определена териториална компетентност. Освен това те имат правомощието да събират данни и информация от окръжните (или териториалните) прокуратури и да ги изпращат на главния прокурор към Касационния съд, за да се провери правилното и еднакво функциониране на прокуратурите и спазването на правилата за надлежно провеждане на съдебния процес. Главният прокурор към Касационния съд отговаря по закон за контрола над Националната дирекция за борба с мафията. Освен това той отговаря за разрешаването на споровете за компетентност между две или няколко териториални прокуратури. </w:t>
      </w:r>
      <w:r>
        <w:rPr>
          <w:rFonts w:ascii="Times New Roman" w:hAnsi="Times New Roman"/>
          <w:b/>
          <w:i/>
          <w:noProof/>
          <w:sz w:val="18"/>
        </w:rPr>
        <w:t>CY:</w:t>
      </w:r>
      <w:r>
        <w:rPr>
          <w:rFonts w:ascii="Times New Roman" w:hAnsi="Times New Roman"/>
          <w:i/>
          <w:noProof/>
          <w:sz w:val="18"/>
        </w:rPr>
        <w:t xml:space="preserve"> главният прокурор има правомощие за вземане на решения относно дисциплинарни мерки срещу прокурорите в случай на леки дисциплинарни нарушения. В случай на тежки дисциплинарни нарушения главният прокурор не предлага санкции, а препоръчва налагането на дисциплинарни мерки от Комисията за държавната администрация. </w:t>
      </w:r>
      <w:r>
        <w:rPr>
          <w:rFonts w:ascii="Times New Roman" w:hAnsi="Times New Roman"/>
          <w:b/>
          <w:i/>
          <w:noProof/>
          <w:sz w:val="18"/>
        </w:rPr>
        <w:t>LT:</w:t>
      </w:r>
      <w:r>
        <w:rPr>
          <w:rFonts w:ascii="Times New Roman" w:hAnsi="Times New Roman"/>
          <w:i/>
          <w:noProof/>
          <w:sz w:val="18"/>
        </w:rPr>
        <w:t xml:space="preserve"> що се отнася до правомощието за даване на указания по отделни дела, главният прокурор не може да даде указания кое решение да бъде взето. Що се отнася до правомощието за вземане на решения относно повишаването на прокурорите, главният прокурор взема решение въз основа на заключенията на Комисията за подбор на прокурори или на Комисията за подбор на главни прокурори. </w:t>
      </w:r>
      <w:r>
        <w:rPr>
          <w:rFonts w:ascii="Times New Roman" w:hAnsi="Times New Roman"/>
          <w:b/>
          <w:i/>
          <w:noProof/>
          <w:sz w:val="18"/>
        </w:rPr>
        <w:t>LU:</w:t>
      </w:r>
      <w:r>
        <w:rPr>
          <w:rFonts w:ascii="Times New Roman" w:hAnsi="Times New Roman"/>
          <w:i/>
          <w:noProof/>
          <w:sz w:val="18"/>
        </w:rPr>
        <w:t xml:space="preserve"> главният прокурор има правомощието да дава указания на прокуратурите за провеждане на наказателно преследване по дадено дело (но не може да дава указания да не се провежда наказателно преследване). Що се отнася до повишаването на прокурорите, държавният прокурор/главният прокурор, въз основа на положително становище, предлага повишението на вниманието на изпълнителната власт, а държавният глава подписва направеното предложение. </w:t>
      </w:r>
      <w:r>
        <w:rPr>
          <w:rFonts w:ascii="Times New Roman" w:hAnsi="Times New Roman"/>
          <w:b/>
          <w:i/>
          <w:noProof/>
          <w:sz w:val="18"/>
        </w:rPr>
        <w:t>AT:</w:t>
      </w:r>
      <w:r>
        <w:rPr>
          <w:rFonts w:ascii="Times New Roman" w:hAnsi="Times New Roman"/>
          <w:i/>
          <w:noProof/>
          <w:sz w:val="18"/>
        </w:rPr>
        <w:t xml:space="preserve"> правомощията на главния прокурор не включват пряко управление на прокуратурата, както е посочено в графиката. По-горестоящите прокурори имат следните правомощия: за издаване на общи насоки относно политиката на наказателно преследване в съответните им райони, за даване на указания за наказателно преследване по отделни дела, за преместване на прокурорите без тяхното съгласие поради организационни причини (напр. поради необходимост от справяне с прекомерна работна натовареност или дългосрочни отпуски по болест в рамките на даден прокурорски орган), но само в рамките на техния район и за ограничен период от време. Ръководителят на съответния прокурорски орган има правомощие да дава указания за наказателното преследване по отделни дела и да отнема конкретно дело, което е било възложено на даден прокурор (прехвърляне на дело). Независимата Комисия за персонала (Personalkommission), състояща се от четирима членове, които трябва да са прокурори, има правомощието да оценява прокурорите. </w:t>
      </w:r>
      <w:r>
        <w:rPr>
          <w:rFonts w:ascii="Times New Roman" w:hAnsi="Times New Roman"/>
          <w:b/>
          <w:i/>
          <w:noProof/>
          <w:sz w:val="18"/>
        </w:rPr>
        <w:t>PL:</w:t>
      </w:r>
      <w:r>
        <w:rPr>
          <w:rFonts w:ascii="Times New Roman" w:hAnsi="Times New Roman"/>
          <w:i/>
          <w:noProof/>
          <w:sz w:val="18"/>
        </w:rPr>
        <w:t xml:space="preserve"> главният прокурор е също така министър на правосъдието. </w:t>
      </w:r>
      <w:r>
        <w:rPr>
          <w:rFonts w:ascii="Times New Roman" w:hAnsi="Times New Roman"/>
          <w:b/>
          <w:i/>
          <w:noProof/>
          <w:sz w:val="18"/>
        </w:rPr>
        <w:t>RO:</w:t>
      </w:r>
      <w:r>
        <w:rPr>
          <w:rFonts w:ascii="Times New Roman" w:hAnsi="Times New Roman"/>
          <w:i/>
          <w:noProof/>
          <w:sz w:val="18"/>
        </w:rPr>
        <w:t xml:space="preserve"> главният прокурор има правомощието да прехвърля конкретно дело от едно звено на друго звено на прокуратурата и да издава общи насоки относно политиките на наказателно преследване (препоръки), за да се гарантира единен подход към наказателните разследвания. </w:t>
      </w:r>
      <w:r>
        <w:rPr>
          <w:rFonts w:ascii="Times New Roman" w:hAnsi="Times New Roman"/>
          <w:b/>
          <w:i/>
          <w:noProof/>
          <w:sz w:val="18"/>
        </w:rPr>
        <w:t>SI:</w:t>
      </w:r>
      <w:r>
        <w:rPr>
          <w:rFonts w:ascii="Times New Roman" w:hAnsi="Times New Roman"/>
          <w:i/>
          <w:noProof/>
          <w:sz w:val="18"/>
        </w:rPr>
        <w:t xml:space="preserve"> както главният прокурор, така и ръководителят на държавната прокуратура има правомощия да издава общи насоки относно политиката на наказателно преследване и да отнема конкретно дело, което е било възложено на даден прокурор.</w:t>
      </w:r>
    </w:p>
    <w:p>
      <w:pPr>
        <w:spacing w:before="120" w:after="120" w:line="240" w:lineRule="auto"/>
        <w:jc w:val="both"/>
        <w:rPr>
          <w:rFonts w:ascii="Times New Roman" w:hAnsi="Times New Roman"/>
          <w:noProof/>
          <w:sz w:val="24"/>
        </w:rPr>
      </w:pPr>
      <w:r>
        <w:rPr>
          <w:rFonts w:ascii="Times New Roman" w:hAnsi="Times New Roman"/>
          <w:noProof/>
          <w:sz w:val="24"/>
        </w:rPr>
        <w:t>В графика 57 се прави обзор на органите (съдебен съвет/прокурорски съвет/съд, министерство на правосъдието, главен прокурор/прокуратура), които се занимават с назначаването и освобождаването от длъжност на националните прокурори, и не е показано назначаването и освобождаването от длъжност на главните прокурори или други подобни ръководни длъжности. Графиката показва разнообразието от модели на организация на прокуратурата в държавите членки, която се концентрира около изпълнителната власт или съдебната власт. Графиката показва също ролята на главния прокурор и на съдебните съвети/прокурорските съвети като важни участници както при назначаването, така и при освобождаването от длъжност на прокурорите.</w:t>
      </w:r>
    </w:p>
    <w:p>
      <w:pPr>
        <w:rPr>
          <w:rFonts w:ascii="Times New Roman" w:hAnsi="Times New Roman"/>
          <w:noProof/>
          <w:sz w:val="24"/>
        </w:rPr>
      </w:pPr>
      <w:r>
        <w:rPr>
          <w:rFonts w:ascii="Times New Roman" w:hAnsi="Times New Roman"/>
          <w:noProof/>
          <w:sz w:val="24"/>
        </w:rPr>
        <w:br w:type="page"/>
      </w:r>
    </w:p>
    <w:p>
      <w:pPr>
        <w:spacing w:before="240" w:after="120" w:line="240" w:lineRule="auto"/>
        <w:jc w:val="both"/>
        <w:rPr>
          <w:rFonts w:ascii="Times New Roman" w:eastAsia="Calibri" w:hAnsi="Times New Roman" w:cs="Times New Roman"/>
          <w:i/>
          <w:noProof/>
          <w:sz w:val="24"/>
        </w:rPr>
      </w:pPr>
      <w:r>
        <w:rPr>
          <w:rFonts w:ascii="Times New Roman" w:hAnsi="Times New Roman"/>
          <w:b/>
          <w:noProof/>
          <w:sz w:val="24"/>
        </w:rPr>
        <w:t>Графика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57</w:t>
      </w:r>
      <w:r>
        <w:rPr>
          <w:rFonts w:ascii="Times New Roman" w:eastAsia="Calibri" w:hAnsi="Times New Roman" w:cs="Times New Roman"/>
          <w:b/>
          <w:noProof/>
          <w:sz w:val="24"/>
          <w:szCs w:val="24"/>
        </w:rPr>
        <w:fldChar w:fldCharType="end"/>
      </w:r>
      <w:r>
        <w:rPr>
          <w:rFonts w:ascii="Times New Roman" w:hAnsi="Times New Roman"/>
          <w:b/>
          <w:noProof/>
          <w:sz w:val="24"/>
        </w:rPr>
        <w:t xml:space="preserve">: Назначаване и освобождаване от длъжност на националните прокурори </w:t>
      </w:r>
      <w:r>
        <w:rPr>
          <w:rFonts w:ascii="Times New Roman" w:hAnsi="Times New Roman"/>
          <w:noProof/>
          <w:sz w:val="24"/>
        </w:rPr>
        <w:t>(*)</w:t>
      </w:r>
      <w:r>
        <w:rPr>
          <w:rFonts w:ascii="Times New Roman" w:hAnsi="Times New Roman"/>
          <w:b/>
          <w:noProof/>
          <w:sz w:val="24"/>
        </w:rPr>
        <w:t xml:space="preserve"> </w:t>
      </w:r>
      <w:r>
        <w:rPr>
          <w:rFonts w:ascii="Times New Roman" w:hAnsi="Times New Roman"/>
          <w:i/>
          <w:noProof/>
          <w:sz w:val="24"/>
        </w:rPr>
        <w:t>(източник: Европейската комисия и Експертната група по въпросите на изпирането на пари и финансирането на тероризма)</w:t>
      </w:r>
    </w:p>
    <w:p>
      <w:pPr>
        <w:spacing w:after="0" w:line="240" w:lineRule="auto"/>
        <w:jc w:val="center"/>
        <w:rPr>
          <w:rFonts w:ascii="Times New Roman" w:eastAsia="Times New Roman" w:hAnsi="Times New Roman" w:cs="Times New Roman"/>
          <w:i/>
          <w:noProof/>
          <w:color w:val="000000"/>
          <w:sz w:val="18"/>
          <w:szCs w:val="20"/>
        </w:rPr>
      </w:pPr>
      <w:r>
        <w:rPr>
          <w:noProof/>
          <w:lang w:val="en-GB" w:eastAsia="en-GB"/>
        </w:rPr>
        <w:drawing>
          <wp:inline distT="0" distB="0" distL="0" distR="0">
            <wp:extent cx="5977255" cy="2826692"/>
            <wp:effectExtent l="0" t="0" r="4445" b="0"/>
            <wp:docPr id="97295" name="Picture 97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77255" cy="2826692"/>
                    </a:xfrm>
                    <a:prstGeom prst="rect">
                      <a:avLst/>
                    </a:prstGeom>
                    <a:noFill/>
                    <a:ln>
                      <a:noFill/>
                    </a:ln>
                  </pic:spPr>
                </pic:pic>
              </a:graphicData>
            </a:graphic>
          </wp:inline>
        </w:drawing>
      </w:r>
    </w:p>
    <w:p>
      <w:pPr>
        <w:spacing w:after="0" w:line="240" w:lineRule="auto"/>
        <w:jc w:val="both"/>
        <w:rPr>
          <w:rFonts w:ascii="Times New Roman" w:eastAsia="Times New Roman" w:hAnsi="Times New Roman" w:cs="Times New Roman"/>
          <w:i/>
          <w:noProof/>
          <w:color w:val="000000"/>
          <w:sz w:val="18"/>
          <w:szCs w:val="20"/>
        </w:rPr>
      </w:pPr>
      <w:r>
        <w:rPr>
          <w:rFonts w:ascii="Times New Roman" w:hAnsi="Times New Roman"/>
          <w:i/>
          <w:noProof/>
          <w:color w:val="000000"/>
          <w:sz w:val="18"/>
        </w:rPr>
        <w:t xml:space="preserve">(*) </w:t>
      </w:r>
      <w:r>
        <w:rPr>
          <w:rFonts w:ascii="Times New Roman" w:hAnsi="Times New Roman"/>
          <w:b/>
          <w:i/>
          <w:noProof/>
          <w:color w:val="000000"/>
          <w:sz w:val="18"/>
        </w:rPr>
        <w:t>BE:</w:t>
      </w:r>
      <w:r>
        <w:rPr>
          <w:rFonts w:ascii="Times New Roman" w:hAnsi="Times New Roman"/>
          <w:i/>
          <w:noProof/>
          <w:color w:val="000000"/>
          <w:sz w:val="18"/>
        </w:rPr>
        <w:t xml:space="preserve"> предложение за назначаване: Съдебният съвет. Решение за назначаване: държавният глава по предложение на министъра на правосъдието. Предложение за освобождаване от длъжност: дисциплинарният съд. Решение за освобождаване от длъжност: държавният глава по предложение на министъра на правосъдието. </w:t>
      </w:r>
      <w:r>
        <w:rPr>
          <w:rFonts w:ascii="Times New Roman" w:hAnsi="Times New Roman"/>
          <w:b/>
          <w:i/>
          <w:noProof/>
          <w:color w:val="000000"/>
          <w:sz w:val="18"/>
        </w:rPr>
        <w:t>BG:</w:t>
      </w:r>
      <w:r>
        <w:rPr>
          <w:rFonts w:ascii="Times New Roman" w:hAnsi="Times New Roman"/>
          <w:i/>
          <w:noProof/>
          <w:color w:val="000000"/>
          <w:sz w:val="18"/>
        </w:rPr>
        <w:t xml:space="preserve"> решение за назначаване и освобождаване от длъжност: Прокурорската колегия на Висшия съдебен съвет. </w:t>
      </w:r>
      <w:r>
        <w:rPr>
          <w:rFonts w:ascii="Times New Roman" w:hAnsi="Times New Roman"/>
          <w:b/>
          <w:i/>
          <w:noProof/>
          <w:color w:val="000000"/>
          <w:sz w:val="18"/>
        </w:rPr>
        <w:t>CZ:</w:t>
      </w:r>
      <w:r>
        <w:rPr>
          <w:rFonts w:ascii="Times New Roman" w:hAnsi="Times New Roman"/>
          <w:i/>
          <w:noProof/>
          <w:color w:val="000000"/>
          <w:sz w:val="18"/>
        </w:rPr>
        <w:t xml:space="preserve"> предложение за назначаване: главният прокурор. Предложение за освобождаване от длъжност: главният прокурор, висшите прокурори и министърът на правосъдието. Решение за освобождаване от длъжност: съдът. </w:t>
      </w:r>
      <w:r>
        <w:rPr>
          <w:rFonts w:ascii="Times New Roman" w:hAnsi="Times New Roman"/>
          <w:b/>
          <w:i/>
          <w:noProof/>
          <w:color w:val="000000"/>
          <w:sz w:val="18"/>
        </w:rPr>
        <w:t>DK:</w:t>
      </w:r>
      <w:r>
        <w:rPr>
          <w:rFonts w:ascii="Times New Roman" w:hAnsi="Times New Roman"/>
          <w:i/>
          <w:noProof/>
          <w:color w:val="000000"/>
          <w:sz w:val="18"/>
        </w:rPr>
        <w:t xml:space="preserve"> предложение за назначаване: главният прокурор предлага окончателния списък с кандидати за длъжността „стажант-прокурор“ (за срок от около три години) на Министерството на правосъдието, което назначава кандидатите. Когато даден стажант-прокурор издържи изпита и премине впоследствие обучението, кандидатът ще стане прокурор. </w:t>
      </w:r>
      <w:r>
        <w:rPr>
          <w:rFonts w:ascii="Times New Roman" w:hAnsi="Times New Roman"/>
          <w:b/>
          <w:i/>
          <w:noProof/>
          <w:color w:val="000000"/>
          <w:sz w:val="18"/>
        </w:rPr>
        <w:t>EE:</w:t>
      </w:r>
      <w:r>
        <w:rPr>
          <w:rFonts w:ascii="Times New Roman" w:hAnsi="Times New Roman"/>
          <w:i/>
          <w:noProof/>
          <w:color w:val="000000"/>
          <w:sz w:val="18"/>
        </w:rPr>
        <w:t xml:space="preserve"> предложение за назначаване: Комисията за подбор на прокурори за специализираните прокурори, окръжните прокурори и помощник-прокурорите; главните прокурори за висшите прокурори. Решение за назначаване и освобождаване от длъжност: главният прокурор. </w:t>
      </w:r>
      <w:r>
        <w:rPr>
          <w:rFonts w:ascii="Times New Roman" w:hAnsi="Times New Roman"/>
          <w:b/>
          <w:i/>
          <w:noProof/>
          <w:color w:val="000000"/>
          <w:sz w:val="18"/>
        </w:rPr>
        <w:t>IE:</w:t>
      </w:r>
      <w:r>
        <w:rPr>
          <w:rFonts w:ascii="Times New Roman" w:hAnsi="Times New Roman"/>
          <w:i/>
          <w:noProof/>
          <w:color w:val="000000"/>
          <w:sz w:val="18"/>
        </w:rPr>
        <w:t xml:space="preserve"> предложение за назначаване: конкурс за назначаване съгласно лиценз за назначаване, издаден от Комисията по назначенията в публичната администрация (CPSA), който обикновено се провежда от Службата на директора на прокуратурата (или евентуално от Службата за назначаване в публичната администрация). Решение за назначаване: директорът на прокуратурата (Director of Public Prosecutions). Предложение за освобождаване от длъжност: Службата на директора на прокуратурата съгласно реда и условията, определени от министъра на финансите, публичните разходи и реформата. Решение за освобождаване от длъжност: заместник-директорът на прокуратурата (директорът на прокуратурата за прокурори с ранг на главни длъжностни лица и нагоре). </w:t>
      </w:r>
      <w:r>
        <w:rPr>
          <w:rFonts w:ascii="Times New Roman" w:hAnsi="Times New Roman"/>
          <w:b/>
          <w:i/>
          <w:noProof/>
          <w:color w:val="000000"/>
          <w:sz w:val="18"/>
        </w:rPr>
        <w:t>ES:</w:t>
      </w:r>
      <w:r>
        <w:rPr>
          <w:rFonts w:ascii="Times New Roman" w:hAnsi="Times New Roman"/>
          <w:i/>
          <w:noProof/>
          <w:color w:val="000000"/>
          <w:sz w:val="18"/>
        </w:rPr>
        <w:t xml:space="preserve"> предложение за назначаване: национален прокурор след доклад на Фискалния съвет, след като изслуша Висшия фискален съвет на съответната автономна област в случай на длъжности в прокуратура, попадаща в неговия териториален обхват. Решение за назначаване: правителството. Предложение за освобождаване от длъжност: главният прокурор. Решение за освобождаване от длъжност: министърът на правосъдието след получаването на благоприятен доклад от Фискалния съвет. </w:t>
      </w:r>
      <w:r>
        <w:rPr>
          <w:rFonts w:ascii="Times New Roman" w:hAnsi="Times New Roman"/>
          <w:b/>
          <w:i/>
          <w:noProof/>
          <w:color w:val="000000"/>
          <w:sz w:val="18"/>
        </w:rPr>
        <w:t>EL:</w:t>
      </w:r>
      <w:r>
        <w:rPr>
          <w:rFonts w:ascii="Times New Roman" w:hAnsi="Times New Roman"/>
          <w:i/>
          <w:noProof/>
          <w:color w:val="000000"/>
          <w:sz w:val="18"/>
        </w:rPr>
        <w:t xml:space="preserve"> предложение за назначаване: за кандидатите за прокурори Министерството на правосъдието ежегодно издава министерско решение относно приемния изпит в Националната школа на съдиите. Процесът на подбор, провеждан от петчленна комисия, понастоящем се състои от писмени и устни казуси. След като влязат в гръцката Национална школа на съдиите, успелите кандидати започват 16-месечен курс на теоретично и практическо обучение. След това обучение се пристъпва към изпит, чрез който те се класират по успех. В зависимост от техния ранг те ще бъдат назначени в компетентния съд. Решение за назначаване: кандидатите се назначават за прокурори с президентски указ. Предложение за освобождаване от длъжност: министърът на правосъдието. Решение за освобождаване от длъжност: предвидено в член 91, параграф 2 от Конституцията съдебно решение на дисциплинарните съвети, които са съставени от професионални съдии. </w:t>
      </w:r>
      <w:r>
        <w:rPr>
          <w:rFonts w:ascii="Times New Roman" w:hAnsi="Times New Roman"/>
          <w:b/>
          <w:i/>
          <w:noProof/>
          <w:color w:val="000000"/>
          <w:sz w:val="18"/>
        </w:rPr>
        <w:t>FR:</w:t>
      </w:r>
      <w:r>
        <w:rPr>
          <w:rFonts w:ascii="Times New Roman" w:hAnsi="Times New Roman"/>
          <w:i/>
          <w:noProof/>
          <w:color w:val="000000"/>
          <w:sz w:val="18"/>
        </w:rPr>
        <w:t xml:space="preserve"> предложение за назначаване: министърът на правосъдието въз основа на необвързващо предложение на Съдебния съвет. Решение за назначаване: президентът на Републиката. Предложение за освобождаване от длъжност: министърът на правосъдието въз основа на необвързващо предложение на Съдебния съвет. Решение за освобождаване от длъжност: президентът на Републиката. </w:t>
      </w:r>
      <w:r>
        <w:rPr>
          <w:rFonts w:ascii="Times New Roman" w:hAnsi="Times New Roman"/>
          <w:b/>
          <w:i/>
          <w:noProof/>
          <w:color w:val="000000"/>
          <w:sz w:val="18"/>
        </w:rPr>
        <w:t>IT:</w:t>
      </w:r>
      <w:r>
        <w:rPr>
          <w:rFonts w:ascii="Times New Roman" w:hAnsi="Times New Roman"/>
          <w:i/>
          <w:noProof/>
          <w:color w:val="000000"/>
          <w:sz w:val="18"/>
        </w:rPr>
        <w:t xml:space="preserve"> Решение за назначаване: по предложение на Съвета министърът на правосъдието издава министерско постановление, без право на преценка дали да назначи или не, нито дали да назначи друг кандидат, различен от предложения кандидат за прокурор. </w:t>
      </w:r>
      <w:r>
        <w:rPr>
          <w:rFonts w:ascii="Times New Roman" w:hAnsi="Times New Roman"/>
          <w:b/>
          <w:i/>
          <w:noProof/>
          <w:color w:val="000000"/>
          <w:sz w:val="18"/>
        </w:rPr>
        <w:t>CY:</w:t>
      </w:r>
      <w:r>
        <w:rPr>
          <w:rFonts w:ascii="Times New Roman" w:hAnsi="Times New Roman"/>
          <w:i/>
          <w:noProof/>
          <w:color w:val="000000"/>
          <w:sz w:val="18"/>
        </w:rPr>
        <w:t xml:space="preserve"> Предложение за назначаване/освобождаване от длъжност: главният прокурор. Решение за назначаване/освобождаване от длъжност: Комисията за държавната администрация въз основа на становището на главния прокурор. </w:t>
      </w:r>
      <w:r>
        <w:rPr>
          <w:rFonts w:ascii="Times New Roman" w:hAnsi="Times New Roman"/>
          <w:b/>
          <w:i/>
          <w:noProof/>
          <w:color w:val="000000"/>
          <w:sz w:val="18"/>
        </w:rPr>
        <w:t>LT:</w:t>
      </w:r>
      <w:r>
        <w:rPr>
          <w:rFonts w:ascii="Times New Roman" w:hAnsi="Times New Roman"/>
          <w:i/>
          <w:noProof/>
          <w:color w:val="000000"/>
          <w:sz w:val="18"/>
        </w:rPr>
        <w:t xml:space="preserve"> предложение за назначаване: Комисията за подбор на прокурори (състояща се от двама прокурори, предложени от Съвета на колегията, двама прокурори, предложени от главния прокурор, и по един член, предложен от президента на Републиката, председателя на Сейма и министър-председателя). Решение за назначаване: главният прокурор. Предложение за освобождаване от длъжност: Комисията за прокурорска етика (същият състав като Комисията за подбор на прокурори). </w:t>
      </w:r>
      <w:r>
        <w:rPr>
          <w:rFonts w:ascii="Times New Roman" w:hAnsi="Times New Roman"/>
          <w:b/>
          <w:i/>
          <w:noProof/>
          <w:color w:val="000000"/>
          <w:sz w:val="18"/>
        </w:rPr>
        <w:t>LU:</w:t>
      </w:r>
      <w:r>
        <w:rPr>
          <w:rFonts w:ascii="Times New Roman" w:hAnsi="Times New Roman"/>
          <w:i/>
          <w:noProof/>
          <w:color w:val="000000"/>
          <w:sz w:val="18"/>
        </w:rPr>
        <w:t xml:space="preserve"> предложение за назначаване: министърът на правосъдието, въз основа на положително становище на главния прокурор, предлага назначаването на вниманието на Великия херцог. Решение за назначаване: държавният глава. Предложение за освобождаване от длъжност: главният прокурор. Решение за освобождаване от длъжност: съдът. </w:t>
      </w:r>
      <w:r>
        <w:rPr>
          <w:rFonts w:ascii="Times New Roman" w:hAnsi="Times New Roman"/>
          <w:b/>
          <w:i/>
          <w:noProof/>
          <w:color w:val="000000"/>
          <w:sz w:val="18"/>
        </w:rPr>
        <w:t>HU:</w:t>
      </w:r>
      <w:r>
        <w:rPr>
          <w:rFonts w:ascii="Times New Roman" w:hAnsi="Times New Roman"/>
          <w:i/>
          <w:noProof/>
          <w:color w:val="000000"/>
          <w:sz w:val="18"/>
        </w:rPr>
        <w:t xml:space="preserve"> предложение/решение за назначаване: главният прокурор. Предложение за освобождаване от длъжност: главният прокурор. Решение за освобождаване от длъжност: главният прокурор. </w:t>
      </w:r>
      <w:r>
        <w:rPr>
          <w:rFonts w:ascii="Times New Roman" w:hAnsi="Times New Roman"/>
          <w:b/>
          <w:i/>
          <w:noProof/>
          <w:color w:val="000000"/>
          <w:sz w:val="18"/>
        </w:rPr>
        <w:t>MT:</w:t>
      </w:r>
      <w:r>
        <w:rPr>
          <w:rFonts w:ascii="Times New Roman" w:hAnsi="Times New Roman"/>
          <w:i/>
          <w:noProof/>
          <w:color w:val="000000"/>
          <w:sz w:val="18"/>
        </w:rPr>
        <w:t xml:space="preserve"> полицията има изключителната компетентност да образува и да провежда наказателни производства и да действа като прокурор пред по-нисшестоящите съдилища; главният прокурор действа като прокурор пред по-висшите съдилища, когато събирането на доказателства пред по-нисшестоящите съдилищата е приключило. </w:t>
      </w:r>
      <w:r>
        <w:rPr>
          <w:rFonts w:ascii="Times New Roman" w:hAnsi="Times New Roman"/>
          <w:b/>
          <w:i/>
          <w:noProof/>
          <w:color w:val="000000"/>
          <w:sz w:val="18"/>
        </w:rPr>
        <w:t>NL:</w:t>
      </w:r>
      <w:r>
        <w:rPr>
          <w:rFonts w:ascii="Times New Roman" w:hAnsi="Times New Roman"/>
          <w:i/>
          <w:noProof/>
          <w:color w:val="000000"/>
          <w:sz w:val="18"/>
        </w:rPr>
        <w:t xml:space="preserve"> предложение за назначаване: министърът на правосъдието. Решението за назначаване се взема с кралски указ (органът по назначаването има задължение съгласно конституционната практика да следва предложението за назначаване на кандидат за прокурор). Предложение за освобождаване от длъжност: министърът на правосъдието по предложение на ръководителя на прокуратурата. Решението за освобождаване от длъжност се взема с кралски указ. </w:t>
      </w:r>
      <w:r>
        <w:rPr>
          <w:rFonts w:ascii="Times New Roman" w:hAnsi="Times New Roman"/>
          <w:b/>
          <w:i/>
          <w:noProof/>
          <w:color w:val="000000"/>
          <w:sz w:val="18"/>
        </w:rPr>
        <w:t>AT:</w:t>
      </w:r>
      <w:r>
        <w:rPr>
          <w:rFonts w:ascii="Times New Roman" w:hAnsi="Times New Roman"/>
          <w:i/>
          <w:noProof/>
          <w:color w:val="000000"/>
          <w:sz w:val="18"/>
        </w:rPr>
        <w:t xml:space="preserve"> предложение за назначаване: независимата Комисия за персонала (Personalkommission), състояща се от четирима членове, които трябва да са прокурори. Решение за назначаване: федералният президент делегира решението на министъра на правосъдието. Предложение и решение за освобождаване от длъжност: дисциплинарният съд. </w:t>
      </w:r>
      <w:r>
        <w:rPr>
          <w:rFonts w:ascii="Times New Roman" w:hAnsi="Times New Roman"/>
          <w:b/>
          <w:i/>
          <w:noProof/>
          <w:color w:val="000000"/>
          <w:sz w:val="18"/>
        </w:rPr>
        <w:t>PL:</w:t>
      </w:r>
      <w:r>
        <w:rPr>
          <w:rFonts w:ascii="Times New Roman" w:hAnsi="Times New Roman"/>
          <w:i/>
          <w:noProof/>
          <w:color w:val="000000"/>
          <w:sz w:val="18"/>
        </w:rPr>
        <w:t xml:space="preserve"> предложение и решение за назначаване: главният прокурор, който е и министърът на правосъдието, по предложение на националния прокурор. Съветът на компетентната прокуратура дава становище за кандидатите за длъжността прокурор. Предложение за освобождаване от длъжност: национален прокурор. Решение за освобождаване от длъжност: дисциплинарният съд; в много ограничени случаи по искане на националния прокурор главният прокурор може да освободи от длъжност прокурор. Становището по освобождаването от длъжност на прокурор се дава от събранието на прокурорите на Националната прокуратура или на компетентната окръжна прокуратура. </w:t>
      </w:r>
      <w:r>
        <w:rPr>
          <w:rFonts w:ascii="Times New Roman" w:hAnsi="Times New Roman"/>
          <w:b/>
          <w:i/>
          <w:noProof/>
          <w:color w:val="000000"/>
          <w:sz w:val="18"/>
        </w:rPr>
        <w:t>RO:</w:t>
      </w:r>
      <w:r>
        <w:rPr>
          <w:rFonts w:ascii="Times New Roman" w:hAnsi="Times New Roman"/>
          <w:i/>
          <w:noProof/>
          <w:color w:val="000000"/>
          <w:sz w:val="18"/>
        </w:rPr>
        <w:t xml:space="preserve"> предложение за назначаване: Висшият съдебен съвет. Решение за назначаване: президентът (органът по назначаването има задължение по закон да следва предложението за назначаване на кандидата на длъжността прокурор). </w:t>
      </w:r>
      <w:r>
        <w:rPr>
          <w:rFonts w:ascii="Times New Roman" w:hAnsi="Times New Roman"/>
          <w:b/>
          <w:i/>
          <w:noProof/>
          <w:color w:val="000000"/>
          <w:sz w:val="18"/>
        </w:rPr>
        <w:t>SI:</w:t>
      </w:r>
      <w:r>
        <w:rPr>
          <w:rFonts w:ascii="Times New Roman" w:hAnsi="Times New Roman"/>
          <w:i/>
          <w:noProof/>
          <w:color w:val="000000"/>
          <w:sz w:val="18"/>
        </w:rPr>
        <w:t xml:space="preserve"> предложение за назначаване: министърът на правосъдието по предложение на Прокурорския съвет. Решение за назначаване: Прокурорският съвет (органът по назначаването няма задължение да следва предложението за назначаване на кандидата на длъжността прокурор). Предложение за освобождаване от длъжност: Прокурорският съвет. Решение за освобождаване от длъжност: правителството по предложение на министъра на правосъдието. </w:t>
      </w:r>
      <w:r>
        <w:rPr>
          <w:rFonts w:ascii="Times New Roman" w:hAnsi="Times New Roman"/>
          <w:b/>
          <w:i/>
          <w:noProof/>
          <w:color w:val="000000"/>
          <w:sz w:val="18"/>
        </w:rPr>
        <w:t>SK:</w:t>
      </w:r>
      <w:r>
        <w:rPr>
          <w:rFonts w:ascii="Times New Roman" w:hAnsi="Times New Roman"/>
          <w:i/>
          <w:noProof/>
          <w:color w:val="000000"/>
          <w:sz w:val="18"/>
        </w:rPr>
        <w:t xml:space="preserve"> предложение за назначаване: председателят на Комисията за подбор на Главната прокуратура. Назначаване и освобождаване от длъжност: главният прокурор. </w:t>
      </w:r>
      <w:r>
        <w:rPr>
          <w:rFonts w:ascii="Times New Roman" w:hAnsi="Times New Roman"/>
          <w:b/>
          <w:i/>
          <w:noProof/>
          <w:color w:val="000000"/>
          <w:sz w:val="18"/>
        </w:rPr>
        <w:t>FI:</w:t>
      </w:r>
      <w:r>
        <w:rPr>
          <w:rFonts w:ascii="Times New Roman" w:hAnsi="Times New Roman"/>
          <w:i/>
          <w:noProof/>
          <w:color w:val="000000"/>
          <w:sz w:val="18"/>
        </w:rPr>
        <w:t xml:space="preserve"> назначаване и освобождаване от длъжност: главният прокурор. </w:t>
      </w:r>
      <w:r>
        <w:rPr>
          <w:rFonts w:ascii="Times New Roman" w:hAnsi="Times New Roman"/>
          <w:b/>
          <w:i/>
          <w:noProof/>
          <w:color w:val="000000"/>
          <w:sz w:val="18"/>
        </w:rPr>
        <w:t>SE:</w:t>
      </w:r>
      <w:r>
        <w:rPr>
          <w:rFonts w:ascii="Times New Roman" w:hAnsi="Times New Roman"/>
          <w:i/>
          <w:noProof/>
          <w:color w:val="000000"/>
          <w:sz w:val="18"/>
        </w:rPr>
        <w:t xml:space="preserve"> предложение за решение за назначаване: директорът на дирекция „Човешки ресурси“ на шведската прокуратура по предложение на главния прокурор. Предложение за освобождаване от длъжност: директорът на дирекция „Човешки ресурси“ на шведската прокуратура. Решение за освобождаване от длъжност: съдът по предложение на главния прокурор.</w:t>
      </w:r>
    </w:p>
    <w:p>
      <w:pPr>
        <w:spacing w:after="0" w:line="240" w:lineRule="auto"/>
        <w:jc w:val="both"/>
        <w:rPr>
          <w:rFonts w:ascii="Times New Roman" w:eastAsia="Times New Roman" w:hAnsi="Times New Roman" w:cs="Times New Roman"/>
          <w:i/>
          <w:noProof/>
          <w:color w:val="000000"/>
          <w:sz w:val="18"/>
          <w:szCs w:val="20"/>
        </w:rPr>
      </w:pPr>
    </w:p>
    <w:tbl>
      <w:tblPr>
        <w:tblW w:w="0" w:type="auto"/>
        <w:tblInd w:w="-10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29"/>
      </w:tblGrid>
      <w:tr>
        <w:trPr>
          <w:trHeight w:val="345"/>
        </w:trPr>
        <w:tc>
          <w:tcPr>
            <w:tcW w:w="9729" w:type="dxa"/>
            <w:shd w:val="clear" w:color="auto" w:fill="auto"/>
          </w:tcPr>
          <w:p>
            <w:pPr>
              <w:widowControl w:val="0"/>
              <w:tabs>
                <w:tab w:val="left" w:pos="850"/>
              </w:tabs>
              <w:spacing w:before="120" w:after="40" w:line="240" w:lineRule="auto"/>
              <w:ind w:left="850" w:hanging="850"/>
              <w:jc w:val="both"/>
              <w:outlineLvl w:val="2"/>
              <w:rPr>
                <w:rFonts w:ascii="Times New Roman" w:eastAsia="Times New Roman" w:hAnsi="Times New Roman" w:cs="Times New Roman"/>
                <w:b/>
                <w:noProof/>
                <w:sz w:val="24"/>
                <w:szCs w:val="24"/>
                <w:u w:val="single"/>
              </w:rPr>
            </w:pPr>
            <w:bookmarkStart w:id="549" w:name="_Toc442362481"/>
            <w:bookmarkStart w:id="550" w:name="_Toc442374817"/>
            <w:bookmarkStart w:id="551" w:name="_Toc442425957"/>
            <w:bookmarkStart w:id="552" w:name="_Toc442453083"/>
            <w:bookmarkStart w:id="553" w:name="_Toc443484542"/>
            <w:bookmarkStart w:id="554" w:name="_Toc443484764"/>
            <w:bookmarkStart w:id="555" w:name="_Toc443509505"/>
            <w:bookmarkStart w:id="556" w:name="_Toc446014834"/>
            <w:bookmarkStart w:id="557" w:name="_Toc441755432"/>
            <w:bookmarkStart w:id="558" w:name="_Toc441756469"/>
            <w:bookmarkStart w:id="559" w:name="_Toc441757513"/>
            <w:bookmarkStart w:id="560" w:name="_Toc441766642"/>
            <w:bookmarkStart w:id="561" w:name="_Toc441766981"/>
            <w:bookmarkStart w:id="562" w:name="_Toc442187982"/>
            <w:bookmarkStart w:id="563" w:name="_Toc442262074"/>
            <w:r>
              <w:rPr>
                <w:rFonts w:ascii="Times New Roman" w:hAnsi="Times New Roman"/>
                <w:b/>
                <w:noProof/>
                <w:sz w:val="24"/>
              </w:rPr>
              <w:t>3.3.3. Обобщение относно независимостта на съдебната власт</w:t>
            </w:r>
            <w:bookmarkEnd w:id="549"/>
            <w:bookmarkEnd w:id="550"/>
            <w:bookmarkEnd w:id="551"/>
            <w:bookmarkEnd w:id="552"/>
            <w:bookmarkEnd w:id="553"/>
            <w:bookmarkEnd w:id="554"/>
            <w:bookmarkEnd w:id="555"/>
            <w:bookmarkEnd w:id="556"/>
          </w:p>
          <w:p>
            <w:pPr>
              <w:widowControl w:val="0"/>
              <w:spacing w:before="60" w:after="120" w:line="240" w:lineRule="auto"/>
              <w:contextualSpacing/>
              <w:jc w:val="both"/>
              <w:rPr>
                <w:rFonts w:ascii="Times New Roman" w:eastAsia="Times New Roman" w:hAnsi="Times New Roman" w:cs="Times New Roman"/>
                <w:noProof/>
                <w:sz w:val="24"/>
              </w:rPr>
            </w:pPr>
            <w:r>
              <w:rPr>
                <w:rFonts w:ascii="Times New Roman" w:hAnsi="Times New Roman"/>
                <w:noProof/>
                <w:sz w:val="24"/>
              </w:rPr>
              <w:t>Независимостта на съдебната власт е основен елемент на ефективната правосъдна система. Тя играе изключително важна роля за утвърждаването на принципите на правовата държава, справедливостта на съдебното производство и доверието на гражданите и предприятията в правната система. Поради тази причина всяка реформа в сектора на правосъдието следва да е насочена към утвърждаването на принципите на правовата държава и спазването на европейските стандарти относно независимостта на съдебната власт. Информационното табло показва тенденциите в усещането за независимост на съдебната власт сред широката общественост и предприятията. В настоящото издание също така са представени някои подбрани показатели относно правните гаранции във връзка с органите, участващи в дисциплинарни производства срещу съдии и в управлението на прокуратурата. Структурните показатели сами по себе си не позволяват да се направят заключения за независимостта на съдебната власт в държавите членки, а представляват възможни елементи, които могат да послужат като отправна точка за такъв анализ.</w:t>
            </w:r>
          </w:p>
          <w:p>
            <w:pPr>
              <w:widowControl w:val="0"/>
              <w:numPr>
                <w:ilvl w:val="0"/>
                <w:numId w:val="21"/>
              </w:numPr>
              <w:spacing w:before="120"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Информационното табло за 2019 г. представя промените в </w:t>
            </w:r>
            <w:r>
              <w:rPr>
                <w:rFonts w:ascii="Times New Roman" w:hAnsi="Times New Roman"/>
                <w:b/>
                <w:noProof/>
                <w:sz w:val="24"/>
              </w:rPr>
              <w:t>усещането за независимост</w:t>
            </w:r>
            <w:r>
              <w:rPr>
                <w:rFonts w:ascii="Times New Roman" w:hAnsi="Times New Roman"/>
                <w:noProof/>
                <w:sz w:val="24"/>
              </w:rPr>
              <w:t xml:space="preserve"> съгласно проучванията сред гражданите (Евробарометър) и дружествата (Евробарометър и Световен икономически форум):</w:t>
            </w:r>
          </w:p>
          <w:p>
            <w:pPr>
              <w:widowControl w:val="0"/>
              <w:numPr>
                <w:ilvl w:val="1"/>
                <w:numId w:val="21"/>
              </w:numPr>
              <w:spacing w:before="60" w:after="0" w:line="240" w:lineRule="auto"/>
              <w:ind w:left="902" w:hanging="516"/>
              <w:jc w:val="both"/>
              <w:rPr>
                <w:rFonts w:ascii="Times New Roman" w:eastAsia="Times New Roman" w:hAnsi="Times New Roman" w:cs="Times New Roman"/>
                <w:noProof/>
                <w:sz w:val="24"/>
                <w:szCs w:val="24"/>
              </w:rPr>
            </w:pPr>
            <w:r>
              <w:rPr>
                <w:rFonts w:ascii="Times New Roman" w:hAnsi="Times New Roman"/>
                <w:noProof/>
                <w:sz w:val="24"/>
              </w:rPr>
              <w:t xml:space="preserve">Всички проучвания показват като цяло </w:t>
            </w:r>
            <w:r>
              <w:rPr>
                <w:rFonts w:ascii="Times New Roman" w:hAnsi="Times New Roman"/>
                <w:i/>
                <w:noProof/>
                <w:sz w:val="24"/>
              </w:rPr>
              <w:t>сходни резултати</w:t>
            </w:r>
            <w:r>
              <w:rPr>
                <w:rFonts w:ascii="Times New Roman" w:hAnsi="Times New Roman"/>
                <w:noProof/>
                <w:sz w:val="24"/>
              </w:rPr>
              <w:t>,</w:t>
            </w:r>
            <w:r>
              <w:rPr>
                <w:rFonts w:ascii="Times New Roman" w:hAnsi="Times New Roman"/>
                <w:i/>
                <w:noProof/>
                <w:sz w:val="24"/>
              </w:rPr>
              <w:t xml:space="preserve"> </w:t>
            </w:r>
            <w:r>
              <w:rPr>
                <w:rFonts w:ascii="Times New Roman" w:hAnsi="Times New Roman"/>
                <w:noProof/>
                <w:sz w:val="24"/>
              </w:rPr>
              <w:t>особено по отношение на състава на двете групи държави членки с най-ниското и най-високото равнище на усещане за независимостта на съдебната власт.</w:t>
            </w:r>
          </w:p>
          <w:p>
            <w:pPr>
              <w:widowControl w:val="0"/>
              <w:numPr>
                <w:ilvl w:val="1"/>
                <w:numId w:val="21"/>
              </w:numPr>
              <w:spacing w:before="60" w:after="0" w:line="240" w:lineRule="auto"/>
              <w:ind w:left="902" w:hanging="516"/>
              <w:jc w:val="both"/>
              <w:rPr>
                <w:rFonts w:ascii="Times New Roman" w:eastAsia="Times New Roman" w:hAnsi="Times New Roman" w:cs="Times New Roman"/>
                <w:noProof/>
                <w:sz w:val="24"/>
                <w:szCs w:val="24"/>
              </w:rPr>
            </w:pPr>
            <w:r>
              <w:rPr>
                <w:rFonts w:ascii="Times New Roman" w:hAnsi="Times New Roman"/>
                <w:noProof/>
                <w:sz w:val="24"/>
              </w:rPr>
              <w:t>Проучването на Световния икономически форум (графика 51), представено за седми път, показва, че усещането за независимостта, изразено от страна на предприятията, се</w:t>
            </w:r>
            <w:r>
              <w:rPr>
                <w:rFonts w:ascii="Times New Roman" w:hAnsi="Times New Roman"/>
                <w:i/>
                <w:noProof/>
                <w:sz w:val="24"/>
              </w:rPr>
              <w:t xml:space="preserve"> </w:t>
            </w:r>
            <w:r>
              <w:rPr>
                <w:rFonts w:ascii="Times New Roman" w:hAnsi="Times New Roman"/>
                <w:noProof/>
                <w:sz w:val="24"/>
              </w:rPr>
              <w:t xml:space="preserve">е </w:t>
            </w:r>
            <w:r>
              <w:rPr>
                <w:rFonts w:ascii="Times New Roman" w:hAnsi="Times New Roman"/>
                <w:i/>
                <w:noProof/>
                <w:sz w:val="24"/>
              </w:rPr>
              <w:t>подобрило</w:t>
            </w:r>
            <w:r>
              <w:rPr>
                <w:rFonts w:ascii="Times New Roman" w:hAnsi="Times New Roman"/>
                <w:noProof/>
                <w:sz w:val="24"/>
              </w:rPr>
              <w:t xml:space="preserve"> или е </w:t>
            </w:r>
            <w:r>
              <w:rPr>
                <w:rFonts w:ascii="Times New Roman" w:hAnsi="Times New Roman"/>
                <w:i/>
                <w:noProof/>
                <w:sz w:val="24"/>
              </w:rPr>
              <w:t>останало на същото равнище</w:t>
            </w:r>
            <w:r>
              <w:rPr>
                <w:rFonts w:ascii="Times New Roman" w:hAnsi="Times New Roman"/>
                <w:noProof/>
                <w:sz w:val="24"/>
              </w:rPr>
              <w:t xml:space="preserve"> в близо трети пети от държавите членки при съпоставянето му с 2010 г. Също така сред държавите членки, изправени пред специфични предизвикателства (</w:t>
            </w:r>
            <w:r>
              <w:rPr>
                <w:rFonts w:ascii="Times New Roman" w:hAnsi="Times New Roman"/>
                <w:noProof/>
                <w:sz w:val="24"/>
                <w:vertAlign w:val="superscript"/>
              </w:rPr>
              <w:footnoteReference w:id="139"/>
            </w:r>
            <w:r>
              <w:rPr>
                <w:rFonts w:ascii="Times New Roman" w:hAnsi="Times New Roman"/>
                <w:noProof/>
                <w:sz w:val="24"/>
              </w:rPr>
              <w:t xml:space="preserve">), усещането за независимостта се е </w:t>
            </w:r>
            <w:r>
              <w:rPr>
                <w:rFonts w:ascii="Times New Roman" w:hAnsi="Times New Roman"/>
                <w:i/>
                <w:noProof/>
                <w:sz w:val="24"/>
              </w:rPr>
              <w:t>подобрило</w:t>
            </w:r>
            <w:r>
              <w:rPr>
                <w:rFonts w:ascii="Times New Roman" w:hAnsi="Times New Roman"/>
                <w:noProof/>
                <w:sz w:val="24"/>
              </w:rPr>
              <w:t xml:space="preserve"> или е </w:t>
            </w:r>
            <w:r>
              <w:rPr>
                <w:rFonts w:ascii="Times New Roman" w:hAnsi="Times New Roman"/>
                <w:i/>
                <w:noProof/>
                <w:sz w:val="24"/>
              </w:rPr>
              <w:t>останало на същото равнище</w:t>
            </w:r>
            <w:r>
              <w:rPr>
                <w:rFonts w:ascii="Times New Roman" w:hAnsi="Times New Roman"/>
                <w:noProof/>
                <w:sz w:val="24"/>
              </w:rPr>
              <w:t xml:space="preserve"> в почти три пети от тях, ако се отчита целият осемгодишен период. В сравнение с периода 2016—2017 г. обаче усещането за независимостта, изразено от страна на предприятията, се е </w:t>
            </w:r>
            <w:r>
              <w:rPr>
                <w:rFonts w:ascii="Times New Roman" w:hAnsi="Times New Roman"/>
                <w:i/>
                <w:noProof/>
                <w:sz w:val="24"/>
              </w:rPr>
              <w:t>влошило</w:t>
            </w:r>
            <w:r>
              <w:rPr>
                <w:rFonts w:ascii="Times New Roman" w:hAnsi="Times New Roman"/>
                <w:noProof/>
                <w:sz w:val="24"/>
              </w:rPr>
              <w:t xml:space="preserve"> в около три пети от всички държави членки.</w:t>
            </w:r>
          </w:p>
          <w:p>
            <w:pPr>
              <w:widowControl w:val="0"/>
              <w:numPr>
                <w:ilvl w:val="1"/>
                <w:numId w:val="21"/>
              </w:numPr>
              <w:spacing w:before="60" w:after="0" w:line="240" w:lineRule="auto"/>
              <w:ind w:left="902" w:hanging="516"/>
              <w:jc w:val="both"/>
              <w:rPr>
                <w:rFonts w:ascii="Times New Roman" w:eastAsia="Times New Roman" w:hAnsi="Times New Roman" w:cs="Times New Roman"/>
                <w:noProof/>
                <w:sz w:val="24"/>
                <w:szCs w:val="24"/>
              </w:rPr>
            </w:pPr>
            <w:r>
              <w:rPr>
                <w:rFonts w:ascii="Times New Roman" w:hAnsi="Times New Roman"/>
                <w:noProof/>
                <w:sz w:val="24"/>
              </w:rPr>
              <w:t xml:space="preserve">Проучването на Евробарометър сред широката общественост (графика 47), представено за четвърти път, показва, че усещането за независимостта се е </w:t>
            </w:r>
            <w:r>
              <w:rPr>
                <w:rFonts w:ascii="Times New Roman" w:hAnsi="Times New Roman"/>
                <w:i/>
                <w:noProof/>
                <w:sz w:val="24"/>
              </w:rPr>
              <w:t>подобрило</w:t>
            </w:r>
            <w:r>
              <w:rPr>
                <w:rFonts w:ascii="Times New Roman" w:hAnsi="Times New Roman"/>
                <w:noProof/>
                <w:sz w:val="24"/>
              </w:rPr>
              <w:t xml:space="preserve"> в близо две трети от държавите членки при съпоставянето му с 2016 г. През целия четиригодишен период усещането за независимостта на широката общественост се е </w:t>
            </w:r>
            <w:r>
              <w:rPr>
                <w:rFonts w:ascii="Times New Roman" w:hAnsi="Times New Roman"/>
                <w:i/>
                <w:noProof/>
                <w:sz w:val="24"/>
              </w:rPr>
              <w:t>подобрило</w:t>
            </w:r>
            <w:r>
              <w:rPr>
                <w:rFonts w:ascii="Times New Roman" w:hAnsi="Times New Roman"/>
                <w:noProof/>
                <w:sz w:val="24"/>
              </w:rPr>
              <w:t xml:space="preserve"> в над две трети от държавите членки, изправени пред специфични предизвикателства. В сравнение с миналата година обаче усещането за независимостта на широката общественост се е </w:t>
            </w:r>
            <w:r>
              <w:rPr>
                <w:rFonts w:ascii="Times New Roman" w:hAnsi="Times New Roman"/>
                <w:i/>
                <w:noProof/>
                <w:sz w:val="24"/>
              </w:rPr>
              <w:t>влошило</w:t>
            </w:r>
            <w:r>
              <w:rPr>
                <w:rFonts w:ascii="Times New Roman" w:hAnsi="Times New Roman"/>
                <w:noProof/>
                <w:sz w:val="24"/>
              </w:rPr>
              <w:t xml:space="preserve"> в около три пети от всички държави членки (в над две трети от държавите членки, изправени пред специфични предизвикателства, и в около половината от другите държави членки).</w:t>
            </w:r>
          </w:p>
          <w:p>
            <w:pPr>
              <w:widowControl w:val="0"/>
              <w:numPr>
                <w:ilvl w:val="1"/>
                <w:numId w:val="21"/>
              </w:numPr>
              <w:spacing w:before="60" w:after="0" w:line="240" w:lineRule="auto"/>
              <w:ind w:left="902" w:hanging="516"/>
              <w:jc w:val="both"/>
              <w:rPr>
                <w:rFonts w:ascii="Times New Roman" w:eastAsia="Times New Roman" w:hAnsi="Times New Roman" w:cs="Times New Roman"/>
                <w:noProof/>
                <w:sz w:val="24"/>
                <w:szCs w:val="24"/>
              </w:rPr>
            </w:pPr>
            <w:r>
              <w:rPr>
                <w:rFonts w:ascii="Times New Roman" w:hAnsi="Times New Roman"/>
                <w:noProof/>
                <w:sz w:val="24"/>
              </w:rPr>
              <w:t xml:space="preserve">Проучването на Евробарометър сред дружествата (графика 49), представено за четвърти път, показва, че усещането за независимостта се е </w:t>
            </w:r>
            <w:r>
              <w:rPr>
                <w:rFonts w:ascii="Times New Roman" w:hAnsi="Times New Roman"/>
                <w:i/>
                <w:noProof/>
                <w:sz w:val="24"/>
              </w:rPr>
              <w:t>подобрило</w:t>
            </w:r>
            <w:r>
              <w:rPr>
                <w:rFonts w:ascii="Times New Roman" w:hAnsi="Times New Roman"/>
                <w:noProof/>
                <w:sz w:val="24"/>
              </w:rPr>
              <w:t xml:space="preserve"> в около две трети от държавите членки в сравнение с 2016 г. и с миналата година (в сравнение с миналата година това е така в над две трети от държавите членки, изправени пред специфични предизвикателства, и в около три пети от другите държави членки).</w:t>
            </w:r>
          </w:p>
          <w:p>
            <w:pPr>
              <w:widowControl w:val="0"/>
              <w:numPr>
                <w:ilvl w:val="1"/>
                <w:numId w:val="21"/>
              </w:numPr>
              <w:spacing w:before="60" w:after="0" w:line="240" w:lineRule="auto"/>
              <w:ind w:left="902" w:hanging="516"/>
              <w:jc w:val="both"/>
              <w:rPr>
                <w:rFonts w:ascii="Times New Roman" w:eastAsia="Times New Roman" w:hAnsi="Times New Roman" w:cs="Times New Roman"/>
                <w:noProof/>
                <w:sz w:val="24"/>
                <w:szCs w:val="24"/>
              </w:rPr>
            </w:pPr>
            <w:r>
              <w:rPr>
                <w:rFonts w:ascii="Times New Roman" w:hAnsi="Times New Roman"/>
                <w:noProof/>
                <w:sz w:val="24"/>
              </w:rPr>
              <w:t xml:space="preserve">Сред причините, водещи до усещане за липса на независимост на съдилищата и съдиите, най-често изтъквани са </w:t>
            </w:r>
            <w:r>
              <w:rPr>
                <w:rFonts w:ascii="Times New Roman" w:hAnsi="Times New Roman"/>
                <w:i/>
                <w:noProof/>
                <w:sz w:val="24"/>
              </w:rPr>
              <w:t>намесата или натискът от страна на правителството или политиците</w:t>
            </w:r>
            <w:r>
              <w:rPr>
                <w:rFonts w:ascii="Times New Roman" w:hAnsi="Times New Roman"/>
                <w:noProof/>
                <w:sz w:val="24"/>
              </w:rPr>
              <w:t>, а след тях — натискът поради икономически или други конкретни интереси. И двете причини продължават да се открояват при няколко държави членки, в които усещането за независимостта е на особено ниско равнище (графики 48 и 50).</w:t>
            </w:r>
          </w:p>
          <w:p>
            <w:pPr>
              <w:widowControl w:val="0"/>
              <w:numPr>
                <w:ilvl w:val="1"/>
                <w:numId w:val="21"/>
              </w:numPr>
              <w:spacing w:before="60" w:after="0" w:line="240" w:lineRule="auto"/>
              <w:ind w:left="902" w:hanging="516"/>
              <w:jc w:val="both"/>
              <w:rPr>
                <w:rFonts w:ascii="Times New Roman" w:eastAsia="Times New Roman" w:hAnsi="Times New Roman" w:cs="Times New Roman"/>
                <w:noProof/>
                <w:sz w:val="24"/>
                <w:szCs w:val="24"/>
              </w:rPr>
            </w:pPr>
            <w:r>
              <w:rPr>
                <w:rFonts w:ascii="Times New Roman" w:hAnsi="Times New Roman"/>
                <w:noProof/>
                <w:sz w:val="24"/>
              </w:rPr>
              <w:t xml:space="preserve">Сред причините за положителното усещане за независимостта на съдилищата и съдиите близо три четвърти от дружествата и гражданите (еквивалентно съответно на 40 % и 44 % от всички отговорили) посочват </w:t>
            </w:r>
            <w:r>
              <w:rPr>
                <w:rFonts w:ascii="Times New Roman" w:hAnsi="Times New Roman"/>
                <w:i/>
                <w:noProof/>
                <w:sz w:val="24"/>
              </w:rPr>
              <w:t>гаранциите, предоставяни от статута и позицията на съдиите</w:t>
            </w:r>
            <w:r>
              <w:rPr>
                <w:rFonts w:ascii="Times New Roman" w:hAnsi="Times New Roman"/>
                <w:noProof/>
                <w:sz w:val="24"/>
              </w:rPr>
              <w:t>.</w:t>
            </w:r>
          </w:p>
          <w:p>
            <w:pPr>
              <w:widowControl w:val="0"/>
              <w:numPr>
                <w:ilvl w:val="0"/>
                <w:numId w:val="21"/>
              </w:numPr>
              <w:spacing w:before="60" w:after="0" w:line="240" w:lineRule="auto"/>
              <w:jc w:val="both"/>
              <w:rPr>
                <w:rFonts w:ascii="Times New Roman" w:eastAsia="Times New Roman" w:hAnsi="Times New Roman" w:cs="Times New Roman"/>
                <w:noProof/>
                <w:sz w:val="24"/>
                <w:szCs w:val="24"/>
              </w:rPr>
            </w:pPr>
            <w:r>
              <w:rPr>
                <w:rFonts w:ascii="Times New Roman" w:hAnsi="Times New Roman"/>
                <w:noProof/>
                <w:sz w:val="24"/>
              </w:rPr>
              <w:t>В Информационното табло на ЕС в областта на правосъдието за 2019 г. се прави обзор на дисциплинарните органи, занимаващи се с производствата срещу съдиите, както и на компетентността на съдебната власт, изпълнителната власт и парламента при подбора на съдиите — членове на съдебните съвети, и на някои организационни аспекти на прокуратурите:</w:t>
            </w:r>
          </w:p>
          <w:p>
            <w:pPr>
              <w:widowControl w:val="0"/>
              <w:numPr>
                <w:ilvl w:val="0"/>
                <w:numId w:val="14"/>
              </w:numPr>
              <w:spacing w:before="6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На графика 52 се прави обзор на органите, отговарящи за </w:t>
            </w:r>
            <w:r>
              <w:rPr>
                <w:rFonts w:ascii="Times New Roman" w:hAnsi="Times New Roman"/>
                <w:b/>
                <w:noProof/>
                <w:sz w:val="24"/>
              </w:rPr>
              <w:t>дисциплинарните производства срещу съдиите</w:t>
            </w:r>
            <w:r>
              <w:rPr>
                <w:rFonts w:ascii="Times New Roman" w:hAnsi="Times New Roman"/>
                <w:noProof/>
                <w:sz w:val="24"/>
              </w:rPr>
              <w:t>. В повечето държави членки органът, вземащ решения за дисциплинарните санкции, е независим орган, като например съд (върховен съд, административен съд или председател на съда) или съдебен съвет, но в някои държави членки той е специален съд, чиито членове са специално подбрани или назначени (от съдебния съвет, от съдии или в една държава членка — от министъра на правосъдието) да решават в дисциплинарните производства.</w:t>
            </w:r>
          </w:p>
          <w:p>
            <w:pPr>
              <w:widowControl w:val="0"/>
              <w:numPr>
                <w:ilvl w:val="0"/>
                <w:numId w:val="14"/>
              </w:numPr>
              <w:spacing w:before="6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На графика 53 се прави обзор на това кой е </w:t>
            </w:r>
            <w:r>
              <w:rPr>
                <w:rFonts w:ascii="Times New Roman" w:hAnsi="Times New Roman"/>
                <w:b/>
                <w:noProof/>
                <w:sz w:val="24"/>
              </w:rPr>
              <w:t>разследващият орган, отговарящ за дисциплинарните производства срещу съдиите</w:t>
            </w:r>
            <w:r>
              <w:rPr>
                <w:rFonts w:ascii="Times New Roman" w:hAnsi="Times New Roman"/>
                <w:noProof/>
                <w:sz w:val="24"/>
              </w:rPr>
              <w:t>. В повечето държави членки разследващият орган е председателят на съда или съдебният съвет. В някои държави членки разследващият орган се подбира специално или от съдии, или от съдебния съвет, или, в една държава членка, от министъра на правосъдието.</w:t>
            </w:r>
          </w:p>
          <w:p>
            <w:pPr>
              <w:widowControl w:val="0"/>
              <w:numPr>
                <w:ilvl w:val="0"/>
                <w:numId w:val="14"/>
              </w:numPr>
              <w:spacing w:before="6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Графика 54 илюстрира участието на съдебната власт в </w:t>
            </w:r>
            <w:r>
              <w:rPr>
                <w:rFonts w:ascii="Times New Roman" w:hAnsi="Times New Roman"/>
                <w:b/>
                <w:noProof/>
                <w:sz w:val="24"/>
              </w:rPr>
              <w:t>назначаването на съдиите — членове на съдебни съвети</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От държавите членки зависи как да организират своите правосъдни системи, включително дали да създадат съдебен съвет или не. Въпреки това, когато в държава членка е създаден съдебен съвет, неговата независимост трябва да бъде гарантирана в съответствие с европейските стандарти. В почти всички държави членки съдиите — членове на съдебни съвети, се предлагат и избират или подбират от други съдии.</w:t>
            </w:r>
          </w:p>
          <w:p>
            <w:pPr>
              <w:widowControl w:val="0"/>
              <w:numPr>
                <w:ilvl w:val="0"/>
                <w:numId w:val="14"/>
              </w:numPr>
              <w:spacing w:before="6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В графика 55 се прави обзор на разпределението сред различните органи на </w:t>
            </w:r>
            <w:r>
              <w:rPr>
                <w:rFonts w:ascii="Times New Roman" w:hAnsi="Times New Roman"/>
                <w:b/>
                <w:noProof/>
                <w:sz w:val="24"/>
              </w:rPr>
              <w:t>основните управленски правомощия по отношение на националните прокурори</w:t>
            </w:r>
            <w:r>
              <w:rPr>
                <w:rFonts w:ascii="Times New Roman" w:hAnsi="Times New Roman"/>
                <w:noProof/>
                <w:sz w:val="24"/>
              </w:rPr>
              <w:t xml:space="preserve">. В графика 56 се прави фактически обзор на основните управленски правомощия на главния прокурор по отношение на прокурорите. Тези графики показват, че в някои държави членки съществува известна концентрация в един-единствен орган от основните управленски правомощия, свързани с прокуратурата. В графика 57 се прави обзор на органите, участващи в </w:t>
            </w:r>
            <w:r>
              <w:rPr>
                <w:rFonts w:ascii="Times New Roman" w:hAnsi="Times New Roman"/>
                <w:b/>
                <w:noProof/>
                <w:sz w:val="24"/>
              </w:rPr>
              <w:t>процедурите за назначаване и освобождаване от длъжност на националните прокурори</w:t>
            </w:r>
            <w:r>
              <w:rPr>
                <w:rFonts w:ascii="Times New Roman" w:hAnsi="Times New Roman"/>
                <w:noProof/>
                <w:sz w:val="24"/>
              </w:rPr>
              <w:t>. Въпреки че положението е твърде различно в отделните държави членки, в повечето от тях участва съдебният съвет/прокурорският съвет или прокуратурата.</w:t>
            </w:r>
          </w:p>
        </w:tc>
      </w:tr>
    </w:tbl>
    <w:p>
      <w:pPr>
        <w:keepNext/>
        <w:tabs>
          <w:tab w:val="left" w:pos="850"/>
        </w:tabs>
        <w:spacing w:before="240" w:after="120" w:line="240" w:lineRule="auto"/>
        <w:ind w:left="850" w:hanging="850"/>
        <w:jc w:val="both"/>
        <w:outlineLvl w:val="0"/>
        <w:rPr>
          <w:rFonts w:ascii="Times New Roman" w:eastAsia="Times New Roman" w:hAnsi="Times New Roman" w:cs="Times New Roman"/>
          <w:b/>
          <w:smallCaps/>
          <w:noProof/>
          <w:sz w:val="24"/>
          <w:szCs w:val="24"/>
        </w:rPr>
      </w:pPr>
      <w:bookmarkStart w:id="564" w:name="_Toc440291129"/>
      <w:bookmarkStart w:id="565" w:name="_Toc440294692"/>
      <w:bookmarkStart w:id="566" w:name="_Toc440295194"/>
      <w:bookmarkStart w:id="567" w:name="_Toc440296599"/>
      <w:bookmarkStart w:id="568" w:name="_Toc440625083"/>
      <w:bookmarkStart w:id="569" w:name="_Toc440626413"/>
      <w:bookmarkStart w:id="570" w:name="_Toc440628867"/>
      <w:bookmarkStart w:id="571" w:name="_Toc441571141"/>
      <w:bookmarkStart w:id="572" w:name="_Toc441581643"/>
      <w:bookmarkStart w:id="573" w:name="_Toc441585910"/>
      <w:bookmarkStart w:id="574" w:name="_Toc441595845"/>
      <w:bookmarkStart w:id="575" w:name="_Toc441596022"/>
      <w:bookmarkStart w:id="576" w:name="_Toc441748147"/>
      <w:bookmarkStart w:id="577" w:name="_Toc441755433"/>
      <w:bookmarkStart w:id="578" w:name="_Toc441756470"/>
      <w:bookmarkStart w:id="579" w:name="_Toc441757514"/>
      <w:bookmarkStart w:id="580" w:name="_Toc441766643"/>
      <w:bookmarkStart w:id="581" w:name="_Toc441766982"/>
      <w:bookmarkStart w:id="582" w:name="_Toc442187983"/>
      <w:bookmarkStart w:id="583" w:name="_Toc442262075"/>
      <w:bookmarkStart w:id="584" w:name="_Toc442362482"/>
      <w:bookmarkStart w:id="585" w:name="_Toc442374818"/>
      <w:bookmarkStart w:id="586" w:name="_Toc442425958"/>
      <w:bookmarkStart w:id="587" w:name="_Toc442453084"/>
      <w:bookmarkEnd w:id="557"/>
      <w:bookmarkEnd w:id="558"/>
      <w:bookmarkEnd w:id="559"/>
      <w:bookmarkEnd w:id="560"/>
      <w:bookmarkEnd w:id="561"/>
      <w:bookmarkEnd w:id="562"/>
      <w:bookmarkEnd w:id="563"/>
      <w:r>
        <w:rPr>
          <w:noProof/>
        </w:rPr>
        <w:tab/>
      </w:r>
      <w:bookmarkStart w:id="588" w:name="_Toc409512293"/>
      <w:bookmarkStart w:id="589" w:name="_Toc409530234"/>
      <w:bookmarkStart w:id="590" w:name="_Toc438545683"/>
      <w:bookmarkStart w:id="591" w:name="_Toc438548333"/>
      <w:bookmarkStart w:id="592" w:name="_Toc438548519"/>
      <w:bookmarkStart w:id="593" w:name="_Toc440017707"/>
      <w:bookmarkStart w:id="594" w:name="_Toc440018091"/>
      <w:bookmarkStart w:id="595" w:name="_Toc440033389"/>
      <w:bookmarkStart w:id="596" w:name="_Toc440035240"/>
      <w:bookmarkStart w:id="597" w:name="_Toc440036535"/>
      <w:bookmarkStart w:id="598" w:name="_Toc440042477"/>
      <w:bookmarkStart w:id="599" w:name="_Toc443484543"/>
      <w:bookmarkStart w:id="600" w:name="_Toc443484765"/>
      <w:bookmarkStart w:id="601" w:name="_Toc443509506"/>
      <w:bookmarkStart w:id="602" w:name="_Toc446014835"/>
      <w:r>
        <w:rPr>
          <w:rFonts w:ascii="Times New Roman" w:hAnsi="Times New Roman"/>
          <w:b/>
          <w:smallCaps/>
          <w:noProof/>
          <w:sz w:val="24"/>
        </w:rPr>
        <w:t>4.</w:t>
      </w:r>
      <w:r>
        <w:rPr>
          <w:noProof/>
        </w:rPr>
        <w:tab/>
      </w:r>
      <w:r>
        <w:rPr>
          <w:rFonts w:ascii="Times New Roman" w:hAnsi="Times New Roman"/>
          <w:b/>
          <w:smallCaps/>
          <w:noProof/>
          <w:sz w:val="24"/>
        </w:rPr>
        <w:t>ЗАКЛЮЧЕНИЯ</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pPr>
        <w:spacing w:before="240" w:after="120" w:line="240" w:lineRule="auto"/>
        <w:jc w:val="both"/>
        <w:rPr>
          <w:noProof/>
        </w:rPr>
      </w:pPr>
      <w:r>
        <w:rPr>
          <w:rFonts w:ascii="Times New Roman" w:hAnsi="Times New Roman"/>
          <w:noProof/>
          <w:sz w:val="24"/>
        </w:rPr>
        <w:t>Настоящото седмо издание на Информационното табло на ЕС в областта на правосъдието показва, че голям брой държави членки са продължили усилията си за по-нататъшно подобряване на ефективността на националните правосъдни системи. Въпреки това продължават да съществуват предизвикателства, така че не може да се каже, че гражданите имат пълно доверие в правните системи на тези държави членки, в които гаранциите за статута и позицията на съдиите е вероятно да са изложени на риск, а оттам и тяхната независимост. Комисията предприе необходимите действия и продължава да наблюдава положението в държавите членки. Тя е решена да гарантира, че при всяка реформа в сферата на правосъдието се спазват правото на ЕС и европейските стандарти за правова държава.</w:t>
      </w:r>
    </w:p>
    <w:sectPr>
      <w:headerReference w:type="even" r:id="rId76"/>
      <w:headerReference w:type="default" r:id="rId77"/>
      <w:footerReference w:type="even" r:id="rId78"/>
      <w:footerReference w:type="default" r:id="rId79"/>
      <w:headerReference w:type="first" r:id="rId80"/>
      <w:footerReference w:type="first" r:id="rId81"/>
      <w:pgSz w:w="11907" w:h="16839"/>
      <w:pgMar w:top="1134" w:right="1247" w:bottom="1134" w:left="1247" w:header="709" w:footer="0"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tab/>
    </w:r>
    <w:r>
      <w:rPr>
        <w:rFonts w:ascii="Arial" w:hAnsi="Arial" w:cs="Arial"/>
        <w:b/>
        <w:sz w:val="48"/>
      </w:rPr>
      <w:t>BG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2</w:t>
    </w:r>
    <w:r>
      <w:rPr>
        <w:rFonts w:ascii="Times New Roman" w:hAnsi="Times New Roman" w:cs="Times New Roman"/>
      </w:rPr>
      <w:fldChar w:fldCharType="end"/>
    </w:r>
  </w:p>
  <w:p>
    <w:pPr>
      <w:pStyle w:val="Footer"/>
      <w:rPr>
        <w:rFonts w:ascii="Times New Roman" w:hAnsi="Times New Roman" w:cs="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spacing w:after="60"/>
        <w:ind w:left="567" w:hanging="567"/>
      </w:pPr>
      <w:r>
        <w:rPr>
          <w:rStyle w:val="FootnoteReference"/>
        </w:rPr>
        <w:footnoteRef/>
      </w:r>
      <w:r>
        <w:tab/>
        <w:t xml:space="preserve">Реч за състоянието на Съюза от 2018 г., произнесена пред Европейския парламент на 12 септември 2018 г.: </w:t>
      </w:r>
      <w:hyperlink r:id="rId1" w:history="1">
        <w:r>
          <w:rPr>
            <w:rStyle w:val="Hyperlink"/>
          </w:rPr>
          <w:t>https://ec.europa.eu/commission/sites/beta-political/files/soteu2018-speech_bg_0.pdf</w:t>
        </w:r>
      </w:hyperlink>
    </w:p>
  </w:footnote>
  <w:footnote w:id="3">
    <w:p>
      <w:pPr>
        <w:pStyle w:val="FootnoteText"/>
        <w:spacing w:after="60"/>
        <w:ind w:left="567" w:hanging="567"/>
      </w:pPr>
      <w:r>
        <w:rPr>
          <w:rStyle w:val="FootnoteReference"/>
        </w:rPr>
        <w:footnoteRef/>
      </w:r>
      <w:r>
        <w:tab/>
        <w:t>Изявление на Комисията от първия заместник-председател Франс Тимерманс на разискването в пленарно заседание на Европейския парламент от 28 февруари 2018 г. във връзка с решението на Комисията за задействане на член 7, параграф 1 от ДЕС във връзка с положението в Полша.</w:t>
      </w:r>
    </w:p>
  </w:footnote>
  <w:footnote w:id="4">
    <w:p>
      <w:pPr>
        <w:pStyle w:val="FootnoteText"/>
        <w:spacing w:after="60"/>
        <w:ind w:left="567" w:hanging="567"/>
      </w:pPr>
      <w:r>
        <w:rPr>
          <w:rStyle w:val="FootnoteReference"/>
        </w:rPr>
        <w:footnoteRef/>
      </w:r>
      <w:r>
        <w:tab/>
        <w:t>Реч, произнесена на 30 ноември 2018 г. във Виена на Конференцията относно ефективността на правосъдните системи.</w:t>
      </w:r>
    </w:p>
  </w:footnote>
  <w:footnote w:id="5">
    <w:p>
      <w:pPr>
        <w:pStyle w:val="FootnoteText"/>
        <w:spacing w:after="60"/>
        <w:ind w:left="567" w:hanging="567"/>
      </w:pPr>
      <w:r>
        <w:rPr>
          <w:rStyle w:val="FootnoteReference"/>
        </w:rPr>
        <w:footnoteRef/>
      </w:r>
      <w:r>
        <w:tab/>
        <w:t>Член 19 от Договора за Европейския съюз (ДЕС).</w:t>
      </w:r>
    </w:p>
  </w:footnote>
  <w:footnote w:id="6">
    <w:p>
      <w:pPr>
        <w:pStyle w:val="FootnoteText"/>
        <w:spacing w:after="60"/>
        <w:ind w:left="567" w:hanging="567"/>
      </w:pPr>
      <w:r>
        <w:rPr>
          <w:rStyle w:val="FootnoteReference"/>
        </w:rPr>
        <w:footnoteRef/>
      </w:r>
      <w:r>
        <w:tab/>
        <w:t>Решение на Съда (голям състав), 27 февруари 2018 г., Associação Sindical dos Juízes Portugueses/Tribunal de Contas, C-64/16, ECLI:EU:C:2018:117.</w:t>
      </w:r>
    </w:p>
  </w:footnote>
  <w:footnote w:id="7">
    <w:p>
      <w:pPr>
        <w:pStyle w:val="FootnoteText"/>
        <w:spacing w:after="60"/>
        <w:ind w:left="567" w:hanging="567"/>
      </w:pPr>
      <w:r>
        <w:rPr>
          <w:rStyle w:val="FootnoteReference"/>
        </w:rPr>
        <w:footnoteRef/>
      </w:r>
      <w:r>
        <w:tab/>
        <w:t>COM(2019) 163 final.</w:t>
      </w:r>
    </w:p>
  </w:footnote>
  <w:footnote w:id="8">
    <w:p>
      <w:pPr>
        <w:pStyle w:val="FootnoteText"/>
        <w:spacing w:after="60"/>
        <w:ind w:left="567" w:hanging="567"/>
      </w:pPr>
      <w:r>
        <w:rPr>
          <w:rStyle w:val="FootnoteReference"/>
        </w:rPr>
        <w:footnoteRef/>
      </w:r>
      <w:r>
        <w:tab/>
        <w:t>Съобщение на Комисията „Годишен обзор на растежа за 2019 г.“, 22.11.2018 г. (COM(2018) 770 final, стр. 12).</w:t>
      </w:r>
    </w:p>
  </w:footnote>
  <w:footnote w:id="9">
    <w:p>
      <w:pPr>
        <w:pStyle w:val="FootnoteText"/>
        <w:spacing w:after="60"/>
        <w:ind w:left="567" w:hanging="567"/>
      </w:pPr>
      <w:r>
        <w:rPr>
          <w:rStyle w:val="FootnoteReference"/>
        </w:rPr>
        <w:footnoteRef/>
      </w:r>
      <w:r>
        <w:tab/>
        <w:t>Европейският парламент прие резолюцията от 29 май 2018 г. относно информационното табло на ЕС в областта на правосъдието за 2017 г. (P8_TA (2018) 0216), която послужи като насока при изготвянето на настоящото издание и ще служи като такава при изготвянето на бъдещите издания на Информационното табло на ЕС в областта на правосъдието.</w:t>
      </w:r>
    </w:p>
  </w:footnote>
  <w:footnote w:id="10">
    <w:p>
      <w:pPr>
        <w:pStyle w:val="FootnoteText"/>
        <w:spacing w:after="60"/>
        <w:ind w:left="567" w:hanging="567"/>
      </w:pPr>
      <w:r>
        <w:rPr>
          <w:rStyle w:val="FootnoteReference"/>
        </w:rPr>
        <w:footnoteRef/>
      </w:r>
      <w:r>
        <w:tab/>
      </w:r>
      <w:hyperlink r:id="rId2" w:history="1">
        <w:r>
          <w:rPr>
            <w:rStyle w:val="Hyperlink"/>
          </w:rPr>
          <w:t>https://ec.europa.eu/info/strategy/justice-and-fundamental-rights/effective-justice/eu-justice-scoreboard_en</w:t>
        </w:r>
      </w:hyperlink>
    </w:p>
  </w:footnote>
  <w:footnote w:id="11">
    <w:p>
      <w:pPr>
        <w:pStyle w:val="FootnoteText"/>
        <w:spacing w:after="60"/>
        <w:ind w:left="567" w:hanging="567"/>
      </w:pPr>
      <w:r>
        <w:rPr>
          <w:rStyle w:val="FootnoteReference"/>
        </w:rPr>
        <w:footnoteRef/>
      </w:r>
      <w:r>
        <w:tab/>
        <w:t>С оглед на изготвянето на Информационното табло на ЕС в областта на правосъдието и за да насърчи обмена на най-добри практики във връзка с ефективността на правосъдните системи, Комисията поиска от държавите членки да определят две лица за контакт — едно от системата на съдебната власт и едно от Министерството на правосъдието. Тази неформална група провежда редовни срещи.</w:t>
      </w:r>
    </w:p>
  </w:footnote>
  <w:footnote w:id="12">
    <w:p>
      <w:pPr>
        <w:pStyle w:val="FootnoteText"/>
        <w:spacing w:after="60"/>
        <w:ind w:left="567" w:hanging="567"/>
      </w:pPr>
      <w:r>
        <w:rPr>
          <w:rStyle w:val="FootnoteReference"/>
        </w:rPr>
        <w:footnoteRef/>
      </w:r>
      <w:r>
        <w:tab/>
        <w:t xml:space="preserve">ЕМСС обединява националните институции в държавите членки, които са независими от изпълнителната и законодателната власт и отговарят за поддържането на съдебната система, за да може тя да осигурява независимо правораздаване: </w:t>
      </w:r>
      <w:hyperlink r:id="rId3" w:history="1">
        <w:r>
          <w:rPr>
            <w:rStyle w:val="Hyperlink"/>
          </w:rPr>
          <w:t>https://www.encj.eu/</w:t>
        </w:r>
      </w:hyperlink>
      <w:r>
        <w:t>.</w:t>
      </w:r>
    </w:p>
  </w:footnote>
  <w:footnote w:id="13">
    <w:p>
      <w:pPr>
        <w:pStyle w:val="FootnoteText"/>
        <w:spacing w:after="60"/>
        <w:ind w:left="567" w:hanging="567"/>
      </w:pPr>
      <w:r>
        <w:rPr>
          <w:rStyle w:val="FootnoteReference"/>
        </w:rPr>
        <w:footnoteRef/>
      </w:r>
      <w:r>
        <w:tab/>
        <w:t xml:space="preserve">NPSJC осигурява форум, посредством който европейските институции получават възможност да поискат становищата на върховните съдилища и да постигнат сближаване чрез насърчаване на дискусии и обмен на идеи: </w:t>
      </w:r>
      <w:hyperlink r:id="rId4" w:history="1">
        <w:r>
          <w:rPr>
            <w:rStyle w:val="Hyperlink"/>
          </w:rPr>
          <w:t>http://network-presidents.eu/</w:t>
        </w:r>
      </w:hyperlink>
      <w:r>
        <w:t>.</w:t>
      </w:r>
    </w:p>
  </w:footnote>
  <w:footnote w:id="14">
    <w:p>
      <w:pPr>
        <w:pStyle w:val="FootnoteText"/>
        <w:spacing w:after="60"/>
        <w:ind w:left="567" w:hanging="567"/>
      </w:pPr>
      <w:r>
        <w:rPr>
          <w:rStyle w:val="FootnoteReference"/>
        </w:rPr>
        <w:footnoteRef/>
      </w:r>
      <w:r>
        <w:tab/>
        <w:t xml:space="preserve">ACA-Europe е съставена от Съда на ЕС и държавните съвети или върховните административни юрисдикции на всяка държава — членка на ЕС: </w:t>
      </w:r>
      <w:hyperlink r:id="rId5" w:history="1">
        <w:r>
          <w:rPr>
            <w:rStyle w:val="Hyperlink"/>
          </w:rPr>
          <w:t>http://www.juradmin.eu/index.php/en/</w:t>
        </w:r>
      </w:hyperlink>
      <w:r>
        <w:t>.</w:t>
      </w:r>
    </w:p>
  </w:footnote>
  <w:footnote w:id="15">
    <w:p>
      <w:pPr>
        <w:pStyle w:val="FootnoteText"/>
        <w:spacing w:after="60"/>
        <w:ind w:left="567" w:hanging="567"/>
      </w:pPr>
      <w:r>
        <w:rPr>
          <w:rStyle w:val="FootnoteReference"/>
        </w:rPr>
        <w:footnoteRef/>
      </w:r>
      <w:r>
        <w:tab/>
      </w:r>
      <w:r>
        <w:rPr>
          <w:spacing w:val="-4"/>
        </w:rPr>
        <w:t xml:space="preserve">ECN бе създадена като форум за дискусии и сътрудничество между европейските органи за защита на конкуренцията в случаите, в които се прилагат членове 101 и 102 от Договора за функционирането на ЕС. ECN представлява рамката за прилагане на механизмите за тясно сътрудничество, предвидени в Регламент № 1/2003 на Съвета. Комисията и националните органи за защита на конкуренцията на всички държави — членки на ЕС, си сътрудничат чрез ECN: </w:t>
      </w:r>
      <w:hyperlink r:id="rId6" w:history="1">
        <w:r>
          <w:rPr>
            <w:rStyle w:val="Hyperlink"/>
            <w:spacing w:val="-4"/>
          </w:rPr>
          <w:t>http://ec.europa.eu/competition/ecn/index_en.html</w:t>
        </w:r>
      </w:hyperlink>
      <w:r>
        <w:rPr>
          <w:spacing w:val="-4"/>
        </w:rPr>
        <w:t>.</w:t>
      </w:r>
    </w:p>
  </w:footnote>
  <w:footnote w:id="16">
    <w:p>
      <w:pPr>
        <w:pStyle w:val="FootnoteText"/>
        <w:spacing w:after="60"/>
        <w:ind w:left="567" w:hanging="567"/>
      </w:pPr>
      <w:r>
        <w:rPr>
          <w:rStyle w:val="FootnoteReference"/>
        </w:rPr>
        <w:footnoteRef/>
      </w:r>
      <w:r>
        <w:tab/>
        <w:t xml:space="preserve">COCOM е съставен от представители на държавите — членки на ЕС. Основната му роля е да дава становища по проектите на мерки, които Комисията възнамерява да приеме по въпроси, свързани с дигиталния пазар: </w:t>
      </w:r>
      <w:hyperlink r:id="rId7" w:history="1">
        <w:r>
          <w:rPr>
            <w:rStyle w:val="Hyperlink"/>
          </w:rPr>
          <w:t>https://ec.europa.eu/digital-single-market/en/communications-committee</w:t>
        </w:r>
      </w:hyperlink>
      <w:r>
        <w:t>.</w:t>
      </w:r>
    </w:p>
  </w:footnote>
  <w:footnote w:id="17">
    <w:p>
      <w:pPr>
        <w:pStyle w:val="FootnoteText"/>
        <w:spacing w:after="60"/>
        <w:ind w:left="567" w:hanging="567"/>
      </w:pPr>
      <w:r>
        <w:rPr>
          <w:rStyle w:val="FootnoteReference"/>
        </w:rPr>
        <w:footnoteRef/>
      </w:r>
      <w:r>
        <w:tab/>
        <w:t xml:space="preserve">Европейската обсерватория за нарушенията на правата на интелектуална собственост е мрежа от експерти и специализирани заинтересовани страни. Тя е съставена от представители на публичния и частния сектор, които си сътрудничат в рамките на активни работни групи. </w:t>
      </w:r>
      <w:hyperlink r:id="rId8" w:history="1">
        <w:r>
          <w:rPr>
            <w:rStyle w:val="Hyperlink"/>
          </w:rPr>
          <w:t>https://euipo.europa.eu/ohimportal/en/web/observatory/home</w:t>
        </w:r>
      </w:hyperlink>
      <w:r>
        <w:t>.</w:t>
      </w:r>
    </w:p>
  </w:footnote>
  <w:footnote w:id="18">
    <w:p>
      <w:pPr>
        <w:pStyle w:val="FootnoteText"/>
        <w:spacing w:after="60"/>
        <w:ind w:left="567" w:hanging="567"/>
      </w:pPr>
      <w:r>
        <w:rPr>
          <w:rStyle w:val="FootnoteReference"/>
        </w:rPr>
        <w:footnoteRef/>
      </w:r>
      <w:r>
        <w:rPr>
          <w:vertAlign w:val="superscript"/>
        </w:rPr>
        <w:t xml:space="preserve"> </w:t>
      </w:r>
      <w:r>
        <w:tab/>
        <w:t xml:space="preserve">EGMLTF провежда редовни заседания с цел споделяне на мнения и подпомагане на Комисията при определянето на политики и изготвянето на нови законодателни актове в областта на изпирането на пари и финансирането на тероризма: </w:t>
      </w:r>
      <w:hyperlink r:id="rId9" w:history="1">
        <w:r>
          <w:rPr>
            <w:rStyle w:val="Hyperlink"/>
          </w:rPr>
          <w:t>http://ec.europa.eu/justice/civil/financial-crime/index_en.htm</w:t>
        </w:r>
      </w:hyperlink>
      <w:r>
        <w:t>.</w:t>
      </w:r>
    </w:p>
  </w:footnote>
  <w:footnote w:id="19">
    <w:p>
      <w:pPr>
        <w:pStyle w:val="FootnoteText"/>
        <w:spacing w:after="60"/>
        <w:ind w:left="567" w:hanging="567"/>
      </w:pPr>
      <w:r>
        <w:rPr>
          <w:rStyle w:val="FootnoteReference"/>
        </w:rPr>
        <w:footnoteRef/>
      </w:r>
      <w:r>
        <w:tab/>
        <w:t xml:space="preserve">Евростат е статистическата служба на ЕС: </w:t>
      </w:r>
      <w:hyperlink r:id="rId10" w:history="1">
        <w:r>
          <w:rPr>
            <w:rStyle w:val="Hyperlink"/>
          </w:rPr>
          <w:t>http://ec.europa.eu/eurostat/about/overview</w:t>
        </w:r>
      </w:hyperlink>
      <w:r>
        <w:t>.</w:t>
      </w:r>
    </w:p>
  </w:footnote>
  <w:footnote w:id="20">
    <w:p>
      <w:pPr>
        <w:pStyle w:val="FootnoteText"/>
        <w:spacing w:after="60"/>
        <w:ind w:left="567" w:hanging="567"/>
      </w:pPr>
      <w:r>
        <w:rPr>
          <w:rStyle w:val="FootnoteReference"/>
        </w:rPr>
        <w:footnoteRef/>
      </w:r>
      <w:r>
        <w:tab/>
        <w:t xml:space="preserve">EJTN е основната платформа и организатор на обучения и обмен на знания на европейската съдебна система. Тя разработва стандарти и планове за обучение, координира обмена и програмите за съдебното обучение, разпространява експертни знания във връзка с обучението и насърчава сътрудничеството между институциите в ЕС за съдебно обучение. EJTN има 34 членове, които представляват държавите от ЕС и транснационални органи на ЕС. </w:t>
      </w:r>
      <w:hyperlink r:id="rId11" w:history="1">
        <w:r>
          <w:rPr>
            <w:rStyle w:val="Hyperlink"/>
          </w:rPr>
          <w:t>http://www.ejtn.eu/</w:t>
        </w:r>
      </w:hyperlink>
      <w:r>
        <w:t>.</w:t>
      </w:r>
    </w:p>
  </w:footnote>
  <w:footnote w:id="21">
    <w:p>
      <w:pPr>
        <w:pStyle w:val="FootnoteText"/>
        <w:spacing w:after="60"/>
        <w:ind w:left="567" w:hanging="567"/>
      </w:pPr>
      <w:r>
        <w:rPr>
          <w:rStyle w:val="FootnoteReference"/>
        </w:rPr>
        <w:footnoteRef/>
      </w:r>
      <w:r>
        <w:tab/>
        <w:t xml:space="preserve">СИФ е международна организация за публично-частно сътрудничество, чиито членове са дружества: </w:t>
      </w:r>
      <w:hyperlink r:id="rId12" w:history="1">
        <w:r>
          <w:rPr>
            <w:rStyle w:val="Hyperlink"/>
          </w:rPr>
          <w:t>https://www.weforum.org/</w:t>
        </w:r>
      </w:hyperlink>
      <w:r>
        <w:t>.</w:t>
      </w:r>
    </w:p>
  </w:footnote>
  <w:footnote w:id="22">
    <w:p>
      <w:pPr>
        <w:pStyle w:val="FootnoteText"/>
        <w:spacing w:after="60"/>
        <w:ind w:left="567" w:hanging="567"/>
      </w:pPr>
      <w:r>
        <w:rPr>
          <w:rStyle w:val="FootnoteReference"/>
        </w:rPr>
        <w:footnoteRef/>
      </w:r>
      <w:r>
        <w:tab/>
        <w:t>МВФ, Regional Economic Outlook („Регионална икономическа перспектива“), ноември 2017 г., Europe: Europe Hitting its Stride</w:t>
      </w:r>
      <w:r>
        <w:rPr>
          <w:i/>
        </w:rPr>
        <w:t xml:space="preserve">, </w:t>
      </w:r>
      <w:r>
        <w:t xml:space="preserve">(„Европа влиза в ритъм“), стр. xviii, стр. 40 и 70: </w:t>
      </w:r>
      <w:hyperlink r:id="rId13" w:history="1">
        <w:r>
          <w:rPr>
            <w:rStyle w:val="Hyperlink"/>
          </w:rPr>
          <w:t>https://www.imf.org/~/media/Files/Publications/REO/EUR/2017/November/eur-booked-print.ashx?la=en</w:t>
        </w:r>
      </w:hyperlink>
      <w:r>
        <w:t xml:space="preserve">. </w:t>
      </w:r>
    </w:p>
  </w:footnote>
  <w:footnote w:id="23">
    <w:p>
      <w:pPr>
        <w:pStyle w:val="FootnoteText"/>
        <w:spacing w:after="60"/>
        <w:ind w:left="567" w:hanging="567"/>
      </w:pPr>
      <w:r>
        <w:rPr>
          <w:rStyle w:val="FootnoteReference"/>
        </w:rPr>
        <w:footnoteRef/>
      </w:r>
      <w:r>
        <w:tab/>
        <w:t xml:space="preserve">ЕЦБ, Structural policies in the euro area („Структурни политики в еврозоната“), юни 2018 г., ECB Occasional Paper Series („Тематични материали на ЕЦБ“) № 210: </w:t>
      </w:r>
      <w:hyperlink r:id="rId14" w:history="1">
        <w:r>
          <w:rPr>
            <w:rStyle w:val="Hyperlink"/>
          </w:rPr>
          <w:t>https://www.ecb.europa.eu/pub/pdf/scpops/ecb.op210.en.pdf?3db9355b1d1599799aa0e475e5624651</w:t>
        </w:r>
      </w:hyperlink>
      <w:r>
        <w:t>.</w:t>
      </w:r>
    </w:p>
  </w:footnote>
  <w:footnote w:id="24">
    <w:p>
      <w:pPr>
        <w:pStyle w:val="FootnoteText"/>
        <w:spacing w:after="60"/>
        <w:ind w:left="567" w:hanging="567"/>
      </w:pPr>
      <w:r>
        <w:rPr>
          <w:rStyle w:val="FootnoteReference"/>
        </w:rPr>
        <w:footnoteRef/>
      </w:r>
      <w:r>
        <w:tab/>
      </w:r>
      <w:r>
        <w:rPr>
          <w:spacing w:val="-4"/>
        </w:rPr>
        <w:t>Вж. напр. „What makes civil justice effective?“ („Какво прави гражданското правосъдие ефективно?“), OECD Economics Department Policy Notes („Бележки по икономическата политика на Икономическия отдел на ОИСР“), 18 юни 2013 г., и „The Economics of Civil Justice: New Cross-Country Data and Empirics“ („Икономика на гражданското правосъдие: нови сравнителни данни и емпиричен анализ“), OECD Economics Department Working Papers (работни документи на Икономическия отдел на ОИСР), № 1060.</w:t>
      </w:r>
    </w:p>
  </w:footnote>
  <w:footnote w:id="25">
    <w:p>
      <w:pPr>
        <w:pStyle w:val="FootnoteText"/>
        <w:spacing w:after="60"/>
        <w:ind w:left="567" w:hanging="567"/>
      </w:pPr>
      <w:r>
        <w:rPr>
          <w:rStyle w:val="FootnoteReference"/>
        </w:rPr>
        <w:footnoteRef/>
      </w:r>
      <w:r>
        <w:tab/>
      </w:r>
      <w:r>
        <w:rPr>
          <w:spacing w:val="-4"/>
        </w:rPr>
        <w:t xml:space="preserve">Световен икономически форум, „The Global Competitiveness Report 2018“ („Доклад за глобалната конкурентоспособност за 2018 г.): </w:t>
      </w:r>
      <w:hyperlink r:id="rId15" w:history="1">
        <w:r>
          <w:rPr>
            <w:rStyle w:val="Hyperlink"/>
            <w:spacing w:val="-4"/>
          </w:rPr>
          <w:t>https://www.weforum.org/reports/the-global-competitveness-report-2018</w:t>
        </w:r>
      </w:hyperlink>
      <w:r>
        <w:rPr>
          <w:spacing w:val="-4"/>
        </w:rPr>
        <w:t>.</w:t>
      </w:r>
    </w:p>
  </w:footnote>
  <w:footnote w:id="26">
    <w:p>
      <w:pPr>
        <w:pStyle w:val="FootnoteText"/>
        <w:spacing w:after="60"/>
        <w:ind w:left="567" w:hanging="567"/>
      </w:pPr>
      <w:r>
        <w:rPr>
          <w:rStyle w:val="FootnoteReference"/>
        </w:rPr>
        <w:footnoteRef/>
      </w:r>
      <w:r>
        <w:tab/>
        <w:t xml:space="preserve">Световна банка, „World Development Report 2017: Governance and the Law, Chapter 3: The role of law“ („Доклад за световното развитие за 2017 г.: Управлението и правото, Глава 3: Ролята на правото“), стр. 83 и 140: </w:t>
      </w:r>
      <w:hyperlink r:id="rId16" w:history="1">
        <w:r>
          <w:rPr>
            <w:rStyle w:val="Hyperlink"/>
          </w:rPr>
          <w:t>http://www.worldbank.org/en/publication/wdr2017</w:t>
        </w:r>
      </w:hyperlink>
      <w:r>
        <w:t>.</w:t>
      </w:r>
    </w:p>
  </w:footnote>
  <w:footnote w:id="27">
    <w:p>
      <w:pPr>
        <w:pStyle w:val="FootnoteText"/>
        <w:spacing w:after="60"/>
        <w:ind w:left="567" w:hanging="567"/>
      </w:pPr>
      <w:r>
        <w:rPr>
          <w:rStyle w:val="FootnoteReference"/>
        </w:rPr>
        <w:footnoteRef/>
      </w:r>
      <w:r>
        <w:tab/>
        <w:t xml:space="preserve">Показателят „необходимо време за разглеждане на висящите дела“ съответства на броя на нерешените дела, разделен на броя на решените дела в края на годината и умножен по 365 (дни). Това е стандартен показател, определен от Европейската комисия за ефикасност на правосъдието към Съвета на Европа (CEPEJ): </w:t>
      </w:r>
      <w:hyperlink r:id="rId17" w:history="1">
        <w:r>
          <w:rPr>
            <w:rStyle w:val="Hyperlink"/>
          </w:rPr>
          <w:t>http://www.coe.int/t/dghl/cooperation/cepej/evaluation/default_en.asp</w:t>
        </w:r>
      </w:hyperlink>
      <w:r>
        <w:t>.</w:t>
      </w:r>
    </w:p>
  </w:footnote>
  <w:footnote w:id="28">
    <w:p>
      <w:pPr>
        <w:pStyle w:val="FootnoteText"/>
        <w:spacing w:after="60"/>
        <w:ind w:left="567" w:hanging="567"/>
      </w:pPr>
      <w:r>
        <w:rPr>
          <w:rStyle w:val="FootnoteReference"/>
        </w:rPr>
        <w:footnoteRef/>
      </w:r>
      <w:r>
        <w:tab/>
      </w:r>
      <w:r>
        <w:rPr>
          <w:spacing w:val="-4"/>
        </w:rPr>
        <w:t xml:space="preserve">Vincenzo Bove и Leandro Elia; The judicial system and economic development across EU Member States („Съдебната система и икономическото развитие в държавите — членки на ЕС“), Технически доклад на Съвместния изследователски център, EUR 28440 EN, Служба за публикации на ЕС, Люксембург, 2017 г.: </w:t>
      </w:r>
      <w:hyperlink r:id="rId18" w:history="1">
        <w:r>
          <w:rPr>
            <w:rStyle w:val="Hyperlink"/>
          </w:rPr>
          <w:t>http://publications.jrc.ec.europa.eu/repository/bitstream/JRC104594/jrc104594__2017_the_judicial_system_and_economic_development_across_eu_member_states.pdf</w:t>
        </w:r>
      </w:hyperlink>
      <w:r>
        <w:t>.</w:t>
      </w:r>
    </w:p>
  </w:footnote>
  <w:footnote w:id="29">
    <w:p>
      <w:pPr>
        <w:pStyle w:val="FootnoteText"/>
        <w:spacing w:after="60"/>
        <w:ind w:left="567" w:hanging="567"/>
        <w:rPr>
          <w:i/>
        </w:rPr>
      </w:pPr>
      <w:r>
        <w:rPr>
          <w:rStyle w:val="FootnoteReference"/>
        </w:rPr>
        <w:footnoteRef/>
      </w:r>
      <w:r>
        <w:tab/>
        <w:t>Пак там.</w:t>
      </w:r>
    </w:p>
  </w:footnote>
  <w:footnote w:id="30">
    <w:p>
      <w:pPr>
        <w:pStyle w:val="FootnoteText"/>
        <w:spacing w:after="60"/>
        <w:ind w:left="567" w:hanging="567"/>
      </w:pPr>
      <w:r>
        <w:rPr>
          <w:rStyle w:val="FootnoteReference"/>
        </w:rPr>
        <w:footnoteRef/>
      </w:r>
      <w:r>
        <w:tab/>
        <w:t xml:space="preserve">Effect of judicial independence to FDI into Eastern Europe and South Asia („Въздействие на съдебната независимост върху ПЧИ в Източна Европа и Южна Азия“); Bülent Dogru; 2012 г., MPRA Munich Personal RePEc Archive: </w:t>
      </w:r>
      <w:hyperlink r:id="rId19" w:history="1">
        <w:r>
          <w:rPr>
            <w:rStyle w:val="Hyperlink"/>
          </w:rPr>
          <w:t>https://mpra.ub.uni-muenchen.de/40471/1/MPRA_paper_40322.pdf</w:t>
        </w:r>
      </w:hyperlink>
      <w:r>
        <w:t>. Държавите — членки на ЕС, включени в проучването, са: BG, CZ, EE, HR, HU, LV, LT, RO, SK и SI.</w:t>
      </w:r>
    </w:p>
  </w:footnote>
  <w:footnote w:id="31">
    <w:p>
      <w:pPr>
        <w:pStyle w:val="FootnoteText"/>
        <w:spacing w:after="60"/>
        <w:ind w:left="567" w:hanging="567"/>
      </w:pPr>
      <w:r>
        <w:rPr>
          <w:rStyle w:val="FootnoteReference"/>
        </w:rPr>
        <w:footnoteRef/>
      </w:r>
      <w:r>
        <w:tab/>
        <w:t xml:space="preserve">The Economist Intelligence Unit: „Risk and Return — Foreign Direct Investment and the Rule of Law“ („Риск и възвращаемост — преките чуждестранни инвестиции и върховенството на закона“), 2015 г., </w:t>
      </w:r>
      <w:hyperlink r:id="rId20" w:history="1">
        <w:r>
          <w:rPr>
            <w:rStyle w:val="Hyperlink"/>
          </w:rPr>
          <w:t>http://www.biicl.org/documents/625_d4_fdi_main_report.pdf</w:t>
        </w:r>
      </w:hyperlink>
      <w:r>
        <w:t>, стр. 22.</w:t>
      </w:r>
    </w:p>
  </w:footnote>
  <w:footnote w:id="32">
    <w:p>
      <w:pPr>
        <w:pStyle w:val="FootnoteText"/>
        <w:spacing w:after="60"/>
        <w:ind w:left="567" w:hanging="567"/>
      </w:pPr>
      <w:r>
        <w:rPr>
          <w:rStyle w:val="FootnoteReference"/>
        </w:rPr>
        <w:footnoteRef/>
      </w:r>
      <w:r>
        <w:tab/>
        <w:t xml:space="preserve">Служба на Европейския съюз за интелектуална собственост (EUIPO), Информационно табло за интелектуалната собственост (ИС) и МСП за 2016 г. </w:t>
      </w:r>
      <w:hyperlink r:id="rId21" w:history="1">
        <w:r>
          <w:rPr>
            <w:rStyle w:val="Hyperlink"/>
          </w:rPr>
          <w:t>https://euipo.europa.eu/tunnel-web/secure/webdav/guest/document_library/observatory/documents/sme_scoreboard_study_2016/Executive-summary_en.pdf</w:t>
        </w:r>
      </w:hyperlink>
      <w:r>
        <w:t>.</w:t>
      </w:r>
    </w:p>
  </w:footnote>
  <w:footnote w:id="33">
    <w:p>
      <w:pPr>
        <w:pStyle w:val="FootnoteText"/>
        <w:spacing w:after="60"/>
        <w:ind w:left="567" w:hanging="567"/>
      </w:pPr>
      <w:r>
        <w:rPr>
          <w:rStyle w:val="FootnoteReference"/>
        </w:rPr>
        <w:footnoteRef/>
      </w:r>
      <w:r>
        <w:tab/>
        <w:t>Информацията за 26 държави членки е събрана в сътрудничество с групата на лицата за контакт относно националните правосъдни системи. UK не е представило информация. DE обясни, че се провеждат редица реформи на съдебната власт, като обхватът и мащабът на процеса на реформи варират в 16-те федерални провинции.</w:t>
      </w:r>
    </w:p>
  </w:footnote>
  <w:footnote w:id="34">
    <w:p>
      <w:pPr>
        <w:pStyle w:val="FootnoteText"/>
        <w:spacing w:after="60"/>
        <w:ind w:left="567" w:hanging="567"/>
        <w:rPr>
          <w:highlight w:val="yellow"/>
        </w:rPr>
      </w:pPr>
      <w:r>
        <w:rPr>
          <w:rStyle w:val="FootnoteReference"/>
        </w:rPr>
        <w:footnoteRef/>
      </w:r>
      <w:r>
        <w:tab/>
      </w:r>
      <w:r>
        <w:rPr>
          <w:spacing w:val="-4"/>
        </w:rPr>
        <w:t>HR, IT, CY, PT, SK. Вж. Препоръка на Съвета от 13 юли 2018 г. относно националната програма за реформи на Хърватия за 2018 г. и съдържаща становище на Съвета относно програмата за конвергенция на Хърватия за 2018 г. (2018/C 320/10); Препоръка на Съвета от 13 юли 2018 г. относно националната програма за реформи на Италия за 2018 г. и съдържаща становище на Съвета относно програмата за стабилност на Италия за 2018 г. (2018/C 320/11); Препоръка на Съвета от 13 юли 2018 г. относно националната програма за реформи на Кипър за 2018 г. и съдържаща становище на Съвета относно програмата за стабилност на Кипър за 2018 г. (2018/C 320/12); Препоръка на Съвета от 13 юли 2018 г. относно националната програма за реформи на Португалия за 2018 г. и съдържаща становище на Съвета относно програмата за стабилност на Португалия за 2018 г. (2018/C 320/21); Препоръка на Съвета от 13 юли 2018 г. относно националната програма за реформи на Словакия за 2018 г. и съдържаща становище на Съвета относно програмата за стабилност на Словакия за 2018 г. (2018/C 320/24).</w:t>
      </w:r>
    </w:p>
  </w:footnote>
  <w:footnote w:id="35">
    <w:p>
      <w:pPr>
        <w:pStyle w:val="FootnoteText"/>
        <w:spacing w:after="60"/>
        <w:ind w:left="567" w:hanging="567"/>
        <w:rPr>
          <w:highlight w:val="yellow"/>
        </w:rPr>
      </w:pPr>
      <w:r>
        <w:rPr>
          <w:rStyle w:val="FootnoteReference"/>
        </w:rPr>
        <w:footnoteRef/>
      </w:r>
      <w:r>
        <w:tab/>
      </w:r>
      <w:r>
        <w:rPr>
          <w:spacing w:val="-4"/>
        </w:rPr>
        <w:t xml:space="preserve">BE, BG, IE, EL, ES, LV, HU, MT, PL, RO, SI. Тези предизвикателства са отразени в съображенията на специфичните за всяка държава препоръки и докладите по държави, отнасящи се за тези държави членки. Най-новите доклади по държави за 2019 г., публикувани на 27 февруари 2019 г., могат да бъдат намерени на адрес: </w:t>
      </w:r>
      <w:hyperlink r:id="rId22" w:history="1">
        <w:r>
          <w:rPr>
            <w:rStyle w:val="Hyperlink"/>
            <w:spacing w:val="-4"/>
          </w:rPr>
          <w:t>https://ec.europa.eu/info/publications/2019-european-semester-country-reports_en</w:t>
        </w:r>
      </w:hyperlink>
      <w:r>
        <w:rPr>
          <w:spacing w:val="-4"/>
        </w:rPr>
        <w:t>.</w:t>
      </w:r>
    </w:p>
  </w:footnote>
  <w:footnote w:id="36">
    <w:p>
      <w:pPr>
        <w:pStyle w:val="FootnoteText"/>
        <w:spacing w:after="60"/>
        <w:ind w:left="567" w:hanging="567"/>
      </w:pPr>
      <w:r>
        <w:rPr>
          <w:rStyle w:val="FootnoteReference"/>
        </w:rPr>
        <w:footnoteRef/>
      </w:r>
      <w:r>
        <w:tab/>
        <w:t>Заключения на Съвета на министрите, 17 октомври 2006 г. (13339/06); Решение на Комисията от 13 декември 2006 г. за създаване на механизъм за сътрудничество и проверка на напредъка на България в постигането на специфични цели в областите на съдебната реформа и борбата срещу корупцията и организираната престъпност (нотифицирано под номер C(2006) 6570).</w:t>
      </w:r>
    </w:p>
    <w:p>
      <w:pPr>
        <w:pStyle w:val="FootnoteText"/>
        <w:spacing w:after="60"/>
        <w:ind w:left="567" w:firstLine="0"/>
      </w:pPr>
      <w:r>
        <w:t>Заключения на Съвета на министрите, 17 октомври 2006 г. (13339/06); Решение на Комисията от 13 декември 2006 г. за създаване на механизъм за сътрудничество и проверка на напредъка на Румъния в постигането на специфични цели в областите на съдебната реформа и борбата срещу корупцията (нотифицирано под номер C(2006) 6569).</w:t>
      </w:r>
    </w:p>
  </w:footnote>
  <w:footnote w:id="37">
    <w:p>
      <w:pPr>
        <w:pStyle w:val="FootnoteText"/>
        <w:spacing w:after="60"/>
        <w:ind w:left="567" w:hanging="567"/>
      </w:pPr>
      <w:r>
        <w:rPr>
          <w:rStyle w:val="FootnoteReference"/>
        </w:rPr>
        <w:footnoteRef/>
      </w:r>
      <w:r>
        <w:tab/>
      </w:r>
      <w:hyperlink r:id="rId23" w:history="1">
        <w:r>
          <w:rPr>
            <w:rStyle w:val="Hyperlink"/>
          </w:rPr>
          <w:t>https://ec.europa.eu/info/strategy/justice-and-fundamental-rights/effective-justice/rule-law/assistance-bulgaria-and-romania-under-cvm/reports-progress-bulgaria-and-romania_bg</w:t>
        </w:r>
      </w:hyperlink>
      <w:r>
        <w:t>.</w:t>
      </w:r>
    </w:p>
  </w:footnote>
  <w:footnote w:id="38">
    <w:p>
      <w:pPr>
        <w:pStyle w:val="FootnoteText"/>
        <w:spacing w:after="60"/>
        <w:ind w:left="567" w:hanging="567"/>
      </w:pPr>
      <w:r>
        <w:rPr>
          <w:rStyle w:val="FootnoteReference"/>
        </w:rPr>
        <w:footnoteRef/>
      </w:r>
      <w:r>
        <w:tab/>
        <w:t>BG, CZ, EE, EL, ES, HR, IT, LV, LT, HU, MT, PL, PT, RO, SI, and SK.</w:t>
      </w:r>
    </w:p>
  </w:footnote>
  <w:footnote w:id="39">
    <w:p>
      <w:pPr>
        <w:pStyle w:val="FootnoteText"/>
        <w:spacing w:after="60"/>
        <w:ind w:left="567" w:hanging="567"/>
      </w:pPr>
      <w:r>
        <w:rPr>
          <w:rStyle w:val="FootnoteReference"/>
        </w:rPr>
        <w:footnoteRef/>
      </w:r>
      <w:r>
        <w:tab/>
        <w:t>Представената информация се основава на данните, събрани през есента на 2017 г. и актуализирани през юни 2018 г. Тъй като програмният период 2014 – 2020 г. в момента тече, общият размер на средствата за правосъдните системи може да нарасне и размерът на средствата, заделени за различните видове дейности, може да се промени до края на програмния период през 2023 г.</w:t>
      </w:r>
    </w:p>
  </w:footnote>
  <w:footnote w:id="40">
    <w:p>
      <w:pPr>
        <w:pStyle w:val="FootnoteText"/>
        <w:spacing w:after="60"/>
        <w:ind w:left="567" w:hanging="567"/>
        <w:jc w:val="left"/>
        <w:rPr>
          <w:u w:val="single"/>
        </w:rPr>
      </w:pPr>
      <w:r>
        <w:rPr>
          <w:rStyle w:val="FootnoteReference"/>
        </w:rPr>
        <w:footnoteRef/>
      </w:r>
      <w:r>
        <w:tab/>
      </w:r>
      <w:hyperlink r:id="rId24" w:history="1">
        <w:r>
          <w:rPr>
            <w:rStyle w:val="Hyperlink"/>
          </w:rPr>
          <w:t>https://ec.europa.eu/info/funding-tenders/funding-opportunities/funding-programmes/overview-funding-programmes/structural-reform-support-programme-srsp_en</w:t>
        </w:r>
      </w:hyperlink>
    </w:p>
  </w:footnote>
  <w:footnote w:id="41">
    <w:p>
      <w:pPr>
        <w:pStyle w:val="FootnoteText"/>
        <w:spacing w:after="60"/>
        <w:ind w:left="567" w:hanging="567"/>
      </w:pPr>
      <w:r>
        <w:rPr>
          <w:rStyle w:val="FootnoteReference"/>
        </w:rPr>
        <w:footnoteRef/>
      </w:r>
      <w:r>
        <w:tab/>
        <w:t>BE, BG, CZ, EE, EL, ES, HR, IT, CY, LV, HU, MT, PL, PT, SI and SK.</w:t>
      </w:r>
    </w:p>
  </w:footnote>
  <w:footnote w:id="42">
    <w:p>
      <w:pPr>
        <w:pStyle w:val="FootnoteText"/>
        <w:spacing w:after="60"/>
        <w:ind w:left="567" w:hanging="567"/>
      </w:pPr>
      <w:r>
        <w:rPr>
          <w:rStyle w:val="FootnoteReference"/>
        </w:rPr>
        <w:footnoteRef/>
      </w:r>
      <w:r>
        <w:tab/>
        <w:t xml:space="preserve">Вж. също съобщение за медиите IP/18/3972 от 31 май 2018 г. на адрес: </w:t>
      </w:r>
      <w:hyperlink r:id="rId25" w:history="1">
        <w:r>
          <w:rPr>
            <w:rStyle w:val="Hyperlink"/>
          </w:rPr>
          <w:t>http://europa.eu/rapid/press-release_IP-18-3972_bg.htm</w:t>
        </w:r>
      </w:hyperlink>
      <w:r>
        <w:t xml:space="preserve"> </w:t>
      </w:r>
    </w:p>
  </w:footnote>
  <w:footnote w:id="43">
    <w:p>
      <w:pPr>
        <w:pStyle w:val="FootnoteText"/>
        <w:spacing w:after="60"/>
        <w:ind w:left="567" w:hanging="567"/>
      </w:pPr>
      <w:r>
        <w:rPr>
          <w:rStyle w:val="FootnoteReference"/>
        </w:rPr>
        <w:footnoteRef/>
      </w:r>
      <w:r>
        <w:tab/>
        <w:t>Съобщение на Комисията „Право на ЕС: по-добри резултати чрез по-добро прилагане“, (2017/C 18/02) (OB C 18, 19.1.2017 г., стр. 10—20).</w:t>
      </w:r>
    </w:p>
  </w:footnote>
  <w:footnote w:id="44">
    <w:p>
      <w:pPr>
        <w:pStyle w:val="FootnoteText"/>
        <w:spacing w:after="60"/>
        <w:ind w:left="567" w:hanging="567"/>
      </w:pPr>
      <w:r>
        <w:rPr>
          <w:rStyle w:val="FootnoteReference"/>
        </w:rPr>
        <w:footnoteRef/>
      </w:r>
      <w:r>
        <w:tab/>
        <w:t xml:space="preserve">През декември 2017 г. Комисията реши да предяви иск срещу Полша пред Съда на Европейския съюз за нарушение на правото на ЕС, извършено посредством Закона за организацията на общите съдилища. Комисията счита, че въпросният закон нарушава член 19, параграф 1 от ДЕС във връзка с член 47 от Хартата на основните права. За повече подробности, вж: </w:t>
      </w:r>
      <w:hyperlink r:id="rId26" w:history="1">
        <w:r>
          <w:rPr>
            <w:rStyle w:val="Hyperlink"/>
          </w:rPr>
          <w:t>http://europa.eu/rapid/press-release_IP-17-5367_en.pdf</w:t>
        </w:r>
      </w:hyperlink>
      <w:r>
        <w:t>.</w:t>
      </w:r>
    </w:p>
  </w:footnote>
  <w:footnote w:id="45">
    <w:p>
      <w:pPr>
        <w:pStyle w:val="FootnoteText"/>
        <w:spacing w:after="60"/>
        <w:ind w:left="567" w:hanging="567"/>
      </w:pPr>
      <w:r>
        <w:rPr>
          <w:rStyle w:val="FootnoteReference"/>
        </w:rPr>
        <w:footnoteRef/>
      </w:r>
      <w:r>
        <w:tab/>
      </w:r>
      <w:hyperlink r:id="rId27" w:history="1">
        <w:r>
          <w:rPr>
            <w:rStyle w:val="Hyperlink"/>
          </w:rPr>
          <w:t>http://europa.eu/rapid/press-release_IP-18-5830_bg.htm</w:t>
        </w:r>
      </w:hyperlink>
    </w:p>
  </w:footnote>
  <w:footnote w:id="46">
    <w:p>
      <w:pPr>
        <w:pStyle w:val="FootnoteText"/>
        <w:spacing w:after="60"/>
        <w:ind w:left="567" w:hanging="567"/>
      </w:pPr>
      <w:r>
        <w:rPr>
          <w:rStyle w:val="FootnoteReference"/>
        </w:rPr>
        <w:footnoteRef/>
      </w:r>
      <w:r>
        <w:tab/>
      </w:r>
      <w:hyperlink r:id="rId28" w:history="1">
        <w:r>
          <w:rPr>
            <w:rStyle w:val="Hyperlink"/>
          </w:rPr>
          <w:t>https://curia.europa.eu/jcms/upload/docs/application/pdf/2018-12/cp180204en.pdf</w:t>
        </w:r>
      </w:hyperlink>
      <w:r>
        <w:t>.</w:t>
      </w:r>
    </w:p>
  </w:footnote>
  <w:footnote w:id="47">
    <w:p>
      <w:pPr>
        <w:pStyle w:val="FootnoteText"/>
        <w:spacing w:after="60"/>
        <w:ind w:left="567" w:hanging="567"/>
      </w:pPr>
      <w:r>
        <w:rPr>
          <w:rStyle w:val="FootnoteReference"/>
        </w:rPr>
        <w:footnoteRef/>
      </w:r>
      <w:r>
        <w:tab/>
        <w:t>Вж. Заключение на генералния адвокат E. Танчев от 11 април 2019 г., Европейска комисия/Република Полша, ECLI:EU:C:2019:325.</w:t>
      </w:r>
    </w:p>
  </w:footnote>
  <w:footnote w:id="48">
    <w:p>
      <w:pPr>
        <w:pStyle w:val="FootnoteText"/>
        <w:spacing w:after="60"/>
        <w:ind w:left="567" w:hanging="567"/>
      </w:pPr>
      <w:r>
        <w:rPr>
          <w:rStyle w:val="FootnoteReference"/>
        </w:rPr>
        <w:footnoteRef/>
      </w:r>
      <w:r>
        <w:tab/>
        <w:t xml:space="preserve">Вж. съобщение за медиите IP/19/1957 от 3 април 2019 г. на адрес: </w:t>
      </w:r>
      <w:hyperlink r:id="rId29" w:history="1">
        <w:r>
          <w:rPr>
            <w:rStyle w:val="Hyperlink"/>
          </w:rPr>
          <w:t>http://europa.eu/rapid/press-release_IP-19-1957_en.pdf</w:t>
        </w:r>
      </w:hyperlink>
      <w:r>
        <w:t>.</w:t>
      </w:r>
    </w:p>
  </w:footnote>
  <w:footnote w:id="49">
    <w:p>
      <w:pPr>
        <w:pStyle w:val="FootnoteText"/>
        <w:spacing w:after="60"/>
        <w:ind w:left="567" w:hanging="567"/>
        <w:jc w:val="left"/>
      </w:pPr>
      <w:r>
        <w:rPr>
          <w:rStyle w:val="FootnoteReference"/>
        </w:rPr>
        <w:footnoteRef/>
      </w:r>
      <w:r>
        <w:tab/>
        <w:t xml:space="preserve">Вж. по-специално Решение на Съда (голям състав), 27 февруари 2018 г., Associação Sindical dos Juízes Portugueses /Tribunal de Contas, C-64/16, ECLI:EU:C:2018:117, на разположение на адрес: </w:t>
      </w:r>
      <w:hyperlink r:id="rId30" w:history="1">
        <w:r>
          <w:rPr>
            <w:rStyle w:val="Hyperlink"/>
          </w:rPr>
          <w:t>https://goo.gl/utc5GR</w:t>
        </w:r>
      </w:hyperlink>
      <w:r>
        <w:t>. Решение на Съда (голям състав), 25 юли 2018 г.,</w:t>
      </w:r>
      <w:r>
        <w:rPr>
          <w:i/>
        </w:rPr>
        <w:t xml:space="preserve"> </w:t>
      </w:r>
      <w:r>
        <w:t>LM,</w:t>
      </w:r>
      <w:r>
        <w:rPr>
          <w:i/>
        </w:rPr>
        <w:t xml:space="preserve"> </w:t>
      </w:r>
      <w:r>
        <w:t xml:space="preserve">C-216/18 PPU, ECLI:EU:C:2018:586, на разположение на адрес: </w:t>
      </w:r>
      <w:hyperlink r:id="rId31" w:history="1">
        <w:r>
          <w:rPr>
            <w:rStyle w:val="Hyperlink"/>
          </w:rPr>
          <w:t>https://goo.gl/ty1fnk</w:t>
        </w:r>
      </w:hyperlink>
      <w:r>
        <w:t>.</w:t>
      </w:r>
    </w:p>
  </w:footnote>
  <w:footnote w:id="50">
    <w:p>
      <w:pPr>
        <w:pStyle w:val="FootnoteText"/>
        <w:spacing w:after="60"/>
        <w:ind w:left="567" w:hanging="567"/>
        <w:jc w:val="left"/>
      </w:pPr>
      <w:r>
        <w:rPr>
          <w:rStyle w:val="FootnoteReference"/>
        </w:rPr>
        <w:footnoteRef/>
      </w:r>
      <w:r>
        <w:tab/>
        <w:t xml:space="preserve">Решение на Съда (голям състав), 25 юли 2018 г., LM, C-216/18 PPU, ECLI:EU:C:2018:586, т. 67, на разположение на адрес: </w:t>
      </w:r>
      <w:hyperlink r:id="rId32" w:history="1">
        <w:r>
          <w:rPr>
            <w:rStyle w:val="Hyperlink"/>
          </w:rPr>
          <w:t>https://goo.gl/ty1fnk</w:t>
        </w:r>
      </w:hyperlink>
      <w:r>
        <w:rPr>
          <w:rStyle w:val="Hyperlink"/>
        </w:rPr>
        <w:t>.</w:t>
      </w:r>
    </w:p>
  </w:footnote>
  <w:footnote w:id="51">
    <w:p>
      <w:pPr>
        <w:pStyle w:val="FootnoteText"/>
        <w:spacing w:after="60"/>
        <w:ind w:left="567" w:hanging="567"/>
      </w:pPr>
      <w:r>
        <w:rPr>
          <w:rStyle w:val="FootnoteReference"/>
        </w:rPr>
        <w:footnoteRef/>
      </w:r>
      <w:r>
        <w:tab/>
        <w:t>Дела C-522/18; C-537/18; C-585/18; C-624/18; C-625/18; C-668/18.</w:t>
      </w:r>
    </w:p>
  </w:footnote>
  <w:footnote w:id="52">
    <w:p>
      <w:pPr>
        <w:pStyle w:val="FootnoteText"/>
        <w:spacing w:after="60"/>
        <w:ind w:left="567" w:hanging="567"/>
      </w:pPr>
      <w:r>
        <w:rPr>
          <w:rStyle w:val="FootnoteReference"/>
        </w:rPr>
        <w:footnoteRef/>
      </w:r>
      <w:r>
        <w:tab/>
        <w:t>Дело C-824/18.</w:t>
      </w:r>
    </w:p>
  </w:footnote>
  <w:footnote w:id="53">
    <w:p>
      <w:pPr>
        <w:pStyle w:val="FootnoteText"/>
        <w:spacing w:after="60"/>
        <w:ind w:left="567" w:hanging="567"/>
      </w:pPr>
      <w:r>
        <w:rPr>
          <w:rStyle w:val="FootnoteReference"/>
        </w:rPr>
        <w:footnoteRef/>
      </w:r>
      <w:r>
        <w:tab/>
        <w:t>Дела C-558/18; C-563/18; C-623/18.</w:t>
      </w:r>
    </w:p>
  </w:footnote>
  <w:footnote w:id="54">
    <w:p>
      <w:pPr>
        <w:pStyle w:val="FootnoteText"/>
        <w:spacing w:after="60"/>
        <w:ind w:left="567" w:hanging="567"/>
      </w:pPr>
      <w:r>
        <w:rPr>
          <w:rStyle w:val="FootnoteReference"/>
        </w:rPr>
        <w:footnoteRef/>
      </w:r>
      <w:r>
        <w:tab/>
        <w:t>Тези преюдициални запитвания се отнасят, наред с другото, до съответствието на новия режим за дисциплинарните производства срещу съдии, на разпоредбите относно състава на Националния съдебен съвет и на разпоредбите относно новосъздадения дисциплинарен състав на Върховния съд, с изискванията на правото на ЕС за независимост на съдебната власт.</w:t>
      </w:r>
    </w:p>
  </w:footnote>
  <w:footnote w:id="55">
    <w:p>
      <w:pPr>
        <w:pStyle w:val="FootnoteText"/>
        <w:spacing w:after="60"/>
        <w:ind w:left="567" w:hanging="567"/>
      </w:pPr>
      <w:r>
        <w:rPr>
          <w:rStyle w:val="FootnoteReference"/>
        </w:rPr>
        <w:footnoteRef/>
      </w:r>
      <w:r>
        <w:tab/>
        <w:t xml:space="preserve">Съобщение на Комисията до Европейския парламент и до Съвета от 11 март 2014 г. „Нова уредба на ЕС за укрепване на принципите на правовата държава“ (COM(2014) 158 final/2). Вж. също съобщение за медиите IP-14-237 от 11 март 2014 г. на адрес: </w:t>
      </w:r>
      <w:hyperlink r:id="rId33" w:history="1">
        <w:r>
          <w:rPr>
            <w:rStyle w:val="Hyperlink"/>
          </w:rPr>
          <w:t>http://europa.eu/rapid/press-release_IP-14-237_bg.htm</w:t>
        </w:r>
      </w:hyperlink>
      <w:r>
        <w:t>.</w:t>
      </w:r>
    </w:p>
  </w:footnote>
  <w:footnote w:id="56">
    <w:p>
      <w:pPr>
        <w:pStyle w:val="FootnoteText"/>
        <w:spacing w:after="60"/>
        <w:ind w:left="567" w:hanging="567"/>
        <w:jc w:val="left"/>
      </w:pPr>
      <w:r>
        <w:rPr>
          <w:rStyle w:val="FootnoteReference"/>
        </w:rPr>
        <w:footnoteRef/>
      </w:r>
      <w:r>
        <w:tab/>
        <w:t xml:space="preserve">Вж. дело C-619/18 R, </w:t>
      </w:r>
      <w:r>
        <w:rPr>
          <w:i/>
          <w:iCs/>
        </w:rPr>
        <w:t>Комисия/Полша</w:t>
      </w:r>
      <w:r>
        <w:t>, определение от 17 декември 2018 г.</w:t>
      </w:r>
    </w:p>
  </w:footnote>
  <w:footnote w:id="57">
    <w:p>
      <w:pPr>
        <w:pStyle w:val="FootnoteText"/>
        <w:spacing w:after="60"/>
        <w:ind w:left="567" w:hanging="567"/>
      </w:pPr>
      <w:r>
        <w:rPr>
          <w:rStyle w:val="FootnoteReference"/>
        </w:rPr>
        <w:footnoteRef/>
      </w:r>
      <w:r>
        <w:tab/>
        <w:t>Диалогът се проведе в периода от януари 2016 г. до декември 2017 г. Комисията прие становище на 1 юни 2016 г. и четири препоръки на 27 юли 2016 г., 21 декември 2016 г., 26 юли 2017 г. и 20 декември 2017 г. На 20 декември 2017 г. Комисията заключи, че съществува очевиден риск от тежко нарушение на принципите на правовата държава в Полша и предложи на Съвета да приеме решение съгласно член 7, параграф 1 от ДЕС.</w:t>
      </w:r>
    </w:p>
  </w:footnote>
  <w:footnote w:id="58">
    <w:p>
      <w:pPr>
        <w:pStyle w:val="FootnoteText"/>
        <w:spacing w:after="60"/>
        <w:ind w:left="567" w:hanging="567"/>
      </w:pPr>
      <w:r>
        <w:rPr>
          <w:rStyle w:val="FootnoteReference"/>
        </w:rPr>
        <w:footnoteRef/>
      </w:r>
      <w:r>
        <w:tab/>
      </w:r>
      <w:r>
        <w:rPr>
          <w:lang w:val="pt-PT"/>
        </w:rPr>
        <w:t>COM</w:t>
      </w:r>
      <w:r>
        <w:t>(2017) 835 final.</w:t>
      </w:r>
    </w:p>
  </w:footnote>
  <w:footnote w:id="59">
    <w:p>
      <w:pPr>
        <w:pStyle w:val="FootnoteText"/>
        <w:spacing w:after="60"/>
        <w:ind w:left="567" w:hanging="567"/>
      </w:pPr>
      <w:r>
        <w:rPr>
          <w:rStyle w:val="FootnoteReference"/>
        </w:rPr>
        <w:footnoteRef/>
      </w:r>
      <w:r>
        <w:tab/>
      </w:r>
      <w:hyperlink r:id="rId34" w:history="1">
        <w:r>
          <w:rPr>
            <w:rStyle w:val="Hyperlink"/>
          </w:rPr>
          <w:t>http://www.europarl.europa.eu/news/bg/press-room/20180906IPR12104/pravovata-drzhava-v-unghariia-parlamentt-prizovava-za-deystviia-ot-strana-na-es</w:t>
        </w:r>
      </w:hyperlink>
    </w:p>
  </w:footnote>
  <w:footnote w:id="60">
    <w:p>
      <w:pPr>
        <w:pStyle w:val="FootnoteText"/>
        <w:spacing w:after="60"/>
        <w:ind w:left="567" w:hanging="567"/>
      </w:pPr>
      <w:r>
        <w:rPr>
          <w:rStyle w:val="FootnoteReference"/>
        </w:rPr>
        <w:footnoteRef/>
      </w:r>
      <w:r>
        <w:tab/>
        <w:t>Изпълнението на съдебните решения също е важно за ефикасността на правосъдната система. При все това в повечето държави членки няма налични сравними данни.</w:t>
      </w:r>
    </w:p>
  </w:footnote>
  <w:footnote w:id="61">
    <w:p>
      <w:pPr>
        <w:pStyle w:val="FootnoteText"/>
        <w:spacing w:after="60"/>
        <w:ind w:left="567" w:hanging="567"/>
        <w:rPr>
          <w:highlight w:val="yellow"/>
        </w:rPr>
      </w:pPr>
      <w:r>
        <w:rPr>
          <w:rStyle w:val="FootnoteReference"/>
        </w:rPr>
        <w:footnoteRef/>
      </w:r>
      <w:r>
        <w:tab/>
        <w:t xml:space="preserve">Проучване от 2019 г. относно функционирането на съдебните системи в държавите — членки на ЕС, изготвено от секретариата на CEPEJ за Комисията: </w:t>
      </w:r>
      <w:hyperlink r:id="rId35" w:history="1">
        <w:r>
          <w:rPr>
            <w:rStyle w:val="Hyperlink"/>
          </w:rPr>
          <w:t>https://ec.europa.eu/info/strategy/justice-and-fundamental-rights/effective-justice/eu-justice-scoreboard_en</w:t>
        </w:r>
      </w:hyperlink>
      <w:r>
        <w:t>.</w:t>
      </w:r>
    </w:p>
  </w:footnote>
  <w:footnote w:id="62">
    <w:p>
      <w:pPr>
        <w:pStyle w:val="FootnoteText"/>
        <w:spacing w:after="60"/>
        <w:ind w:left="567" w:hanging="567"/>
        <w:rPr>
          <w:highlight w:val="yellow"/>
        </w:rPr>
      </w:pPr>
      <w:r>
        <w:rPr>
          <w:rStyle w:val="FootnoteReference"/>
        </w:rPr>
        <w:footnoteRef/>
      </w:r>
      <w:r>
        <w:tab/>
        <w:t>Продължителността на производствата, делът на приключените производства и броят висящи дела са стандартни показатели, дефинирани от CEPEJ: .</w:t>
      </w:r>
      <w:hyperlink r:id="rId36" w:history="1">
        <w:r>
          <w:rPr>
            <w:rStyle w:val="Hyperlink"/>
          </w:rPr>
          <w:t>http://www.coe.int/t/dghl/cooperation/cepej/evaluation/default_en.asp</w:t>
        </w:r>
      </w:hyperlink>
    </w:p>
  </w:footnote>
  <w:footnote w:id="63">
    <w:p>
      <w:pPr>
        <w:pStyle w:val="FootnoteText"/>
        <w:spacing w:after="60"/>
        <w:ind w:left="567" w:hanging="567"/>
        <w:rPr>
          <w:highlight w:val="yellow"/>
        </w:rPr>
      </w:pPr>
      <w:r>
        <w:rPr>
          <w:rStyle w:val="FootnoteReference"/>
        </w:rPr>
        <w:footnoteRef/>
      </w:r>
      <w:r>
        <w:tab/>
        <w:t>Годините са избрани така, че да се запази седемгодишната перспектива спрямо 2010 г. като базова година и същевременно графиките да не се препълват с информация. Данните за 2012 г., 2013 г. и 2014 г. се съдържат в доклада на CEPEJ.</w:t>
      </w:r>
    </w:p>
  </w:footnote>
  <w:footnote w:id="64">
    <w:p>
      <w:pPr>
        <w:pStyle w:val="FootnoteText"/>
        <w:spacing w:after="60"/>
        <w:ind w:left="567" w:hanging="567"/>
      </w:pPr>
      <w:r>
        <w:rPr>
          <w:rStyle w:val="FootnoteReference"/>
        </w:rPr>
        <w:footnoteRef/>
      </w:r>
      <w:r>
        <w:tab/>
        <w:t>Продължителността на производствата в специфични области е изчислена в календарни дни, считано от деня на внасянето на иска или жалбата в съда (или деня, в който обвинителният акт е станал окончателен) до деня на постановяване на съдебното решение (графики 18—21, 23 и 24). Стойностите са подредени въз основа на претеглената средна стойност на данните за 2013 г., 2014 г., 2015 г. и 2016 г. за графики 18—21, на данните за 2015 г. и 2016 г. за графика 23 и на данните за 2014 г., 2015 г. и 2016 г. за графики 22 и 24. Когато няма налични данни за всички години, средната стойност отразява наличните данни, изчислени въз основа на всички дела, извадка от дела или прогнозни данни.</w:t>
      </w:r>
    </w:p>
  </w:footnote>
  <w:footnote w:id="65">
    <w:p>
      <w:pPr>
        <w:pStyle w:val="FootnoteText"/>
        <w:spacing w:after="60"/>
        <w:ind w:left="567" w:hanging="567"/>
      </w:pPr>
      <w:r>
        <w:rPr>
          <w:rStyle w:val="FootnoteReference"/>
        </w:rPr>
        <w:footnoteRef/>
      </w:r>
      <w:r>
        <w:tab/>
        <w:t xml:space="preserve">Вж. </w:t>
      </w:r>
      <w:hyperlink r:id="rId37" w:history="1">
        <w:r>
          <w:rPr>
            <w:rStyle w:val="Hyperlink"/>
          </w:rPr>
          <w:t>http://eur-lex.europa.eu/legal-content/BG/TXT/PDF/?uri=CELEX:12012E/TXT&amp;from=BG</w:t>
        </w:r>
      </w:hyperlink>
      <w:r>
        <w:rPr>
          <w:rStyle w:val="Hyperlink"/>
        </w:rPr>
        <w:t>.</w:t>
      </w:r>
    </w:p>
  </w:footnote>
  <w:footnote w:id="66">
    <w:p>
      <w:pPr>
        <w:pStyle w:val="FootnoteText"/>
        <w:spacing w:after="60"/>
        <w:ind w:left="567" w:hanging="567"/>
      </w:pPr>
      <w:r>
        <w:rPr>
          <w:rStyle w:val="FootnoteReference"/>
        </w:rPr>
        <w:footnoteRef/>
      </w:r>
      <w:r>
        <w:tab/>
        <w:t>Изчислението е направено въз основа на продължителността на делата по жалби срещу решения на националните регулаторни органи, прилагащи националните закони за прилагане на регулаторната рамка в областта на електронните комуникации (Директива 2002/19/ЕО (Директива за достъпа), Директива 2002/20/ЕО (Директива за разрешението), Директива 2002/21/ЕО (Рамкова директива), Директива 2002/22/ЕО (Директива за универсалната услуга) и друго приложимо право на ЕС, като например програмата за политиката в областта на радиочестотния спектър, решенията на Комисията в областта на радиочестотния спектър, с изключение на Директива 2002/58/ЕО за правото на неприкосновеност на личния живот и електронните комуникации.</w:t>
      </w:r>
    </w:p>
  </w:footnote>
  <w:footnote w:id="67">
    <w:p>
      <w:pPr>
        <w:pStyle w:val="FootnoteText"/>
        <w:spacing w:after="60"/>
        <w:ind w:left="567" w:hanging="567"/>
      </w:pPr>
      <w:r>
        <w:rPr>
          <w:rStyle w:val="FootnoteReference"/>
        </w:rPr>
        <w:footnoteRef/>
      </w:r>
      <w:r>
        <w:tab/>
        <w:t>Регламент (ЕС) 2017/1001 на Европейския парламент и на Съвета от 14 юни 2017 г. относно марката на Европейския съюз (ОВ L 154, 16.6.2017 г., стр. 1).</w:t>
      </w:r>
    </w:p>
  </w:footnote>
  <w:footnote w:id="68">
    <w:p>
      <w:pPr>
        <w:pStyle w:val="FootnoteText"/>
        <w:spacing w:after="60"/>
        <w:ind w:left="567" w:hanging="567"/>
      </w:pPr>
      <w:r>
        <w:rPr>
          <w:rStyle w:val="FootnoteReference"/>
        </w:rPr>
        <w:footnoteRef/>
      </w:r>
      <w:r>
        <w:tab/>
        <w:t>Съображение 2 от Директива (ЕС) 2015/849 на Европейския парламент и на Съвета от 20 май 2015 г. за предотвратяване използването на финансовата система за целите на изпирането на пари и финансирането на тероризма.</w:t>
      </w:r>
    </w:p>
  </w:footnote>
  <w:footnote w:id="69">
    <w:p>
      <w:pPr>
        <w:pStyle w:val="FootnoteText"/>
        <w:spacing w:after="60"/>
        <w:ind w:left="567" w:hanging="567"/>
        <w:jc w:val="left"/>
      </w:pPr>
      <w:r>
        <w:rPr>
          <w:rStyle w:val="FootnoteReference"/>
        </w:rPr>
        <w:footnoteRef/>
      </w:r>
      <w:r>
        <w:tab/>
        <w:t xml:space="preserve">Бюлетин на МВФ, 6 октомври 2016 г.: </w:t>
      </w:r>
      <w:hyperlink r:id="rId38" w:history="1">
        <w:r>
          <w:rPr>
            <w:rStyle w:val="Hyperlink"/>
          </w:rPr>
          <w:t>http://www.imf.org/en/About/Factsheets/Sheets/2016/08/01/16/31/Fight-Against-Money-Laundering-the-Financing-of-Terrorism</w:t>
        </w:r>
      </w:hyperlink>
    </w:p>
  </w:footnote>
  <w:footnote w:id="70">
    <w:p>
      <w:pPr>
        <w:pStyle w:val="FootnoteText"/>
        <w:spacing w:after="60"/>
        <w:ind w:left="567" w:hanging="567"/>
      </w:pPr>
      <w:r>
        <w:rPr>
          <w:rStyle w:val="FootnoteReference"/>
        </w:rPr>
        <w:footnoteRef/>
      </w:r>
      <w:r>
        <w:tab/>
        <w:t>Член 44, параграф 1 от Директива (ЕС) 2015/849. Вж. също преработения член 44 от Директива (ЕС) 2018/843, който влезе в сила през юни 2018 г. и трябва да бъде приведен в действие от държавите членки най-късно до януари 2020 г.</w:t>
      </w:r>
    </w:p>
  </w:footnote>
  <w:footnote w:id="71">
    <w:p>
      <w:pPr>
        <w:pStyle w:val="FootnoteText"/>
        <w:spacing w:after="60"/>
        <w:ind w:left="567" w:hanging="567"/>
      </w:pPr>
      <w:r>
        <w:rPr>
          <w:rStyle w:val="FootnoteReference"/>
        </w:rPr>
        <w:footnoteRef/>
      </w:r>
      <w:r>
        <w:tab/>
        <w:t>Вж. раздел 2 (HR, IT, CY, PT, SK, които получиха специфични за всяка държава препоръки в рамките на европейския семестър за 2018 г., и BE, BG, IE, EL, ES, LV, HU, MT, PL, RO и SI, по отношение на които предизвикателствата, пред които са изправени, бяха отразени в съображенията на специфичните за всяка държава препоръки в рамките на европейския семестър за 2018 г. и в докладите по държави от европейския семестър за 2019 г., отнасящи се за тези държави членки).</w:t>
      </w:r>
    </w:p>
    <w:p>
      <w:pPr>
        <w:pStyle w:val="FootnoteText"/>
        <w:spacing w:after="60"/>
        <w:ind w:left="567" w:firstLine="0"/>
      </w:pPr>
      <w:r>
        <w:t>Варирането на резултатите за осемте анализирани години може да се обясни с контекстуални фактори (вариране с повече от 10 % при новозаведените дела не е необичайно явление) или системни недостатъци (липса на гъвкавост и готовност за реакция или несъответствия в процеса на реформа).</w:t>
      </w:r>
    </w:p>
  </w:footnote>
  <w:footnote w:id="72">
    <w:p>
      <w:pPr>
        <w:spacing w:after="60" w:line="240" w:lineRule="auto"/>
        <w:ind w:left="567" w:hanging="567"/>
        <w:jc w:val="both"/>
      </w:pPr>
      <w:r>
        <w:rPr>
          <w:rFonts w:ascii="Times New Roman" w:hAnsi="Times New Roman" w:cs="Times New Roman"/>
          <w:sz w:val="14"/>
          <w:szCs w:val="16"/>
        </w:rPr>
        <w:footnoteRef/>
      </w:r>
      <w:r>
        <w:rPr>
          <w:rFonts w:ascii="Times New Roman" w:hAnsi="Times New Roman" w:cs="Times New Roman"/>
          <w:sz w:val="20"/>
          <w:szCs w:val="20"/>
        </w:rPr>
        <w:tab/>
        <w:t>Директива (ЕС) 2018/1673 на Европейския парламент и на Съвета от 23 октомври 2018 г. за борба с</w:t>
      </w:r>
      <w:r>
        <w:rPr>
          <w:rFonts w:ascii="Times New Roman" w:hAnsi="Times New Roman"/>
          <w:sz w:val="20"/>
          <w:szCs w:val="20"/>
        </w:rPr>
        <w:t xml:space="preserve"> изпирането на пари по наказателноправен ред ще премахне правните пречки, които биха могли да забавят наказателното преследване, например правилото, според което наказателно преследване за изпиране на пари може да започне едва след приключване на производството за свързаното предикатно престъпление. Държавите членки трябва да транспонират тази директива до 8 декември 2020 г.</w:t>
      </w:r>
    </w:p>
  </w:footnote>
  <w:footnote w:id="73">
    <w:p>
      <w:pPr>
        <w:spacing w:after="60" w:line="240" w:lineRule="auto"/>
        <w:ind w:left="567" w:hanging="567"/>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ab/>
        <w:t>Следва да се отбележи, че Асоциацията на държавните съвети и върховните административни юрисдикции в ЕС (ACA) е публикувала трансверсално проучване, озаглавено „</w:t>
      </w:r>
      <w:hyperlink r:id="rId39" w:tgtFrame="_blank" w:history="1">
        <w:r>
          <w:rPr>
            <w:rFonts w:ascii="Times New Roman" w:hAnsi="Times New Roman"/>
            <w:sz w:val="20"/>
            <w:szCs w:val="20"/>
          </w:rPr>
          <w:t>Access to administrative supreme courts and to their decisions“ (Достъп до върховните административни съдилища и до техните решения)</w:t>
        </w:r>
      </w:hyperlink>
      <w:r>
        <w:rPr>
          <w:rFonts w:ascii="Times New Roman" w:hAnsi="Times New Roman"/>
          <w:sz w:val="20"/>
          <w:szCs w:val="20"/>
        </w:rPr>
        <w:t xml:space="preserve">: </w:t>
      </w:r>
      <w:hyperlink r:id="rId40" w:history="1">
        <w:r>
          <w:rPr>
            <w:rStyle w:val="Hyperlink"/>
            <w:rFonts w:ascii="Times New Roman" w:hAnsi="Times New Roman"/>
            <w:sz w:val="20"/>
            <w:szCs w:val="20"/>
          </w:rPr>
          <w:t>http://www.juradmin.eu/images/media_kit/aca_surveys/Transversal-Analysis---Annex-1.pdf</w:t>
        </w:r>
      </w:hyperlink>
    </w:p>
  </w:footnote>
  <w:footnote w:id="74">
    <w:p>
      <w:pPr>
        <w:pStyle w:val="FootnoteText"/>
        <w:spacing w:after="60"/>
        <w:ind w:left="567" w:hanging="567"/>
        <w:rPr>
          <w:highlight w:val="yellow"/>
        </w:rPr>
      </w:pPr>
      <w:r>
        <w:rPr>
          <w:rStyle w:val="FootnoteReference"/>
        </w:rPr>
        <w:footnoteRef/>
      </w:r>
      <w:r>
        <w:tab/>
        <w:t>Данните за 2018 г. са събрани в сътрудничество с групата на лицата за контакт относно националните правосъдни системи.</w:t>
      </w:r>
    </w:p>
  </w:footnote>
  <w:footnote w:id="75">
    <w:p>
      <w:pPr>
        <w:pStyle w:val="FootnoteText"/>
        <w:spacing w:after="60"/>
        <w:ind w:left="567" w:hanging="567"/>
      </w:pPr>
      <w:r>
        <w:rPr>
          <w:rStyle w:val="FootnoteReference"/>
        </w:rPr>
        <w:footnoteRef/>
      </w:r>
      <w:r>
        <w:tab/>
        <w:t>Член 47, параграф 3 от Хартата на основните права на ЕС.</w:t>
      </w:r>
    </w:p>
  </w:footnote>
  <w:footnote w:id="76">
    <w:p>
      <w:pPr>
        <w:pStyle w:val="FootnoteText"/>
        <w:spacing w:after="60"/>
        <w:ind w:left="567" w:hanging="567"/>
      </w:pPr>
      <w:r>
        <w:rPr>
          <w:rStyle w:val="FootnoteReference"/>
        </w:rPr>
        <w:footnoteRef/>
      </w:r>
      <w:r>
        <w:tab/>
        <w:t>Държавите членки използват различни методи за установяване на прага за допустимост, например различни референтни периоди (месечен/годишен доход). Около половината държави членки са установили освен това и праг, свързан с личния капитал на кандидата за правна помощ. Това не е отчетено в тази графика. В BE, IE, ES, FR, HR, HU, LT, LV, LU и NL определени категории лица (напр. лица, които получават определени помощи) получават автоматично право на правна помощ по граждански/търговски спорове. Допълнителните критерии, които държавите членки могат да използват, като например въпросите по съществото на делото, не са отразени в тази графика. Макар това да няма пряко отношение към показаната графика, следва да се отбележи, че в няколко държави членки (AT, CZ, DE, DK, EE, ES, FR, IT, NL, PL, PT, SI, UK (EW) правна помощ може да се предоставя не само на физически лица.</w:t>
      </w:r>
    </w:p>
  </w:footnote>
  <w:footnote w:id="77">
    <w:p>
      <w:pPr>
        <w:pStyle w:val="FootnoteText"/>
        <w:spacing w:after="60"/>
        <w:ind w:left="567" w:hanging="567"/>
      </w:pPr>
      <w:r>
        <w:rPr>
          <w:rStyle w:val="FootnoteReference"/>
        </w:rPr>
        <w:footnoteRef/>
      </w:r>
      <w:r>
        <w:tab/>
        <w:t xml:space="preserve">С цел да се съберат съпоставими данни, съответният праг на бедността, установен от Евростат за всяка държава членка, е преобразуван в месечен доход. Прагът за риска от изпадане в бедност (РИБ) е определен на 60 % от медианния национален приравнен разполагаем доход. Европейско изследване на доходите и условията на живот, таблица на Евростат ilc_li01, която е на разположение на следния адрес: </w:t>
      </w:r>
      <w:hyperlink r:id="rId41" w:history="1">
        <w:r>
          <w:rPr>
            <w:rStyle w:val="Hyperlink"/>
          </w:rPr>
          <w:t>http://ec.europa.eu/eurostat/web/income-and-living-conditions/data/database</w:t>
        </w:r>
      </w:hyperlink>
      <w:r>
        <w:t>.</w:t>
      </w:r>
    </w:p>
  </w:footnote>
  <w:footnote w:id="78">
    <w:p>
      <w:pPr>
        <w:pStyle w:val="FootnoteText"/>
        <w:spacing w:after="60"/>
        <w:ind w:left="567" w:hanging="567"/>
        <w:rPr>
          <w:rStyle w:val="FootnoteReference"/>
          <w:highlight w:val="yellow"/>
          <w:vertAlign w:val="baseline"/>
        </w:rPr>
      </w:pPr>
      <w:r>
        <w:rPr>
          <w:rStyle w:val="FootnoteReference"/>
        </w:rPr>
        <w:footnoteRef/>
      </w:r>
      <w:r>
        <w:tab/>
        <w:t>Данните за 2017 г. са събрани чрез отговори на членове на CCBE на въпросник, базиран на конкретен сценарий: спор между потребител и дружество (посочени са две различни стойности на цената на иска: 6 000 EUR и прага на бедността във всяка държава членка, установен от Евростат). Като се има предвид, че условията за предоставяне на правна помощ зависят от положението на кандидата за правна помощ, е използвана следната хипотеза: несемейно работещо лице на възраст 35 години, без задължения за издръжка на зависимо лице и без застраховка за правни разноски, с постоянни доходи и живеещо в апартамент под наем.</w:t>
      </w:r>
    </w:p>
  </w:footnote>
  <w:footnote w:id="79">
    <w:p>
      <w:pPr>
        <w:pStyle w:val="FootnoteText"/>
        <w:spacing w:after="60"/>
        <w:ind w:left="567" w:hanging="567"/>
        <w:rPr>
          <w:rStyle w:val="FootnoteReference"/>
          <w:highlight w:val="yellow"/>
          <w:vertAlign w:val="baseline"/>
        </w:rPr>
      </w:pPr>
      <w:r>
        <w:rPr>
          <w:rStyle w:val="FootnoteReference"/>
        </w:rPr>
        <w:footnoteRef/>
      </w:r>
      <w:r>
        <w:tab/>
        <w:t>Данните се отнасят за прагове на доходите, валидни за 2018 г., и са събрани чрез отговори на членове на CCBE на въпросник, базиран на следния конкретен сценарий: спор между потребител и дружество (посочени са две различни стойности на цената на иска: 6 000 EUR и прага на бедността във всяка държава членка, установен от Евростат).</w:t>
      </w:r>
    </w:p>
  </w:footnote>
  <w:footnote w:id="80">
    <w:p>
      <w:pPr>
        <w:spacing w:after="60" w:line="240" w:lineRule="auto"/>
        <w:ind w:left="567" w:hanging="567"/>
        <w:jc w:val="both"/>
        <w:rPr>
          <w:rFonts w:ascii="Times New Roman" w:hAnsi="Times New Roman" w:cs="Times New Roman"/>
          <w:sz w:val="20"/>
          <w:szCs w:val="20"/>
          <w:highlight w:val="yellow"/>
        </w:rPr>
      </w:pPr>
      <w:r>
        <w:rPr>
          <w:rStyle w:val="FootnoteReference"/>
          <w:rFonts w:ascii="Times New Roman" w:hAnsi="Times New Roman" w:cs="Times New Roman"/>
          <w:sz w:val="20"/>
          <w:szCs w:val="20"/>
        </w:rPr>
        <w:footnoteRef/>
      </w:r>
      <w:r>
        <w:rPr>
          <w:rFonts w:ascii="Times New Roman" w:hAnsi="Times New Roman"/>
          <w:sz w:val="20"/>
          <w:szCs w:val="20"/>
        </w:rPr>
        <w:tab/>
        <w:t>Данните са за 2017 г. Процентът на оборудване в размер от 100 % (устройството е напълно внедрено) до 0 % (не е въведено такова устройство) показва функционалното наличие в съдилищата на устройството, за което се отнася графиката, като се прилага следната скала: (100 % = 4 точки, ако е приложимо за всички елементи / 1,33 точки за всеки отделен елемент; 50—99 % = 3 точки, ако е приложимо за всички елементи / 1 точка за всеки отделен елемент; 10—49 % = 2 точки, ако е приложимо за всички елементи / 0,66 точки за всеки отделен елемент; 1—9 % = 1 точка, ако е приложимо за всички елементи / 0,33 точки за всеки отделен елемент. Под „елемент“ се разбира видът на разглежданите съдебни спорове (граждански/търговски, наказателни, административни или други).</w:t>
      </w:r>
    </w:p>
  </w:footnote>
  <w:footnote w:id="81">
    <w:p>
      <w:pPr>
        <w:pStyle w:val="FootnoteText"/>
        <w:spacing w:after="60"/>
        <w:ind w:left="567" w:hanging="567"/>
        <w:rPr>
          <w:highlight w:val="yellow"/>
        </w:rPr>
      </w:pPr>
      <w:r>
        <w:rPr>
          <w:rStyle w:val="FootnoteReference"/>
        </w:rPr>
        <w:footnoteRef/>
      </w:r>
      <w:r>
        <w:tab/>
        <w:t>Данните за 2018 г. са събрани в сътрудничество с групата на лицата за контакт относно националните правосъдни системи.</w:t>
      </w:r>
    </w:p>
  </w:footnote>
  <w:footnote w:id="82">
    <w:p>
      <w:pPr>
        <w:pStyle w:val="FootnoteText"/>
        <w:spacing w:after="60"/>
        <w:ind w:left="567" w:hanging="567"/>
      </w:pPr>
      <w:r>
        <w:rPr>
          <w:rStyle w:val="FootnoteReference"/>
        </w:rPr>
        <w:footnoteRef/>
      </w:r>
      <w:r>
        <w:tab/>
        <w:t>Вж. „Ръководство за най-добри практики за управление на върховните съдилища“, изготвено по проекта „Върховните съдилища като гаранция за ефективността на съдебните системи“, стр. 29.</w:t>
      </w:r>
    </w:p>
  </w:footnote>
  <w:footnote w:id="83">
    <w:p>
      <w:pPr>
        <w:pStyle w:val="FootnoteText"/>
        <w:spacing w:after="60"/>
        <w:ind w:left="567" w:hanging="567"/>
      </w:pPr>
      <w:r>
        <w:rPr>
          <w:rStyle w:val="FootnoteReference"/>
        </w:rPr>
        <w:footnoteRef/>
      </w:r>
      <w:r>
        <w:tab/>
        <w:t>Заключения на Съвета и на представителите на правителствата на държавите членки, заседаващи в рамките на Съвета, относно добрите практики за публикуване онлайн на съдебни решения (ОВ С 362, 8.10.2018 г., стр. 2).</w:t>
      </w:r>
    </w:p>
  </w:footnote>
  <w:footnote w:id="84">
    <w:p>
      <w:pPr>
        <w:pStyle w:val="FootnoteText"/>
        <w:spacing w:after="60"/>
        <w:ind w:left="567" w:hanging="567"/>
      </w:pPr>
      <w:r>
        <w:rPr>
          <w:rStyle w:val="FootnoteReference"/>
        </w:rPr>
        <w:footnoteRef/>
      </w:r>
      <w:r>
        <w:tab/>
      </w:r>
      <w:hyperlink r:id="rId42" w:history="1">
        <w:r>
          <w:rPr>
            <w:rStyle w:val="Hyperlink"/>
          </w:rPr>
          <w:t>https://ec.europa.eu/digital-single-market/en/open-data</w:t>
        </w:r>
      </w:hyperlink>
    </w:p>
  </w:footnote>
  <w:footnote w:id="85">
    <w:p>
      <w:pPr>
        <w:pStyle w:val="FootnoteText"/>
        <w:spacing w:after="60"/>
        <w:ind w:left="567" w:hanging="567"/>
        <w:rPr>
          <w:highlight w:val="yellow"/>
        </w:rPr>
      </w:pPr>
      <w:r>
        <w:rPr>
          <w:rStyle w:val="FootnoteReference"/>
        </w:rPr>
        <w:footnoteRef/>
      </w:r>
      <w:r>
        <w:tab/>
        <w:t>Данните за 2018 г. са събрани в сътрудничество с групата на лицата за контакт относно националните правосъдни системи.</w:t>
      </w:r>
    </w:p>
  </w:footnote>
  <w:footnote w:id="86">
    <w:p>
      <w:pPr>
        <w:pStyle w:val="FootnoteText"/>
        <w:spacing w:after="60"/>
        <w:ind w:left="567" w:hanging="567"/>
        <w:rPr>
          <w:highlight w:val="yellow"/>
        </w:rPr>
      </w:pPr>
      <w:r>
        <w:rPr>
          <w:rStyle w:val="FootnoteReference"/>
        </w:rPr>
        <w:footnoteRef/>
      </w:r>
      <w:r>
        <w:tab/>
        <w:t>Данните за 2018 г. са събрани в сътрудничество с групата на лицата за контакт относно националните правосъдни системи.</w:t>
      </w:r>
    </w:p>
  </w:footnote>
  <w:footnote w:id="87">
    <w:p>
      <w:pPr>
        <w:pStyle w:val="FootnoteText"/>
        <w:spacing w:after="60"/>
        <w:ind w:left="567" w:hanging="567"/>
      </w:pPr>
      <w:r>
        <w:rPr>
          <w:rStyle w:val="FootnoteReference"/>
        </w:rPr>
        <w:footnoteRef/>
      </w:r>
      <w:r>
        <w:tab/>
        <w:t>Способите за насърчаване и стимулиране на използването на АРС не включват задължителни изисквания за използване на АРС преди сезирането на съда, тъй като такива изисквания повдигат опасения по отношение на тяхната съвместимост с правото на ефективни правни средства за защита пред съд, залегнало в Хартата на основните права на ЕС.</w:t>
      </w:r>
    </w:p>
  </w:footnote>
  <w:footnote w:id="88">
    <w:p>
      <w:pPr>
        <w:pStyle w:val="FootnoteText"/>
        <w:spacing w:after="60"/>
        <w:ind w:left="567" w:hanging="567"/>
      </w:pPr>
      <w:r>
        <w:rPr>
          <w:rStyle w:val="FootnoteReference"/>
        </w:rPr>
        <w:footnoteRef/>
      </w:r>
      <w:r>
        <w:tab/>
        <w:t>Данните за 2018 г. са събрани в сътрудничество с групата на лицата за контакт относно националните правосъдни системи.</w:t>
      </w:r>
    </w:p>
  </w:footnote>
  <w:footnote w:id="89">
    <w:p>
      <w:pPr>
        <w:pStyle w:val="FootnoteText"/>
        <w:spacing w:after="60"/>
        <w:ind w:left="567" w:hanging="567"/>
      </w:pPr>
      <w:r>
        <w:rPr>
          <w:rStyle w:val="FootnoteReference"/>
        </w:rPr>
        <w:footnoteRef/>
      </w:r>
      <w:r>
        <w:tab/>
        <w:t xml:space="preserve">Общият размер на общите (действителни) държавни разходи за управлението, работата или подкрепата за административните, гражданските и наказателните съдилища и съдебната система, включително събирането на глобите, наложени от съдилищата, изпълнението на съдебните спогодби и дейността на системите за пробация, както и правната помощ и правното представителство и консултации, предоставяни от държавата или от други образувания или лица посредством отпуснати от държавата пари в брой или под формата на услуги, с изключение на администрацията на затворите (данни от националните сметки, класификация на функциите на държавното управление (КОФОГ), група 03.3), </w:t>
      </w:r>
      <w:r>
        <w:rPr>
          <w:i/>
        </w:rPr>
        <w:t>gov_10a_exp</w:t>
      </w:r>
      <w:r>
        <w:t xml:space="preserve">, която може да бъде намерена на следния адрес: </w:t>
      </w:r>
      <w:hyperlink r:id="rId43" w:history="1">
        <w:r>
          <w:rPr>
            <w:rStyle w:val="Hyperlink"/>
          </w:rPr>
          <w:t>http://ec.europa.eu/eurostat/data/database</w:t>
        </w:r>
      </w:hyperlink>
      <w:r>
        <w:rPr>
          <w:rStyle w:val="Hyperlink"/>
        </w:rPr>
        <w:t>.</w:t>
      </w:r>
    </w:p>
  </w:footnote>
  <w:footnote w:id="90">
    <w:p>
      <w:pPr>
        <w:pStyle w:val="FootnoteText"/>
        <w:spacing w:after="60"/>
        <w:ind w:left="567" w:hanging="567"/>
      </w:pPr>
      <w:r>
        <w:rPr>
          <w:rStyle w:val="FootnoteReference"/>
        </w:rPr>
        <w:footnoteRef/>
      </w:r>
      <w:r>
        <w:tab/>
        <w:t>Данните са събрани посредством актуализиран въпросник, изготвен от Комисията в тясно сътрудничество с Европейската мрежа на съдебните съвети (ЕМСС). Отговорите на държавите членки, в които няма съдебни съвети, са получени чрез сътрудничество с Мрежата на председателите на върховните съдилища в ЕС.</w:t>
      </w:r>
    </w:p>
  </w:footnote>
  <w:footnote w:id="91">
    <w:p>
      <w:pPr>
        <w:pStyle w:val="FootnoteText"/>
        <w:spacing w:after="60"/>
        <w:ind w:left="567" w:hanging="567"/>
      </w:pPr>
      <w:r>
        <w:rPr>
          <w:rStyle w:val="FootnoteReference"/>
        </w:rPr>
        <w:footnoteRef/>
      </w:r>
      <w:r>
        <w:tab/>
        <w:t xml:space="preserve">Заплащането на служителите включва възнагражденията и заплатите в брой или в натура (D.11), както и фактическите и условните социалноосигурителни вноски за сметка на работодателя (D.121 и D.122). За повече информация: </w:t>
      </w:r>
      <w:hyperlink r:id="rId44" w:history="1">
        <w:r>
          <w:rPr>
            <w:rStyle w:val="Hyperlink"/>
          </w:rPr>
          <w:t>https://ec.europa.eu/eurostat/statistics-explained/index.php?title=Glossary:Compensation_of_employees</w:t>
        </w:r>
      </w:hyperlink>
      <w:r>
        <w:t>.</w:t>
      </w:r>
    </w:p>
  </w:footnote>
  <w:footnote w:id="92">
    <w:p>
      <w:pPr>
        <w:pStyle w:val="FootnoteText"/>
        <w:spacing w:after="60"/>
        <w:ind w:left="567" w:hanging="567"/>
      </w:pPr>
      <w:r>
        <w:rPr>
          <w:rStyle w:val="FootnoteReference"/>
        </w:rPr>
        <w:footnoteRef/>
      </w:r>
      <w:r>
        <w:tab/>
      </w:r>
      <w:r>
        <w:rPr>
          <w:spacing w:val="-6"/>
        </w:rPr>
        <w:t xml:space="preserve">Междинното потребление е понятие за националните сметки и служи за измерване на стойността на стоките и услугите, които са потребени като вложени ресурси в даден производствен процес. То не включва </w:t>
      </w:r>
      <w:hyperlink r:id="rId45" w:history="1">
        <w:r>
          <w:rPr>
            <w:rStyle w:val="Hyperlink"/>
            <w:spacing w:val="-6"/>
          </w:rPr>
          <w:t>дълготрайните активи</w:t>
        </w:r>
      </w:hyperlink>
      <w:r>
        <w:rPr>
          <w:spacing w:val="-6"/>
        </w:rPr>
        <w:t xml:space="preserve">, чието потребление се отчита като потребление на </w:t>
      </w:r>
      <w:hyperlink r:id="rId46" w:history="1">
        <w:r>
          <w:rPr>
            <w:rStyle w:val="Hyperlink"/>
            <w:spacing w:val="-6"/>
          </w:rPr>
          <w:t>основен капитал</w:t>
        </w:r>
      </w:hyperlink>
      <w:r>
        <w:rPr>
          <w:spacing w:val="-6"/>
        </w:rPr>
        <w:t>. Стоките и услугите могат да бъдат или трансформирани, или изразходвани изцяло в производствения процес.</w:t>
      </w:r>
    </w:p>
    <w:p>
      <w:pPr>
        <w:pStyle w:val="FootnoteText"/>
        <w:spacing w:after="60"/>
        <w:ind w:left="567" w:firstLine="0"/>
        <w:rPr>
          <w:b/>
        </w:rPr>
      </w:pPr>
      <w:r>
        <w:t xml:space="preserve">Вж. </w:t>
      </w:r>
      <w:hyperlink r:id="rId47" w:history="1">
        <w:r>
          <w:rPr>
            <w:rStyle w:val="Hyperlink"/>
          </w:rPr>
          <w:t>https://ec.europa.eu/eurostat/statistics-explained/index.php?title=Glossary:Intermediate_consumption</w:t>
        </w:r>
      </w:hyperlink>
      <w:r>
        <w:rPr>
          <w:rStyle w:val="Hyperlink"/>
        </w:rPr>
        <w:t>.</w:t>
      </w:r>
    </w:p>
  </w:footnote>
  <w:footnote w:id="93">
    <w:p>
      <w:pPr>
        <w:pStyle w:val="FootnoteText"/>
        <w:spacing w:after="60"/>
        <w:ind w:left="567" w:hanging="567"/>
      </w:pPr>
      <w:r>
        <w:rPr>
          <w:rStyle w:val="FootnoteReference"/>
        </w:rPr>
        <w:footnoteRef/>
      </w:r>
      <w:r>
        <w:tab/>
        <w:t xml:space="preserve">Бруто образуване на основен капитал, наричано съкратено „БООК“, е стойността, за даден период, на инвестициите в дълготрайни </w:t>
      </w:r>
      <w:hyperlink r:id="rId48" w:history="1">
        <w:r>
          <w:rPr>
            <w:rStyle w:val="Hyperlink"/>
          </w:rPr>
          <w:t>активи</w:t>
        </w:r>
      </w:hyperlink>
      <w:r>
        <w:t xml:space="preserve"> на резидентните производители, от която е извадена стойността на отчуждените активи. При него се включват и някои увеличения на стойността на непроизведените активи, произтичащи от дейността на производителите или на институционални единици. Дълготрайните активи са материални или нематериални активи, произведени в резултат на производствени процеси и които се използват многократно или непрекъснато в продължение на повече от една година. Вж. </w:t>
      </w:r>
      <w:hyperlink r:id="rId49" w:history="1">
        <w:r>
          <w:rPr>
            <w:rStyle w:val="Hyperlink"/>
          </w:rPr>
          <w:t>https://ec.europa.eu/eurostat/statistics-explained/index.php?title=Glossary:Gross_fixed_capital_formation_(GFCF)</w:t>
        </w:r>
      </w:hyperlink>
      <w:r>
        <w:t>.</w:t>
      </w:r>
    </w:p>
  </w:footnote>
  <w:footnote w:id="94">
    <w:p>
      <w:pPr>
        <w:pStyle w:val="FootnoteText"/>
        <w:spacing w:after="60"/>
        <w:ind w:left="567" w:hanging="567"/>
        <w:rPr>
          <w:highlight w:val="yellow"/>
        </w:rPr>
      </w:pPr>
      <w:r>
        <w:rPr>
          <w:rStyle w:val="FootnoteReference"/>
        </w:rPr>
        <w:footnoteRef/>
      </w:r>
      <w:r>
        <w:tab/>
        <w:t xml:space="preserve">Данни за 2018 г. Европейски институт за равенство между половете, база за статистически данни за равенството между половете, достъпна на следния адрес: </w:t>
      </w:r>
      <w:hyperlink r:id="rId50" w:history="1">
        <w:r>
          <w:rPr>
            <w:rStyle w:val="Hyperlink"/>
          </w:rPr>
          <w:t>http://eige.europa.eu/lt/gender-statistics/dgs/indicator/wmidm_jud_natcrt__wmid_natcrt_supcrt</w:t>
        </w:r>
      </w:hyperlink>
      <w:r>
        <w:t>.</w:t>
      </w:r>
    </w:p>
  </w:footnote>
  <w:footnote w:id="95">
    <w:p>
      <w:pPr>
        <w:pStyle w:val="FootnoteText"/>
        <w:spacing w:after="60"/>
        <w:ind w:left="567" w:hanging="567"/>
        <w:rPr>
          <w:highlight w:val="yellow"/>
        </w:rPr>
      </w:pPr>
      <w:r>
        <w:rPr>
          <w:rStyle w:val="FootnoteReference"/>
        </w:rPr>
        <w:footnoteRef/>
      </w:r>
      <w:r>
        <w:tab/>
        <w:t>Данни за 2017 г., събрани в сътрудничество с Европейската мрежа за съдебно обучение и Европейската комисия за ефикасност на правосъдието (CEPEJ).</w:t>
      </w:r>
    </w:p>
  </w:footnote>
  <w:footnote w:id="96">
    <w:p>
      <w:pPr>
        <w:pStyle w:val="FootnoteText"/>
        <w:spacing w:after="60"/>
        <w:ind w:left="567" w:hanging="567"/>
        <w:rPr>
          <w:highlight w:val="yellow"/>
        </w:rPr>
      </w:pPr>
      <w:r>
        <w:rPr>
          <w:rStyle w:val="FootnoteReference"/>
        </w:rPr>
        <w:footnoteRef/>
      </w:r>
      <w:r>
        <w:tab/>
        <w:t>Данни за 2017 г., събрани в сътрудничество с Европейската мрежа за съдебно обучение и CEPEJ. Категорията „Съдийска професия“ включва дейности като водене на съдебни заседания, писане на решения или реторика.</w:t>
      </w:r>
    </w:p>
  </w:footnote>
  <w:footnote w:id="97">
    <w:p>
      <w:pPr>
        <w:pStyle w:val="FootnoteText"/>
        <w:spacing w:after="60"/>
        <w:ind w:left="567" w:hanging="567"/>
        <w:rPr>
          <w:highlight w:val="yellow"/>
        </w:rPr>
      </w:pPr>
      <w:r>
        <w:rPr>
          <w:rStyle w:val="FootnoteReference"/>
        </w:rPr>
        <w:footnoteRef/>
      </w:r>
      <w:r>
        <w:tab/>
        <w:t>Данните за 2018 г. са събрани в сътрудничество с групата на лицата за контакт относно националните правосъдни системи.</w:t>
      </w:r>
    </w:p>
  </w:footnote>
  <w:footnote w:id="98">
    <w:p>
      <w:pPr>
        <w:pStyle w:val="FootnoteText"/>
        <w:spacing w:after="60"/>
        <w:ind w:left="567" w:hanging="567"/>
        <w:rPr>
          <w:highlight w:val="yellow"/>
        </w:rPr>
      </w:pPr>
      <w:r>
        <w:rPr>
          <w:rStyle w:val="FootnoteReference"/>
        </w:rPr>
        <w:footnoteRef/>
      </w:r>
      <w:r>
        <w:tab/>
        <w:t>Данни за 2017 г.</w:t>
      </w:r>
    </w:p>
  </w:footnote>
  <w:footnote w:id="99">
    <w:p>
      <w:pPr>
        <w:pStyle w:val="FootnoteText"/>
        <w:spacing w:after="60"/>
        <w:ind w:left="567" w:hanging="567"/>
        <w:rPr>
          <w:highlight w:val="green"/>
        </w:rPr>
      </w:pPr>
      <w:r>
        <w:rPr>
          <w:rStyle w:val="FootnoteReference"/>
        </w:rPr>
        <w:footnoteRef/>
      </w:r>
      <w:r>
        <w:tab/>
        <w:t>Данни за 2017 г. Процентът на оборудване в размер от 100 % (устройството е напълно внедрено) до 0 % (не е въведено такова устройство) показва функционалното наличие в съдилищата на устройството, за което се отнася графиката, като се прилага следната скала: 100 % = 4 точки, ако е приложимо за всички елементи / 1,33 точки за всеки отделен елемент; 50—99 % = 3 точки, ако е приложимо за всички елементи / 1 точка за всеки отделен елемент; 10—49 % = 2 точки, ако е приложимо за всички елементи / 0,66 точки за всеки отделен елемент; 1—9 % = 1 точка, ако е приложимо за всички елементи / 0,33 точки за всеки отделен елемент. Под „елемент“ се разбира видът на разглежданите съдебни спорове (граждански/търговски, наказателни, административни или други).</w:t>
      </w:r>
    </w:p>
  </w:footnote>
  <w:footnote w:id="100">
    <w:p>
      <w:pPr>
        <w:pStyle w:val="FootnoteText"/>
        <w:spacing w:after="60"/>
        <w:ind w:left="567" w:hanging="567"/>
        <w:rPr>
          <w:highlight w:val="yellow"/>
        </w:rPr>
      </w:pPr>
      <w:r>
        <w:rPr>
          <w:rStyle w:val="FootnoteReference"/>
        </w:rPr>
        <w:footnoteRef/>
      </w:r>
      <w:r>
        <w:tab/>
        <w:t>Данните за 2017 г. са събрани в сътрудничество с групата на лицата за контакт относно националните правосъдни системи.</w:t>
      </w:r>
    </w:p>
  </w:footnote>
  <w:footnote w:id="101">
    <w:p>
      <w:pPr>
        <w:pStyle w:val="FootnoteText"/>
        <w:spacing w:after="60"/>
        <w:ind w:left="567" w:hanging="567"/>
      </w:pPr>
      <w:r>
        <w:rPr>
          <w:rStyle w:val="FootnoteReference"/>
        </w:rPr>
        <w:footnoteRef/>
      </w:r>
      <w:r>
        <w:tab/>
        <w:t>Данните за 2017 г. са събрани в сътрудничество с групата на лицата за контакт относно националните правосъдни системи.</w:t>
      </w:r>
    </w:p>
  </w:footnote>
  <w:footnote w:id="102">
    <w:p>
      <w:pPr>
        <w:pStyle w:val="FootnoteText"/>
        <w:spacing w:after="60"/>
        <w:ind w:left="567" w:hanging="567"/>
      </w:pPr>
      <w:r>
        <w:rPr>
          <w:rStyle w:val="FootnoteReference"/>
        </w:rPr>
        <w:footnoteRef/>
      </w:r>
      <w:r>
        <w:tab/>
        <w:t>Посочените в Информационното табло на ЕС в областта на правосъдието стандарти за сроковете и работните графици надхвърлят изискванията, произтичащи от правото, делото да бъде гледано в разумен срок, залегнало в член 47 от Хартата на основните права на ЕС и в член 6 от Европейската конвенция за правата на човека.</w:t>
      </w:r>
    </w:p>
  </w:footnote>
  <w:footnote w:id="103">
    <w:p>
      <w:pPr>
        <w:pStyle w:val="FootnoteText"/>
        <w:spacing w:after="60"/>
        <w:ind w:left="567" w:hanging="567"/>
      </w:pPr>
      <w:r>
        <w:rPr>
          <w:rStyle w:val="FootnoteReference"/>
        </w:rPr>
        <w:footnoteRef/>
      </w:r>
      <w:r>
        <w:tab/>
        <w:t>Данните за 2018 г. са събрани в сътрудничество с групата на лицата за контакт относно националните правосъдни системи.</w:t>
      </w:r>
    </w:p>
  </w:footnote>
  <w:footnote w:id="104">
    <w:p>
      <w:pPr>
        <w:pStyle w:val="FootnoteText"/>
        <w:spacing w:after="60"/>
        <w:ind w:left="567" w:hanging="567"/>
      </w:pPr>
      <w:r>
        <w:rPr>
          <w:rStyle w:val="FootnoteReference"/>
        </w:rPr>
        <w:footnoteRef/>
      </w:r>
      <w:r>
        <w:tab/>
        <w:t>Данните за 2018 г. са събрани в сътрудничество с групата на лицата за контакт относно националните правосъдни системи.</w:t>
      </w:r>
    </w:p>
  </w:footnote>
  <w:footnote w:id="105">
    <w:p>
      <w:pPr>
        <w:pStyle w:val="FootnoteText"/>
        <w:spacing w:after="60"/>
        <w:ind w:left="567" w:hanging="567"/>
      </w:pPr>
      <w:r>
        <w:rPr>
          <w:rStyle w:val="FootnoteReference"/>
        </w:rPr>
        <w:footnoteRef/>
      </w:r>
      <w:r>
        <w:tab/>
        <w:t>Данните за 2018 г. са събрани в сътрудничество с групата на лицата за контакт относно националните правосъдни системи.</w:t>
      </w:r>
    </w:p>
  </w:footnote>
  <w:footnote w:id="106">
    <w:p>
      <w:pPr>
        <w:pStyle w:val="FootnoteText"/>
        <w:spacing w:after="60"/>
        <w:ind w:left="567" w:hanging="567"/>
      </w:pPr>
      <w:r>
        <w:rPr>
          <w:rStyle w:val="FootnoteReference"/>
        </w:rPr>
        <w:footnoteRef/>
      </w:r>
      <w:r>
        <w:tab/>
        <w:t>Използването на изкуствен интелект в правосъдните системи се превърна в актуален въпрос. През април 2018 г. Комисията прие Съобщение относно изкуствения интелект за Европа (COM(2018) 237 final). В него се подчертава значението на инвестициите в ключови области на приложение, като например публичната администрация, включително правосъдието. В информационното табло на ЕС в областта на правосъдието през идните години може да се направи преглед на положението в държавите членки. Графики 26 и 43 (практики за публикуване онлайн на съдебни решения и практики за качеството на съдебните решения) вече представят данни, свързани с фактори, които са от решаващо значение за развитието на стабилна правно-технологическа индустрия в Европа.</w:t>
      </w:r>
    </w:p>
  </w:footnote>
  <w:footnote w:id="107">
    <w:p>
      <w:pPr>
        <w:pStyle w:val="FootnoteText"/>
        <w:spacing w:after="60"/>
        <w:ind w:left="567" w:hanging="567"/>
      </w:pPr>
      <w:r>
        <w:rPr>
          <w:rStyle w:val="FootnoteReference"/>
        </w:rPr>
        <w:footnoteRef/>
      </w:r>
      <w:r>
        <w:tab/>
        <w:t xml:space="preserve">Вж. </w:t>
      </w:r>
      <w:hyperlink r:id="rId51" w:history="1">
        <w:r>
          <w:rPr>
            <w:rStyle w:val="Hyperlink"/>
          </w:rPr>
          <w:t>http://eur-lex.europa.eu/legal-content/BG/TXT/PDF/?uri=CELEX:12012P/TXT&amp;from=BG</w:t>
        </w:r>
      </w:hyperlink>
      <w:r>
        <w:rPr>
          <w:rStyle w:val="Hyperlink"/>
        </w:rPr>
        <w:t>.</w:t>
      </w:r>
    </w:p>
  </w:footnote>
  <w:footnote w:id="108">
    <w:p>
      <w:pPr>
        <w:pStyle w:val="FootnoteText"/>
        <w:spacing w:after="60"/>
        <w:ind w:left="567" w:hanging="567"/>
        <w:rPr>
          <w:highlight w:val="yellow"/>
        </w:rPr>
      </w:pPr>
      <w:r>
        <w:rPr>
          <w:rStyle w:val="FootnoteReference"/>
        </w:rPr>
        <w:footnoteRef/>
      </w:r>
      <w:r>
        <w:tab/>
        <w:t xml:space="preserve">Проучване на Евробарометър FL474, проведено между 9 и 11 януари 2019 г. Отговори на въпроса: „От това, което Ви е известно, как бихте оценили правосъдната система в (нашата държава) по отношение на независимостта на съдилищата и съдиите? Какво бихте казали: че е в много добро състояние, в относително добро състояние, в относително лошо състояние или в много лошо състояние?“, вж.: </w:t>
      </w:r>
      <w:hyperlink r:id="rId52" w:history="1">
        <w:r>
          <w:rPr>
            <w:rStyle w:val="Hyperlink"/>
          </w:rPr>
          <w:t>https://ec.europa.eu/info/strategy/justice-and-fundamental-rights/effective-justice/eu-justice-scoreboard_en</w:t>
        </w:r>
      </w:hyperlink>
      <w:r>
        <w:rPr>
          <w:rStyle w:val="Hyperlink"/>
        </w:rPr>
        <w:t>.</w:t>
      </w:r>
    </w:p>
  </w:footnote>
  <w:footnote w:id="109">
    <w:p>
      <w:pPr>
        <w:pStyle w:val="FootnoteText"/>
        <w:spacing w:after="60"/>
        <w:ind w:left="567" w:hanging="567"/>
      </w:pPr>
      <w:r>
        <w:rPr>
          <w:rStyle w:val="FootnoteReference"/>
        </w:rPr>
        <w:footnoteRef/>
      </w:r>
      <w:r>
        <w:tab/>
        <w:t>Проучване на Евробарометър FL474, отговори на въпроса: „Бихте ли посочили до каква степен всяка от следните причини обяснява Вашата оценка за независимостта на правосъдната система в (нашата страна): до голяма степен, донякъде, не съвсем, въобще не?“.</w:t>
      </w:r>
    </w:p>
  </w:footnote>
  <w:footnote w:id="110">
    <w:p>
      <w:pPr>
        <w:pStyle w:val="FootnoteText"/>
        <w:spacing w:after="60"/>
        <w:ind w:left="567" w:hanging="567"/>
      </w:pPr>
      <w:r>
        <w:rPr>
          <w:rStyle w:val="FootnoteReference"/>
        </w:rPr>
        <w:footnoteRef/>
      </w:r>
      <w:r>
        <w:tab/>
        <w:t xml:space="preserve">Проучване на Евробарометър FL475, проведено между 7 и 16 януари 2019 г. Отговори на въпроса: „От това, което Ви е известно, как бихте оценили правосъдната система в (нашата държава) по отношение на независимостта на съдилищата и съдиите? Какво бихте казали: че е в много добро състояние, в относително добро състояние, в относително лошо състояние или в много лошо състояние?“, вж.: </w:t>
      </w:r>
      <w:hyperlink r:id="rId53" w:history="1">
        <w:r>
          <w:rPr>
            <w:rStyle w:val="Hyperlink"/>
          </w:rPr>
          <w:t>https://ec.europa.eu/info/strategy/justice-and-fundamental-rights/effective-justice/eu-justice-scoreboard_en</w:t>
        </w:r>
      </w:hyperlink>
      <w:r>
        <w:rPr>
          <w:rStyle w:val="Hyperlink"/>
        </w:rPr>
        <w:t>.</w:t>
      </w:r>
    </w:p>
  </w:footnote>
  <w:footnote w:id="111">
    <w:p>
      <w:pPr>
        <w:pStyle w:val="FootnoteText"/>
        <w:spacing w:after="60"/>
        <w:ind w:left="567" w:hanging="567"/>
        <w:rPr>
          <w:highlight w:val="yellow"/>
        </w:rPr>
      </w:pPr>
      <w:r>
        <w:rPr>
          <w:rStyle w:val="FootnoteReference"/>
        </w:rPr>
        <w:footnoteRef/>
      </w:r>
      <w:r>
        <w:tab/>
        <w:t>Проучване на Евробарометър FL475; отговори на въпроса: „Бихте ли посочили до каква степен всяка от следните причини обяснява Вашата оценка за независимостта на правосъдната система в (нашата страна): до голяма степен, донякъде, не съвсем, въобще не?“.</w:t>
      </w:r>
    </w:p>
  </w:footnote>
  <w:footnote w:id="112">
    <w:p>
      <w:pPr>
        <w:pStyle w:val="FootnoteText"/>
        <w:spacing w:after="60"/>
        <w:ind w:left="567" w:hanging="567"/>
      </w:pPr>
      <w:r>
        <w:rPr>
          <w:rStyle w:val="FootnoteReference"/>
        </w:rPr>
        <w:footnoteRef/>
      </w:r>
      <w:r>
        <w:tab/>
        <w:t xml:space="preserve">Световният икономически форум (СИФ) основава показателя си на отговори на въпроса: „До каква степен правосъдната система във Вашата държава е независима от влиянието на правителството, отделни физически лица или дружества? [1 = изобщо не е независима; 7 = напълно независима]“. Отговори на проучването са дали представителна извадка от предприятия, които представляват основните отрасли в икономиката (селско стопанство, преработвателна промишленост, непреработвателна промишленост и услуги) във всички съответни държави членки. Проучването се провежда в различни формати, включително лични или телефонни интервюта с фирмени ръководители, изпратени по пощата хартиени формуляри и онлайн проучвания. Вж. </w:t>
      </w:r>
      <w:hyperlink r:id="rId54" w:history="1">
        <w:r>
          <w:rPr>
            <w:rStyle w:val="Hyperlink"/>
          </w:rPr>
          <w:t>https://www.weforum.org/reports/the-global-competitveness-report-2018</w:t>
        </w:r>
      </w:hyperlink>
      <w:r>
        <w:t>.</w:t>
      </w:r>
    </w:p>
  </w:footnote>
  <w:footnote w:id="113">
    <w:p>
      <w:pPr>
        <w:pStyle w:val="FootnoteText"/>
        <w:spacing w:after="60"/>
        <w:ind w:left="567" w:hanging="567"/>
        <w:rPr>
          <w:highlight w:val="yellow"/>
        </w:rPr>
      </w:pPr>
      <w:r>
        <w:rPr>
          <w:rStyle w:val="FootnoteReference"/>
        </w:rPr>
        <w:footnoteRef/>
      </w:r>
      <w:r>
        <w:tab/>
      </w:r>
      <w:r>
        <w:rPr>
          <w:spacing w:val="-4"/>
        </w:rPr>
        <w:t>Вж. Съд на Европейския съюз, решение от 25 юли 2018 г., LM, C-216/18 PPU, ECLI:EU:C:2018:586, т. 66. Вж. също точки 46 и 47 от Препоръка CM/Rec(2010)12 относно съдиите: независимост, ефективност и отговорност (приета от Комитета на министрите на Съвета на Европа на 17 ноември 2010 г.) и обяснителния меморандум, които предвиждат, че органът, който взема решения относно подбора и кариерното развитие на съдиите, следва да бъде независим от изпълнителната и законодателната власт. С цел да се гарантира независимостта на този орган поне половината от неговите членове следва да бъдат съдии, избрани от своите колеги. Когато обаче съгласно конституционни или други законови разпоредби се изисква държавният глава, правителството или законодателната власт да вземат решения относно подбора и кариерното развитие на съдиите, независим и компетентен орган, чийто персонал в значителна част е набран от съдебната система (без да се засягат посочените в глава IV правила, приложими към съдебните съвети), следва да бъде упълномощен да отправя препоръки или да изразява становища, които съответният назначаващ орган следва в практиката.</w:t>
      </w:r>
    </w:p>
  </w:footnote>
  <w:footnote w:id="114">
    <w:p>
      <w:pPr>
        <w:pStyle w:val="FootnoteText"/>
        <w:spacing w:after="60"/>
        <w:ind w:left="567" w:hanging="567"/>
      </w:pPr>
      <w:r>
        <w:rPr>
          <w:rStyle w:val="FootnoteReference"/>
        </w:rPr>
        <w:footnoteRef/>
      </w:r>
      <w:r>
        <w:tab/>
        <w:t>Вж. Препоръка CM/Rec(2010)12 относно съдиите: независимост, ефективност и отговорност, приета от Комитета на министрите на Съвета на Европа на 17 ноември 2010 г. и обяснителния меморандум (наричани по-долу: „Препоръка CM/Rec(2010)12“).</w:t>
      </w:r>
    </w:p>
  </w:footnote>
  <w:footnote w:id="115">
    <w:p>
      <w:pPr>
        <w:pStyle w:val="FootnoteText"/>
        <w:spacing w:after="60"/>
        <w:ind w:left="567" w:hanging="567"/>
      </w:pPr>
      <w:r>
        <w:rPr>
          <w:rStyle w:val="FootnoteReference"/>
        </w:rPr>
        <w:footnoteRef/>
      </w:r>
      <w:r>
        <w:tab/>
        <w:t>Графиките се основават на отговорите на актуализиран въпросник, изготвен от Комисията в тясно сътрудничество с ЕМСС. Отговорите на актуализирания въпросник, дадени от държавите членки, в които няма съдебни съвети, които не членуват в ЕМСС или тяхното членство е било суспендирано (CZ, DE, EE, CY, LU, AT, PL и FI), бяха получени в сътрудничество с Мрежата на председателите на върховните съдилища на ЕС.</w:t>
      </w:r>
    </w:p>
  </w:footnote>
  <w:footnote w:id="116">
    <w:p>
      <w:pPr>
        <w:pStyle w:val="FootnoteText"/>
        <w:spacing w:after="60"/>
        <w:ind w:left="567" w:hanging="567"/>
      </w:pPr>
      <w:r>
        <w:rPr>
          <w:rStyle w:val="FootnoteReference"/>
        </w:rPr>
        <w:footnoteRef/>
      </w:r>
      <w:r>
        <w:tab/>
      </w:r>
      <w:r>
        <w:rPr>
          <w:spacing w:val="-4"/>
        </w:rPr>
        <w:t>Графиките се основават на отговорите на актуализиран въпросник, изготвен от Комисията в тясно сътрудничество с Експертната група по въпросите на изпирането на пари и финансирането на тероризма.</w:t>
      </w:r>
    </w:p>
  </w:footnote>
  <w:footnote w:id="117">
    <w:p>
      <w:pPr>
        <w:pStyle w:val="FootnoteText"/>
        <w:spacing w:after="60"/>
        <w:ind w:left="567" w:hanging="567"/>
      </w:pPr>
      <w:r>
        <w:rPr>
          <w:rStyle w:val="FootnoteReference"/>
        </w:rPr>
        <w:footnoteRef/>
      </w:r>
      <w:r>
        <w:tab/>
      </w:r>
      <w:r>
        <w:rPr>
          <w:spacing w:val="-4"/>
        </w:rPr>
        <w:t>Вж. Съд на Европейския съюз, решение от 25 юли 2018 г., LM, C-216/18 PPU, ECLI:EU:C:2018:586, т. 67.</w:t>
      </w:r>
    </w:p>
  </w:footnote>
  <w:footnote w:id="118">
    <w:p>
      <w:pPr>
        <w:pStyle w:val="FootnoteText"/>
        <w:spacing w:after="60"/>
        <w:ind w:left="567" w:hanging="567"/>
      </w:pPr>
      <w:r>
        <w:rPr>
          <w:rStyle w:val="FootnoteReference"/>
        </w:rPr>
        <w:footnoteRef/>
      </w:r>
      <w:r>
        <w:tab/>
      </w:r>
      <w:r>
        <w:rPr>
          <w:spacing w:val="-4"/>
        </w:rPr>
        <w:t>Вж. Съд на Европейския съюз, решение от 25 юли 2018 г., LM, C-216/18 PPU, ECLI:EU:C:2018:586, т. 67.</w:t>
      </w:r>
    </w:p>
  </w:footnote>
  <w:footnote w:id="119">
    <w:p>
      <w:pPr>
        <w:pStyle w:val="FootnoteText"/>
        <w:spacing w:after="60"/>
        <w:ind w:left="567" w:hanging="567"/>
      </w:pPr>
      <w:r>
        <w:rPr>
          <w:rStyle w:val="FootnoteReference"/>
        </w:rPr>
        <w:footnoteRef/>
      </w:r>
      <w:r>
        <w:tab/>
      </w:r>
      <w:r>
        <w:rPr>
          <w:spacing w:val="-4"/>
        </w:rPr>
        <w:t>Вж. Съд на Европейския съюз, решение от 5 юли 2016 г., Ognyanov, C-614/14, ECLI:EU:C:2016:514, т. 17.</w:t>
      </w:r>
    </w:p>
  </w:footnote>
  <w:footnote w:id="120">
    <w:p>
      <w:pPr>
        <w:pStyle w:val="FootnoteText"/>
        <w:spacing w:after="60"/>
        <w:ind w:left="567" w:hanging="567"/>
      </w:pPr>
      <w:r>
        <w:rPr>
          <w:rStyle w:val="FootnoteReference"/>
        </w:rPr>
        <w:footnoteRef/>
      </w:r>
      <w:r>
        <w:tab/>
      </w:r>
      <w:r>
        <w:rPr>
          <w:spacing w:val="-4"/>
        </w:rPr>
        <w:t>Вж. Съд на Европейския съюз, решение от 5 юли 2016 г., Ognyanov, C-614/14, ECLI:EU:C:2016:514, т. 25.</w:t>
      </w:r>
    </w:p>
  </w:footnote>
  <w:footnote w:id="121">
    <w:p>
      <w:pPr>
        <w:pStyle w:val="FootnoteText"/>
        <w:spacing w:after="60"/>
        <w:ind w:left="567" w:hanging="567"/>
      </w:pPr>
      <w:r>
        <w:rPr>
          <w:rStyle w:val="FootnoteReference"/>
        </w:rPr>
        <w:footnoteRef/>
      </w:r>
      <w:r>
        <w:tab/>
      </w:r>
      <w:r>
        <w:rPr>
          <w:spacing w:val="-4"/>
        </w:rPr>
        <w:t>Вж. Съд на Европейския съюз, определение от 12 февруари 2019 г., RH, C-8/19, ECLI:EU:C:2019:110, т. 47.</w:t>
      </w:r>
    </w:p>
  </w:footnote>
  <w:footnote w:id="122">
    <w:p>
      <w:pPr>
        <w:pStyle w:val="FootnoteText"/>
        <w:spacing w:after="60"/>
        <w:ind w:left="567" w:hanging="567"/>
      </w:pPr>
      <w:r>
        <w:rPr>
          <w:rStyle w:val="FootnoteReference"/>
        </w:rPr>
        <w:footnoteRef/>
      </w:r>
      <w:r>
        <w:tab/>
        <w:t>Параграф 69 от Препоръка CM/Rec(2010)12.</w:t>
      </w:r>
    </w:p>
  </w:footnote>
  <w:footnote w:id="123">
    <w:p>
      <w:pPr>
        <w:pStyle w:val="FootnoteText"/>
        <w:spacing w:after="60"/>
        <w:ind w:left="567" w:hanging="567"/>
      </w:pPr>
      <w:r>
        <w:rPr>
          <w:rStyle w:val="FootnoteReference"/>
        </w:rPr>
        <w:footnoteRef/>
      </w:r>
      <w:r>
        <w:tab/>
        <w:t>Параграф 66 от Препоръка CM/Rec(2010)12.</w:t>
      </w:r>
    </w:p>
  </w:footnote>
  <w:footnote w:id="124">
    <w:p>
      <w:pPr>
        <w:pStyle w:val="FootnoteText"/>
        <w:spacing w:after="60"/>
        <w:ind w:left="567" w:hanging="567"/>
      </w:pPr>
      <w:r>
        <w:rPr>
          <w:rStyle w:val="FootnoteReference"/>
        </w:rPr>
        <w:footnoteRef/>
      </w:r>
      <w:r>
        <w:tab/>
        <w:t>Параграф 69 от Препоръка CM/Rec(2010)12.</w:t>
      </w:r>
    </w:p>
  </w:footnote>
  <w:footnote w:id="125">
    <w:p>
      <w:pPr>
        <w:pStyle w:val="FootnoteText"/>
        <w:spacing w:after="60"/>
        <w:ind w:left="567" w:hanging="567"/>
      </w:pPr>
      <w:r>
        <w:rPr>
          <w:rStyle w:val="FootnoteReference"/>
        </w:rPr>
        <w:footnoteRef/>
      </w:r>
      <w:r>
        <w:tab/>
        <w:t>Данните са събрани посредством актуализиран въпросник, изготвен от Комисията в тясно сътрудничество с Европейската мрежа на съдебните съвети (ЕМСС). Отговорите на актуализирания въпросник, дадени от държавите членки, в които няма съдебни съвети, които не членуват в ЕМСС или тяхното членство е било суспендирано, бяха получени в сътрудничество с Мрежата на председателите на върховните съдилища.</w:t>
      </w:r>
    </w:p>
  </w:footnote>
  <w:footnote w:id="126">
    <w:p>
      <w:pPr>
        <w:pStyle w:val="FootnoteText"/>
        <w:spacing w:after="60"/>
        <w:ind w:left="567" w:hanging="567"/>
      </w:pPr>
      <w:r>
        <w:rPr>
          <w:rStyle w:val="FootnoteReference"/>
        </w:rPr>
        <w:footnoteRef/>
      </w:r>
      <w:r>
        <w:tab/>
        <w:t>Данните са събрани посредством актуализиран въпросник, изготвен от Комисията в тясно сътрудничество с Европейската мрежа на съдебните съвети (ЕМСС). Отговорите на актуализирания въпросник, дадени от държавите членки, в които няма съдебни съвети, които не членуват в ЕМСС или тяхното членство е било суспендирано, бяха получени в сътрудничество с Мрежата на председателите на върховните съдилища.</w:t>
      </w:r>
    </w:p>
  </w:footnote>
  <w:footnote w:id="127">
    <w:p>
      <w:pPr>
        <w:pStyle w:val="FootnoteText"/>
        <w:spacing w:after="60"/>
        <w:ind w:left="567" w:hanging="567"/>
      </w:pPr>
      <w:r>
        <w:rPr>
          <w:rStyle w:val="FootnoteReference"/>
        </w:rPr>
        <w:footnoteRef/>
      </w:r>
      <w:r>
        <w:tab/>
        <w:t xml:space="preserve">Точка 27 от Препоръка CM/Rec(2010)12, вж. също раздел C, подточка ii) от Плана за действие на Съвета на Европа от 2016 г., точка 27 от Становище № 10 от 2007 г. на Консултативния съвет на европейските съдии (КСЕС) на вниманието на Комитета на министрите на Съвета на Европа относно съдебен съвет в услуга на обществото и раздел 2.3 от стандартите на ЕМСС в </w:t>
      </w:r>
      <w:r>
        <w:rPr>
          <w:i/>
        </w:rPr>
        <w:t>доклада за периода 2010—2011 г. „Съдебни съвети“</w:t>
      </w:r>
      <w:r>
        <w:t>.</w:t>
      </w:r>
    </w:p>
  </w:footnote>
  <w:footnote w:id="128">
    <w:p>
      <w:pPr>
        <w:pStyle w:val="FootnoteText"/>
        <w:spacing w:after="60"/>
        <w:ind w:left="567" w:hanging="567"/>
      </w:pPr>
      <w:r>
        <w:rPr>
          <w:rStyle w:val="FootnoteReference"/>
        </w:rPr>
        <w:footnoteRef/>
      </w:r>
      <w:r>
        <w:tab/>
        <w:t>Данните са събрани посредством актуализиран въпросник, изготвен от Комисията в тясно сътрудничество с Европейската мрежа на съдебните съвети (ЕМСС).</w:t>
      </w:r>
    </w:p>
  </w:footnote>
  <w:footnote w:id="129">
    <w:p>
      <w:pPr>
        <w:pStyle w:val="FootnoteText"/>
        <w:spacing w:after="60"/>
        <w:ind w:left="567" w:hanging="567"/>
      </w:pPr>
      <w:r>
        <w:rPr>
          <w:rStyle w:val="FootnoteReference"/>
        </w:rPr>
        <w:footnoteRef/>
      </w:r>
      <w:r>
        <w:tab/>
        <w:t>OB L 190, 18.7.2002 г., стр. 1.</w:t>
      </w:r>
    </w:p>
  </w:footnote>
  <w:footnote w:id="130">
    <w:p>
      <w:pPr>
        <w:pStyle w:val="FootnoteText"/>
        <w:spacing w:after="60"/>
        <w:ind w:left="567" w:hanging="567"/>
      </w:pPr>
      <w:r>
        <w:rPr>
          <w:rStyle w:val="FootnoteReference"/>
        </w:rPr>
        <w:footnoteRef/>
      </w:r>
      <w:r>
        <w:tab/>
        <w:t>Съд на Европейския съюз, решение от 10 ноември 2016 г., Openbaar Ministerie/Ruslanas Kovalkovas, C-477/16 PPU, т. 34 и 36, ECLI:EU:C:2016:861; решение от 10 ноември 2016 г., Openbaar Ministerie/Halil Ibrahim Özçelik, C-453/16 PPU, ECLI:EU:C:2016:860, т. 32 и 34. Вж. също Становище № 13 от 2018 г. „Независимост, отчетност и етика на прокурорите“, прието от Консултативния съвет на европейските прокурори (КСЕП), препоръка xii.</w:t>
      </w:r>
    </w:p>
  </w:footnote>
  <w:footnote w:id="131">
    <w:p>
      <w:pPr>
        <w:pStyle w:val="FootnoteText"/>
        <w:spacing w:after="60"/>
        <w:ind w:left="567" w:hanging="567"/>
      </w:pPr>
      <w:r>
        <w:rPr>
          <w:rStyle w:val="FootnoteReference"/>
        </w:rPr>
        <w:footnoteRef/>
      </w:r>
      <w:r>
        <w:tab/>
        <w:t>CDL-AD(2010)040-e Доклад относно европейските стандарти по отношение на независимостта на съдебната система: Част II — Прокуратура — приет от Венецианската комисия на нейната 85-а пленарна сесия (Венеция, 17—18 декември 2010 г.), точка 26.</w:t>
      </w:r>
    </w:p>
  </w:footnote>
  <w:footnote w:id="132">
    <w:p>
      <w:pPr>
        <w:pStyle w:val="FootnoteText"/>
        <w:spacing w:after="60"/>
        <w:ind w:left="567" w:hanging="567"/>
      </w:pPr>
      <w:r>
        <w:rPr>
          <w:rStyle w:val="FootnoteReference"/>
        </w:rPr>
        <w:footnoteRef/>
      </w:r>
      <w:r>
        <w:tab/>
        <w:t>Препоръка Rec(2000)19 относно ролята на прокуратурата в системата на наказателното правосъдие, приета от Комитета на министрите на Съвета на Европа на 6 октомври 2000 г. („Препоръката от 2000 г.“), точка 4.</w:t>
      </w:r>
    </w:p>
  </w:footnote>
  <w:footnote w:id="133">
    <w:p>
      <w:pPr>
        <w:pStyle w:val="FootnoteText"/>
        <w:spacing w:after="60"/>
        <w:ind w:left="567" w:hanging="567"/>
      </w:pPr>
      <w:r>
        <w:rPr>
          <w:rStyle w:val="FootnoteReference"/>
        </w:rPr>
        <w:footnoteRef/>
      </w:r>
      <w:r>
        <w:tab/>
        <w:t>Препоръката от 2000 г., точки 11 и 13. Вж. също Становище № 13 от 2018 г. „Независимост, отчетност и етика на прокурорите“, прието от Консултативния съвет на европейските прокурори (КСЕП), препоръки i и iii.</w:t>
      </w:r>
    </w:p>
  </w:footnote>
  <w:footnote w:id="134">
    <w:p>
      <w:pPr>
        <w:pStyle w:val="FootnoteText"/>
        <w:spacing w:after="60"/>
        <w:ind w:left="567" w:hanging="567"/>
      </w:pPr>
      <w:r>
        <w:rPr>
          <w:rStyle w:val="FootnoteReference"/>
        </w:rPr>
        <w:footnoteRef/>
      </w:r>
      <w:r>
        <w:tab/>
        <w:t>Препоръката от 2000 г., точка 13, буква в).</w:t>
      </w:r>
    </w:p>
  </w:footnote>
  <w:footnote w:id="135">
    <w:p>
      <w:pPr>
        <w:pStyle w:val="FootnoteText"/>
        <w:spacing w:after="60"/>
        <w:ind w:left="567" w:hanging="567"/>
      </w:pPr>
      <w:r>
        <w:rPr>
          <w:rStyle w:val="FootnoteReference"/>
        </w:rPr>
        <w:footnoteRef/>
      </w:r>
      <w:r>
        <w:tab/>
        <w:t>Препоръката от 2000 г., точка 13, буква г).</w:t>
      </w:r>
    </w:p>
  </w:footnote>
  <w:footnote w:id="136">
    <w:p>
      <w:pPr>
        <w:pStyle w:val="FootnoteText"/>
        <w:spacing w:after="60"/>
        <w:ind w:left="567" w:hanging="567"/>
      </w:pPr>
      <w:r>
        <w:rPr>
          <w:rStyle w:val="FootnoteReference"/>
        </w:rPr>
        <w:footnoteRef/>
      </w:r>
      <w:r>
        <w:tab/>
        <w:t>Препоръката от 2000 г., точка 13, буква е). Вж. също Становище № 13 от 2018 г. „Независимост, отчетност и етика на прокурорите“, прието от Консултативния съвет на европейските прокурори (КСЕП), препоръка iv.</w:t>
      </w:r>
    </w:p>
  </w:footnote>
  <w:footnote w:id="137">
    <w:p>
      <w:pPr>
        <w:pStyle w:val="FootnoteText"/>
        <w:spacing w:after="60"/>
        <w:ind w:left="567" w:hanging="567"/>
      </w:pPr>
      <w:r>
        <w:rPr>
          <w:rStyle w:val="FootnoteReference"/>
        </w:rPr>
        <w:footnoteRef/>
      </w:r>
      <w:r>
        <w:tab/>
        <w:t>Препоръката от 2000 г., точка 34.</w:t>
      </w:r>
    </w:p>
  </w:footnote>
  <w:footnote w:id="138">
    <w:p>
      <w:pPr>
        <w:pStyle w:val="FootnoteText"/>
        <w:spacing w:after="60"/>
        <w:ind w:left="567" w:hanging="567"/>
      </w:pPr>
      <w:r>
        <w:rPr>
          <w:rStyle w:val="FootnoteReference"/>
        </w:rPr>
        <w:footnoteRef/>
      </w:r>
      <w:r>
        <w:tab/>
        <w:t>Например главният прокурор може да има функции в органите, които отговарят за решенията по отношение на прокурорите, дори да не взема такива решения пряко.</w:t>
      </w:r>
    </w:p>
  </w:footnote>
  <w:footnote w:id="139">
    <w:p>
      <w:pPr>
        <w:pStyle w:val="FootnoteText"/>
        <w:spacing w:after="60"/>
        <w:ind w:left="567" w:hanging="567"/>
      </w:pPr>
      <w:r>
        <w:rPr>
          <w:rStyle w:val="FootnoteReference"/>
        </w:rPr>
        <w:footnoteRef/>
      </w:r>
      <w:r>
        <w:tab/>
        <w:t>Вж. бележка под линия </w:t>
      </w:r>
      <w:r>
        <w:fldChar w:fldCharType="begin"/>
      </w:r>
      <w:r>
        <w:instrText xml:space="preserve"> NOTEREF _Ref4705096 \h </w:instrText>
      </w:r>
      <w:r>
        <w:fldChar w:fldCharType="separate"/>
      </w:r>
      <w:r>
        <w:t>73</w:t>
      </w:r>
      <w:r>
        <w:fldChar w:fldCharType="end"/>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EE26B22"/>
    <w:lvl w:ilvl="0">
      <w:start w:val="1"/>
      <w:numFmt w:val="decimal"/>
      <w:lvlText w:val="%1."/>
      <w:lvlJc w:val="left"/>
      <w:pPr>
        <w:tabs>
          <w:tab w:val="num" w:pos="1492"/>
        </w:tabs>
        <w:ind w:left="1492" w:hanging="360"/>
      </w:pPr>
    </w:lvl>
  </w:abstractNum>
  <w:abstractNum w:abstractNumId="1">
    <w:nsid w:val="FFFFFF7D"/>
    <w:multiLevelType w:val="singleLevel"/>
    <w:tmpl w:val="51B644D8"/>
    <w:lvl w:ilvl="0">
      <w:start w:val="1"/>
      <w:numFmt w:val="decimal"/>
      <w:lvlText w:val="%1."/>
      <w:lvlJc w:val="left"/>
      <w:pPr>
        <w:tabs>
          <w:tab w:val="num" w:pos="1209"/>
        </w:tabs>
        <w:ind w:left="1209" w:hanging="360"/>
      </w:pPr>
    </w:lvl>
  </w:abstractNum>
  <w:abstractNum w:abstractNumId="2">
    <w:nsid w:val="FFFFFF7E"/>
    <w:multiLevelType w:val="singleLevel"/>
    <w:tmpl w:val="17CC4736"/>
    <w:lvl w:ilvl="0">
      <w:start w:val="1"/>
      <w:numFmt w:val="decimal"/>
      <w:lvlText w:val="%1."/>
      <w:lvlJc w:val="left"/>
      <w:pPr>
        <w:tabs>
          <w:tab w:val="num" w:pos="926"/>
        </w:tabs>
        <w:ind w:left="926" w:hanging="360"/>
      </w:pPr>
    </w:lvl>
  </w:abstractNum>
  <w:abstractNum w:abstractNumId="3">
    <w:nsid w:val="FFFFFF7F"/>
    <w:multiLevelType w:val="singleLevel"/>
    <w:tmpl w:val="D94CF074"/>
    <w:lvl w:ilvl="0">
      <w:start w:val="1"/>
      <w:numFmt w:val="decimal"/>
      <w:lvlText w:val="%1."/>
      <w:lvlJc w:val="left"/>
      <w:pPr>
        <w:tabs>
          <w:tab w:val="num" w:pos="643"/>
        </w:tabs>
        <w:ind w:left="643" w:hanging="360"/>
      </w:pPr>
    </w:lvl>
  </w:abstractNum>
  <w:abstractNum w:abstractNumId="4">
    <w:nsid w:val="FFFFFF80"/>
    <w:multiLevelType w:val="singleLevel"/>
    <w:tmpl w:val="C860BCA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98C7D4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7EAC82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D3E933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F4C26AE"/>
    <w:lvl w:ilvl="0">
      <w:start w:val="1"/>
      <w:numFmt w:val="decimal"/>
      <w:pStyle w:val="ListNumber"/>
      <w:lvlText w:val="%1."/>
      <w:lvlJc w:val="left"/>
      <w:pPr>
        <w:tabs>
          <w:tab w:val="num" w:pos="360"/>
        </w:tabs>
        <w:ind w:left="360" w:hanging="360"/>
      </w:pPr>
    </w:lvl>
  </w:abstractNum>
  <w:abstractNum w:abstractNumId="9">
    <w:nsid w:val="FFFFFF89"/>
    <w:multiLevelType w:val="singleLevel"/>
    <w:tmpl w:val="387C47B6"/>
    <w:lvl w:ilvl="0">
      <w:start w:val="1"/>
      <w:numFmt w:val="bullet"/>
      <w:lvlText w:val=""/>
      <w:lvlJc w:val="left"/>
      <w:pPr>
        <w:tabs>
          <w:tab w:val="num" w:pos="360"/>
        </w:tabs>
        <w:ind w:left="360" w:hanging="360"/>
      </w:pPr>
      <w:rPr>
        <w:rFonts w:ascii="Symbol" w:hAnsi="Symbol" w:hint="default"/>
      </w:rPr>
    </w:lvl>
  </w:abstractNum>
  <w:abstractNum w:abstractNumId="10">
    <w:nsid w:val="01705BE4"/>
    <w:multiLevelType w:val="hybridMultilevel"/>
    <w:tmpl w:val="036EECA8"/>
    <w:lvl w:ilvl="0" w:tplc="79D6AB22">
      <w:start w:val="1"/>
      <w:numFmt w:val="decimal"/>
      <w:lvlText w:val="%1."/>
      <w:lvlJc w:val="left"/>
      <w:pPr>
        <w:ind w:left="720" w:hanging="360"/>
      </w:pPr>
      <w:rPr>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48D3F79"/>
    <w:multiLevelType w:val="hybridMultilevel"/>
    <w:tmpl w:val="95F085D6"/>
    <w:lvl w:ilvl="0" w:tplc="E752C15E">
      <w:start w:val="1"/>
      <w:numFmt w:val="decimal"/>
      <w:lvlText w:val="%1."/>
      <w:lvlJc w:val="left"/>
      <w:pPr>
        <w:ind w:left="720" w:hanging="72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05106509"/>
    <w:multiLevelType w:val="hybridMultilevel"/>
    <w:tmpl w:val="A04AA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4152609"/>
    <w:multiLevelType w:val="hybridMultilevel"/>
    <w:tmpl w:val="B3CC3140"/>
    <w:lvl w:ilvl="0" w:tplc="8ED02318">
      <w:start w:val="1"/>
      <w:numFmt w:val="bullet"/>
      <w:lvlText w:val=""/>
      <w:lvlJc w:val="left"/>
      <w:pPr>
        <w:ind w:left="1104" w:hanging="360"/>
      </w:pPr>
      <w:rPr>
        <w:rFonts w:ascii="Symbol" w:hAnsi="Symbol" w:hint="default"/>
      </w:rPr>
    </w:lvl>
    <w:lvl w:ilvl="1" w:tplc="08090003">
      <w:start w:val="1"/>
      <w:numFmt w:val="bullet"/>
      <w:lvlText w:val="o"/>
      <w:lvlJc w:val="left"/>
      <w:pPr>
        <w:ind w:left="1824" w:hanging="360"/>
      </w:pPr>
      <w:rPr>
        <w:rFonts w:ascii="Courier New" w:hAnsi="Courier New" w:cs="Courier New" w:hint="default"/>
      </w:rPr>
    </w:lvl>
    <w:lvl w:ilvl="2" w:tplc="08090005" w:tentative="1">
      <w:start w:val="1"/>
      <w:numFmt w:val="bullet"/>
      <w:lvlText w:val=""/>
      <w:lvlJc w:val="left"/>
      <w:pPr>
        <w:ind w:left="2544" w:hanging="360"/>
      </w:pPr>
      <w:rPr>
        <w:rFonts w:ascii="Wingdings" w:hAnsi="Wingdings" w:hint="default"/>
      </w:rPr>
    </w:lvl>
    <w:lvl w:ilvl="3" w:tplc="08090001" w:tentative="1">
      <w:start w:val="1"/>
      <w:numFmt w:val="bullet"/>
      <w:lvlText w:val=""/>
      <w:lvlJc w:val="left"/>
      <w:pPr>
        <w:ind w:left="3264" w:hanging="360"/>
      </w:pPr>
      <w:rPr>
        <w:rFonts w:ascii="Symbol" w:hAnsi="Symbol" w:hint="default"/>
      </w:rPr>
    </w:lvl>
    <w:lvl w:ilvl="4" w:tplc="08090003" w:tentative="1">
      <w:start w:val="1"/>
      <w:numFmt w:val="bullet"/>
      <w:lvlText w:val="o"/>
      <w:lvlJc w:val="left"/>
      <w:pPr>
        <w:ind w:left="3984" w:hanging="360"/>
      </w:pPr>
      <w:rPr>
        <w:rFonts w:ascii="Courier New" w:hAnsi="Courier New" w:cs="Courier New" w:hint="default"/>
      </w:rPr>
    </w:lvl>
    <w:lvl w:ilvl="5" w:tplc="08090005" w:tentative="1">
      <w:start w:val="1"/>
      <w:numFmt w:val="bullet"/>
      <w:lvlText w:val=""/>
      <w:lvlJc w:val="left"/>
      <w:pPr>
        <w:ind w:left="4704" w:hanging="360"/>
      </w:pPr>
      <w:rPr>
        <w:rFonts w:ascii="Wingdings" w:hAnsi="Wingdings" w:hint="default"/>
      </w:rPr>
    </w:lvl>
    <w:lvl w:ilvl="6" w:tplc="08090001" w:tentative="1">
      <w:start w:val="1"/>
      <w:numFmt w:val="bullet"/>
      <w:lvlText w:val=""/>
      <w:lvlJc w:val="left"/>
      <w:pPr>
        <w:ind w:left="5424" w:hanging="360"/>
      </w:pPr>
      <w:rPr>
        <w:rFonts w:ascii="Symbol" w:hAnsi="Symbol" w:hint="default"/>
      </w:rPr>
    </w:lvl>
    <w:lvl w:ilvl="7" w:tplc="08090003" w:tentative="1">
      <w:start w:val="1"/>
      <w:numFmt w:val="bullet"/>
      <w:lvlText w:val="o"/>
      <w:lvlJc w:val="left"/>
      <w:pPr>
        <w:ind w:left="6144" w:hanging="360"/>
      </w:pPr>
      <w:rPr>
        <w:rFonts w:ascii="Courier New" w:hAnsi="Courier New" w:cs="Courier New" w:hint="default"/>
      </w:rPr>
    </w:lvl>
    <w:lvl w:ilvl="8" w:tplc="08090005" w:tentative="1">
      <w:start w:val="1"/>
      <w:numFmt w:val="bullet"/>
      <w:lvlText w:val=""/>
      <w:lvlJc w:val="left"/>
      <w:pPr>
        <w:ind w:left="6864" w:hanging="360"/>
      </w:pPr>
      <w:rPr>
        <w:rFonts w:ascii="Wingdings" w:hAnsi="Wingdings" w:hint="default"/>
      </w:rPr>
    </w:lvl>
  </w:abstractNum>
  <w:abstractNum w:abstractNumId="14">
    <w:nsid w:val="21B73316"/>
    <w:multiLevelType w:val="hybridMultilevel"/>
    <w:tmpl w:val="7DFC9CC0"/>
    <w:lvl w:ilvl="0" w:tplc="2E6A09F6">
      <w:start w:val="1"/>
      <w:numFmt w:val="bullet"/>
      <w:lvlText w:val="·"/>
      <w:lvlJc w:val="left"/>
      <w:pPr>
        <w:ind w:left="1080" w:hanging="72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1D942FB"/>
    <w:multiLevelType w:val="hybridMultilevel"/>
    <w:tmpl w:val="1224747C"/>
    <w:lvl w:ilvl="0" w:tplc="08090001">
      <w:start w:val="1"/>
      <w:numFmt w:val="bullet"/>
      <w:lvlText w:val=""/>
      <w:lvlJc w:val="left"/>
      <w:pPr>
        <w:ind w:left="360" w:hanging="360"/>
      </w:pPr>
      <w:rPr>
        <w:rFonts w:ascii="Symbol" w:hAnsi="Symbol" w:hint="default"/>
      </w:rPr>
    </w:lvl>
    <w:lvl w:ilvl="1" w:tplc="8ED02318">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2B07FA7"/>
    <w:multiLevelType w:val="hybridMultilevel"/>
    <w:tmpl w:val="039E0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34418E0"/>
    <w:multiLevelType w:val="hybridMultilevel"/>
    <w:tmpl w:val="ECB44AFC"/>
    <w:lvl w:ilvl="0" w:tplc="08090001">
      <w:start w:val="1"/>
      <w:numFmt w:val="bullet"/>
      <w:lvlText w:val=""/>
      <w:lvlJc w:val="left"/>
      <w:pPr>
        <w:ind w:left="1431" w:hanging="360"/>
      </w:pPr>
      <w:rPr>
        <w:rFonts w:ascii="Symbol" w:hAnsi="Symbol" w:hint="default"/>
      </w:rPr>
    </w:lvl>
    <w:lvl w:ilvl="1" w:tplc="08090003">
      <w:start w:val="1"/>
      <w:numFmt w:val="bullet"/>
      <w:lvlText w:val="o"/>
      <w:lvlJc w:val="left"/>
      <w:pPr>
        <w:ind w:left="2151" w:hanging="360"/>
      </w:pPr>
      <w:rPr>
        <w:rFonts w:ascii="Courier New" w:hAnsi="Courier New" w:cs="Courier New" w:hint="default"/>
      </w:rPr>
    </w:lvl>
    <w:lvl w:ilvl="2" w:tplc="08090005" w:tentative="1">
      <w:start w:val="1"/>
      <w:numFmt w:val="bullet"/>
      <w:lvlText w:val=""/>
      <w:lvlJc w:val="left"/>
      <w:pPr>
        <w:ind w:left="2871" w:hanging="360"/>
      </w:pPr>
      <w:rPr>
        <w:rFonts w:ascii="Wingdings" w:hAnsi="Wingdings" w:hint="default"/>
      </w:rPr>
    </w:lvl>
    <w:lvl w:ilvl="3" w:tplc="08090001" w:tentative="1">
      <w:start w:val="1"/>
      <w:numFmt w:val="bullet"/>
      <w:lvlText w:val=""/>
      <w:lvlJc w:val="left"/>
      <w:pPr>
        <w:ind w:left="3591" w:hanging="360"/>
      </w:pPr>
      <w:rPr>
        <w:rFonts w:ascii="Symbol" w:hAnsi="Symbol" w:hint="default"/>
      </w:rPr>
    </w:lvl>
    <w:lvl w:ilvl="4" w:tplc="08090003" w:tentative="1">
      <w:start w:val="1"/>
      <w:numFmt w:val="bullet"/>
      <w:lvlText w:val="o"/>
      <w:lvlJc w:val="left"/>
      <w:pPr>
        <w:ind w:left="4311" w:hanging="360"/>
      </w:pPr>
      <w:rPr>
        <w:rFonts w:ascii="Courier New" w:hAnsi="Courier New" w:cs="Courier New" w:hint="default"/>
      </w:rPr>
    </w:lvl>
    <w:lvl w:ilvl="5" w:tplc="08090005" w:tentative="1">
      <w:start w:val="1"/>
      <w:numFmt w:val="bullet"/>
      <w:lvlText w:val=""/>
      <w:lvlJc w:val="left"/>
      <w:pPr>
        <w:ind w:left="5031" w:hanging="360"/>
      </w:pPr>
      <w:rPr>
        <w:rFonts w:ascii="Wingdings" w:hAnsi="Wingdings" w:hint="default"/>
      </w:rPr>
    </w:lvl>
    <w:lvl w:ilvl="6" w:tplc="08090001" w:tentative="1">
      <w:start w:val="1"/>
      <w:numFmt w:val="bullet"/>
      <w:lvlText w:val=""/>
      <w:lvlJc w:val="left"/>
      <w:pPr>
        <w:ind w:left="5751" w:hanging="360"/>
      </w:pPr>
      <w:rPr>
        <w:rFonts w:ascii="Symbol" w:hAnsi="Symbol" w:hint="default"/>
      </w:rPr>
    </w:lvl>
    <w:lvl w:ilvl="7" w:tplc="08090003" w:tentative="1">
      <w:start w:val="1"/>
      <w:numFmt w:val="bullet"/>
      <w:lvlText w:val="o"/>
      <w:lvlJc w:val="left"/>
      <w:pPr>
        <w:ind w:left="6471" w:hanging="360"/>
      </w:pPr>
      <w:rPr>
        <w:rFonts w:ascii="Courier New" w:hAnsi="Courier New" w:cs="Courier New" w:hint="default"/>
      </w:rPr>
    </w:lvl>
    <w:lvl w:ilvl="8" w:tplc="08090005" w:tentative="1">
      <w:start w:val="1"/>
      <w:numFmt w:val="bullet"/>
      <w:lvlText w:val=""/>
      <w:lvlJc w:val="left"/>
      <w:pPr>
        <w:ind w:left="7191" w:hanging="360"/>
      </w:pPr>
      <w:rPr>
        <w:rFonts w:ascii="Wingdings" w:hAnsi="Wingdings" w:hint="default"/>
      </w:rPr>
    </w:lvl>
  </w:abstractNum>
  <w:abstractNum w:abstractNumId="18">
    <w:nsid w:val="25450DE4"/>
    <w:multiLevelType w:val="hybridMultilevel"/>
    <w:tmpl w:val="18D61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AA247A9"/>
    <w:multiLevelType w:val="hybridMultilevel"/>
    <w:tmpl w:val="CFB866A0"/>
    <w:lvl w:ilvl="0" w:tplc="1856DF2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2C32276D"/>
    <w:multiLevelType w:val="hybridMultilevel"/>
    <w:tmpl w:val="6DF83F9A"/>
    <w:lvl w:ilvl="0" w:tplc="08090001">
      <w:start w:val="1"/>
      <w:numFmt w:val="bullet"/>
      <w:lvlText w:val=""/>
      <w:lvlJc w:val="left"/>
      <w:pPr>
        <w:ind w:left="400" w:hanging="360"/>
      </w:pPr>
      <w:rPr>
        <w:rFonts w:ascii="Symbol" w:hAnsi="Symbol" w:hint="default"/>
      </w:rPr>
    </w:lvl>
    <w:lvl w:ilvl="1" w:tplc="8ED02318">
      <w:start w:val="1"/>
      <w:numFmt w:val="bullet"/>
      <w:lvlText w:val=""/>
      <w:lvlJc w:val="left"/>
      <w:pPr>
        <w:ind w:left="1120" w:hanging="360"/>
      </w:pPr>
      <w:rPr>
        <w:rFonts w:ascii="Symbol" w:hAnsi="Symbol" w:hint="default"/>
      </w:rPr>
    </w:lvl>
    <w:lvl w:ilvl="2" w:tplc="08090005">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21">
    <w:nsid w:val="2FB443D8"/>
    <w:multiLevelType w:val="hybridMultilevel"/>
    <w:tmpl w:val="CBA4F756"/>
    <w:lvl w:ilvl="0" w:tplc="D6C6269E">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370032BA"/>
    <w:multiLevelType w:val="hybridMultilevel"/>
    <w:tmpl w:val="D52EC0EA"/>
    <w:lvl w:ilvl="0" w:tplc="5914D0F4">
      <w:start w:val="3"/>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445E99"/>
    <w:multiLevelType w:val="hybridMultilevel"/>
    <w:tmpl w:val="D4AC6EC0"/>
    <w:lvl w:ilvl="0" w:tplc="8ED02318">
      <w:start w:val="1"/>
      <w:numFmt w:val="bullet"/>
      <w:lvlText w:val=""/>
      <w:lvlJc w:val="left"/>
      <w:pPr>
        <w:ind w:left="1104" w:hanging="360"/>
      </w:pPr>
      <w:rPr>
        <w:rFonts w:ascii="Symbol" w:hAnsi="Symbol" w:hint="default"/>
      </w:rPr>
    </w:lvl>
    <w:lvl w:ilvl="1" w:tplc="8ED02318">
      <w:start w:val="1"/>
      <w:numFmt w:val="bullet"/>
      <w:lvlText w:val=""/>
      <w:lvlJc w:val="left"/>
      <w:pPr>
        <w:ind w:left="1824" w:hanging="360"/>
      </w:pPr>
      <w:rPr>
        <w:rFonts w:ascii="Symbol" w:hAnsi="Symbol" w:hint="default"/>
      </w:rPr>
    </w:lvl>
    <w:lvl w:ilvl="2" w:tplc="08090005" w:tentative="1">
      <w:start w:val="1"/>
      <w:numFmt w:val="bullet"/>
      <w:lvlText w:val=""/>
      <w:lvlJc w:val="left"/>
      <w:pPr>
        <w:ind w:left="2544" w:hanging="360"/>
      </w:pPr>
      <w:rPr>
        <w:rFonts w:ascii="Wingdings" w:hAnsi="Wingdings" w:hint="default"/>
      </w:rPr>
    </w:lvl>
    <w:lvl w:ilvl="3" w:tplc="08090001" w:tentative="1">
      <w:start w:val="1"/>
      <w:numFmt w:val="bullet"/>
      <w:lvlText w:val=""/>
      <w:lvlJc w:val="left"/>
      <w:pPr>
        <w:ind w:left="3264" w:hanging="360"/>
      </w:pPr>
      <w:rPr>
        <w:rFonts w:ascii="Symbol" w:hAnsi="Symbol" w:hint="default"/>
      </w:rPr>
    </w:lvl>
    <w:lvl w:ilvl="4" w:tplc="08090003" w:tentative="1">
      <w:start w:val="1"/>
      <w:numFmt w:val="bullet"/>
      <w:lvlText w:val="o"/>
      <w:lvlJc w:val="left"/>
      <w:pPr>
        <w:ind w:left="3984" w:hanging="360"/>
      </w:pPr>
      <w:rPr>
        <w:rFonts w:ascii="Courier New" w:hAnsi="Courier New" w:cs="Courier New" w:hint="default"/>
      </w:rPr>
    </w:lvl>
    <w:lvl w:ilvl="5" w:tplc="08090005" w:tentative="1">
      <w:start w:val="1"/>
      <w:numFmt w:val="bullet"/>
      <w:lvlText w:val=""/>
      <w:lvlJc w:val="left"/>
      <w:pPr>
        <w:ind w:left="4704" w:hanging="360"/>
      </w:pPr>
      <w:rPr>
        <w:rFonts w:ascii="Wingdings" w:hAnsi="Wingdings" w:hint="default"/>
      </w:rPr>
    </w:lvl>
    <w:lvl w:ilvl="6" w:tplc="08090001" w:tentative="1">
      <w:start w:val="1"/>
      <w:numFmt w:val="bullet"/>
      <w:lvlText w:val=""/>
      <w:lvlJc w:val="left"/>
      <w:pPr>
        <w:ind w:left="5424" w:hanging="360"/>
      </w:pPr>
      <w:rPr>
        <w:rFonts w:ascii="Symbol" w:hAnsi="Symbol" w:hint="default"/>
      </w:rPr>
    </w:lvl>
    <w:lvl w:ilvl="7" w:tplc="08090003" w:tentative="1">
      <w:start w:val="1"/>
      <w:numFmt w:val="bullet"/>
      <w:lvlText w:val="o"/>
      <w:lvlJc w:val="left"/>
      <w:pPr>
        <w:ind w:left="6144" w:hanging="360"/>
      </w:pPr>
      <w:rPr>
        <w:rFonts w:ascii="Courier New" w:hAnsi="Courier New" w:cs="Courier New" w:hint="default"/>
      </w:rPr>
    </w:lvl>
    <w:lvl w:ilvl="8" w:tplc="08090005" w:tentative="1">
      <w:start w:val="1"/>
      <w:numFmt w:val="bullet"/>
      <w:lvlText w:val=""/>
      <w:lvlJc w:val="left"/>
      <w:pPr>
        <w:ind w:left="6864" w:hanging="360"/>
      </w:pPr>
      <w:rPr>
        <w:rFonts w:ascii="Wingdings" w:hAnsi="Wingdings" w:hint="default"/>
      </w:rPr>
    </w:lvl>
  </w:abstractNum>
  <w:abstractNum w:abstractNumId="24">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5">
    <w:nsid w:val="43C478A4"/>
    <w:multiLevelType w:val="hybridMultilevel"/>
    <w:tmpl w:val="CFA2012C"/>
    <w:lvl w:ilvl="0" w:tplc="08090001">
      <w:start w:val="1"/>
      <w:numFmt w:val="bullet"/>
      <w:lvlText w:val=""/>
      <w:lvlJc w:val="left"/>
      <w:pPr>
        <w:ind w:left="400" w:hanging="360"/>
      </w:pPr>
      <w:rPr>
        <w:rFonts w:ascii="Symbol" w:hAnsi="Symbol" w:hint="default"/>
      </w:rPr>
    </w:lvl>
    <w:lvl w:ilvl="1" w:tplc="6EF667C8">
      <w:numFmt w:val="bullet"/>
      <w:lvlText w:val="-"/>
      <w:lvlJc w:val="left"/>
      <w:pPr>
        <w:ind w:left="1120" w:hanging="360"/>
      </w:pPr>
      <w:rPr>
        <w:rFonts w:ascii="Times New Roman" w:eastAsia="Times New Roman" w:hAnsi="Times New Roman" w:cs="Times New Roman"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26">
    <w:nsid w:val="44C462E3"/>
    <w:multiLevelType w:val="hybridMultilevel"/>
    <w:tmpl w:val="B6E03D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457B4C5A"/>
    <w:multiLevelType w:val="hybridMultilevel"/>
    <w:tmpl w:val="F7FC3ECC"/>
    <w:lvl w:ilvl="0" w:tplc="08090001">
      <w:start w:val="1"/>
      <w:numFmt w:val="bullet"/>
      <w:lvlText w:val=""/>
      <w:lvlJc w:val="left"/>
      <w:pPr>
        <w:ind w:left="360" w:hanging="360"/>
      </w:pPr>
      <w:rPr>
        <w:rFonts w:ascii="Symbol" w:hAnsi="Symbol" w:hint="default"/>
      </w:rPr>
    </w:lvl>
    <w:lvl w:ilvl="1" w:tplc="8ED02318">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4801010F"/>
    <w:multiLevelType w:val="hybridMultilevel"/>
    <w:tmpl w:val="D3586D5C"/>
    <w:lvl w:ilvl="0" w:tplc="D6C6269E">
      <w:numFmt w:val="bullet"/>
      <w:lvlText w:val="-"/>
      <w:lvlJc w:val="left"/>
      <w:pPr>
        <w:ind w:left="360" w:hanging="360"/>
      </w:pPr>
      <w:rPr>
        <w:rFonts w:ascii="Times New Roman" w:eastAsia="Calibri"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4AFC5A06"/>
    <w:multiLevelType w:val="hybridMultilevel"/>
    <w:tmpl w:val="C7827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5FB3E10"/>
    <w:multiLevelType w:val="hybridMultilevel"/>
    <w:tmpl w:val="A5762A68"/>
    <w:lvl w:ilvl="0" w:tplc="D05618C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2">
    <w:nsid w:val="5CEB5BDA"/>
    <w:multiLevelType w:val="hybridMultilevel"/>
    <w:tmpl w:val="142AD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4A12FA4"/>
    <w:multiLevelType w:val="multilevel"/>
    <w:tmpl w:val="5450F6CA"/>
    <w:lvl w:ilvl="0">
      <w:start w:val="1"/>
      <w:numFmt w:val="decimal"/>
      <w:lvlRestart w:val="0"/>
      <w:pStyle w:val="Heading1"/>
      <w:lvlText w:val="%1."/>
      <w:lvlJc w:val="left"/>
      <w:pPr>
        <w:tabs>
          <w:tab w:val="num" w:pos="850"/>
        </w:tabs>
        <w:ind w:left="850" w:hanging="850"/>
      </w:pPr>
      <w:rPr>
        <w:rFonts w:hint="default"/>
      </w:rPr>
    </w:lvl>
    <w:lvl w:ilvl="1">
      <w:start w:val="1"/>
      <w:numFmt w:val="decimal"/>
      <w:pStyle w:val="Heading2"/>
      <w:lvlText w:val="%1.%2."/>
      <w:lvlJc w:val="left"/>
      <w:pPr>
        <w:tabs>
          <w:tab w:val="num" w:pos="708"/>
        </w:tabs>
        <w:ind w:left="708" w:hanging="850"/>
      </w:pPr>
      <w:rPr>
        <w:rFonts w:hint="default"/>
      </w:rPr>
    </w:lvl>
    <w:lvl w:ilvl="2">
      <w:start w:val="1"/>
      <w:numFmt w:val="decimal"/>
      <w:pStyle w:val="Heading3"/>
      <w:lvlText w:val="%1.%2.%3."/>
      <w:lvlJc w:val="left"/>
      <w:pPr>
        <w:tabs>
          <w:tab w:val="num" w:pos="708"/>
        </w:tabs>
        <w:ind w:left="708" w:hanging="850"/>
      </w:pPr>
      <w:rPr>
        <w:rFonts w:hint="default"/>
      </w:rPr>
    </w:lvl>
    <w:lvl w:ilvl="3">
      <w:start w:val="1"/>
      <w:numFmt w:val="decimal"/>
      <w:pStyle w:val="Heading4"/>
      <w:lvlText w:val="%1.%2.%3.%4."/>
      <w:lvlJc w:val="left"/>
      <w:pPr>
        <w:tabs>
          <w:tab w:val="num" w:pos="708"/>
        </w:tabs>
        <w:ind w:left="708" w:hanging="850"/>
      </w:pPr>
      <w:rPr>
        <w:rFonts w:hint="default"/>
      </w:rPr>
    </w:lvl>
    <w:lvl w:ilvl="4">
      <w:start w:val="1"/>
      <w:numFmt w:val="lowerLetter"/>
      <w:lvlText w:val="(%5)"/>
      <w:lvlJc w:val="left"/>
      <w:pPr>
        <w:tabs>
          <w:tab w:val="num" w:pos="1658"/>
        </w:tabs>
        <w:ind w:left="1658" w:hanging="360"/>
      </w:pPr>
      <w:rPr>
        <w:rFonts w:hint="default"/>
      </w:rPr>
    </w:lvl>
    <w:lvl w:ilvl="5">
      <w:start w:val="1"/>
      <w:numFmt w:val="lowerRoman"/>
      <w:lvlText w:val="(%6)"/>
      <w:lvlJc w:val="left"/>
      <w:pPr>
        <w:tabs>
          <w:tab w:val="num" w:pos="2018"/>
        </w:tabs>
        <w:ind w:left="2018" w:hanging="360"/>
      </w:pPr>
      <w:rPr>
        <w:rFonts w:hint="default"/>
      </w:rPr>
    </w:lvl>
    <w:lvl w:ilvl="6">
      <w:start w:val="1"/>
      <w:numFmt w:val="decimal"/>
      <w:lvlText w:val="%7."/>
      <w:lvlJc w:val="left"/>
      <w:pPr>
        <w:tabs>
          <w:tab w:val="num" w:pos="2378"/>
        </w:tabs>
        <w:ind w:left="2378" w:hanging="360"/>
      </w:pPr>
      <w:rPr>
        <w:rFonts w:hint="default"/>
      </w:rPr>
    </w:lvl>
    <w:lvl w:ilvl="7">
      <w:start w:val="1"/>
      <w:numFmt w:val="lowerLetter"/>
      <w:lvlText w:val="%8."/>
      <w:lvlJc w:val="left"/>
      <w:pPr>
        <w:tabs>
          <w:tab w:val="num" w:pos="2738"/>
        </w:tabs>
        <w:ind w:left="2738" w:hanging="360"/>
      </w:pPr>
      <w:rPr>
        <w:rFonts w:hint="default"/>
      </w:rPr>
    </w:lvl>
    <w:lvl w:ilvl="8">
      <w:start w:val="1"/>
      <w:numFmt w:val="lowerRoman"/>
      <w:lvlText w:val="%9."/>
      <w:lvlJc w:val="left"/>
      <w:pPr>
        <w:tabs>
          <w:tab w:val="num" w:pos="3098"/>
        </w:tabs>
        <w:ind w:left="3098" w:hanging="360"/>
      </w:pPr>
      <w:rPr>
        <w:rFonts w:hint="default"/>
      </w:rPr>
    </w:lvl>
  </w:abstractNum>
  <w:abstractNum w:abstractNumId="34">
    <w:nsid w:val="6567721D"/>
    <w:multiLevelType w:val="hybridMultilevel"/>
    <w:tmpl w:val="16AAE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73D6D33"/>
    <w:multiLevelType w:val="hybridMultilevel"/>
    <w:tmpl w:val="101C4C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78B1E24"/>
    <w:multiLevelType w:val="hybridMultilevel"/>
    <w:tmpl w:val="F3500830"/>
    <w:lvl w:ilvl="0" w:tplc="318E7A4A">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A5C26F7"/>
    <w:multiLevelType w:val="hybridMultilevel"/>
    <w:tmpl w:val="2806C16E"/>
    <w:lvl w:ilvl="0" w:tplc="D6C6269E">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6AC31BDB"/>
    <w:multiLevelType w:val="hybridMultilevel"/>
    <w:tmpl w:val="A378C400"/>
    <w:lvl w:ilvl="0" w:tplc="08090001">
      <w:start w:val="1"/>
      <w:numFmt w:val="bullet"/>
      <w:lvlText w:val=""/>
      <w:lvlJc w:val="left"/>
      <w:pPr>
        <w:ind w:left="400" w:hanging="360"/>
      </w:pPr>
      <w:rPr>
        <w:rFonts w:ascii="Symbol" w:hAnsi="Symbol" w:hint="default"/>
      </w:rPr>
    </w:lvl>
    <w:lvl w:ilvl="1" w:tplc="8ED02318">
      <w:start w:val="1"/>
      <w:numFmt w:val="bullet"/>
      <w:lvlText w:val=""/>
      <w:lvlJc w:val="left"/>
      <w:pPr>
        <w:ind w:left="1120" w:hanging="360"/>
      </w:pPr>
      <w:rPr>
        <w:rFonts w:ascii="Symbol" w:hAnsi="Symbol"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39">
    <w:nsid w:val="6B8F1EAD"/>
    <w:multiLevelType w:val="hybridMultilevel"/>
    <w:tmpl w:val="3522DCE6"/>
    <w:lvl w:ilvl="0" w:tplc="08090001">
      <w:start w:val="1"/>
      <w:numFmt w:val="bullet"/>
      <w:lvlText w:val=""/>
      <w:lvlJc w:val="left"/>
      <w:pPr>
        <w:ind w:left="85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F6D7656"/>
    <w:multiLevelType w:val="hybridMultilevel"/>
    <w:tmpl w:val="3A32D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3391207"/>
    <w:multiLevelType w:val="hybridMultilevel"/>
    <w:tmpl w:val="838C0944"/>
    <w:lvl w:ilvl="0" w:tplc="D05618C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nsid w:val="73DB7250"/>
    <w:multiLevelType w:val="hybridMultilevel"/>
    <w:tmpl w:val="8E142830"/>
    <w:lvl w:ilvl="0" w:tplc="8ED023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44A1BC3"/>
    <w:multiLevelType w:val="hybridMultilevel"/>
    <w:tmpl w:val="64EE7E04"/>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44">
    <w:nsid w:val="79760855"/>
    <w:multiLevelType w:val="hybridMultilevel"/>
    <w:tmpl w:val="924E443A"/>
    <w:lvl w:ilvl="0" w:tplc="08090001">
      <w:start w:val="1"/>
      <w:numFmt w:val="bullet"/>
      <w:lvlText w:val=""/>
      <w:lvlJc w:val="left"/>
      <w:pPr>
        <w:ind w:left="400" w:hanging="360"/>
      </w:pPr>
      <w:rPr>
        <w:rFonts w:ascii="Symbol" w:hAnsi="Symbol" w:hint="default"/>
      </w:rPr>
    </w:lvl>
    <w:lvl w:ilvl="1" w:tplc="08090003" w:tentative="1">
      <w:start w:val="1"/>
      <w:numFmt w:val="bullet"/>
      <w:lvlText w:val="o"/>
      <w:lvlJc w:val="left"/>
      <w:pPr>
        <w:ind w:left="1120" w:hanging="360"/>
      </w:pPr>
      <w:rPr>
        <w:rFonts w:ascii="Courier New" w:hAnsi="Courier New" w:cs="Courier New"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45">
    <w:nsid w:val="7FC50313"/>
    <w:multiLevelType w:val="hybridMultilevel"/>
    <w:tmpl w:val="4A063978"/>
    <w:lvl w:ilvl="0" w:tplc="08090001">
      <w:start w:val="1"/>
      <w:numFmt w:val="bullet"/>
      <w:lvlText w:val=""/>
      <w:lvlJc w:val="left"/>
      <w:pPr>
        <w:ind w:left="400" w:hanging="360"/>
      </w:pPr>
      <w:rPr>
        <w:rFonts w:ascii="Symbol" w:hAnsi="Symbol" w:hint="default"/>
      </w:rPr>
    </w:lvl>
    <w:lvl w:ilvl="1" w:tplc="8ED02318">
      <w:start w:val="1"/>
      <w:numFmt w:val="bullet"/>
      <w:lvlText w:val=""/>
      <w:lvlJc w:val="left"/>
      <w:pPr>
        <w:ind w:left="1120" w:hanging="360"/>
      </w:pPr>
      <w:rPr>
        <w:rFonts w:ascii="Symbol" w:hAnsi="Symbol"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num w:numId="1">
    <w:abstractNumId w:val="31"/>
  </w:num>
  <w:num w:numId="2">
    <w:abstractNumId w:val="24"/>
  </w:num>
  <w:num w:numId="3">
    <w:abstractNumId w:val="33"/>
  </w:num>
  <w:num w:numId="4">
    <w:abstractNumId w:val="8"/>
  </w:num>
  <w:num w:numId="5">
    <w:abstractNumId w:val="39"/>
  </w:num>
  <w:num w:numId="6">
    <w:abstractNumId w:val="26"/>
  </w:num>
  <w:num w:numId="7">
    <w:abstractNumId w:val="27"/>
  </w:num>
  <w:num w:numId="8">
    <w:abstractNumId w:val="25"/>
  </w:num>
  <w:num w:numId="9">
    <w:abstractNumId w:val="43"/>
  </w:num>
  <w:num w:numId="10">
    <w:abstractNumId w:val="16"/>
  </w:num>
  <w:num w:numId="11">
    <w:abstractNumId w:val="17"/>
  </w:num>
  <w:num w:numId="12">
    <w:abstractNumId w:val="13"/>
  </w:num>
  <w:num w:numId="13">
    <w:abstractNumId w:val="23"/>
  </w:num>
  <w:num w:numId="14">
    <w:abstractNumId w:val="42"/>
  </w:num>
  <w:num w:numId="15">
    <w:abstractNumId w:val="45"/>
  </w:num>
  <w:num w:numId="16">
    <w:abstractNumId w:val="20"/>
  </w:num>
  <w:num w:numId="17">
    <w:abstractNumId w:val="38"/>
  </w:num>
  <w:num w:numId="18">
    <w:abstractNumId w:val="32"/>
  </w:num>
  <w:num w:numId="19">
    <w:abstractNumId w:val="34"/>
  </w:num>
  <w:num w:numId="20">
    <w:abstractNumId w:val="18"/>
  </w:num>
  <w:num w:numId="21">
    <w:abstractNumId w:val="15"/>
  </w:num>
  <w:num w:numId="22">
    <w:abstractNumId w:val="40"/>
  </w:num>
  <w:num w:numId="23">
    <w:abstractNumId w:val="10"/>
  </w:num>
  <w:num w:numId="24">
    <w:abstractNumId w:val="36"/>
  </w:num>
  <w:num w:numId="25">
    <w:abstractNumId w:val="44"/>
  </w:num>
  <w:num w:numId="26">
    <w:abstractNumId w:val="12"/>
  </w:num>
  <w:num w:numId="27">
    <w:abstractNumId w:val="28"/>
  </w:num>
  <w:num w:numId="28">
    <w:abstractNumId w:val="29"/>
  </w:num>
  <w:num w:numId="29">
    <w:abstractNumId w:val="19"/>
  </w:num>
  <w:num w:numId="30">
    <w:abstractNumId w:val="35"/>
  </w:num>
  <w:num w:numId="31">
    <w:abstractNumId w:val="11"/>
  </w:num>
  <w:num w:numId="32">
    <w:abstractNumId w:val="37"/>
  </w:num>
  <w:num w:numId="33">
    <w:abstractNumId w:val="14"/>
  </w:num>
  <w:num w:numId="34">
    <w:abstractNumId w:val="21"/>
  </w:num>
  <w:num w:numId="35">
    <w:abstractNumId w:val="30"/>
  </w:num>
  <w:num w:numId="36">
    <w:abstractNumId w:val="41"/>
  </w:num>
  <w:num w:numId="37">
    <w:abstractNumId w:val="22"/>
  </w:num>
  <w:num w:numId="38">
    <w:abstractNumId w:val="9"/>
  </w:num>
  <w:num w:numId="39">
    <w:abstractNumId w:val="7"/>
  </w:num>
  <w:num w:numId="40">
    <w:abstractNumId w:val="6"/>
  </w:num>
  <w:num w:numId="41">
    <w:abstractNumId w:val="5"/>
  </w:num>
  <w:num w:numId="42">
    <w:abstractNumId w:val="4"/>
  </w:num>
  <w:num w:numId="43">
    <w:abstractNumId w:val="3"/>
  </w:num>
  <w:num w:numId="44">
    <w:abstractNumId w:val="2"/>
  </w:num>
  <w:num w:numId="45">
    <w:abstractNumId w:val="1"/>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revisionView w:markup="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485464C7-3453-41F0-9DC9-98AC18E407E3"/>
    <w:docVar w:name="LW_COVERPAGE_TYPE" w:val="1"/>
    <w:docVar w:name="LW_CROSSREFERENCE" w:val="&lt;UNUSED&gt;"/>
    <w:docVar w:name="LW_DocType" w:val="NORMAL"/>
    <w:docVar w:name="LW_EMISSION" w:val="26.4.2019"/>
    <w:docVar w:name="LW_EMISSION_ISODATE" w:val="2019-04-26"/>
    <w:docVar w:name="LW_EMISSION_LOCATION" w:val="BRX"/>
    <w:docVar w:name="LW_EMISSION_PREFIX" w:val="Брюксел, "/>
    <w:docVar w:name="LW_EMISSION_SUFFIX" w:val=" \u1075?."/>
    <w:docVar w:name="LW_ID_DOCTYPE_NONLW" w:val="CP-035"/>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I.NEW.CP" w:val="&lt;UNUSED&gt;"/>
    <w:docVar w:name="LW_REF.II.NEW.CP_NUMBER" w:val="&lt;UNUSED&gt;"/>
    <w:docVar w:name="LW_REF.II.NEW.CP_YEAR" w:val="2019"/>
    <w:docVar w:name="LW_REF.INST.NEW" w:val="COM"/>
    <w:docVar w:name="LW_REF.INST.NEW_ADOPTED" w:val="final"/>
    <w:docVar w:name="LW_REF.INST.NEW_TEXT" w:val="(2019) 19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u1048?\u1085?\u1092?\u1086?\u1088?\u1084?\u1072?\u1094?\u1080?\u1086?\u1085?\u1085?\u1072? \u1090?\u1072?\u1073?\u1083?\u1086? \u1085?\u1072? \u1045?\u1057? \u1074? \u1086?\u1073?\u1083?\u1072?\u1089?\u1090?\u1090?\u1072? \u1085?\u1072? \u1087?\u1088?\u1072?\u1074?\u1086?\u1089?\u1098?\u1076?\u1080?\u1077?\u1090?\u1086? \u1079?\u1072? 2019 \u1075?."/>
    <w:docVar w:name="LW_TYPE.DOC.CP" w:val="\u1057?\u1066?\u1054?\u1041?\u1065?\u1045?\u1053?\u1048?\u1045? \u1053?\u1040? \u1050?\u1054?\u1052?\u1048?\u1057?\u1048?\u1071?\u1058?\u1040? \u1044?\u1054? \u1045?\u1042?\u1056?\u1054?\u1055?\u1045?\u1049?\u1057?\u1050?\u1048?\u1071? \u1055?\u1040?\u1056?\u1051?\u1040?\u1052?\u1045?\u1053?\u1058?, \u1057?\u1066?\u1042?\u1045?\u1058?\u1040?, \u1045?\u1042?\u1056?\u1054?\u1055?\u1045?\u1049?\u1057?\u1050?\u1040?\u1058?\u1040? \u1062?\u1045?\u1053?\u1058?\u1056?\u1040?\u1051?\u1053?\u1040? \u1041?\u1040?\u1053?\u1050?\u1040?, \u1045?\u1042?\u1056?\u1054?\u1055?\u1045?\u1049?\u1057?\u1050?\u1048?\u1071? \u1048?\u1050?\u1054?\u1053?\u1054?\u1052?\u1048?\u1063?\u1045?\u1057?\u1050?\u1048? \u1048? \u1057?\u1054?\u1062?\u1048?\u1040?\u1051?\u1045?\u1053? \u1050?\u1054?\u1052?\u1048?\u1058?\u1045?\u1058? \u1048? \u1050?\u1054?\u1052?\u1048?\u1058?\u1045?\u1058?\u1040? \u1053?\u1040? \u1056?\u1045?\u1043?\u1048?\u1054?\u1053?\u1048?\u1058?\u1045?"/>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qFormat/>
    <w:pPr>
      <w:keepNext/>
      <w:numPr>
        <w:numId w:val="3"/>
      </w:numPr>
      <w:spacing w:before="360" w:after="120" w:line="240" w:lineRule="auto"/>
      <w:jc w:val="both"/>
      <w:outlineLvl w:val="0"/>
    </w:pPr>
    <w:rPr>
      <w:rFonts w:ascii="Times New Roman" w:eastAsia="Times New Roman" w:hAnsi="Times New Roman" w:cs="Times New Roman"/>
      <w:b/>
      <w:bCs/>
      <w:smallCaps/>
      <w:sz w:val="24"/>
      <w:szCs w:val="32"/>
    </w:rPr>
  </w:style>
  <w:style w:type="paragraph" w:styleId="Heading2">
    <w:name w:val="heading 2"/>
    <w:basedOn w:val="Normal"/>
    <w:next w:val="Text1"/>
    <w:link w:val="Heading2Char"/>
    <w:qFormat/>
    <w:pPr>
      <w:keepNext/>
      <w:numPr>
        <w:ilvl w:val="1"/>
        <w:numId w:val="3"/>
      </w:numPr>
      <w:spacing w:before="120" w:after="120" w:line="240" w:lineRule="auto"/>
      <w:jc w:val="both"/>
      <w:outlineLvl w:val="1"/>
    </w:pPr>
    <w:rPr>
      <w:rFonts w:ascii="Times New Roman" w:eastAsia="Times New Roman" w:hAnsi="Times New Roman" w:cs="Times New Roman"/>
      <w:b/>
      <w:bCs/>
      <w:iCs/>
      <w:sz w:val="24"/>
      <w:szCs w:val="28"/>
    </w:rPr>
  </w:style>
  <w:style w:type="paragraph" w:styleId="Heading3">
    <w:name w:val="heading 3"/>
    <w:basedOn w:val="Normal"/>
    <w:next w:val="Text1"/>
    <w:link w:val="Heading3Char"/>
    <w:qFormat/>
    <w:pPr>
      <w:keepNext/>
      <w:numPr>
        <w:ilvl w:val="2"/>
        <w:numId w:val="3"/>
      </w:numPr>
      <w:spacing w:before="120" w:after="120" w:line="240" w:lineRule="auto"/>
      <w:jc w:val="both"/>
      <w:outlineLvl w:val="2"/>
    </w:pPr>
    <w:rPr>
      <w:rFonts w:ascii="Times New Roman" w:eastAsia="Times New Roman" w:hAnsi="Times New Roman" w:cs="Times New Roman"/>
      <w:b/>
      <w:bCs/>
      <w:sz w:val="24"/>
      <w:szCs w:val="26"/>
    </w:rPr>
  </w:style>
  <w:style w:type="paragraph" w:styleId="Heading4">
    <w:name w:val="heading 4"/>
    <w:basedOn w:val="Normal"/>
    <w:next w:val="Text1"/>
    <w:link w:val="Heading4Char"/>
    <w:qFormat/>
    <w:pPr>
      <w:keepNext/>
      <w:numPr>
        <w:ilvl w:val="3"/>
        <w:numId w:val="3"/>
      </w:numPr>
      <w:spacing w:before="120" w:after="120" w:line="240" w:lineRule="auto"/>
      <w:jc w:val="both"/>
      <w:outlineLvl w:val="3"/>
    </w:pPr>
    <w:rPr>
      <w:rFonts w:ascii="Times New Roman" w:eastAsia="Times New Roman" w:hAnsi="Times New Roman" w:cs="Times New Roman"/>
      <w:b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rPr>
      <w:rFonts w:ascii="Times New Roman" w:eastAsia="Times New Roman" w:hAnsi="Times New Roman" w:cs="Times New Roman"/>
      <w:b/>
      <w:bCs/>
      <w:smallCaps/>
      <w:sz w:val="24"/>
      <w:szCs w:val="32"/>
    </w:rPr>
  </w:style>
  <w:style w:type="character" w:customStyle="1" w:styleId="Heading2Char">
    <w:name w:val="Heading 2 Char"/>
    <w:basedOn w:val="DefaultParagraphFont"/>
    <w:link w:val="Heading2"/>
    <w:rPr>
      <w:rFonts w:ascii="Times New Roman" w:eastAsia="Times New Roman" w:hAnsi="Times New Roman" w:cs="Times New Roman"/>
      <w:b/>
      <w:bCs/>
      <w:iCs/>
      <w:sz w:val="24"/>
      <w:szCs w:val="28"/>
    </w:rPr>
  </w:style>
  <w:style w:type="character" w:customStyle="1" w:styleId="Heading3Char">
    <w:name w:val="Heading 3 Char"/>
    <w:basedOn w:val="DefaultParagraphFont"/>
    <w:link w:val="Heading3"/>
    <w:rPr>
      <w:rFonts w:ascii="Times New Roman" w:eastAsia="Times New Roman" w:hAnsi="Times New Roman" w:cs="Times New Roman"/>
      <w:b/>
      <w:bCs/>
      <w:sz w:val="24"/>
      <w:szCs w:val="26"/>
    </w:rPr>
  </w:style>
  <w:style w:type="character" w:customStyle="1" w:styleId="Heading4Char">
    <w:name w:val="Heading 4 Char"/>
    <w:basedOn w:val="DefaultParagraphFont"/>
    <w:link w:val="Heading4"/>
    <w:rPr>
      <w:rFonts w:ascii="Times New Roman" w:eastAsia="Times New Roman" w:hAnsi="Times New Roman" w:cs="Times New Roman"/>
      <w:bCs/>
      <w:sz w:val="24"/>
      <w:szCs w:val="28"/>
    </w:rPr>
  </w:style>
  <w:style w:type="numbering" w:customStyle="1" w:styleId="NoList1">
    <w:name w:val="No List1"/>
    <w:next w:val="NoList"/>
    <w:uiPriority w:val="99"/>
    <w:semiHidden/>
    <w:unhideWhenUsed/>
  </w:style>
  <w:style w:type="paragraph" w:styleId="FootnoteText">
    <w:name w:val="footnote text"/>
    <w:aliases w:val="Char,Fußnote,Carattere,fn,Footnotes,Footnote ak,Footnote Text Char Char,fn Char Char,footnote text Char Char,Footnotes Char Char,Footnote ak Char Char,fn Char1,footnote text Char1,Footnotes Char1,ft"/>
    <w:basedOn w:val="Normal"/>
    <w:link w:val="FootnoteTextChar"/>
    <w:uiPriority w:val="99"/>
    <w:pPr>
      <w:spacing w:after="0" w:line="240" w:lineRule="auto"/>
      <w:ind w:left="720" w:hanging="720"/>
      <w:jc w:val="both"/>
    </w:pPr>
    <w:rPr>
      <w:rFonts w:ascii="Times New Roman" w:eastAsia="Times New Roman" w:hAnsi="Times New Roman" w:cs="Times New Roman"/>
      <w:sz w:val="20"/>
      <w:szCs w:val="20"/>
    </w:rPr>
  </w:style>
  <w:style w:type="character" w:customStyle="1" w:styleId="FootnoteTextChar">
    <w:name w:val="Footnote Text Char"/>
    <w:aliases w:val="Char Char,Fußnote Char,Carattere Char,fn Char,Footnotes Char,Footnote ak Char,Footnote Text Char Char Char,fn Char Char Char,footnote text Char Char Char,Footnotes Char Char Char,Footnote ak Char Char Char,fn Char1 Char,ft Char"/>
    <w:basedOn w:val="DefaultParagraphFont"/>
    <w:link w:val="FootnoteText"/>
    <w:uiPriority w:val="99"/>
    <w:rPr>
      <w:rFonts w:ascii="Times New Roman" w:eastAsia="Times New Roman" w:hAnsi="Times New Roman" w:cs="Times New Roman"/>
      <w:sz w:val="20"/>
      <w:szCs w:val="20"/>
    </w:rPr>
  </w:style>
  <w:style w:type="character" w:styleId="FootnoteReference">
    <w:name w:val="footnote reference"/>
    <w:aliases w:val="Footnote Reference Superscript,Footnote symbol,Footnote Reference Number,BVI fnr,Voetnootverwijzing,Footnote reference number,Times 10 Point,Exposant 3 Point,Ref,de nota al pie,note TESI,SUPERS,EN Footnote Reference"/>
    <w:uiPriority w:val="99"/>
    <w:rPr>
      <w:shd w:val="clear" w:color="auto" w:fill="auto"/>
      <w:vertAlign w:val="superscript"/>
    </w:rPr>
  </w:style>
  <w:style w:type="paragraph" w:customStyle="1" w:styleId="Text1">
    <w:name w:val="Text 1"/>
    <w:basedOn w:val="Normal"/>
    <w:pPr>
      <w:spacing w:before="120" w:after="120" w:line="240" w:lineRule="auto"/>
      <w:ind w:left="850"/>
      <w:jc w:val="both"/>
    </w:pPr>
    <w:rPr>
      <w:rFonts w:ascii="Times New Roman" w:eastAsia="Times New Roman" w:hAnsi="Times New Roman" w:cs="Times New Roman"/>
      <w:sz w:val="24"/>
      <w:szCs w:val="24"/>
    </w:rPr>
  </w:style>
  <w:style w:type="paragraph" w:customStyle="1" w:styleId="Tiret0">
    <w:name w:val="Tiret 0"/>
    <w:basedOn w:val="Normal"/>
    <w:pPr>
      <w:numPr>
        <w:numId w:val="1"/>
      </w:numPr>
      <w:spacing w:before="120" w:after="120" w:line="240" w:lineRule="auto"/>
      <w:jc w:val="both"/>
    </w:pPr>
    <w:rPr>
      <w:rFonts w:ascii="Times New Roman" w:eastAsia="Times New Roman" w:hAnsi="Times New Roman" w:cs="Times New Roman"/>
      <w:sz w:val="24"/>
      <w:szCs w:val="24"/>
    </w:rPr>
  </w:style>
  <w:style w:type="paragraph" w:customStyle="1" w:styleId="Tiret1">
    <w:name w:val="Tiret 1"/>
    <w:basedOn w:val="Normal"/>
    <w:pPr>
      <w:numPr>
        <w:numId w:val="2"/>
      </w:numPr>
      <w:spacing w:before="120" w:after="120" w:line="240" w:lineRule="auto"/>
      <w:jc w:val="both"/>
    </w:pPr>
    <w:rPr>
      <w:rFonts w:ascii="Times New Roman" w:eastAsia="Times New Roman" w:hAnsi="Times New Roman" w:cs="Times New Roman"/>
      <w:sz w:val="24"/>
      <w:szCs w:val="24"/>
    </w:rPr>
  </w:style>
  <w:style w:type="paragraph" w:customStyle="1" w:styleId="ManualHeading1">
    <w:name w:val="Manual Heading 1"/>
    <w:basedOn w:val="Normal"/>
    <w:next w:val="Text1"/>
    <w:link w:val="ManualHeading1Char"/>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szCs w:val="24"/>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ascii="Times New Roman" w:eastAsia="Times New Roman" w:hAnsi="Times New Roman" w:cs="Times New Roman"/>
      <w:i/>
      <w:sz w:val="24"/>
      <w:szCs w:val="24"/>
    </w:rPr>
  </w:style>
  <w:style w:type="paragraph" w:styleId="Caption">
    <w:name w:val="caption"/>
    <w:basedOn w:val="Normal"/>
    <w:next w:val="Normal"/>
    <w:unhideWhenUsed/>
    <w:qFormat/>
    <w:pPr>
      <w:spacing w:before="120" w:after="120" w:line="240" w:lineRule="auto"/>
      <w:jc w:val="both"/>
    </w:pPr>
    <w:rPr>
      <w:rFonts w:ascii="Times New Roman" w:eastAsia="Times New Roman" w:hAnsi="Times New Roman" w:cs="Times New Roman"/>
      <w:b/>
      <w:bCs/>
      <w:sz w:val="20"/>
      <w:szCs w:val="20"/>
    </w:rPr>
  </w:style>
  <w:style w:type="paragraph" w:styleId="ListNumber">
    <w:name w:val="List Number"/>
    <w:basedOn w:val="Normal"/>
    <w:pPr>
      <w:numPr>
        <w:numId w:val="4"/>
      </w:numPr>
      <w:spacing w:before="120" w:after="120" w:line="240" w:lineRule="auto"/>
      <w:contextualSpacing/>
      <w:jc w:val="both"/>
    </w:pPr>
    <w:rPr>
      <w:rFonts w:ascii="Times New Roman" w:eastAsia="Times New Roman" w:hAnsi="Times New Roman" w:cs="Times New Roman"/>
      <w:sz w:val="24"/>
      <w:szCs w:val="24"/>
    </w:rPr>
  </w:style>
  <w:style w:type="character" w:styleId="Hyperlink">
    <w:name w:val="Hyperlink"/>
    <w:uiPriority w:val="99"/>
    <w:rPr>
      <w:color w:val="0000FF"/>
      <w:u w:val="single"/>
    </w:rPr>
  </w:style>
  <w:style w:type="paragraph" w:styleId="ListParagraph">
    <w:name w:val="List Paragraph"/>
    <w:basedOn w:val="Normal"/>
    <w:uiPriority w:val="34"/>
    <w:qFormat/>
    <w:pPr>
      <w:spacing w:before="120" w:after="360" w:line="240" w:lineRule="auto"/>
      <w:contextualSpacing/>
      <w:jc w:val="both"/>
    </w:pPr>
    <w:rPr>
      <w:rFonts w:ascii="Times New Roman" w:eastAsia="Times New Roman" w:hAnsi="Times New Roman" w:cs="Times New Roman"/>
      <w:b/>
      <w:sz w:val="24"/>
      <w:szCs w:val="24"/>
    </w:rPr>
  </w:style>
  <w:style w:type="character" w:customStyle="1" w:styleId="ManualHeading1Char">
    <w:name w:val="Manual Heading 1 Char"/>
    <w:link w:val="ManualHeading1"/>
    <w:rPr>
      <w:rFonts w:ascii="Times New Roman" w:eastAsia="Times New Roman" w:hAnsi="Times New Roman" w:cs="Times New Roman"/>
      <w:b/>
      <w:smallCaps/>
      <w:sz w:val="24"/>
      <w:szCs w:val="24"/>
    </w:rPr>
  </w:style>
  <w:style w:type="paragraph" w:customStyle="1" w:styleId="Typedudocument">
    <w:name w:val="Type du document"/>
    <w:basedOn w:val="Normal"/>
    <w:next w:val="Normal"/>
    <w:pPr>
      <w:spacing w:before="360" w:after="0" w:line="240" w:lineRule="auto"/>
      <w:jc w:val="center"/>
    </w:pPr>
    <w:rPr>
      <w:rFonts w:ascii="Times New Roman" w:eastAsia="Times New Roman" w:hAnsi="Times New Roman" w:cs="Times New Roman"/>
      <w:b/>
      <w:sz w:val="24"/>
      <w:szCs w:val="24"/>
    </w:rPr>
  </w:style>
  <w:style w:type="paragraph" w:customStyle="1" w:styleId="Titreobjet">
    <w:name w:val="Titre objet"/>
    <w:basedOn w:val="Normal"/>
    <w:next w:val="Normal"/>
    <w:pPr>
      <w:spacing w:before="360" w:after="360" w:line="240" w:lineRule="auto"/>
      <w:jc w:val="center"/>
    </w:pPr>
    <w:rPr>
      <w:rFonts w:ascii="Times New Roman" w:eastAsia="Times New Roman" w:hAnsi="Times New Roman" w:cs="Times New Roman"/>
      <w:b/>
      <w:sz w:val="24"/>
      <w:szCs w:val="24"/>
    </w:rPr>
  </w:style>
  <w:style w:type="paragraph" w:styleId="BalloonText">
    <w:name w:val="Balloon Text"/>
    <w:basedOn w:val="Normal"/>
    <w:link w:val="BalloonTextChar"/>
    <w:uiPriority w:val="99"/>
    <w:semiHidden/>
    <w:unhideWhenUsed/>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Revision">
    <w:name w:val="Revision"/>
    <w:hidden/>
    <w:uiPriority w:val="99"/>
    <w:semiHidden/>
    <w:pPr>
      <w:spacing w:after="0" w:line="240" w:lineRule="auto"/>
    </w:pPr>
    <w:rPr>
      <w:rFonts w:ascii="Calibri" w:eastAsia="Calibri" w:hAnsi="Calibri" w:cs="Times New Roman"/>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Calibri" w:hAnsi="Times New Roman" w:cs="Times New Roman"/>
      <w:b/>
      <w:bCs/>
      <w:sz w:val="20"/>
      <w:szCs w:val="20"/>
    </w:rPr>
  </w:style>
  <w:style w:type="character" w:styleId="FollowedHyperlink">
    <w:name w:val="FollowedHyperlink"/>
    <w:uiPriority w:val="99"/>
    <w:semiHidden/>
    <w:unhideWhenUsed/>
    <w:rPr>
      <w:color w:val="954F72"/>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9">
    <w:name w:val="Pa9"/>
    <w:basedOn w:val="Normal"/>
    <w:next w:val="Normal"/>
    <w:uiPriority w:val="99"/>
    <w:pPr>
      <w:autoSpaceDE w:val="0"/>
      <w:autoSpaceDN w:val="0"/>
      <w:adjustRightInd w:val="0"/>
      <w:spacing w:after="0" w:line="241" w:lineRule="atLeast"/>
    </w:pPr>
    <w:rPr>
      <w:rFonts w:ascii="Helvetica Neue" w:eastAsia="Calibri" w:hAnsi="Helvetica Neue" w:cs="Times New Roman"/>
      <w:sz w:val="24"/>
      <w:szCs w:val="24"/>
      <w:lang w:eastAsia="en-GB"/>
    </w:rPr>
  </w:style>
  <w:style w:type="character" w:customStyle="1" w:styleId="A4">
    <w:name w:val="A4"/>
    <w:uiPriority w:val="99"/>
    <w:rPr>
      <w:rFonts w:cs="Helvetica Neue"/>
      <w:color w:val="000000"/>
      <w:sz w:val="18"/>
      <w:szCs w:val="18"/>
    </w:rPr>
  </w:style>
  <w:style w:type="paragraph" w:styleId="NoSpacing">
    <w:name w:val="No Spacing"/>
    <w:uiPriority w:val="1"/>
    <w:qFormat/>
    <w:pPr>
      <w:spacing w:after="0" w:line="240" w:lineRule="auto"/>
    </w:pPr>
    <w:rPr>
      <w:rFonts w:ascii="Calibri" w:eastAsia="Calibri" w:hAnsi="Calibri" w:cs="Times New Roman"/>
    </w:rPr>
  </w:style>
  <w:style w:type="paragraph" w:styleId="TOCHeading">
    <w:name w:val="TOC Heading"/>
    <w:basedOn w:val="Heading1"/>
    <w:next w:val="Normal"/>
    <w:uiPriority w:val="39"/>
    <w:semiHidden/>
    <w:unhideWhenUsed/>
    <w:qFormat/>
    <w:pPr>
      <w:keepLines/>
      <w:numPr>
        <w:numId w:val="0"/>
      </w:numPr>
      <w:spacing w:before="480" w:after="0" w:line="276" w:lineRule="auto"/>
      <w:jc w:val="left"/>
      <w:outlineLvl w:val="9"/>
    </w:pPr>
    <w:rPr>
      <w:rFonts w:ascii="Cambria" w:eastAsia="MS Gothic" w:hAnsi="Cambria"/>
      <w:smallCaps w:val="0"/>
      <w:color w:val="365F91"/>
      <w:sz w:val="28"/>
      <w:szCs w:val="28"/>
      <w:lang w:eastAsia="ja-JP"/>
    </w:rPr>
  </w:style>
  <w:style w:type="paragraph" w:styleId="TOC1">
    <w:name w:val="toc 1"/>
    <w:basedOn w:val="Normal"/>
    <w:next w:val="Normal"/>
    <w:autoRedefine/>
    <w:uiPriority w:val="39"/>
    <w:unhideWhenUsed/>
    <w:pPr>
      <w:tabs>
        <w:tab w:val="left" w:pos="426"/>
        <w:tab w:val="right" w:leader="dot" w:pos="9403"/>
      </w:tabs>
    </w:pPr>
    <w:rPr>
      <w:rFonts w:ascii="Times New Roman" w:eastAsia="Calibri" w:hAnsi="Times New Roman" w:cs="Times New Roman"/>
    </w:rPr>
  </w:style>
  <w:style w:type="paragraph" w:styleId="TOC2">
    <w:name w:val="toc 2"/>
    <w:basedOn w:val="Normal"/>
    <w:next w:val="Normal"/>
    <w:autoRedefine/>
    <w:uiPriority w:val="39"/>
    <w:unhideWhenUsed/>
    <w:pPr>
      <w:ind w:left="220"/>
    </w:pPr>
    <w:rPr>
      <w:rFonts w:ascii="Times New Roman" w:eastAsia="Calibri" w:hAnsi="Times New Roman" w:cs="Times New Roman"/>
    </w:rPr>
  </w:style>
  <w:style w:type="paragraph" w:styleId="TOC3">
    <w:name w:val="toc 3"/>
    <w:basedOn w:val="Normal"/>
    <w:next w:val="Normal"/>
    <w:autoRedefine/>
    <w:uiPriority w:val="39"/>
    <w:unhideWhenUsed/>
    <w:pPr>
      <w:ind w:left="440"/>
    </w:pPr>
    <w:rPr>
      <w:rFonts w:ascii="Times New Roman" w:eastAsia="Calibri" w:hAnsi="Times New Roman" w:cs="Times New Roman"/>
    </w:rPr>
  </w:style>
  <w:style w:type="paragraph" w:customStyle="1" w:styleId="Default">
    <w:name w:val="Default"/>
    <w:pPr>
      <w:autoSpaceDE w:val="0"/>
      <w:autoSpaceDN w:val="0"/>
      <w:adjustRightInd w:val="0"/>
      <w:spacing w:after="0" w:line="240" w:lineRule="auto"/>
    </w:pPr>
    <w:rPr>
      <w:rFonts w:ascii="Arial" w:eastAsia="Calibri" w:hAnsi="Arial" w:cs="Arial"/>
      <w:color w:val="000000"/>
      <w:sz w:val="24"/>
      <w:szCs w:val="24"/>
      <w:lang w:eastAsia="en-GB"/>
    </w:rPr>
  </w:style>
  <w:style w:type="paragraph" w:customStyle="1" w:styleId="Text0">
    <w:name w:val="Text 0"/>
    <w:basedOn w:val="Text1"/>
    <w:pPr>
      <w:ind w:left="0"/>
    </w:pPr>
  </w:style>
  <w:style w:type="paragraph" w:styleId="EndnoteText">
    <w:name w:val="endnote text"/>
    <w:basedOn w:val="Normal"/>
    <w:link w:val="EndnoteTextChar"/>
    <w:uiPriority w:val="99"/>
    <w:semiHidden/>
    <w:unhideWhenUsed/>
    <w:pPr>
      <w:spacing w:after="0" w:line="240" w:lineRule="auto"/>
    </w:pPr>
    <w:rPr>
      <w:rFonts w:ascii="Times New Roman" w:eastAsia="Calibri" w:hAnsi="Times New Roman" w:cs="Times New Roman"/>
      <w:sz w:val="20"/>
      <w:szCs w:val="20"/>
    </w:rPr>
  </w:style>
  <w:style w:type="character" w:customStyle="1" w:styleId="EndnoteTextChar">
    <w:name w:val="Endnote Text Char"/>
    <w:basedOn w:val="DefaultParagraphFont"/>
    <w:link w:val="EndnoteText"/>
    <w:uiPriority w:val="99"/>
    <w:semiHidden/>
    <w:rPr>
      <w:rFonts w:ascii="Times New Roman" w:eastAsia="Calibri" w:hAnsi="Times New Roman" w:cs="Times New Roman"/>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qFormat/>
    <w:pPr>
      <w:keepNext/>
      <w:numPr>
        <w:numId w:val="3"/>
      </w:numPr>
      <w:spacing w:before="360" w:after="120" w:line="240" w:lineRule="auto"/>
      <w:jc w:val="both"/>
      <w:outlineLvl w:val="0"/>
    </w:pPr>
    <w:rPr>
      <w:rFonts w:ascii="Times New Roman" w:eastAsia="Times New Roman" w:hAnsi="Times New Roman" w:cs="Times New Roman"/>
      <w:b/>
      <w:bCs/>
      <w:smallCaps/>
      <w:sz w:val="24"/>
      <w:szCs w:val="32"/>
    </w:rPr>
  </w:style>
  <w:style w:type="paragraph" w:styleId="Heading2">
    <w:name w:val="heading 2"/>
    <w:basedOn w:val="Normal"/>
    <w:next w:val="Text1"/>
    <w:link w:val="Heading2Char"/>
    <w:qFormat/>
    <w:pPr>
      <w:keepNext/>
      <w:numPr>
        <w:ilvl w:val="1"/>
        <w:numId w:val="3"/>
      </w:numPr>
      <w:spacing w:before="120" w:after="120" w:line="240" w:lineRule="auto"/>
      <w:jc w:val="both"/>
      <w:outlineLvl w:val="1"/>
    </w:pPr>
    <w:rPr>
      <w:rFonts w:ascii="Times New Roman" w:eastAsia="Times New Roman" w:hAnsi="Times New Roman" w:cs="Times New Roman"/>
      <w:b/>
      <w:bCs/>
      <w:iCs/>
      <w:sz w:val="24"/>
      <w:szCs w:val="28"/>
    </w:rPr>
  </w:style>
  <w:style w:type="paragraph" w:styleId="Heading3">
    <w:name w:val="heading 3"/>
    <w:basedOn w:val="Normal"/>
    <w:next w:val="Text1"/>
    <w:link w:val="Heading3Char"/>
    <w:qFormat/>
    <w:pPr>
      <w:keepNext/>
      <w:numPr>
        <w:ilvl w:val="2"/>
        <w:numId w:val="3"/>
      </w:numPr>
      <w:spacing w:before="120" w:after="120" w:line="240" w:lineRule="auto"/>
      <w:jc w:val="both"/>
      <w:outlineLvl w:val="2"/>
    </w:pPr>
    <w:rPr>
      <w:rFonts w:ascii="Times New Roman" w:eastAsia="Times New Roman" w:hAnsi="Times New Roman" w:cs="Times New Roman"/>
      <w:b/>
      <w:bCs/>
      <w:sz w:val="24"/>
      <w:szCs w:val="26"/>
    </w:rPr>
  </w:style>
  <w:style w:type="paragraph" w:styleId="Heading4">
    <w:name w:val="heading 4"/>
    <w:basedOn w:val="Normal"/>
    <w:next w:val="Text1"/>
    <w:link w:val="Heading4Char"/>
    <w:qFormat/>
    <w:pPr>
      <w:keepNext/>
      <w:numPr>
        <w:ilvl w:val="3"/>
        <w:numId w:val="3"/>
      </w:numPr>
      <w:spacing w:before="120" w:after="120" w:line="240" w:lineRule="auto"/>
      <w:jc w:val="both"/>
      <w:outlineLvl w:val="3"/>
    </w:pPr>
    <w:rPr>
      <w:rFonts w:ascii="Times New Roman" w:eastAsia="Times New Roman" w:hAnsi="Times New Roman" w:cs="Times New Roman"/>
      <w:b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rPr>
      <w:rFonts w:ascii="Times New Roman" w:eastAsia="Times New Roman" w:hAnsi="Times New Roman" w:cs="Times New Roman"/>
      <w:b/>
      <w:bCs/>
      <w:smallCaps/>
      <w:sz w:val="24"/>
      <w:szCs w:val="32"/>
    </w:rPr>
  </w:style>
  <w:style w:type="character" w:customStyle="1" w:styleId="Heading2Char">
    <w:name w:val="Heading 2 Char"/>
    <w:basedOn w:val="DefaultParagraphFont"/>
    <w:link w:val="Heading2"/>
    <w:rPr>
      <w:rFonts w:ascii="Times New Roman" w:eastAsia="Times New Roman" w:hAnsi="Times New Roman" w:cs="Times New Roman"/>
      <w:b/>
      <w:bCs/>
      <w:iCs/>
      <w:sz w:val="24"/>
      <w:szCs w:val="28"/>
    </w:rPr>
  </w:style>
  <w:style w:type="character" w:customStyle="1" w:styleId="Heading3Char">
    <w:name w:val="Heading 3 Char"/>
    <w:basedOn w:val="DefaultParagraphFont"/>
    <w:link w:val="Heading3"/>
    <w:rPr>
      <w:rFonts w:ascii="Times New Roman" w:eastAsia="Times New Roman" w:hAnsi="Times New Roman" w:cs="Times New Roman"/>
      <w:b/>
      <w:bCs/>
      <w:sz w:val="24"/>
      <w:szCs w:val="26"/>
    </w:rPr>
  </w:style>
  <w:style w:type="character" w:customStyle="1" w:styleId="Heading4Char">
    <w:name w:val="Heading 4 Char"/>
    <w:basedOn w:val="DefaultParagraphFont"/>
    <w:link w:val="Heading4"/>
    <w:rPr>
      <w:rFonts w:ascii="Times New Roman" w:eastAsia="Times New Roman" w:hAnsi="Times New Roman" w:cs="Times New Roman"/>
      <w:bCs/>
      <w:sz w:val="24"/>
      <w:szCs w:val="28"/>
    </w:rPr>
  </w:style>
  <w:style w:type="numbering" w:customStyle="1" w:styleId="NoList1">
    <w:name w:val="No List1"/>
    <w:next w:val="NoList"/>
    <w:uiPriority w:val="99"/>
    <w:semiHidden/>
    <w:unhideWhenUsed/>
  </w:style>
  <w:style w:type="paragraph" w:styleId="FootnoteText">
    <w:name w:val="footnote text"/>
    <w:aliases w:val="Char,Fußnote,Carattere,fn,Footnotes,Footnote ak,Footnote Text Char Char,fn Char Char,footnote text Char Char,Footnotes Char Char,Footnote ak Char Char,fn Char1,footnote text Char1,Footnotes Char1,ft"/>
    <w:basedOn w:val="Normal"/>
    <w:link w:val="FootnoteTextChar"/>
    <w:uiPriority w:val="99"/>
    <w:pPr>
      <w:spacing w:after="0" w:line="240" w:lineRule="auto"/>
      <w:ind w:left="720" w:hanging="720"/>
      <w:jc w:val="both"/>
    </w:pPr>
    <w:rPr>
      <w:rFonts w:ascii="Times New Roman" w:eastAsia="Times New Roman" w:hAnsi="Times New Roman" w:cs="Times New Roman"/>
      <w:sz w:val="20"/>
      <w:szCs w:val="20"/>
    </w:rPr>
  </w:style>
  <w:style w:type="character" w:customStyle="1" w:styleId="FootnoteTextChar">
    <w:name w:val="Footnote Text Char"/>
    <w:aliases w:val="Char Char,Fußnote Char,Carattere Char,fn Char,Footnotes Char,Footnote ak Char,Footnote Text Char Char Char,fn Char Char Char,footnote text Char Char Char,Footnotes Char Char Char,Footnote ak Char Char Char,fn Char1 Char,ft Char"/>
    <w:basedOn w:val="DefaultParagraphFont"/>
    <w:link w:val="FootnoteText"/>
    <w:uiPriority w:val="99"/>
    <w:rPr>
      <w:rFonts w:ascii="Times New Roman" w:eastAsia="Times New Roman" w:hAnsi="Times New Roman" w:cs="Times New Roman"/>
      <w:sz w:val="20"/>
      <w:szCs w:val="20"/>
    </w:rPr>
  </w:style>
  <w:style w:type="character" w:styleId="FootnoteReference">
    <w:name w:val="footnote reference"/>
    <w:aliases w:val="Footnote Reference Superscript,Footnote symbol,Footnote Reference Number,BVI fnr,Voetnootverwijzing,Footnote reference number,Times 10 Point,Exposant 3 Point,Ref,de nota al pie,note TESI,SUPERS,EN Footnote Reference"/>
    <w:uiPriority w:val="99"/>
    <w:rPr>
      <w:shd w:val="clear" w:color="auto" w:fill="auto"/>
      <w:vertAlign w:val="superscript"/>
    </w:rPr>
  </w:style>
  <w:style w:type="paragraph" w:customStyle="1" w:styleId="Text1">
    <w:name w:val="Text 1"/>
    <w:basedOn w:val="Normal"/>
    <w:pPr>
      <w:spacing w:before="120" w:after="120" w:line="240" w:lineRule="auto"/>
      <w:ind w:left="850"/>
      <w:jc w:val="both"/>
    </w:pPr>
    <w:rPr>
      <w:rFonts w:ascii="Times New Roman" w:eastAsia="Times New Roman" w:hAnsi="Times New Roman" w:cs="Times New Roman"/>
      <w:sz w:val="24"/>
      <w:szCs w:val="24"/>
    </w:rPr>
  </w:style>
  <w:style w:type="paragraph" w:customStyle="1" w:styleId="Tiret0">
    <w:name w:val="Tiret 0"/>
    <w:basedOn w:val="Normal"/>
    <w:pPr>
      <w:numPr>
        <w:numId w:val="1"/>
      </w:numPr>
      <w:spacing w:before="120" w:after="120" w:line="240" w:lineRule="auto"/>
      <w:jc w:val="both"/>
    </w:pPr>
    <w:rPr>
      <w:rFonts w:ascii="Times New Roman" w:eastAsia="Times New Roman" w:hAnsi="Times New Roman" w:cs="Times New Roman"/>
      <w:sz w:val="24"/>
      <w:szCs w:val="24"/>
    </w:rPr>
  </w:style>
  <w:style w:type="paragraph" w:customStyle="1" w:styleId="Tiret1">
    <w:name w:val="Tiret 1"/>
    <w:basedOn w:val="Normal"/>
    <w:pPr>
      <w:numPr>
        <w:numId w:val="2"/>
      </w:numPr>
      <w:spacing w:before="120" w:after="120" w:line="240" w:lineRule="auto"/>
      <w:jc w:val="both"/>
    </w:pPr>
    <w:rPr>
      <w:rFonts w:ascii="Times New Roman" w:eastAsia="Times New Roman" w:hAnsi="Times New Roman" w:cs="Times New Roman"/>
      <w:sz w:val="24"/>
      <w:szCs w:val="24"/>
    </w:rPr>
  </w:style>
  <w:style w:type="paragraph" w:customStyle="1" w:styleId="ManualHeading1">
    <w:name w:val="Manual Heading 1"/>
    <w:basedOn w:val="Normal"/>
    <w:next w:val="Text1"/>
    <w:link w:val="ManualHeading1Char"/>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szCs w:val="24"/>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ascii="Times New Roman" w:eastAsia="Times New Roman" w:hAnsi="Times New Roman" w:cs="Times New Roman"/>
      <w:i/>
      <w:sz w:val="24"/>
      <w:szCs w:val="24"/>
    </w:rPr>
  </w:style>
  <w:style w:type="paragraph" w:styleId="Caption">
    <w:name w:val="caption"/>
    <w:basedOn w:val="Normal"/>
    <w:next w:val="Normal"/>
    <w:unhideWhenUsed/>
    <w:qFormat/>
    <w:pPr>
      <w:spacing w:before="120" w:after="120" w:line="240" w:lineRule="auto"/>
      <w:jc w:val="both"/>
    </w:pPr>
    <w:rPr>
      <w:rFonts w:ascii="Times New Roman" w:eastAsia="Times New Roman" w:hAnsi="Times New Roman" w:cs="Times New Roman"/>
      <w:b/>
      <w:bCs/>
      <w:sz w:val="20"/>
      <w:szCs w:val="20"/>
    </w:rPr>
  </w:style>
  <w:style w:type="paragraph" w:styleId="ListNumber">
    <w:name w:val="List Number"/>
    <w:basedOn w:val="Normal"/>
    <w:pPr>
      <w:numPr>
        <w:numId w:val="4"/>
      </w:numPr>
      <w:spacing w:before="120" w:after="120" w:line="240" w:lineRule="auto"/>
      <w:contextualSpacing/>
      <w:jc w:val="both"/>
    </w:pPr>
    <w:rPr>
      <w:rFonts w:ascii="Times New Roman" w:eastAsia="Times New Roman" w:hAnsi="Times New Roman" w:cs="Times New Roman"/>
      <w:sz w:val="24"/>
      <w:szCs w:val="24"/>
    </w:rPr>
  </w:style>
  <w:style w:type="character" w:styleId="Hyperlink">
    <w:name w:val="Hyperlink"/>
    <w:uiPriority w:val="99"/>
    <w:rPr>
      <w:color w:val="0000FF"/>
      <w:u w:val="single"/>
    </w:rPr>
  </w:style>
  <w:style w:type="paragraph" w:styleId="ListParagraph">
    <w:name w:val="List Paragraph"/>
    <w:basedOn w:val="Normal"/>
    <w:uiPriority w:val="34"/>
    <w:qFormat/>
    <w:pPr>
      <w:spacing w:before="120" w:after="360" w:line="240" w:lineRule="auto"/>
      <w:contextualSpacing/>
      <w:jc w:val="both"/>
    </w:pPr>
    <w:rPr>
      <w:rFonts w:ascii="Times New Roman" w:eastAsia="Times New Roman" w:hAnsi="Times New Roman" w:cs="Times New Roman"/>
      <w:b/>
      <w:sz w:val="24"/>
      <w:szCs w:val="24"/>
    </w:rPr>
  </w:style>
  <w:style w:type="character" w:customStyle="1" w:styleId="ManualHeading1Char">
    <w:name w:val="Manual Heading 1 Char"/>
    <w:link w:val="ManualHeading1"/>
    <w:rPr>
      <w:rFonts w:ascii="Times New Roman" w:eastAsia="Times New Roman" w:hAnsi="Times New Roman" w:cs="Times New Roman"/>
      <w:b/>
      <w:smallCaps/>
      <w:sz w:val="24"/>
      <w:szCs w:val="24"/>
    </w:rPr>
  </w:style>
  <w:style w:type="paragraph" w:customStyle="1" w:styleId="Typedudocument">
    <w:name w:val="Type du document"/>
    <w:basedOn w:val="Normal"/>
    <w:next w:val="Normal"/>
    <w:pPr>
      <w:spacing w:before="360" w:after="0" w:line="240" w:lineRule="auto"/>
      <w:jc w:val="center"/>
    </w:pPr>
    <w:rPr>
      <w:rFonts w:ascii="Times New Roman" w:eastAsia="Times New Roman" w:hAnsi="Times New Roman" w:cs="Times New Roman"/>
      <w:b/>
      <w:sz w:val="24"/>
      <w:szCs w:val="24"/>
    </w:rPr>
  </w:style>
  <w:style w:type="paragraph" w:customStyle="1" w:styleId="Titreobjet">
    <w:name w:val="Titre objet"/>
    <w:basedOn w:val="Normal"/>
    <w:next w:val="Normal"/>
    <w:pPr>
      <w:spacing w:before="360" w:after="360" w:line="240" w:lineRule="auto"/>
      <w:jc w:val="center"/>
    </w:pPr>
    <w:rPr>
      <w:rFonts w:ascii="Times New Roman" w:eastAsia="Times New Roman" w:hAnsi="Times New Roman" w:cs="Times New Roman"/>
      <w:b/>
      <w:sz w:val="24"/>
      <w:szCs w:val="24"/>
    </w:rPr>
  </w:style>
  <w:style w:type="paragraph" w:styleId="BalloonText">
    <w:name w:val="Balloon Text"/>
    <w:basedOn w:val="Normal"/>
    <w:link w:val="BalloonTextChar"/>
    <w:uiPriority w:val="99"/>
    <w:semiHidden/>
    <w:unhideWhenUsed/>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Revision">
    <w:name w:val="Revision"/>
    <w:hidden/>
    <w:uiPriority w:val="99"/>
    <w:semiHidden/>
    <w:pPr>
      <w:spacing w:after="0" w:line="240" w:lineRule="auto"/>
    </w:pPr>
    <w:rPr>
      <w:rFonts w:ascii="Calibri" w:eastAsia="Calibri" w:hAnsi="Calibri" w:cs="Times New Roman"/>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Calibri" w:hAnsi="Times New Roman" w:cs="Times New Roman"/>
      <w:b/>
      <w:bCs/>
      <w:sz w:val="20"/>
      <w:szCs w:val="20"/>
    </w:rPr>
  </w:style>
  <w:style w:type="character" w:styleId="FollowedHyperlink">
    <w:name w:val="FollowedHyperlink"/>
    <w:uiPriority w:val="99"/>
    <w:semiHidden/>
    <w:unhideWhenUsed/>
    <w:rPr>
      <w:color w:val="954F72"/>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9">
    <w:name w:val="Pa9"/>
    <w:basedOn w:val="Normal"/>
    <w:next w:val="Normal"/>
    <w:uiPriority w:val="99"/>
    <w:pPr>
      <w:autoSpaceDE w:val="0"/>
      <w:autoSpaceDN w:val="0"/>
      <w:adjustRightInd w:val="0"/>
      <w:spacing w:after="0" w:line="241" w:lineRule="atLeast"/>
    </w:pPr>
    <w:rPr>
      <w:rFonts w:ascii="Helvetica Neue" w:eastAsia="Calibri" w:hAnsi="Helvetica Neue" w:cs="Times New Roman"/>
      <w:sz w:val="24"/>
      <w:szCs w:val="24"/>
      <w:lang w:eastAsia="en-GB"/>
    </w:rPr>
  </w:style>
  <w:style w:type="character" w:customStyle="1" w:styleId="A4">
    <w:name w:val="A4"/>
    <w:uiPriority w:val="99"/>
    <w:rPr>
      <w:rFonts w:cs="Helvetica Neue"/>
      <w:color w:val="000000"/>
      <w:sz w:val="18"/>
      <w:szCs w:val="18"/>
    </w:rPr>
  </w:style>
  <w:style w:type="paragraph" w:styleId="NoSpacing">
    <w:name w:val="No Spacing"/>
    <w:uiPriority w:val="1"/>
    <w:qFormat/>
    <w:pPr>
      <w:spacing w:after="0" w:line="240" w:lineRule="auto"/>
    </w:pPr>
    <w:rPr>
      <w:rFonts w:ascii="Calibri" w:eastAsia="Calibri" w:hAnsi="Calibri" w:cs="Times New Roman"/>
    </w:rPr>
  </w:style>
  <w:style w:type="paragraph" w:styleId="TOCHeading">
    <w:name w:val="TOC Heading"/>
    <w:basedOn w:val="Heading1"/>
    <w:next w:val="Normal"/>
    <w:uiPriority w:val="39"/>
    <w:semiHidden/>
    <w:unhideWhenUsed/>
    <w:qFormat/>
    <w:pPr>
      <w:keepLines/>
      <w:numPr>
        <w:numId w:val="0"/>
      </w:numPr>
      <w:spacing w:before="480" w:after="0" w:line="276" w:lineRule="auto"/>
      <w:jc w:val="left"/>
      <w:outlineLvl w:val="9"/>
    </w:pPr>
    <w:rPr>
      <w:rFonts w:ascii="Cambria" w:eastAsia="MS Gothic" w:hAnsi="Cambria"/>
      <w:smallCaps w:val="0"/>
      <w:color w:val="365F91"/>
      <w:sz w:val="28"/>
      <w:szCs w:val="28"/>
      <w:lang w:eastAsia="ja-JP"/>
    </w:rPr>
  </w:style>
  <w:style w:type="paragraph" w:styleId="TOC1">
    <w:name w:val="toc 1"/>
    <w:basedOn w:val="Normal"/>
    <w:next w:val="Normal"/>
    <w:autoRedefine/>
    <w:uiPriority w:val="39"/>
    <w:unhideWhenUsed/>
    <w:pPr>
      <w:tabs>
        <w:tab w:val="left" w:pos="426"/>
        <w:tab w:val="right" w:leader="dot" w:pos="9403"/>
      </w:tabs>
    </w:pPr>
    <w:rPr>
      <w:rFonts w:ascii="Times New Roman" w:eastAsia="Calibri" w:hAnsi="Times New Roman" w:cs="Times New Roman"/>
    </w:rPr>
  </w:style>
  <w:style w:type="paragraph" w:styleId="TOC2">
    <w:name w:val="toc 2"/>
    <w:basedOn w:val="Normal"/>
    <w:next w:val="Normal"/>
    <w:autoRedefine/>
    <w:uiPriority w:val="39"/>
    <w:unhideWhenUsed/>
    <w:pPr>
      <w:ind w:left="220"/>
    </w:pPr>
    <w:rPr>
      <w:rFonts w:ascii="Times New Roman" w:eastAsia="Calibri" w:hAnsi="Times New Roman" w:cs="Times New Roman"/>
    </w:rPr>
  </w:style>
  <w:style w:type="paragraph" w:styleId="TOC3">
    <w:name w:val="toc 3"/>
    <w:basedOn w:val="Normal"/>
    <w:next w:val="Normal"/>
    <w:autoRedefine/>
    <w:uiPriority w:val="39"/>
    <w:unhideWhenUsed/>
    <w:pPr>
      <w:ind w:left="440"/>
    </w:pPr>
    <w:rPr>
      <w:rFonts w:ascii="Times New Roman" w:eastAsia="Calibri" w:hAnsi="Times New Roman" w:cs="Times New Roman"/>
    </w:rPr>
  </w:style>
  <w:style w:type="paragraph" w:customStyle="1" w:styleId="Default">
    <w:name w:val="Default"/>
    <w:pPr>
      <w:autoSpaceDE w:val="0"/>
      <w:autoSpaceDN w:val="0"/>
      <w:adjustRightInd w:val="0"/>
      <w:spacing w:after="0" w:line="240" w:lineRule="auto"/>
    </w:pPr>
    <w:rPr>
      <w:rFonts w:ascii="Arial" w:eastAsia="Calibri" w:hAnsi="Arial" w:cs="Arial"/>
      <w:color w:val="000000"/>
      <w:sz w:val="24"/>
      <w:szCs w:val="24"/>
      <w:lang w:eastAsia="en-GB"/>
    </w:rPr>
  </w:style>
  <w:style w:type="paragraph" w:customStyle="1" w:styleId="Text0">
    <w:name w:val="Text 0"/>
    <w:basedOn w:val="Text1"/>
    <w:pPr>
      <w:ind w:left="0"/>
    </w:pPr>
  </w:style>
  <w:style w:type="paragraph" w:styleId="EndnoteText">
    <w:name w:val="endnote text"/>
    <w:basedOn w:val="Normal"/>
    <w:link w:val="EndnoteTextChar"/>
    <w:uiPriority w:val="99"/>
    <w:semiHidden/>
    <w:unhideWhenUsed/>
    <w:pPr>
      <w:spacing w:after="0" w:line="240" w:lineRule="auto"/>
    </w:pPr>
    <w:rPr>
      <w:rFonts w:ascii="Times New Roman" w:eastAsia="Calibri" w:hAnsi="Times New Roman" w:cs="Times New Roman"/>
      <w:sz w:val="20"/>
      <w:szCs w:val="20"/>
    </w:rPr>
  </w:style>
  <w:style w:type="character" w:customStyle="1" w:styleId="EndnoteTextChar">
    <w:name w:val="Endnote Text Char"/>
    <w:basedOn w:val="DefaultParagraphFont"/>
    <w:link w:val="EndnoteText"/>
    <w:uiPriority w:val="99"/>
    <w:semiHidden/>
    <w:rPr>
      <w:rFonts w:ascii="Times New Roman" w:eastAsia="Calibri" w:hAnsi="Times New Roman" w:cs="Times New Roman"/>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emf"/><Relationship Id="rId39" Type="http://schemas.openxmlformats.org/officeDocument/2006/relationships/image" Target="media/image22.emf"/><Relationship Id="rId21" Type="http://schemas.openxmlformats.org/officeDocument/2006/relationships/image" Target="media/image4.emf"/><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image" Target="media/image33.emf"/><Relationship Id="rId55" Type="http://schemas.openxmlformats.org/officeDocument/2006/relationships/image" Target="media/image38.emf"/><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header" Target="header4.xml"/><Relationship Id="rId7" Type="http://schemas.microsoft.com/office/2007/relationships/stylesWithEffects" Target="stylesWithEffects.xml"/><Relationship Id="rId71" Type="http://schemas.openxmlformats.org/officeDocument/2006/relationships/image" Target="media/image54.emf"/><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2.emf"/><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image" Target="media/image36.emf"/><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emf"/><Relationship Id="rId79"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image" Target="media/image44.emf"/><Relationship Id="rId82"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image" Target="media/image35.emf"/><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emf"/><Relationship Id="rId78" Type="http://schemas.openxmlformats.org/officeDocument/2006/relationships/footer" Target="footer4.xml"/><Relationship Id="rId8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image" Target="media/image31.emf"/><Relationship Id="rId56" Type="http://schemas.openxmlformats.org/officeDocument/2006/relationships/image" Target="media/image39.emf"/><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image" Target="media/image34.emf"/><Relationship Id="rId72" Type="http://schemas.openxmlformats.org/officeDocument/2006/relationships/image" Target="media/image55.emf"/><Relationship Id="rId80"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3.emf"/><Relationship Id="rId41" Type="http://schemas.openxmlformats.org/officeDocument/2006/relationships/image" Target="media/image24.emf"/><Relationship Id="rId54" Type="http://schemas.openxmlformats.org/officeDocument/2006/relationships/image" Target="media/image37.emf"/><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2.emf"/><Relationship Id="rId57" Type="http://schemas.openxmlformats.org/officeDocument/2006/relationships/image" Target="media/image40.png"/></Relationships>
</file>

<file path=word/_rels/footnotes.xml.rels><?xml version="1.0" encoding="UTF-8" standalone="yes"?>
<Relationships xmlns="http://schemas.openxmlformats.org/package/2006/relationships"><Relationship Id="rId13" Type="http://schemas.openxmlformats.org/officeDocument/2006/relationships/hyperlink" Target="https://www.imf.org/~/media/Files/Publications/REO/EUR/2017/November/eur-booked-print.ashx?la=en" TargetMode="External"/><Relationship Id="rId18" Type="http://schemas.openxmlformats.org/officeDocument/2006/relationships/hyperlink" Target="http://publications.jrc.ec.europa.eu/repository/bitstream/JRC104594/jrc104594__2017_the_judicial_system_and_economic_development_across_eu_member_states.pdf" TargetMode="External"/><Relationship Id="rId26" Type="http://schemas.openxmlformats.org/officeDocument/2006/relationships/hyperlink" Target="http://europa.eu/rapid/press-release_IP-17-5367_en.pdf" TargetMode="External"/><Relationship Id="rId39" Type="http://schemas.openxmlformats.org/officeDocument/2006/relationships/hyperlink" Target="http://www.juradmin.eu/images/media_kit/aca_surveys/Transversal-Analysis.pdf" TargetMode="External"/><Relationship Id="rId3" Type="http://schemas.openxmlformats.org/officeDocument/2006/relationships/hyperlink" Target="https://www.encj.eu/" TargetMode="External"/><Relationship Id="rId21" Type="http://schemas.openxmlformats.org/officeDocument/2006/relationships/hyperlink" Target="https://euipo.europa.eu/tunnel-web/secure/webdav/guest/document_library/observatory/documents/sme_scoreboard_study_2016/Executive-summary_en.pdf" TargetMode="External"/><Relationship Id="rId34" Type="http://schemas.openxmlformats.org/officeDocument/2006/relationships/hyperlink" Target="http://www.europarl.europa.eu/news/bg/press-room/20180906IPR12104/pravovata-drzhava-v-unghariia-parlamentt-prizovava-za-deystviia-ot-strana-na-es" TargetMode="External"/><Relationship Id="rId42" Type="http://schemas.openxmlformats.org/officeDocument/2006/relationships/hyperlink" Target="https://ec.europa.eu/digital-single-market/en/open-data" TargetMode="External"/><Relationship Id="rId47" Type="http://schemas.openxmlformats.org/officeDocument/2006/relationships/hyperlink" Target="https://ec.europa.eu/eurostat/statistics-explained/index.php?title=Glossary:Intermediate_consumption" TargetMode="External"/><Relationship Id="rId50" Type="http://schemas.openxmlformats.org/officeDocument/2006/relationships/hyperlink" Target="http://eige.europa.eu/lt/gender-statistics/dgs/indicator/wmidm_jud_natcrt__wmid_natcrt_supcrt" TargetMode="External"/><Relationship Id="rId7" Type="http://schemas.openxmlformats.org/officeDocument/2006/relationships/hyperlink" Target="https://ec.europa.eu/digital-single-market/en/communications-committee" TargetMode="External"/><Relationship Id="rId12" Type="http://schemas.openxmlformats.org/officeDocument/2006/relationships/hyperlink" Target="https://www.weforum.org/" TargetMode="External"/><Relationship Id="rId17" Type="http://schemas.openxmlformats.org/officeDocument/2006/relationships/hyperlink" Target="http://www.coe.int/t/dghl/cooperation/cepej/evaluation/default_en.asp" TargetMode="External"/><Relationship Id="rId25" Type="http://schemas.openxmlformats.org/officeDocument/2006/relationships/hyperlink" Target="http://europa.eu/rapid/press-release_IP-18-3972_bg.htm" TargetMode="External"/><Relationship Id="rId33" Type="http://schemas.openxmlformats.org/officeDocument/2006/relationships/hyperlink" Target="http://europa.eu/rapid/press-release_IP-14-237_bg.htm" TargetMode="External"/><Relationship Id="rId38" Type="http://schemas.openxmlformats.org/officeDocument/2006/relationships/hyperlink" Target="http://www.imf.org/en/About/Factsheets/Sheets/2016/08/01/16/31/Fight-Against-Money-Laundering-the-Financing-of-Terrorism" TargetMode="External"/><Relationship Id="rId46" Type="http://schemas.openxmlformats.org/officeDocument/2006/relationships/hyperlink" Target="https://ec.europa.eu/eurostat/statistics-explained/index.php?title=Glossary:Fixed_capital" TargetMode="External"/><Relationship Id="rId2" Type="http://schemas.openxmlformats.org/officeDocument/2006/relationships/hyperlink" Target="https://ec.europa.eu/info/strategy/justice-and-fundamental-rights/effective-justice/eu-justice-scoreboard_en" TargetMode="External"/><Relationship Id="rId16" Type="http://schemas.openxmlformats.org/officeDocument/2006/relationships/hyperlink" Target="http://www.worldbank.org/en/publication/wdr2017" TargetMode="External"/><Relationship Id="rId20" Type="http://schemas.openxmlformats.org/officeDocument/2006/relationships/hyperlink" Target="http://www.biicl.org/documents/625_d4_fdi_main_report.pdf" TargetMode="External"/><Relationship Id="rId29" Type="http://schemas.openxmlformats.org/officeDocument/2006/relationships/hyperlink" Target="http://europa.eu/rapid/press-release_IP-19-1957_en.pdf" TargetMode="External"/><Relationship Id="rId41" Type="http://schemas.openxmlformats.org/officeDocument/2006/relationships/hyperlink" Target="http://ec.europa.eu/eurostat/web/income-and-living-conditions/data/database" TargetMode="External"/><Relationship Id="rId54" Type="http://schemas.openxmlformats.org/officeDocument/2006/relationships/hyperlink" Target="https://www.weforum.org/reports/the-global-competitveness-report-2018" TargetMode="External"/><Relationship Id="rId1" Type="http://schemas.openxmlformats.org/officeDocument/2006/relationships/hyperlink" Target="https://ec.europa.eu/commission/sites/beta-political/files/soteu2018-speech_bg_0.pdf" TargetMode="External"/><Relationship Id="rId6" Type="http://schemas.openxmlformats.org/officeDocument/2006/relationships/hyperlink" Target="http://ec.europa.eu/competition/ecn/index_en.html" TargetMode="External"/><Relationship Id="rId11" Type="http://schemas.openxmlformats.org/officeDocument/2006/relationships/hyperlink" Target="http://www.ejtn.eu/" TargetMode="External"/><Relationship Id="rId24" Type="http://schemas.openxmlformats.org/officeDocument/2006/relationships/hyperlink" Target="https://ec.europa.eu/info/funding-tenders/funding-opportunities/funding-programmes/overview-funding-programmes/structural-reform-support-programme-srsp_en" TargetMode="External"/><Relationship Id="rId32" Type="http://schemas.openxmlformats.org/officeDocument/2006/relationships/hyperlink" Target="https://goo.gl/ty1fnk" TargetMode="External"/><Relationship Id="rId37" Type="http://schemas.openxmlformats.org/officeDocument/2006/relationships/hyperlink" Target="http://eur-lex.europa.eu/legal-content/bg/TXT/PDF/?uri=CELEX:12012E/TXT&amp;from=bg" TargetMode="External"/><Relationship Id="rId40" Type="http://schemas.openxmlformats.org/officeDocument/2006/relationships/hyperlink" Target="http://www.juradmin.eu/images/media_kit/aca_surveys/Transversal-Analysis---Annex-1.pdf" TargetMode="External"/><Relationship Id="rId45" Type="http://schemas.openxmlformats.org/officeDocument/2006/relationships/hyperlink" Target="https://ec.europa.eu/eurostat/statistics-explained/index.php?title=Glossary:Fixed_assets" TargetMode="External"/><Relationship Id="rId53" Type="http://schemas.openxmlformats.org/officeDocument/2006/relationships/hyperlink" Target="https://ec.europa.eu/info/strategy/justice-and-fundamental-rights/effective-justice/eu-justice-scoreboard_en" TargetMode="External"/><Relationship Id="rId5" Type="http://schemas.openxmlformats.org/officeDocument/2006/relationships/hyperlink" Target="http://www.juradmin.eu/index.php/en/" TargetMode="External"/><Relationship Id="rId15" Type="http://schemas.openxmlformats.org/officeDocument/2006/relationships/hyperlink" Target="https://www.weforum.org/reports/the-global-competitveness-report-2018" TargetMode="External"/><Relationship Id="rId23" Type="http://schemas.openxmlformats.org/officeDocument/2006/relationships/hyperlink" Target="https://ec.europa.eu/info/strategy/justice-and-fundamental-rights/effective-justice/rule-law/assistance-bulgaria-and-romania-under-cvm/reports-progress-bulgaria-and-romania_bg" TargetMode="External"/><Relationship Id="rId28" Type="http://schemas.openxmlformats.org/officeDocument/2006/relationships/hyperlink" Target="https://curia.europa.eu/jcms/upload/docs/application/pdf/2018-12/cp180204en.pdf" TargetMode="External"/><Relationship Id="rId36" Type="http://schemas.openxmlformats.org/officeDocument/2006/relationships/hyperlink" Target="http://www.coe.int/t/dghl/cooperation/cepej/evaluation/default_en.asp" TargetMode="External"/><Relationship Id="rId49" Type="http://schemas.openxmlformats.org/officeDocument/2006/relationships/hyperlink" Target="https://ec.europa.eu/eurostat/statistics-explained/index.php?title=Glossary:Gross_fixed_capital_formation_(GFCF)" TargetMode="External"/><Relationship Id="rId10" Type="http://schemas.openxmlformats.org/officeDocument/2006/relationships/hyperlink" Target="http://ec.europa.eu/eurostat/about/overview" TargetMode="External"/><Relationship Id="rId19" Type="http://schemas.openxmlformats.org/officeDocument/2006/relationships/hyperlink" Target="https://mpra.ub.uni-muenchen.de/40471/1/MPRA_paper_40322.pdf" TargetMode="External"/><Relationship Id="rId31" Type="http://schemas.openxmlformats.org/officeDocument/2006/relationships/hyperlink" Target="https://goo.gl/ty1fnk" TargetMode="External"/><Relationship Id="rId44" Type="http://schemas.openxmlformats.org/officeDocument/2006/relationships/hyperlink" Target="https://ec.europa.eu/eurostat/statistics-explained/index.php?title=Glossary:Compensation_of_employees" TargetMode="External"/><Relationship Id="rId52" Type="http://schemas.openxmlformats.org/officeDocument/2006/relationships/hyperlink" Target="https://ec.europa.eu/info/strategy/justice-and-fundamental-rights/effective-justice/eu-justice-scoreboard_en" TargetMode="External"/><Relationship Id="rId4" Type="http://schemas.openxmlformats.org/officeDocument/2006/relationships/hyperlink" Target="http://network-presidents.eu/" TargetMode="External"/><Relationship Id="rId9" Type="http://schemas.openxmlformats.org/officeDocument/2006/relationships/hyperlink" Target="http://ec.europa.eu/justice/civil/financial-crime/index_en.htm" TargetMode="External"/><Relationship Id="rId14" Type="http://schemas.openxmlformats.org/officeDocument/2006/relationships/hyperlink" Target="https://www.ecb.europa.eu/pub/pdf/scpops/ecb.op210.en.pdf?3db9355b1d1599799aa0e475e5624651" TargetMode="External"/><Relationship Id="rId22" Type="http://schemas.openxmlformats.org/officeDocument/2006/relationships/hyperlink" Target="https://ec.europa.eu/info/publications/2019-european-semester-country-reports_en" TargetMode="External"/><Relationship Id="rId27" Type="http://schemas.openxmlformats.org/officeDocument/2006/relationships/hyperlink" Target="http://europa.eu/rapid/press-release_IP-18-5830_en.htm" TargetMode="External"/><Relationship Id="rId30" Type="http://schemas.openxmlformats.org/officeDocument/2006/relationships/hyperlink" Target="https://goo.gl/utc5GR" TargetMode="External"/><Relationship Id="rId35" Type="http://schemas.openxmlformats.org/officeDocument/2006/relationships/hyperlink" Target="https://ec.europa.eu/info/strategy/justice-and-fundamental-rights/effective-justice/eu-justice-scoreboard_en" TargetMode="External"/><Relationship Id="rId43" Type="http://schemas.openxmlformats.org/officeDocument/2006/relationships/hyperlink" Target="http://ec.europa.eu/eurostat/data/database" TargetMode="External"/><Relationship Id="rId48" Type="http://schemas.openxmlformats.org/officeDocument/2006/relationships/hyperlink" Target="https://ec.europa.eu/eurostat/statistics-explained/index.php?title=Glossary:Asset" TargetMode="External"/><Relationship Id="rId8" Type="http://schemas.openxmlformats.org/officeDocument/2006/relationships/hyperlink" Target="https://euipo.europa.eu/ohimportal/en/web/observatory/home" TargetMode="External"/><Relationship Id="rId51" Type="http://schemas.openxmlformats.org/officeDocument/2006/relationships/hyperlink" Target="http://eur-lex.europa.eu/legal-content/BG/TXT/PDF/?uri=CELEX:12012P/TXT&amp;from=B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413CD145F789BB4B8AE4B42C0D616160" ma:contentTypeVersion="0" ma:contentTypeDescription="Create a new document in this library." ma:contentTypeScope="" ma:versionID="f56f42b557a10d86031122fceb60d648">
  <xsd:schema xmlns:xsd="http://www.w3.org/2001/XMLSchema" xmlns:xs="http://www.w3.org/2001/XMLSchema" xmlns:p="http://schemas.microsoft.com/office/2006/metadata/properties" xmlns:ns2="http://schemas.microsoft.com/sharepoint/v3/fields" xmlns:ns3="c8fafeeb-07ef-460a-9e5d-a02cd2f60677" targetNamespace="http://schemas.microsoft.com/office/2006/metadata/properties" ma:root="true" ma:fieldsID="0f9d3b6cdbcb9d7b3860c81304cdfd1c" ns2:_="" ns3:_="">
    <xsd:import namespace="http://schemas.microsoft.com/sharepoint/v3/fields"/>
    <xsd:import namespace="c8fafeeb-07ef-460a-9e5d-a02cd2f60677"/>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c8fafeeb-07ef-460a-9e5d-a02cd2f60677"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C_Collab_DocumentLanguage xmlns="c8fafeeb-07ef-460a-9e5d-a02cd2f60677">EN</EC_Collab_DocumentLanguage>
    <EC_Collab_Reference xmlns="c8fafeeb-07ef-460a-9e5d-a02cd2f60677" xsi:nil="true"/>
    <_Status xmlns="http://schemas.microsoft.com/sharepoint/v3/fields">Not Started</_Status>
    <EC_Collab_Status xmlns="c8fafeeb-07ef-460a-9e5d-a02cd2f60677">Not Started</EC_Collab_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FF29868D-E9BF-427A-A570-5B16B8567D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c8fafeeb-07ef-460a-9e5d-a02cd2f606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4D5467-3689-46FD-8F9A-8F37B8F51393}">
  <ds:schemaRefs>
    <ds:schemaRef ds:uri="http://schemas.microsoft.com/office/infopath/2007/PartnerControls"/>
    <ds:schemaRef ds:uri="c8fafeeb-07ef-460a-9e5d-a02cd2f60677"/>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http://schemas.microsoft.com/sharepoint/v3/fields"/>
    <ds:schemaRef ds:uri="http://www.w3.org/XML/1998/namespace"/>
  </ds:schemaRefs>
</ds:datastoreItem>
</file>

<file path=customXml/itemProps3.xml><?xml version="1.0" encoding="utf-8"?>
<ds:datastoreItem xmlns:ds="http://schemas.openxmlformats.org/officeDocument/2006/customXml" ds:itemID="{D2AC6178-AF80-4CF1-80B3-43BA4268654F}">
  <ds:schemaRefs>
    <ds:schemaRef ds:uri="http://schemas.microsoft.com/sharepoint/v3/contenttype/forms"/>
  </ds:schemaRefs>
</ds:datastoreItem>
</file>

<file path=customXml/itemProps4.xml><?xml version="1.0" encoding="utf-8"?>
<ds:datastoreItem xmlns:ds="http://schemas.openxmlformats.org/officeDocument/2006/customXml" ds:itemID="{68AB1C28-CF9A-42A4-A7E1-081C7C2B2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570</TotalTime>
  <Pages>14</Pages>
  <Words>22565</Words>
  <Characters>133811</Characters>
  <Application>Microsoft Office Word</Application>
  <DocSecurity>0</DocSecurity>
  <Lines>1997</Lines>
  <Paragraphs>390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155986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WES PDFC Administrator</cp:lastModifiedBy>
  <cp:revision>159</cp:revision>
  <cp:lastPrinted>2019-04-05T10:37:00Z</cp:lastPrinted>
  <dcterms:created xsi:type="dcterms:W3CDTF">2019-04-12T17:07:00Z</dcterms:created>
  <dcterms:modified xsi:type="dcterms:W3CDTF">2019-06-21T07:59:00Z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using">
    <vt:lpwstr>LW 6.0.1, Build 20180503</vt:lpwstr>
  </property>
  <property fmtid="{D5CDD505-2E9C-101B-9397-08002B2CF9AE}" pid="3" name="Last edited using">
    <vt:lpwstr>LW 6.0.1, Build 20180503</vt:lpwstr>
  </property>
  <property fmtid="{D5CDD505-2E9C-101B-9397-08002B2CF9AE}" pid="4" name="Level of sensitivity">
    <vt:lpwstr>Standard treatment</vt:lpwstr>
  </property>
  <property fmtid="{D5CDD505-2E9C-101B-9397-08002B2CF9AE}" pid="5" name="Part">
    <vt:lpwstr>1</vt:lpwstr>
  </property>
  <property fmtid="{D5CDD505-2E9C-101B-9397-08002B2CF9AE}" pid="6" name="Total parts">
    <vt:lpwstr>1</vt:lpwstr>
  </property>
  <property fmtid="{D5CDD505-2E9C-101B-9397-08002B2CF9AE}" pid="7" name="DocStatus">
    <vt:lpwstr>Green</vt:lpwstr>
  </property>
  <property fmtid="{D5CDD505-2E9C-101B-9397-08002B2CF9AE}" pid="8" name="ContentTypeId">
    <vt:lpwstr>0x010100258AA79CEB83498886A3A0868112325000413CD145F789BB4B8AE4B42C0D616160</vt:lpwstr>
  </property>
</Properties>
</file>