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style3.xml" ContentType="application/vnd.ms-office.chartstyle+xml"/>
  <Override PartName="/word/charts/colors3.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5CCF7B1-945E-4FEB-98FF-B18FB8286D16" style="width:450.75pt;height:306.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p>
      <w:pPr>
        <w:spacing w:after="0" w:line="240" w:lineRule="auto"/>
        <w:jc w:val="both"/>
        <w:rPr>
          <w:rFonts w:ascii="Times New Roman" w:hAnsi="Times New Roman"/>
          <w:b/>
          <w:noProof/>
          <w:sz w:val="24"/>
          <w:szCs w:val="24"/>
        </w:rPr>
      </w:pPr>
      <w:r>
        <w:rPr>
          <w:rFonts w:ascii="Times New Roman" w:hAnsi="Times New Roman"/>
          <w:b/>
          <w:noProof/>
          <w:sz w:val="24"/>
        </w:rPr>
        <w:t>I. Въведение</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Като действа в съответствие с член 214, параграф 5 от Договора за функционирането на Европейския съюз, през 2014 г. Европейският съюз (ЕС) стартира инициативата „Доброволци на ЕС за хуманитарна помощ“</w:t>
      </w:r>
      <w:r>
        <w:rPr>
          <w:rStyle w:val="FootnoteReference"/>
          <w:noProof/>
          <w:sz w:val="24"/>
        </w:rPr>
        <w:footnoteReference w:id="1"/>
      </w:r>
      <w:r>
        <w:rPr>
          <w:rFonts w:ascii="Times New Roman" w:hAnsi="Times New Roman"/>
          <w:noProof/>
          <w:sz w:val="24"/>
        </w:rPr>
        <w:t>. Инициативата има за цел укрепването на капацитета на ЕС за осигуряване на свързана с конкретните потребности хуманитарна помощ, както и укрепването на капацитета и устойчивостта на уязвимите или засегнати от бедствия общности в държави извън ЕС. Същевременно инициативата предоставя възможност на европейските граждани да изразят своята солидарност с хората в нужда чрез участието си в хуманитарни дейности в тези държави.</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color w:val="000000"/>
          <w:sz w:val="24"/>
        </w:rPr>
        <w:t>В настоящия доклад се описва изпълнението на инициативата „Доброволци на ЕС за хуманитарна помощ“ през 2018 г. Той е изготвен в съответствие с член 27, параграф 4, буква а) от Регламент (ЕС) № 375/2014</w:t>
      </w:r>
      <w:r>
        <w:rPr>
          <w:rStyle w:val="FootnoteReference"/>
          <w:rFonts w:ascii="Times New Roman" w:hAnsi="Times New Roman"/>
          <w:noProof/>
          <w:color w:val="000000"/>
          <w:sz w:val="24"/>
        </w:rPr>
        <w:footnoteReference w:id="2"/>
      </w:r>
      <w:r>
        <w:rPr>
          <w:rFonts w:ascii="Times New Roman" w:hAnsi="Times New Roman"/>
          <w:noProof/>
          <w:color w:val="000000"/>
          <w:sz w:val="24"/>
        </w:rPr>
        <w:t>, според който от Комисията се изисква да представя пред Европейския парламент и Съвета годишни доклади относно напредъка, постигнат при изпълнението на Регламента. Предходните доклади за 2014 г., 2015 г., 2016 г. и 2017 г. са достъпни онлайн</w:t>
      </w:r>
      <w:r>
        <w:rPr>
          <w:rStyle w:val="FootnoteReference"/>
          <w:noProof/>
          <w:color w:val="000000"/>
          <w:sz w:val="24"/>
        </w:rPr>
        <w:footnoteReference w:id="3"/>
      </w:r>
      <w:r>
        <w:rPr>
          <w:rFonts w:ascii="Times New Roman" w:hAnsi="Times New Roman"/>
          <w:noProof/>
          <w:color w:val="000000"/>
          <w:sz w:val="24"/>
        </w:rPr>
        <w:t>.</w:t>
      </w:r>
    </w:p>
    <w:p>
      <w:pPr>
        <w:pStyle w:val="Default"/>
        <w:jc w:val="both"/>
        <w:rPr>
          <w:noProof/>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Докладът е изготвен въз основа на данните, събрани и анализирани в съответствие с рамката за наблюдение на изпълнението на дейностите по линия на инициативата. Тази рамка беше изготвена и съгласувана от Комисията и Изпълнителната агенция за образование, аудиовизия и култура (EACEA), която отговаря за управлението на по-голямата част от дейностите, осъществявани в рамките на инициативата.</w:t>
      </w:r>
    </w:p>
    <w:p>
      <w:pPr>
        <w:autoSpaceDE w:val="0"/>
        <w:autoSpaceDN w:val="0"/>
        <w:adjustRightInd w:val="0"/>
        <w:spacing w:after="0" w:line="240" w:lineRule="auto"/>
        <w:jc w:val="both"/>
        <w:rPr>
          <w:rFonts w:ascii="Times New Roman" w:hAnsi="Times New Roman"/>
          <w:b/>
          <w:bCs/>
          <w:noProof/>
          <w:sz w:val="24"/>
          <w:szCs w:val="24"/>
        </w:rPr>
      </w:pPr>
    </w:p>
    <w:p>
      <w:pPr>
        <w:autoSpaceDE w:val="0"/>
        <w:autoSpaceDN w:val="0"/>
        <w:adjustRightInd w:val="0"/>
        <w:spacing w:after="0" w:line="240" w:lineRule="auto"/>
        <w:jc w:val="both"/>
        <w:rPr>
          <w:rFonts w:ascii="Times New Roman" w:hAnsi="Times New Roman"/>
          <w:b/>
          <w:bCs/>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II. Цели и приоритети</w:t>
      </w:r>
    </w:p>
    <w:p>
      <w:pPr>
        <w:spacing w:after="0" w:line="240" w:lineRule="auto"/>
        <w:jc w:val="both"/>
        <w:rPr>
          <w:rFonts w:ascii="Times New Roman" w:hAnsi="Times New Roman"/>
          <w:b/>
          <w:noProof/>
          <w:sz w:val="24"/>
          <w:szCs w:val="24"/>
        </w:rPr>
      </w:pPr>
    </w:p>
    <w:p>
      <w:pPr>
        <w:pStyle w:val="NoSpacing"/>
        <w:jc w:val="both"/>
        <w:rPr>
          <w:rFonts w:ascii="Times New Roman" w:hAnsi="Times New Roman"/>
          <w:noProof/>
          <w:spacing w:val="-4"/>
          <w:sz w:val="24"/>
          <w:szCs w:val="24"/>
        </w:rPr>
      </w:pPr>
      <w:r>
        <w:rPr>
          <w:rFonts w:ascii="Times New Roman" w:hAnsi="Times New Roman"/>
          <w:noProof/>
          <w:spacing w:val="-4"/>
          <w:sz w:val="24"/>
        </w:rPr>
        <w:t>Описаните в настоящия доклад дейности се основават на годишната работна програма за 2018 г. за изпълнение на инициативата „Доброволци на ЕС за хуманитарна помощ“, приета от Комисията</w:t>
      </w:r>
      <w:r>
        <w:rPr>
          <w:rStyle w:val="FootnoteReference"/>
          <w:noProof/>
          <w:spacing w:val="-4"/>
          <w:sz w:val="24"/>
        </w:rPr>
        <w:footnoteReference w:id="4"/>
      </w:r>
      <w:r>
        <w:rPr>
          <w:rFonts w:ascii="Times New Roman" w:hAnsi="Times New Roman"/>
          <w:noProof/>
          <w:spacing w:val="-4"/>
          <w:sz w:val="24"/>
        </w:rPr>
        <w:t xml:space="preserve"> съгласно член 21, параграф 3 от Регламент (ЕС) № 375/2014. За изпълнението на инициативата бяха заделени 19 235 000 EUR в бюджета за следните цели:</w:t>
      </w:r>
    </w:p>
    <w:p>
      <w:pPr>
        <w:spacing w:after="0" w:line="240" w:lineRule="auto"/>
        <w:jc w:val="both"/>
        <w:rPr>
          <w:rFonts w:ascii="Times New Roman" w:hAnsi="Times New Roman"/>
          <w:noProof/>
          <w:sz w:val="24"/>
          <w:szCs w:val="24"/>
        </w:rPr>
      </w:pPr>
    </w:p>
    <w:p>
      <w:pPr>
        <w:pStyle w:val="ListParagraph"/>
        <w:numPr>
          <w:ilvl w:val="0"/>
          <w:numId w:val="2"/>
        </w:numPr>
        <w:autoSpaceDE w:val="0"/>
        <w:autoSpaceDN w:val="0"/>
        <w:adjustRightInd w:val="0"/>
        <w:spacing w:after="0" w:line="240" w:lineRule="auto"/>
        <w:jc w:val="both"/>
        <w:rPr>
          <w:rFonts w:ascii="Times New Roman" w:hAnsi="Times New Roman"/>
          <w:noProof/>
          <w:spacing w:val="-4"/>
          <w:sz w:val="24"/>
          <w:szCs w:val="24"/>
        </w:rPr>
      </w:pPr>
      <w:r>
        <w:rPr>
          <w:rFonts w:ascii="Times New Roman" w:hAnsi="Times New Roman"/>
          <w:noProof/>
          <w:spacing w:val="-4"/>
          <w:sz w:val="24"/>
        </w:rPr>
        <w:t>изграждане на устойчивост и управление на риска от бедствия в уязвими, неустойчиви или засегнати от бедствия държави и в ситуации на забравени кризи;</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полезно взаимодействие с проекти за готовност при бедствия;</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подбор, обучение и изпращане на терен на доброволци;</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изграждане на капацитет и техническа помощ за приемащи и изпращащи организации;</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сертифициране на изпращащи и приемащи организации;</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поддържане и допълнително разработване на платформата за доброволците на ЕС за хуманитарна помощ за регистрация, работа в мрежа, онлайн доброволчество и обучение;</w:t>
      </w:r>
    </w:p>
    <w:p>
      <w:pPr>
        <w:pStyle w:val="ListParagraph"/>
        <w:numPr>
          <w:ilvl w:val="0"/>
          <w:numId w:val="2"/>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дейности за достигане до обществеността и популяризиране на инициативата „Доброволци на ЕС за хуманитарна помощ“.</w:t>
      </w:r>
    </w:p>
    <w:p>
      <w:pPr>
        <w:autoSpaceDE w:val="0"/>
        <w:autoSpaceDN w:val="0"/>
        <w:adjustRightInd w:val="0"/>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III. Осъществени действия през 2018 г.</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Cs/>
          <w:noProof/>
          <w:sz w:val="24"/>
          <w:szCs w:val="24"/>
        </w:rPr>
      </w:pPr>
      <w:r>
        <w:rPr>
          <w:rFonts w:ascii="Times New Roman" w:hAnsi="Times New Roman"/>
          <w:noProof/>
          <w:sz w:val="24"/>
        </w:rPr>
        <w:t>Действията, описани в раздели 1—4 в настоящия документ, са делегирани на Изпълнителната агенция за образование, аудиовизия и култура (EACEA) и се изпълняват от нея в сътрудничество с Комисията</w:t>
      </w:r>
      <w:r>
        <w:rPr>
          <w:rStyle w:val="FootnoteReference"/>
          <w:noProof/>
          <w:sz w:val="24"/>
        </w:rPr>
        <w:footnoteReference w:id="5"/>
      </w:r>
      <w:r>
        <w:rPr>
          <w:rFonts w:ascii="Times New Roman" w:hAnsi="Times New Roman"/>
          <w:noProof/>
          <w:sz w:val="24"/>
        </w:rPr>
        <w:t>.</w:t>
      </w:r>
    </w:p>
    <w:p>
      <w:pPr>
        <w:spacing w:after="0" w:line="240" w:lineRule="auto"/>
        <w:jc w:val="both"/>
        <w:rPr>
          <w:rFonts w:ascii="Times New Roman" w:hAnsi="Times New Roman"/>
          <w:bCs/>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EACEA отговаря за изготвянето на покани за представяне на предложения, покани за подаване на оферти, за управлението на договорите и изпълнението на съответните бюджетни кредити съгласно годишните работни програми, приети от Комисията. Що се отнася до управлението на дейностите, Комисията продължава да бъде пряко отговорна за създаването и поддържането на мрежата от партньори и доброволци, онлайн платформата, комуникациите и започналата през 2017 г. междинна оценка на инициативата. Докладът за оценка и работният документ на службите на Комисията бяха приети през юни 2018 г</w:t>
      </w:r>
      <w:r>
        <w:rPr>
          <w:rStyle w:val="FootnoteReference"/>
          <w:rFonts w:ascii="Times New Roman" w:hAnsi="Times New Roman"/>
          <w:noProof/>
          <w:sz w:val="24"/>
        </w:rPr>
        <w:footnoteReference w:id="6"/>
      </w:r>
      <w:r>
        <w:rPr>
          <w:rFonts w:ascii="Times New Roman" w:hAnsi="Times New Roman"/>
          <w:noProof/>
          <w:sz w:val="24"/>
        </w:rPr>
        <w:t>.</w:t>
      </w:r>
    </w:p>
    <w:p>
      <w:pPr>
        <w:spacing w:after="0" w:line="240" w:lineRule="auto"/>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rPr>
        <w:t>Изпращане на терен</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Изпращането на терен на доброволци на ЕС за хуманитарна помощ по хуманитарни проекти в държави, засегнати от бедствия, предоставя конкретна възможност на гражданите на ЕС и дългосрочно пребиваващите в ЕС да покажат своята солидарност с хората в нужда. Постоянната доброволческа работа на терен в държави извън ЕС се подпомага от онлайн доброволчество, в което хората могат да участват, независимо от това в коя част на света се намират.</w:t>
      </w:r>
    </w:p>
    <w:p>
      <w:pPr>
        <w:autoSpaceDE w:val="0"/>
        <w:autoSpaceDN w:val="0"/>
        <w:adjustRightInd w:val="0"/>
        <w:spacing w:after="0" w:line="240" w:lineRule="auto"/>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Възможностите за доброволчество, финансирани по инициативата „Доброволци на ЕС за хуманитарна помощ“, се публикуват от консорциум от изпращащи и приемащи организации на платформата за доброволците на ЕС за хуманитарна помощ</w:t>
      </w:r>
      <w:r>
        <w:rPr>
          <w:rStyle w:val="FootnoteReference"/>
          <w:rFonts w:ascii="Times New Roman" w:hAnsi="Times New Roman"/>
          <w:noProof/>
          <w:sz w:val="24"/>
        </w:rPr>
        <w:footnoteReference w:id="7"/>
      </w:r>
      <w:r>
        <w:rPr>
          <w:rFonts w:ascii="Times New Roman" w:hAnsi="Times New Roman"/>
          <w:noProof/>
          <w:sz w:val="24"/>
        </w:rPr>
        <w:t xml:space="preserve">. </w:t>
      </w:r>
    </w:p>
    <w:p>
      <w:pPr>
        <w:pStyle w:val="ListParagraph"/>
        <w:spacing w:after="0" w:line="240" w:lineRule="auto"/>
        <w:ind w:left="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На диаграмата по-долу е показан броят на доброволците на ЕС за хуманитарна помощ, финансирани чрез годишните покани за представяне на предложения, публикувани от 2015 до 2018 г.</w:t>
      </w:r>
    </w:p>
    <w:p>
      <w:pPr>
        <w:pStyle w:val="ListParagraph"/>
        <w:spacing w:after="0" w:line="240" w:lineRule="auto"/>
        <w:ind w:left="0"/>
        <w:jc w:val="center"/>
        <w:rPr>
          <w:rFonts w:ascii="Times New Roman" w:hAnsi="Times New Roman"/>
          <w:noProof/>
          <w:sz w:val="24"/>
          <w:szCs w:val="24"/>
        </w:rPr>
      </w:pPr>
      <w:r>
        <w:rPr>
          <w:noProof/>
          <w:lang w:val="en-GB" w:eastAsia="en-GB" w:bidi="ar-SA"/>
        </w:rPr>
        <w:drawing>
          <wp:inline distT="0" distB="0" distL="0" distR="0">
            <wp:extent cx="4248150" cy="25527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0" w:line="240" w:lineRule="auto"/>
        <w:jc w:val="both"/>
        <w:rPr>
          <w:rFonts w:ascii="Times New Roman" w:hAnsi="Times New Roman"/>
          <w:b/>
          <w:noProof/>
          <w:szCs w:val="24"/>
        </w:rPr>
      </w:pPr>
      <w:r>
        <w:rPr>
          <w:rFonts w:ascii="Times New Roman" w:hAnsi="Times New Roman"/>
          <w:b/>
          <w:noProof/>
        </w:rPr>
        <w:t>Фигура 1: Брой на доброволците по година на поканата</w:t>
      </w:r>
    </w:p>
    <w:p>
      <w:pPr>
        <w:spacing w:after="0" w:line="240" w:lineRule="auto"/>
        <w:jc w:val="both"/>
        <w:rPr>
          <w:rFonts w:ascii="Times New Roman" w:hAnsi="Times New Roman"/>
          <w:b/>
          <w:noProof/>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Доброволците на ЕС за хуманитарна помощ са с различен опит и умения, като това отразява използвания подход, основан на нуждите, за определяне на изпращането на терен на доброволци и за подбор на потенциалните доброволци на ЕС за хуманитарна помощ. От 368 възможности за доброволчество, които се очаква да бъдат налични през цялата 2019 г., организациите планират да предложат 275 позиции (75,7 %) на младши доброволци (под 5 години съответен опит) и 93 позиции (25,3 %) на старши доброволци (над 5 години съответен опит)</w:t>
      </w:r>
      <w:r>
        <w:rPr>
          <w:rStyle w:val="FootnoteReference"/>
          <w:rFonts w:ascii="Times New Roman" w:hAnsi="Times New Roman"/>
          <w:noProof/>
          <w:sz w:val="24"/>
        </w:rPr>
        <w:footnoteReference w:id="8"/>
      </w:r>
      <w:r>
        <w:rPr>
          <w:rFonts w:ascii="Times New Roman" w:hAnsi="Times New Roman"/>
          <w:noProof/>
          <w:sz w:val="24"/>
        </w:rPr>
        <w:t>.</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На графиката по-долу са показани държавите, по отношение на които е планирано да започне изпращане на терен през 2019 г. по поканата от 2018 г. Оценката на състоянието на сигурността във всяка държава ще бъде преразгледана преди започването на изпращане на терен (например за Никарагуа и Бурунди).</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center"/>
        <w:rPr>
          <w:rFonts w:ascii="Times New Roman" w:hAnsi="Times New Roman"/>
          <w:noProof/>
          <w:sz w:val="24"/>
          <w:szCs w:val="24"/>
        </w:rPr>
      </w:pPr>
      <w:r>
        <w:rPr>
          <w:noProof/>
          <w:lang w:val="en-GB" w:eastAsia="en-GB" w:bidi="ar-SA"/>
        </w:rPr>
        <w:drawing>
          <wp:inline distT="0" distB="0" distL="0" distR="0">
            <wp:extent cx="3933825" cy="2857500"/>
            <wp:effectExtent l="19050" t="19050" r="2857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33825" cy="2857500"/>
                    </a:xfrm>
                    <a:prstGeom prst="rect">
                      <a:avLst/>
                    </a:prstGeom>
                    <a:noFill/>
                    <a:ln>
                      <a:solidFill>
                        <a:schemeClr val="tx1"/>
                      </a:solidFill>
                    </a:ln>
                  </pic:spPr>
                </pic:pic>
              </a:graphicData>
            </a:graphic>
          </wp:inline>
        </w:drawing>
      </w:r>
    </w:p>
    <w:p>
      <w:pPr>
        <w:spacing w:after="0" w:line="240" w:lineRule="auto"/>
        <w:jc w:val="both"/>
        <w:rPr>
          <w:rFonts w:ascii="Times New Roman" w:hAnsi="Times New Roman"/>
          <w:b/>
          <w:noProof/>
          <w:szCs w:val="24"/>
        </w:rPr>
      </w:pPr>
      <w:r>
        <w:rPr>
          <w:rFonts w:ascii="Times New Roman" w:hAnsi="Times New Roman"/>
          <w:b/>
          <w:noProof/>
        </w:rPr>
        <w:t xml:space="preserve">Фигура 2: Държави за изпращане на терен, предложени в резултат на поканата за представяне на предложения за изпращане на терен от 2018 г. </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От началото на инициативата насам най-често търсените области на умения от страна на организациите бяха комуникация (17 %), управление на риска от бедствия (11 %), финанси (10 %), изграждане на капацитет (10 %), управление на проекти (9 %), развитие, основано на общността (7 %), равенство между половете (7 %), наблюдение и оценка (4 %) и приспособяване към изменението на климата (4 %).</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От стартирането на инициативата насам 77 възложени дейности за онлайн доброволчество бяха завършени успешно, 54 от които през 2018 г. Най-често търсените задачи включваха изследвания, превод, графичен дизайн, обмен на знания, технологични дейности и дейности по картографиране.</w:t>
      </w:r>
    </w:p>
    <w:p>
      <w:pPr>
        <w:pStyle w:val="ListParagraph"/>
        <w:spacing w:after="0" w:line="240" w:lineRule="auto"/>
        <w:ind w:left="0"/>
        <w:jc w:val="both"/>
        <w:rPr>
          <w:rFonts w:ascii="Times New Roman" w:hAnsi="Times New Roman"/>
          <w:noProof/>
          <w:sz w:val="24"/>
          <w:szCs w:val="24"/>
          <w:lang w:val="en-GB"/>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r>
        <w:rPr>
          <w:b/>
          <w:noProof/>
          <w:sz w:val="20"/>
        </w:rPr>
        <w:t>Примери за доброволчество от проекти, изпълнени през 2018 г.</w:t>
      </w:r>
      <w:r>
        <w:rPr>
          <w:rStyle w:val="FootnoteReference"/>
          <w:b/>
          <w:noProof/>
          <w:sz w:val="20"/>
        </w:rPr>
        <w:footnoteReference w:id="9"/>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highlight w:val="yellow"/>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rPr>
      </w:pPr>
      <w:r>
        <w:rPr>
          <w:noProof/>
          <w:color w:val="000000" w:themeColor="text1"/>
          <w:sz w:val="20"/>
        </w:rPr>
        <w:t xml:space="preserve">В рамките на проекта </w:t>
      </w:r>
      <w:r>
        <w:rPr>
          <w:b/>
          <w:noProof/>
          <w:color w:val="000000" w:themeColor="text1"/>
          <w:sz w:val="20"/>
        </w:rPr>
        <w:t>„Доброволци на ЕС за хуманитарна помощ за</w:t>
      </w:r>
      <w:r>
        <w:rPr>
          <w:noProof/>
          <w:color w:val="000000" w:themeColor="text1"/>
          <w:sz w:val="20"/>
        </w:rPr>
        <w:t xml:space="preserve"> </w:t>
      </w:r>
      <w:r>
        <w:rPr>
          <w:b/>
          <w:noProof/>
          <w:color w:val="000000" w:themeColor="text1"/>
          <w:sz w:val="20"/>
        </w:rPr>
        <w:t>укрепване на устойчивостта и капацитета за реагиране на уязвими и засегнати от бедствия общности в Близкия изток, Африка, Южна и Централна Америка“</w:t>
      </w:r>
      <w:r>
        <w:rPr>
          <w:noProof/>
          <w:color w:val="000000" w:themeColor="text1"/>
          <w:sz w:val="20"/>
        </w:rPr>
        <w:t xml:space="preserve"> се обединяват три изпращащи организации от Италия (GVC) и Испания (Alianza por la Solidaridad и Acción Contra El Hambre), които работят съвместно за изпращането на терен на 33 доброволци на ЕС за операции за хуманитарна помощ в 19 приемащи организации в 12 държави извън ЕС (Тунис, Палестина, Йордания, Ливан, Боливия, Перу, Гватемала, Никарагуа, Буркина Фасо, Бурунди, Мозамбик, Мавритания). В Гватемала целта на проекта е да се изгради капацитета на местните организации за приемане на доброволци, предотвратяване на извънредни ситуации и засилване на готовността в случай на бедствия. Европейците и местните граждани работят заедно за укрепване на устойчивостта на уязвимите общности в най-слаборазвитите и нестабилните държави, Младши доброволец на ЕС за хуманитарна помощ, работещ в областта на наблюдението, оценката, отчетността и ученето, пише за своята роля в Гватемала, където е извършвал проучвания относно храненето на децата:</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color w:val="000000" w:themeColor="text1"/>
          <w:sz w:val="20"/>
        </w:rPr>
      </w:pPr>
      <w:r>
        <w:rPr>
          <w:i/>
          <w:noProof/>
          <w:color w:val="000000" w:themeColor="text1"/>
          <w:sz w:val="20"/>
        </w:rPr>
        <w:t>Първо, това, което отнема най-голяма част от времето, са краткосрочните задачи на равнището на проекта. Например за участие в подбора на бенефициери, изчисляване на размера на извадката за дадено проучване, изготвяне на въпросника така, че да е удобен за ползване на таблет, преразглеждане на статистическите проучвания, определяне на показатели … Най-често работата е доста техническа, но се чувствам полезен, като използвам знанията си в областта на информационните технологии и статистиката, за да участвам в проекта.[…] От професионална гледна точка това беше подходящо припомняне как теорията, която се прилага в областта, е трудно да се балансира с действителността, която се установява. Как да бъдат избрани къщи за проучването на случаен принцип на 2400 метра надморска височина, след като някои са на 40 минути пешеходно разстояние, изолирани са и се намират отвъд поток? […] Докато през първия ден наблюдавах и се учех от изключително професионален персонал, след това самостоятелно провеждах проучванията, като отговарях за един от двата екипа от по двама проучващи специалисти с антропометър, с който се измерва теглото и ръстът на децата под 5 години с цел установяване на недохранване. (</w:t>
      </w:r>
      <w:hyperlink r:id="rId18">
        <w:r>
          <w:rPr>
            <w:rStyle w:val="Hyperlink"/>
            <w:i/>
            <w:noProof/>
            <w:sz w:val="20"/>
          </w:rPr>
          <w:t>https://webgate.ec.europa.eu/echo/eu-aid-volunteers_en/story-meal_en</w:t>
        </w:r>
      </w:hyperlink>
      <w:r>
        <w:rPr>
          <w:i/>
          <w:noProof/>
          <w:color w:val="000000" w:themeColor="text1"/>
          <w:sz w:val="20"/>
        </w:rPr>
        <w:t>)</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color w:val="000000" w:themeColor="text1"/>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rPr>
      </w:pPr>
      <w:r>
        <w:rPr>
          <w:noProof/>
          <w:color w:val="000000" w:themeColor="text1"/>
          <w:sz w:val="20"/>
        </w:rPr>
        <w:t>Чрез проекта „</w:t>
      </w:r>
      <w:r>
        <w:rPr>
          <w:b/>
          <w:noProof/>
          <w:color w:val="000000" w:themeColor="text1"/>
          <w:sz w:val="20"/>
        </w:rPr>
        <w:t>Устойчиво развитие чрез доброволци за хуманитарна помощ“</w:t>
      </w:r>
      <w:r>
        <w:rPr>
          <w:noProof/>
          <w:color w:val="000000" w:themeColor="text1"/>
          <w:sz w:val="20"/>
        </w:rPr>
        <w:t xml:space="preserve"> работата, извършвана в подкрепа на партньори извън ЕС, се допълва с доброволци, които са експерти в хуманитарната помощ, с цел да се работи по техни местни проекти и да се подпомагат бенефициерите по проектите. Проектът обединява партньори от ЕС от Франция (ADICE), Италия (ASPEm) и Естония (MTÜ Mondo) и приемащи организации в 10 държави извън ЕС (Тайланд, Непал, Индия, Уганда, Кения, Гана, Перу, Боливия, Украйна и Палестина) с цел работа по доброволчески проекти между 6 и 12 месеца.</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color w:val="000000" w:themeColor="text1"/>
          <w:sz w:val="20"/>
        </w:rPr>
      </w:pPr>
      <w:r>
        <w:rPr>
          <w:noProof/>
          <w:color w:val="000000" w:themeColor="text1"/>
          <w:sz w:val="20"/>
        </w:rPr>
        <w:t xml:space="preserve">Старши доброволец на ЕС за хуманитарна помощ, работещ в областта на развитието, основано на общността, разказа: </w:t>
      </w:r>
      <w:r>
        <w:rPr>
          <w:i/>
          <w:noProof/>
          <w:color w:val="000000" w:themeColor="text1"/>
          <w:sz w:val="20"/>
        </w:rPr>
        <w:t>Бях изпратен на терен в малкото мюсюлманско село Кокпайом в Южен Тайланд, намиращо се в близост до морски канали, заобиколени от мангрови гори. Приемащата организация е поела дългосрочен ангажимент към селото, като вниманието е насочено към образованието, ученето през целия живот, развитието на общността и опазването на околната среда. Помагах на приемащата НПО при разработването на по-ефективни дейности за работа в мрежа, за да може организацията да изгради по-стабилни и устойчиви партньорства. Една от основните задачи беше да се оказва подкрепа на НПО при разработването на по-стратегическо партньорство с местния общински колеж с цел да се насърчава и подкрепя достъпното образование за всеки, ученето през целия живот за по-добри перспективи за бъдещето и развитието на общността. (</w:t>
      </w:r>
      <w:hyperlink r:id="rId19">
        <w:r>
          <w:rPr>
            <w:rStyle w:val="Hyperlink"/>
            <w:i/>
            <w:noProof/>
            <w:sz w:val="20"/>
          </w:rPr>
          <w:t>https://webgate.ec.europa.eu/echo/eu-aid-volunteers_en/story-field-eu-aid-volunteer-petya-6-month-thailand_en</w:t>
        </w:r>
      </w:hyperlink>
      <w:r>
        <w:rPr>
          <w:i/>
          <w:noProof/>
          <w:color w:val="000000" w:themeColor="text1"/>
          <w:sz w:val="20"/>
        </w:rPr>
        <w:t>)</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color w:val="000000" w:themeColor="text1"/>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rPr>
      </w:pPr>
      <w:r>
        <w:rPr>
          <w:noProof/>
          <w:sz w:val="20"/>
        </w:rPr>
        <w:t xml:space="preserve">Още истории от работата на терен: </w:t>
      </w:r>
      <w:hyperlink r:id="rId20">
        <w:r>
          <w:rPr>
            <w:rStyle w:val="Hyperlink"/>
            <w:noProof/>
            <w:sz w:val="20"/>
          </w:rPr>
          <w:t>https://webgate.ec.europa.eu/echo/eu-aid-volunteers_en/</w:t>
        </w:r>
      </w:hyperlink>
    </w:p>
    <w:p>
      <w:pPr>
        <w:pStyle w:val="Default"/>
        <w:jc w:val="both"/>
        <w:rPr>
          <w:noProof/>
        </w:rPr>
      </w:pPr>
    </w:p>
    <w:p>
      <w:pPr>
        <w:pStyle w:val="Default"/>
        <w:jc w:val="both"/>
        <w:rPr>
          <w:rFonts w:eastAsiaTheme="minorHAnsi"/>
          <w:noProof/>
        </w:rPr>
      </w:pPr>
      <w:r>
        <w:rPr>
          <w:noProof/>
        </w:rPr>
        <w:t>Поканата за представяне на предложения от 2018 г. за изпращане на терен на доброволци на ЕС за хуманитарна помощ</w:t>
      </w:r>
      <w:r>
        <w:rPr>
          <w:rStyle w:val="FootnoteReference"/>
          <w:noProof/>
        </w:rPr>
        <w:footnoteReference w:id="10"/>
      </w:r>
      <w:r>
        <w:rPr>
          <w:noProof/>
        </w:rPr>
        <w:t xml:space="preserve"> беше публикувана на </w:t>
      </w:r>
      <w:r>
        <w:rPr>
          <w:noProof/>
          <w:color w:val="auto"/>
        </w:rPr>
        <w:t>1 февруари 2018 г.</w:t>
      </w:r>
      <w:r>
        <w:rPr>
          <w:noProof/>
        </w:rPr>
        <w:t>, като крайният срок за подаване на предложения беше 6 април 2018 г. Целта на поканата беше да се осигури съфинансиране за проекти за изпращане на терен на доброволци на ЕС за хуманитарна помощ, включително стажуване за младши специалисти и допълнителни дейности за изграждане на капацитет, изпълнявани от доброволци. Първоначално бюджетът, разпределен за тази покана, беше в размер на 8 400 000 EUR, като се очакваше да бъдат подбрани осем предложения. Интересът към поканата обаче беше по-висок от очаквания и броят на заявленията се увеличи от 6 на 13 в сравнение с 2017 г. След оценката на заявленията впоследствие бюджетът беше увеличен на 12 000 000 EUR чрез прехвърляне на 3 600 000 EUR от бюджета, разпределен за поканата за представяне на предложения за техническа помощ и изграждане на капацитет. Единадесет проекта бяха избрани</w:t>
      </w:r>
      <w:r>
        <w:rPr>
          <w:rStyle w:val="FootnoteReference"/>
          <w:noProof/>
        </w:rPr>
        <w:footnoteReference w:id="11"/>
      </w:r>
      <w:r>
        <w:rPr>
          <w:noProof/>
        </w:rPr>
        <w:t xml:space="preserve"> за съфинансиране с безвъзмездни средства от ЕС на обща стойност 12 015 059 EUR. Изпълнението на проектите започна през периода октомври—декември 2018 г. и ще доведе до изпращането на терен на 368 доброволци на ЕС за хуманитарна помощ, като началото ще бъде поставено в края на пролетта на 2019 г.</w:t>
      </w:r>
    </w:p>
    <w:p>
      <w:pPr>
        <w:spacing w:after="0" w:line="240" w:lineRule="auto"/>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rPr>
        <w:t>Техническа помощ и изграждане на капацитет</w:t>
      </w:r>
    </w:p>
    <w:p>
      <w:pPr>
        <w:pStyle w:val="Default"/>
        <w:jc w:val="both"/>
        <w:rPr>
          <w:noProof/>
        </w:rPr>
      </w:pPr>
    </w:p>
    <w:p>
      <w:pPr>
        <w:pStyle w:val="Default"/>
        <w:jc w:val="both"/>
        <w:rPr>
          <w:noProof/>
        </w:rPr>
      </w:pPr>
      <w:r>
        <w:rPr>
          <w:noProof/>
        </w:rPr>
        <w:t>Проектите за изграждане на капацитет и техническа помощ,</w:t>
      </w:r>
      <w:r>
        <w:rPr>
          <w:rStyle w:val="FootnoteReference"/>
          <w:noProof/>
        </w:rPr>
        <w:footnoteReference w:id="12"/>
      </w:r>
      <w:r>
        <w:rPr>
          <w:noProof/>
        </w:rPr>
        <w:t xml:space="preserve"> които се подпомагат чрез финансиране по инициативата „Доброволци на ЕС за хуманитарна помощ“, засилват способностите на организациите, които възнамеряват да изпратят на терен доброволци на ЕС за хуманитарна помощ, и гарантират спазването от тяхна страна на стандартите и процедурите, установени в рамките на инициативата.</w:t>
      </w:r>
    </w:p>
    <w:p>
      <w:pPr>
        <w:pStyle w:val="Default"/>
        <w:jc w:val="both"/>
        <w:rPr>
          <w:noProof/>
        </w:rPr>
      </w:pPr>
    </w:p>
    <w:p>
      <w:pPr>
        <w:pStyle w:val="Default"/>
        <w:jc w:val="both"/>
        <w:rPr>
          <w:noProof/>
        </w:rPr>
      </w:pPr>
      <w:r>
        <w:rPr>
          <w:noProof/>
        </w:rPr>
        <w:t>На 27 март 2018 г. EACEA публикува покана за представяне на предложения</w:t>
      </w:r>
      <w:r>
        <w:rPr>
          <w:rStyle w:val="FootnoteReference"/>
          <w:noProof/>
        </w:rPr>
        <w:footnoteReference w:id="13"/>
      </w:r>
      <w:r>
        <w:rPr>
          <w:noProof/>
        </w:rPr>
        <w:t>, като крайният срок за подаване на предложения беше 1 юни 2018 г. Целта на поканата беше съфинансирането на проекти за изграждане на капацитет за приемащи организации, установени извън ЕС, и техническа помощ за изпращащи организации, установени в ЕС, в области като управление на риска от бедствия, управление на доброволци и методология за оценка на потребностите. Общият бюджет, разпределен за съфинансирането на проекти в годишната работна програма, беше намален от 7 700 000 EUR на 4 100 000 EUR чрез прехвърляне на 3 600 000 EUR за проектите, подбрани по поканата за представяне на предложения за изпращане на терен.</w:t>
      </w:r>
    </w:p>
    <w:p>
      <w:pPr>
        <w:pStyle w:val="Default"/>
        <w:ind w:left="720"/>
        <w:jc w:val="both"/>
        <w:rPr>
          <w:noProof/>
        </w:rPr>
      </w:pPr>
    </w:p>
    <w:p>
      <w:pPr>
        <w:pStyle w:val="Default"/>
        <w:jc w:val="both"/>
        <w:rPr>
          <w:noProof/>
        </w:rPr>
      </w:pPr>
      <w:r>
        <w:rPr>
          <w:noProof/>
        </w:rPr>
        <w:t>Седем заявления (едно за техническа помощ и шест за изграждане на капацитет) бяха избрани за съфинансиране</w:t>
      </w:r>
      <w:r>
        <w:rPr>
          <w:rStyle w:val="FootnoteReference"/>
          <w:noProof/>
        </w:rPr>
        <w:footnoteReference w:id="14"/>
      </w:r>
      <w:r>
        <w:rPr>
          <w:noProof/>
        </w:rPr>
        <w:t xml:space="preserve"> с безвъзмездни средства от ЕС на обща стойност 4 157 886 EUR.</w:t>
      </w:r>
    </w:p>
    <w:p>
      <w:pPr>
        <w:pStyle w:val="Default"/>
        <w:jc w:val="both"/>
        <w:rPr>
          <w:noProof/>
        </w:rPr>
      </w:pPr>
    </w:p>
    <w:p>
      <w:pPr>
        <w:pStyle w:val="Default"/>
        <w:jc w:val="both"/>
        <w:rPr>
          <w:noProof/>
        </w:rPr>
      </w:pPr>
      <w:r>
        <w:rPr>
          <w:noProof/>
        </w:rPr>
        <w:t>Общо за периода 2014—2018 г. по поканите беше осигурено финансиране за:</w:t>
      </w:r>
    </w:p>
    <w:p>
      <w:pPr>
        <w:pStyle w:val="Default"/>
        <w:numPr>
          <w:ilvl w:val="0"/>
          <w:numId w:val="4"/>
        </w:numPr>
        <w:jc w:val="both"/>
        <w:rPr>
          <w:i/>
          <w:noProof/>
          <w:color w:val="auto"/>
        </w:rPr>
      </w:pPr>
      <w:r>
        <w:rPr>
          <w:noProof/>
          <w:color w:val="auto"/>
        </w:rPr>
        <w:t>28 проекта за изграждане на капацитет, включващи 311 бенефициери/партньори по проекти от 18 държави от ЕС и 60 държави извън ЕС; и</w:t>
      </w:r>
    </w:p>
    <w:p>
      <w:pPr>
        <w:pStyle w:val="Default"/>
        <w:numPr>
          <w:ilvl w:val="0"/>
          <w:numId w:val="4"/>
        </w:numPr>
        <w:jc w:val="both"/>
        <w:rPr>
          <w:i/>
          <w:noProof/>
          <w:color w:val="auto"/>
        </w:rPr>
      </w:pPr>
      <w:r>
        <w:rPr>
          <w:noProof/>
          <w:color w:val="auto"/>
        </w:rPr>
        <w:t>12 проекта за техническа помощ със 70 бенефициери от 25 държави от ЕС.</w:t>
      </w:r>
    </w:p>
    <w:p>
      <w:pPr>
        <w:pStyle w:val="Default"/>
        <w:jc w:val="both"/>
        <w:rPr>
          <w:noProof/>
        </w:rPr>
      </w:pPr>
    </w:p>
    <w:p>
      <w:pPr>
        <w:pStyle w:val="Default"/>
        <w:jc w:val="both"/>
        <w:rPr>
          <w:i/>
          <w:noProof/>
          <w:color w:val="auto"/>
        </w:rPr>
      </w:pPr>
      <w:r>
        <w:rPr>
          <w:noProof/>
        </w:rPr>
        <w:t>Целта на тези проекти е да бъдат укрепени управленските и оперативните системи на участващите организации и да се помогне на включените организации да работят в партньорство при прилагането на най-добри практики за предоставяне на хуманитарна помощ и за управление на доброволци</w:t>
      </w:r>
      <w:r>
        <w:rPr>
          <w:noProof/>
          <w:color w:val="auto"/>
        </w:rPr>
        <w:t>.</w:t>
      </w:r>
    </w:p>
    <w:p>
      <w:pPr>
        <w:pStyle w:val="Default"/>
        <w:jc w:val="both"/>
        <w:rPr>
          <w:noProof/>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r>
        <w:rPr>
          <w:b/>
          <w:noProof/>
          <w:sz w:val="20"/>
        </w:rPr>
        <w:t>Примери за проекти, избрани за финансиране през 2018 г.</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u w:val="single"/>
        </w:rPr>
      </w:pPr>
      <w:r>
        <w:rPr>
          <w:noProof/>
          <w:sz w:val="20"/>
          <w:u w:val="single"/>
        </w:rPr>
        <w:t>Изграждане на капацитет</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u w:val="single"/>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rPr>
        <w:t xml:space="preserve">Проектът </w:t>
      </w:r>
      <w:r>
        <w:rPr>
          <w:b/>
          <w:noProof/>
          <w:color w:val="000000" w:themeColor="text1"/>
          <w:sz w:val="20"/>
        </w:rPr>
        <w:t>„Укрепване на капацитета на местните организации с цел ефективно реагиране при извънредни ситуации (SCORE)“</w:t>
      </w:r>
      <w:r>
        <w:rPr>
          <w:i/>
          <w:noProof/>
          <w:color w:val="000000" w:themeColor="text1"/>
          <w:sz w:val="20"/>
        </w:rPr>
        <w:t xml:space="preserve"> </w:t>
      </w:r>
      <w:r>
        <w:rPr>
          <w:noProof/>
          <w:color w:val="000000" w:themeColor="text1"/>
          <w:sz w:val="20"/>
        </w:rPr>
        <w:t>включва осъществяването на инициативи за укрепване на капацитета с помощта на консорциум от 12 местни членове. Вниманието е насочено към готовността при извънредни ситуации, например събиране на цифрови данни и програмиране въз основа на парични средства, включването на основните хуманитарни стандарти, като се поставя акцент върху интегрирането на принципите на защита, равенство между половете и отчетност, както и към поведението, грижата и управлението на персонала/доброволците.</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rPr>
        <w:t>Проектът „</w:t>
      </w:r>
      <w:r>
        <w:rPr>
          <w:b/>
          <w:noProof/>
          <w:color w:val="000000" w:themeColor="text1"/>
          <w:sz w:val="20"/>
        </w:rPr>
        <w:t>RESILIACT: Укрепване на устойчивостта на местните общности чрез транснационално действие за изграждане на капацитет по линия на инициативата „Доброволци на ЕС за хуманитарна помощ“</w:t>
      </w:r>
      <w:r>
        <w:rPr>
          <w:noProof/>
          <w:color w:val="000000" w:themeColor="text1"/>
          <w:sz w:val="20"/>
        </w:rPr>
        <w:t xml:space="preserve"> се изпълнява от четири организации от ЕС и 19 партньори извън ЕС. Целта на действието е да допринесе за укрепването на устойчивостта на най-уязвимите и засегнати от бедствия общности и на капацитета на Съюза за осигуряване на свързана с конкретните потребности хуманитарна помощ по въпроси във връзка с миграцията, изменението на климата и намаляването и управлението на риска от бедствия с цел спасяване и опазване на човешкия живот по време на хуманитарни кризи.</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rPr>
        <w:t>Проектът „</w:t>
      </w:r>
      <w:r>
        <w:rPr>
          <w:b/>
          <w:noProof/>
          <w:color w:val="000000" w:themeColor="text1"/>
          <w:sz w:val="20"/>
        </w:rPr>
        <w:t>Оправомощаване на ръководено от младежи доброволчество при реагиране на местно равнище</w:t>
      </w:r>
      <w:r>
        <w:rPr>
          <w:noProof/>
          <w:color w:val="000000" w:themeColor="text1"/>
          <w:sz w:val="20"/>
        </w:rPr>
        <w:t>“ беше разработен с цел изграждане на капацитета на приемащите организации в консорциума, за да могат да представят успешни заявления за сертифициране по инициативата „Доброволци на ЕС за хуманитарна помощ“. Проектът е със специална насоченост към оправомощаване на младите хора, особено младите жени, при реагиране на местно равнище в областта на хуманитарната помощ в техните местни общности и генериране на съответен местен капацитет за доброволчество, като по този начин се спомага за засилване на правомощията за основани на местен ангажимент и ръководени на местно равнище реакции.</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i/>
          <w:noProof/>
          <w:color w:val="000000" w:themeColor="text1"/>
          <w:sz w:val="20"/>
          <w:szCs w:val="20"/>
        </w:rPr>
      </w:pPr>
      <w:r>
        <w:rPr>
          <w:noProof/>
          <w:color w:val="000000" w:themeColor="text1"/>
          <w:sz w:val="20"/>
          <w:u w:val="single"/>
        </w:rPr>
        <w:t>Техническа помощ</w:t>
      </w:r>
      <w:r>
        <w:rPr>
          <w:b/>
          <w:i/>
          <w:noProof/>
          <w:color w:val="000000" w:themeColor="text1"/>
          <w:sz w:val="20"/>
        </w:rPr>
        <w:t xml:space="preserve">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i/>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rPr>
        <w:t>Целта на проекта</w:t>
      </w:r>
      <w:r>
        <w:rPr>
          <w:i/>
          <w:noProof/>
          <w:color w:val="000000" w:themeColor="text1"/>
          <w:sz w:val="20"/>
        </w:rPr>
        <w:t xml:space="preserve"> </w:t>
      </w:r>
      <w:r>
        <w:rPr>
          <w:b/>
          <w:noProof/>
          <w:color w:val="000000" w:themeColor="text1"/>
          <w:sz w:val="20"/>
        </w:rPr>
        <w:t xml:space="preserve">„Доброволци на ЕС за хуманитарна помощ“ — доброволчество за хуманност“ </w:t>
      </w:r>
      <w:r>
        <w:rPr>
          <w:noProof/>
          <w:color w:val="000000" w:themeColor="text1"/>
          <w:sz w:val="20"/>
        </w:rPr>
        <w:t>е да се укрепи капацитетът на НПО от консорциума с цел участие в програмата за изпращане на терен на доброволци на ЕС за хуманитарна помощ. Проектът включва четири организации, установени в ЕС и заинтересовани от сертифициране. Тези резултати ще бъдат постигнати чрез обмен на политики, специализирано обучение, работни семинари и прегледи, туининг на работни места, партньорски посещения и наставничество между организации.</w:t>
      </w:r>
    </w:p>
    <w:p>
      <w:pPr>
        <w:pStyle w:val="Default"/>
        <w:jc w:val="both"/>
        <w:rPr>
          <w:noProof/>
          <w:color w:val="000000" w:themeColor="text1"/>
          <w:sz w:val="20"/>
          <w:szCs w:val="20"/>
        </w:rPr>
      </w:pPr>
    </w:p>
    <w:p>
      <w:pPr>
        <w:pStyle w:val="Default"/>
        <w:jc w:val="both"/>
        <w:rPr>
          <w:noProof/>
        </w:rPr>
      </w:pPr>
    </w:p>
    <w:p>
      <w:pPr>
        <w:spacing w:after="0" w:line="240" w:lineRule="auto"/>
        <w:jc w:val="center"/>
        <w:rPr>
          <w:rFonts w:ascii="Times New Roman" w:hAnsi="Times New Roman"/>
          <w:b/>
          <w:noProof/>
          <w:sz w:val="24"/>
          <w:szCs w:val="24"/>
        </w:rPr>
      </w:pPr>
      <w:r>
        <w:rPr>
          <w:rFonts w:ascii="Times New Roman" w:hAnsi="Times New Roman"/>
          <w:b/>
          <w:noProof/>
          <w:sz w:val="24"/>
          <w:szCs w:val="24"/>
          <w:lang w:val="en-GB" w:eastAsia="en-GB" w:bidi="ar-SA"/>
        </w:rPr>
        <w:drawing>
          <wp:inline distT="0" distB="0" distL="0" distR="0">
            <wp:extent cx="5731510" cy="2904719"/>
            <wp:effectExtent l="19050" t="19050" r="2159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904719"/>
                    </a:xfrm>
                    <a:prstGeom prst="rect">
                      <a:avLst/>
                    </a:prstGeom>
                    <a:noFill/>
                    <a:ln w="3175">
                      <a:solidFill>
                        <a:schemeClr val="tx1"/>
                      </a:solidFill>
                    </a:ln>
                    <a:effectLst/>
                  </pic:spPr>
                </pic:pic>
              </a:graphicData>
            </a:graphic>
          </wp:inline>
        </w:drawing>
      </w:r>
    </w:p>
    <w:p>
      <w:pPr>
        <w:spacing w:after="0" w:line="240" w:lineRule="auto"/>
        <w:jc w:val="both"/>
        <w:rPr>
          <w:rFonts w:ascii="Times New Roman" w:hAnsi="Times New Roman"/>
          <w:b/>
          <w:noProof/>
          <w:szCs w:val="24"/>
        </w:rPr>
      </w:pPr>
    </w:p>
    <w:p>
      <w:pPr>
        <w:spacing w:after="0" w:line="240" w:lineRule="auto"/>
        <w:jc w:val="both"/>
        <w:rPr>
          <w:rFonts w:ascii="Times New Roman" w:hAnsi="Times New Roman"/>
          <w:b/>
          <w:noProof/>
          <w:szCs w:val="24"/>
        </w:rPr>
      </w:pPr>
      <w:r>
        <w:rPr>
          <w:rFonts w:ascii="Times New Roman" w:hAnsi="Times New Roman"/>
          <w:b/>
          <w:noProof/>
        </w:rPr>
        <w:t>Фигура 3: Проекти за техническа помощ и изграждане на капацитет по инициативата „Доброволци на ЕС за хуманитарна помощ“ през 2018 г.</w:t>
      </w:r>
    </w:p>
    <w:p>
      <w:pPr>
        <w:spacing w:after="0" w:line="240" w:lineRule="auto"/>
        <w:jc w:val="both"/>
        <w:rPr>
          <w:rFonts w:ascii="Times New Roman" w:hAnsi="Times New Roman"/>
          <w:noProof/>
          <w:sz w:val="20"/>
          <w:szCs w:val="24"/>
        </w:rPr>
      </w:pPr>
    </w:p>
    <w:p>
      <w:pPr>
        <w:spacing w:after="0" w:line="240" w:lineRule="auto"/>
        <w:jc w:val="both"/>
        <w:rPr>
          <w:rFonts w:ascii="Times New Roman" w:hAnsi="Times New Roman"/>
          <w:noProof/>
          <w:sz w:val="20"/>
          <w:szCs w:val="24"/>
        </w:rPr>
      </w:pPr>
      <w:r>
        <w:rPr>
          <w:rFonts w:ascii="Times New Roman" w:hAnsi="Times New Roman"/>
          <w:noProof/>
          <w:sz w:val="20"/>
        </w:rPr>
        <w:t>Организации, участващи в:</w:t>
      </w:r>
    </w:p>
    <w:p>
      <w:pPr>
        <w:spacing w:after="0" w:line="240" w:lineRule="auto"/>
        <w:jc w:val="both"/>
        <w:rPr>
          <w:rFonts w:ascii="Times New Roman" w:hAnsi="Times New Roman"/>
          <w:noProof/>
          <w:sz w:val="20"/>
          <w:szCs w:val="24"/>
        </w:rPr>
      </w:pPr>
      <w:r>
        <w:rPr>
          <w:rFonts w:ascii="Times New Roman" w:hAnsi="Times New Roman"/>
          <w:noProof/>
          <w:sz w:val="20"/>
          <w:szCs w:val="24"/>
          <w:lang w:val="en-GB" w:eastAsia="en-GB" w:bidi="ar-SA"/>
        </w:rPr>
        <mc:AlternateContent>
          <mc:Choice Requires="wps">
            <w:drawing>
              <wp:anchor distT="0" distB="0" distL="114300" distR="114300" simplePos="0" relativeHeight="251659264" behindDoc="0" locked="0" layoutInCell="1" allowOverlap="1">
                <wp:simplePos x="0" y="0"/>
                <wp:positionH relativeFrom="column">
                  <wp:posOffset>40698</wp:posOffset>
                </wp:positionH>
                <wp:positionV relativeFrom="paragraph">
                  <wp:posOffset>116205</wp:posOffset>
                </wp:positionV>
                <wp:extent cx="83127" cy="131618"/>
                <wp:effectExtent l="0" t="0" r="0" b="1905"/>
                <wp:wrapNone/>
                <wp:docPr id="2" name="Rectangle 2"/>
                <wp:cNvGraphicFramePr/>
                <a:graphic xmlns:a="http://schemas.openxmlformats.org/drawingml/2006/main">
                  <a:graphicData uri="http://schemas.microsoft.com/office/word/2010/wordprocessingShape">
                    <wps:wsp>
                      <wps:cNvSpPr/>
                      <wps:spPr>
                        <a:xfrm>
                          <a:off x="0" y="0"/>
                          <a:ext cx="83127" cy="131618"/>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xmlns:o="urn:schemas-microsoft-com:office:office" xmlns:w14="http://schemas.microsoft.com/office/word/2010/wordml" xmlns:v="urn:schemas-microsoft-com:vml" w14:anchorId="461D8AA5" id="Rectangle 2" o:spid="_x0000_s1026" style="position:absolute;margin-left:3.2pt;margin-top:9.15pt;width:6.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" fillcolor="#c00000" stroked="f" strokeweight="1pt"/>
            </w:pict>
          </mc:Fallback>
        </mc:AlternateContent>
      </w:r>
    </w:p>
    <w:p>
      <w:pPr>
        <w:spacing w:after="0" w:line="240" w:lineRule="auto"/>
        <w:jc w:val="both"/>
        <w:rPr>
          <w:rFonts w:ascii="Times New Roman" w:hAnsi="Times New Roman"/>
          <w:noProof/>
          <w:sz w:val="20"/>
          <w:szCs w:val="24"/>
        </w:rPr>
      </w:pPr>
      <w:r>
        <w:rPr>
          <w:rFonts w:ascii="Times New Roman" w:hAnsi="Times New Roman"/>
          <w:noProof/>
          <w:sz w:val="20"/>
          <w:szCs w:val="24"/>
          <w:lang w:val="en-GB" w:eastAsia="en-GB" w:bidi="ar-SA"/>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139700</wp:posOffset>
                </wp:positionV>
                <wp:extent cx="82550" cy="131445"/>
                <wp:effectExtent l="0" t="0" r="0" b="1905"/>
                <wp:wrapNone/>
                <wp:docPr id="3" name="Rectangle 3"/>
                <wp:cNvGraphicFramePr/>
                <a:graphic xmlns:a="http://schemas.openxmlformats.org/drawingml/2006/main">
                  <a:graphicData uri="http://schemas.microsoft.com/office/word/2010/wordprocessingShape">
                    <wps:wsp>
                      <wps:cNvSpPr/>
                      <wps:spPr>
                        <a:xfrm>
                          <a:off x="0" y="0"/>
                          <a:ext cx="82550" cy="13144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noProof/>
                                <w:lang w:val="en-GB" w:eastAsia="en-GB" w:bidi="ar-SA"/>
                              </w:rPr>
                              <w:drawing>
                                <wp:inline distT="0" distB="0" distL="0" distR="0">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pt;margin-top:11pt;width:6.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" fillcolor="#8496b0 [1951]" stroked="f" strokeweight="1pt">
                <v:textbox>
                  <w:txbxContent>
                    <w:p>
                      <w:pPr>
                        <w:jc w:val="center"/>
                      </w:pPr>
                      <w:r>
                        <w:rPr>
                          <w:noProof/>
                          <w:lang w:val="en-GB" w:eastAsia="en-GB" w:bidi="ar-SA"/>
                        </w:rPr>
                        <w:drawing>
                          <wp:inline distT="0" distB="0" distL="0" distR="0">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noProof/>
          <w:sz w:val="20"/>
        </w:rPr>
        <w:t xml:space="preserve">     Само техническа помощ</w:t>
      </w:r>
    </w:p>
    <w:p>
      <w:pPr>
        <w:spacing w:after="0" w:line="240" w:lineRule="auto"/>
        <w:jc w:val="both"/>
        <w:rPr>
          <w:rFonts w:ascii="Times New Roman" w:hAnsi="Times New Roman"/>
          <w:noProof/>
          <w:sz w:val="20"/>
          <w:szCs w:val="24"/>
        </w:rPr>
      </w:pPr>
      <w:r>
        <w:rPr>
          <w:rFonts w:ascii="Times New Roman" w:hAnsi="Times New Roman"/>
          <w:noProof/>
          <w:sz w:val="20"/>
        </w:rPr>
        <w:t xml:space="preserve">     Само изграждане на капацитет</w:t>
      </w:r>
    </w:p>
    <w:p>
      <w:pPr>
        <w:spacing w:after="0" w:line="240" w:lineRule="auto"/>
        <w:jc w:val="both"/>
        <w:rPr>
          <w:rFonts w:ascii="Times New Roman" w:hAnsi="Times New Roman"/>
          <w:noProof/>
          <w:sz w:val="20"/>
          <w:szCs w:val="24"/>
        </w:rPr>
      </w:pPr>
      <w:r>
        <w:rPr>
          <w:rFonts w:ascii="Times New Roman" w:hAnsi="Times New Roman"/>
          <w:noProof/>
          <w:sz w:val="20"/>
          <w:szCs w:val="24"/>
          <w:lang w:val="en-GB" w:eastAsia="en-GB" w:bidi="ar-SA"/>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11488</wp:posOffset>
                </wp:positionV>
                <wp:extent cx="82550" cy="131445"/>
                <wp:effectExtent l="0" t="0" r="0" b="1905"/>
                <wp:wrapNone/>
                <wp:docPr id="6" name="Rectangle 6"/>
                <wp:cNvGraphicFramePr/>
                <a:graphic xmlns:a="http://schemas.openxmlformats.org/drawingml/2006/main">
                  <a:graphicData uri="http://schemas.microsoft.com/office/word/2010/wordprocessingShape">
                    <wps:wsp>
                      <wps:cNvSpPr/>
                      <wps:spPr>
                        <a:xfrm>
                          <a:off x="0" y="0"/>
                          <a:ext cx="82550" cy="13144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noProof/>
                                <w:lang w:val="en-GB" w:eastAsia="en-GB" w:bidi="ar-SA"/>
                              </w:rPr>
                              <w:drawing>
                                <wp:inline distT="0" distB="0" distL="0" distR="0">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3.35pt;margin-top:.9pt;width:6.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" fillcolor="#00b050" stroked="f" strokeweight="1pt">
                <v:textbox>
                  <w:txbxContent>
                    <w:p>
                      <w:pPr>
                        <w:jc w:val="center"/>
                      </w:pPr>
                      <w:r>
                        <w:rPr>
                          <w:noProof/>
                          <w:lang w:val="en-GB" w:eastAsia="en-GB" w:bidi="ar-SA"/>
                        </w:rPr>
                        <w:drawing>
                          <wp:inline distT="0" distB="0" distL="0" distR="0">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imes New Roman" w:hAnsi="Times New Roman"/>
          <w:b/>
          <w:noProof/>
          <w:sz w:val="24"/>
        </w:rPr>
        <w:t xml:space="preserve">    </w:t>
      </w:r>
      <w:r>
        <w:rPr>
          <w:rFonts w:ascii="Times New Roman" w:hAnsi="Times New Roman"/>
          <w:noProof/>
          <w:sz w:val="20"/>
        </w:rPr>
        <w:t>Техническа помощ и изграждане на капацитет</w:t>
      </w:r>
    </w:p>
    <w:p>
      <w:pPr>
        <w:spacing w:after="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rPr>
        <w:t>Сертифициране</w:t>
      </w:r>
    </w:p>
    <w:p>
      <w:pPr>
        <w:pStyle w:val="ListParagraph"/>
        <w:spacing w:after="0" w:line="240" w:lineRule="auto"/>
        <w:jc w:val="both"/>
        <w:rPr>
          <w:rFonts w:ascii="Times New Roman" w:hAnsi="Times New Roman"/>
          <w:b/>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Организациите, които желаят да изпратят на терен доброволци на ЕС за хуманитарна помощ, трябва да бъдат сертифицирани като изпращащи или приемащи организации съгласно механизма за сертифициране на инициативата „Доброволци на ЕС за хуманитарна помощ“. С това сертифициране се проверява дали участващите организации могат изцяло да прилагат стандартите за управление на доброволци, разработени в рамките на инициативата, с цел управление на доброволците преди и по време на тяхното изпращане на терен.</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През 2015 г. беше публикувана открита покана, с която се осигурява възможност за подаване на текущи заявления до 30 септември 2020 г.</w:t>
      </w:r>
      <w:r>
        <w:rPr>
          <w:rStyle w:val="FootnoteReference"/>
          <w:noProof/>
          <w:sz w:val="24"/>
        </w:rPr>
        <w:footnoteReference w:id="15"/>
      </w:r>
      <w:r>
        <w:rPr>
          <w:rFonts w:ascii="Times New Roman" w:hAnsi="Times New Roman"/>
          <w:noProof/>
          <w:sz w:val="24"/>
        </w:rPr>
        <w:t>. До края на 2018 г. броят на сертифицираните изпращащи и приемащи организации достигна 208 (42 изпращащи и 166 приемащи организации), чрез което бяха осигурени възможности за изпращане на терен на повече доброволци на ЕС за хуманитарна помощ.</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На диаграмата по-долу е показан броят на организациите, сертифицирани от 2015 до 2018 г.</w:t>
      </w:r>
    </w:p>
    <w:p>
      <w:pPr>
        <w:spacing w:after="0" w:line="240" w:lineRule="auto"/>
        <w:jc w:val="both"/>
        <w:rPr>
          <w:rFonts w:ascii="Times New Roman" w:hAnsi="Times New Roman" w:cs="Times New Roman"/>
          <w:noProof/>
          <w:sz w:val="24"/>
          <w:szCs w:val="24"/>
        </w:rPr>
      </w:pPr>
    </w:p>
    <w:p>
      <w:pPr>
        <w:spacing w:after="0" w:line="240" w:lineRule="auto"/>
        <w:jc w:val="center"/>
        <w:rPr>
          <w:rFonts w:ascii="Times New Roman" w:hAnsi="Times New Roman"/>
          <w:noProof/>
          <w:sz w:val="24"/>
          <w:szCs w:val="24"/>
        </w:rPr>
      </w:pPr>
      <w:r>
        <w:rPr>
          <w:noProof/>
          <w:lang w:val="en-GB" w:eastAsia="en-GB" w:bidi="ar-SA"/>
        </w:rPr>
        <w:drawing>
          <wp:inline distT="0" distB="0" distL="0" distR="0">
            <wp:extent cx="4572000" cy="2743200"/>
            <wp:effectExtent l="0" t="0" r="19050" b="19050"/>
            <wp:docPr id="10" name="Chart 10" title="Certif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Cs w:val="24"/>
        </w:rPr>
      </w:pPr>
      <w:r>
        <w:rPr>
          <w:rFonts w:ascii="Times New Roman" w:hAnsi="Times New Roman"/>
          <w:b/>
          <w:noProof/>
        </w:rPr>
        <w:t>Фигура 4: Сертифицирани изпращащи и приемащи организации по години</w:t>
      </w:r>
    </w:p>
    <w:p>
      <w:pPr>
        <w:spacing w:after="0" w:line="240" w:lineRule="auto"/>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Съгласно член 36, параграф 1 от Регламент за изпълнение (ЕС) № 1244/2014 на Комисията</w:t>
      </w:r>
      <w:r>
        <w:rPr>
          <w:rStyle w:val="FootnoteReference"/>
          <w:rFonts w:ascii="Times New Roman" w:hAnsi="Times New Roman"/>
          <w:noProof/>
          <w:sz w:val="24"/>
        </w:rPr>
        <w:footnoteReference w:id="16"/>
      </w:r>
      <w:r>
        <w:rPr>
          <w:rFonts w:ascii="Times New Roman" w:hAnsi="Times New Roman"/>
          <w:noProof/>
          <w:sz w:val="24"/>
        </w:rPr>
        <w:t xml:space="preserve"> се изисква сертифицираните изпращащи и приемащи организации да преминат през повторно сертифициране три години след получаването на сертификация. 20 организации, сертифицирани през 2015 г., трябваше да преминат през процеса на повторно сертифициране през 2018 г.</w:t>
      </w:r>
    </w:p>
    <w:p>
      <w:pPr>
        <w:pStyle w:val="ListParagraph"/>
        <w:spacing w:after="0" w:line="240" w:lineRule="auto"/>
        <w:ind w:left="0"/>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rPr>
        <w:t>Програма за обучение</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Програмата за обучение на доброволци на ЕС за хуманитарна помощ се предоставя от консорциум, ръководен от дружеството ICF. Тя се основава на рамка на компетентностите, установена в Делегиран регламент (ЕС) № 1398/2014 на Комисията, и се изпълнява посредством комбиниран подход за учене, който включва онлайн подготвително обучение и обучение в класна стая с пряко преподаване, състоящо се от задължителни и незадължителни модули, както и учение, основано на сценарий</w:t>
      </w:r>
      <w:r>
        <w:rPr>
          <w:rStyle w:val="FootnoteReference"/>
          <w:noProof/>
          <w:sz w:val="24"/>
        </w:rPr>
        <w:footnoteReference w:id="17"/>
      </w:r>
      <w:r>
        <w:rPr>
          <w:rFonts w:ascii="Times New Roman" w:hAnsi="Times New Roman"/>
          <w:noProof/>
          <w:sz w:val="24"/>
        </w:rPr>
        <w: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През 2018 г. бяха проведени 8 цикъла за обучение за 20 групи от кандидати за доброволци в центрове за обучение в Австрия, Белгия, Италия и Нидерландия. Бяха обучени общо 295 кандидати за доброволци. Както в предишни години, в обучението участваха редица резервни кандидати с цел да се гарантира, че са налице резервни доброволци, в случай че избраните кандидати се откажат или вече не са на разположение. Окончателният избор от страна на изпращащите и приемащите организации се извършва след завършване на обучението.</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Курсовете се провеждаха главно на английски език. Четири от 20-те групи от доброволци бяха обучавани на испански език, а една група — на френски език. Удовлетвореността на кандидатите за доброволци продължава да бъде висока, като средната оценка е 8,7 от 10 точки.</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От 2018 г. насам към представители на изпращащи организации и бивши доброволци на ЕС за хуманитарна помощ се отправят покани да се присъединят към части от обучението, за да споделят своя опит. В течение на 2018 г. представители на три изпращащи организации участваха в обучението, за да представят своята организация и да обменят мнения с кандидатите за доброволци.</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rPr>
        <w:t>Мерки за подкрепа</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pacing w:val="-6"/>
          <w:sz w:val="24"/>
          <w:szCs w:val="24"/>
        </w:rPr>
      </w:pPr>
      <w:r>
        <w:rPr>
          <w:rFonts w:ascii="Times New Roman" w:hAnsi="Times New Roman"/>
          <w:noProof/>
          <w:spacing w:val="-6"/>
          <w:sz w:val="24"/>
        </w:rPr>
        <w:t>През 2018 г. комуникационните дейности, свързани с инициативата, включваха изготвянето на поредица от инфографики на всички официални езици на ЕС, листовки и публикации в социалните медии. Кампания в социалните медии за Международния ден на доброволеца (5 декември) достигна до широка аудитория. Материали, изготвени през предходни години, също бяха широко огласени в социалните медии. До края на 2018 г. бяха достигнати около 450 000 души, главно чрез YouTube и Instagram. Кампанията продължи през 2019 г.</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Платформата за доброволците на ЕС за хуманитарна помощ продължи да представлява център за информация, свързана с доброволчеството, като предоставя подробности относно свободни места за доброволческа дейност, включваща изцяло работа на терен, както и за онлайн доброволчество. Тя също така предоставя инструменти за управление на доброволците на ЕС за хуманитарна помощ, база данни с успешно обучени доброволци, инструменти за управление на възложените дейности за онлайн доброволчество, пространства за сътрудничество за доброволци и проекти, обществен форум, където се публикува актуална информация относно инициативата, възможност за публикуване на истории от работата на терен, както и инструменти за докладване и проучване. В платформата има 3360 активни регистрирани потребители.</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Платформата се посещава от потребители от целия свят, а абонаментната услуга за свободни места за доброволческа дейност е имала около 2656 абонати в края на 2018 г.</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center"/>
        <w:rPr>
          <w:rFonts w:ascii="Times New Roman" w:hAnsi="Times New Roman"/>
          <w:noProof/>
          <w:sz w:val="24"/>
          <w:szCs w:val="24"/>
        </w:rPr>
      </w:pPr>
      <w:r>
        <w:rPr>
          <w:noProof/>
          <w:lang w:val="en-GB" w:eastAsia="en-GB" w:bidi="ar-SA"/>
        </w:rPr>
        <w:drawing>
          <wp:inline distT="0" distB="0" distL="0" distR="0">
            <wp:extent cx="4572000" cy="2743200"/>
            <wp:effectExtent l="57150" t="0" r="57150" b="1143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after="0" w:line="240" w:lineRule="auto"/>
        <w:jc w:val="both"/>
        <w:rPr>
          <w:rFonts w:ascii="Times New Roman" w:hAnsi="Times New Roman"/>
          <w:b/>
          <w:noProof/>
          <w:szCs w:val="24"/>
        </w:rPr>
      </w:pPr>
      <w:r>
        <w:rPr>
          <w:rFonts w:ascii="Times New Roman" w:hAnsi="Times New Roman"/>
          <w:b/>
          <w:noProof/>
        </w:rPr>
        <w:t>Фигура 5: Брой на лицата, абонирани да получават информация за свободни места за доброволци на ЕС за хуманитарна помощ на платформата за доброволците на ЕС за хуманитарна помощ през 2018 г.</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rPr>
      </w:pPr>
      <w:r>
        <w:rPr>
          <w:rFonts w:ascii="Times New Roman" w:hAnsi="Times New Roman"/>
          <w:noProof/>
          <w:sz w:val="24"/>
        </w:rPr>
        <w:t>Освен това през 2018 г. Комисията организира две големи събития относно инициативата „Доброволци на ЕС за хуманитарна помощ“. Вторият работен семинар на мрежата на доброволците на ЕС за хуманитарна помощ се проведе през април 2018 г.</w:t>
      </w:r>
      <w:r>
        <w:rPr>
          <w:rStyle w:val="FootnoteReference"/>
          <w:rFonts w:ascii="Times New Roman" w:hAnsi="Times New Roman"/>
          <w:noProof/>
          <w:sz w:val="24"/>
        </w:rPr>
        <w:footnoteReference w:id="18"/>
      </w:r>
      <w:r>
        <w:rPr>
          <w:rFonts w:ascii="Times New Roman" w:hAnsi="Times New Roman"/>
          <w:noProof/>
          <w:sz w:val="24"/>
        </w:rPr>
        <w:t xml:space="preserve"> и беше посетен от 100 участници от 34 държави (16 от ЕС и 18 извън ЕС). На семинара присъстваха организации, които работят по проекти за изпращане на терен на доброволци на ЕС за хуманитарна помощ и са сертифицирани в рамките на инициативата „Доброволци на ЕС за хуманитарна помощ“, както и организации, които работят по проекти за изграждане на капацитет. Целта на семинара беше да се сподели опит относно процеса на изпращане на терен, да се обменят добри практики и да се обсъди как да се подпомогне по-нататъшното разрастване и развитие на инициативата „Доброволци на ЕС за хуманитарна помощ“. За организациите, които са в началото на изпълнението на проекти по инициативата „Доброволци на ЕС за хуманитарна помощ“, това беше възможност за учене от по-опитни организации.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noProof/>
          <w:sz w:val="24"/>
        </w:rPr>
        <w:t>Друго събитие беше проведено през октомври 2018 — работният семинар за доброволци на ЕС за хуманитарна помощ „Обратно в базата“. Той привлече над 70 участници (доброволци на ЕС за хуманитарна помощ и организации), които осъществяват дейност в рамките на инициативата от влизането в сила на законодателството относно инициативата „Доброволци на ЕС за хуманитарна помощ“ през 2014 г. Доброволците на ЕС за хуманитарна помощ споделиха своя опит от различните етапи на изпращането на терен и предоставиха обратна информация на организациите. Като резултат от семинара беше публикувано „Ръководство за изпращане на терен на доброволци“</w:t>
      </w:r>
      <w:r>
        <w:rPr>
          <w:rStyle w:val="FootnoteReference"/>
          <w:rFonts w:ascii="Times New Roman" w:hAnsi="Times New Roman"/>
          <w:noProof/>
          <w:sz w:val="24"/>
        </w:rPr>
        <w:footnoteReference w:id="19"/>
      </w:r>
      <w:r>
        <w:rPr>
          <w:rFonts w:ascii="Times New Roman" w:hAnsi="Times New Roman"/>
          <w:noProof/>
          <w:sz w:val="24"/>
        </w:rPr>
        <w:t>.</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noProof/>
          <w:sz w:val="24"/>
        </w:rPr>
        <w:t>Инициативата „Доброволци на ЕС за хуманитарна помощ“ беше популяризирана и на няколко други събития през 2018 г., като например Форума за партньорство за партньори в сътрудничеството за развитие, Европейските дни на развитието, Испанската платформа за доброволчество, Годишната партньорска конференция на партньорите на Комисията в областта на хуманитарната помощ и Световното събитие за хуманитарна помощ и развитие (AidEx). Също така беше организирана специална информационна сесия по време на Международния ден на доброволеца на 5 декември в Информационния център за външно сътрудничество в Брюксел.</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rPr>
        <w:t>Други дейности</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Вследствие на доклада за оценка, предоставен от независими оценители</w:t>
      </w:r>
      <w:r>
        <w:rPr>
          <w:rStyle w:val="FootnoteReference"/>
          <w:rFonts w:ascii="Times New Roman" w:hAnsi="Times New Roman"/>
          <w:noProof/>
          <w:sz w:val="24"/>
        </w:rPr>
        <w:footnoteReference w:id="20"/>
      </w:r>
      <w:r>
        <w:rPr>
          <w:rFonts w:ascii="Times New Roman" w:hAnsi="Times New Roman"/>
          <w:noProof/>
          <w:sz w:val="24"/>
        </w:rPr>
        <w:t>, през 2018 г. Комисията представи на Европейския парламент и на Съвета междинен доклад за оценка относно постигнатите резултати и качествените и количествените аспекти на прилагането на Регламент (ЕС) № 375/2014 относно инициативата „Доброволци на ЕС за хуманитарна помощ“</w:t>
      </w:r>
      <w:r>
        <w:rPr>
          <w:rStyle w:val="FootnoteReference"/>
          <w:rFonts w:ascii="Times New Roman" w:hAnsi="Times New Roman"/>
          <w:noProof/>
          <w:sz w:val="24"/>
        </w:rPr>
        <w:footnoteReference w:id="21"/>
      </w:r>
      <w:r>
        <w:rPr>
          <w:rFonts w:ascii="Times New Roman" w:hAnsi="Times New Roman"/>
          <w:noProof/>
          <w:sz w:val="24"/>
        </w:rPr>
        <w:t>. В него бяха включени оценки на въздействието на инициативата в хуманитарния сектор и разходната ефективност на програмата по време на първите три години от изпълнението ѝ след нейното създаване през 2014 г.</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В контекста на новата многогодишна финансова рамка за периода 2021—2027 г. на 11 юни 2018 г. Комисията прие предложение за регламент на Европейския парламент и на Съвета за създаване на програмата „Европейски корпус за солидарност“ и за отмяна на Регламента за Европейския корпус за солидарност от 2018 г. и Регламент (ЕС) № 375/2014</w:t>
      </w:r>
      <w:r>
        <w:rPr>
          <w:rStyle w:val="FootnoteReference"/>
          <w:rFonts w:ascii="Times New Roman" w:hAnsi="Times New Roman"/>
          <w:noProof/>
          <w:sz w:val="24"/>
        </w:rPr>
        <w:footnoteReference w:id="22"/>
      </w:r>
      <w:r>
        <w:rPr>
          <w:rFonts w:ascii="Times New Roman" w:hAnsi="Times New Roman"/>
          <w:noProof/>
          <w:sz w:val="24"/>
        </w:rPr>
        <w:t xml:space="preserve">. В предложението се предвижда включването на настоящата инициатива „Доброволци на ЕС за хуманитарна помощ“ в Европейския корпус за солидарност, считано от 2021 г. Предложеното обединяване е в резултат на междинната оценка на инициативата „Доброволци на ЕС за хуманитарна помощ“, като целта е да се рационализират различните програми за доброволчество и да се подобри разходната ефективност. Очаква се чрез обединяването да се опростят процесите и да се осигури „единно гише за обслужване“ за лица и организации, като същевременно се запазят специфичните особености на настоящата инициатива „Доброволци на ЕС за хуманитарна помощ“, като например зачитането на принципите на хуманитарната помощ, високите стандарти и силната насоченост към безопасността и сигурността на доброволците.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IV. Заключения и следващи стъпки</w:t>
      </w:r>
    </w:p>
    <w:p>
      <w:pPr>
        <w:pStyle w:val="NoSpacing"/>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Изпълнението на проектите за изпращане на терен и за изграждане на капацитет/техническа помощ, финансирани през предходните години, подготви пътя за напредъка, постигнат по инициативата „Доброволци на ЕС за хуманитарна помощ“ през 2018 г. През 2018 г. за финансиране бяха избрани единадесет нови проекта за изпращане на терен на доброволци, един проект за техническа помощ и шест проекта за изграждане на капацитет. Общият брой на доброволците на ЕС за хуманитарна помощ, изпратени на терен в държави извън ЕС до края на 2018 г., достигна около 400 души и най-малко още 368 ще бъдат изпратени на терен през 2019 г. Отново беше отбелязано високо равнище на удовлетвореност сред доброволците по отношение на програмата за обучение, като за 2019 г. са планирани повече сесии за обучение на английски, френски и испански езици.</w:t>
      </w:r>
    </w:p>
    <w:p>
      <w:pPr>
        <w:spacing w:after="0" w:line="240" w:lineRule="auto"/>
        <w:jc w:val="both"/>
        <w:rPr>
          <w:rFonts w:ascii="Times New Roman" w:hAnsi="Times New Roman"/>
          <w:noProof/>
          <w:sz w:val="24"/>
          <w:szCs w:val="24"/>
          <w:highlight w:val="yellow"/>
        </w:rPr>
      </w:pPr>
    </w:p>
    <w:p>
      <w:pPr>
        <w:spacing w:after="0" w:line="240" w:lineRule="auto"/>
        <w:jc w:val="both"/>
        <w:rPr>
          <w:rFonts w:ascii="Times New Roman" w:hAnsi="Times New Roman"/>
          <w:noProof/>
          <w:sz w:val="24"/>
          <w:szCs w:val="24"/>
          <w:highlight w:val="yellow"/>
        </w:rPr>
      </w:pPr>
      <w:r>
        <w:rPr>
          <w:rFonts w:ascii="Times New Roman" w:hAnsi="Times New Roman"/>
          <w:noProof/>
          <w:sz w:val="24"/>
        </w:rPr>
        <w:t>В резултат на текущия процес на сертифициране бяха сертифицирани общо 208 организации през 2018 г., като голям брой от тях подадоха заявления за повторно сертифициране за още три години.</w:t>
      </w:r>
    </w:p>
    <w:p>
      <w:pPr>
        <w:spacing w:after="0" w:line="240" w:lineRule="auto"/>
        <w:jc w:val="both"/>
        <w:rPr>
          <w:rFonts w:ascii="Times New Roman" w:hAnsi="Times New Roman"/>
          <w:noProof/>
          <w:sz w:val="24"/>
          <w:szCs w:val="24"/>
          <w:highlight w:val="yellow"/>
        </w:rPr>
      </w:pPr>
    </w:p>
    <w:p>
      <w:pPr>
        <w:pStyle w:val="NoSpacing"/>
        <w:jc w:val="both"/>
        <w:rPr>
          <w:rFonts w:ascii="Times New Roman" w:hAnsi="Times New Roman"/>
          <w:noProof/>
          <w:sz w:val="24"/>
          <w:szCs w:val="24"/>
        </w:rPr>
      </w:pPr>
      <w:r>
        <w:rPr>
          <w:rFonts w:ascii="Times New Roman" w:hAnsi="Times New Roman"/>
          <w:noProof/>
          <w:sz w:val="24"/>
        </w:rPr>
        <w:t>През 2018 г. платформата за доброволците на ЕС за хуманитарна помощ беше използвана във все по-голяма степен за публикуване на истории от доброволци и организации (69 нови истории през 2018 г.) Тя беше адаптирана допълнително, за да отговаря на нуждите на организациите във връзка с управлението на техните доброволци. Платформата вече функционира по-добре и е по-удобна за ползване.</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През 2019 г. в съответствие с целите и приоритетите на инициативата, както са определени в годишната работна програма,</w:t>
      </w:r>
      <w:r>
        <w:rPr>
          <w:rStyle w:val="FootnoteReference"/>
          <w:rFonts w:ascii="Times New Roman" w:hAnsi="Times New Roman"/>
          <w:noProof/>
          <w:sz w:val="24"/>
        </w:rPr>
        <w:footnoteReference w:id="23"/>
      </w:r>
      <w:r>
        <w:rPr>
          <w:rFonts w:ascii="Times New Roman" w:hAnsi="Times New Roman"/>
          <w:noProof/>
          <w:sz w:val="24"/>
        </w:rPr>
        <w:t>, гореописаните дейности ще продължат да осигуряват възможности повече приемащи и изпращащи организации да се възползват от дейностите за изграждане на капацитет и техническа помощ, както и от финансиране за изпращане на терен на повече доброволци на ЕС за хуманитарна помощ в държави извън ЕС.</w:t>
      </w:r>
    </w:p>
    <w:p>
      <w:pPr>
        <w:pStyle w:val="NoSpacing"/>
        <w:jc w:val="both"/>
        <w:rPr>
          <w:rFonts w:ascii="Times New Roman" w:hAnsi="Times New Roman"/>
          <w:noProof/>
          <w:sz w:val="24"/>
          <w:szCs w:val="24"/>
          <w:highlight w:val="yellow"/>
        </w:rPr>
      </w:pPr>
    </w:p>
    <w:p>
      <w:pPr>
        <w:pStyle w:val="CommentText"/>
        <w:jc w:val="both"/>
        <w:rPr>
          <w:rFonts w:ascii="Times New Roman" w:hAnsi="Times New Roman"/>
          <w:noProof/>
          <w:sz w:val="24"/>
          <w:szCs w:val="24"/>
        </w:rPr>
      </w:pPr>
      <w:r>
        <w:rPr>
          <w:rFonts w:ascii="Times New Roman" w:hAnsi="Times New Roman"/>
          <w:noProof/>
          <w:sz w:val="24"/>
        </w:rPr>
        <w:t>Комуникационните дейности ще продължат да осигуряват информация на потенциални организации и доброволци относно инициативата „Доброволци на ЕС за хуманитарна помощ“ и нейните основни постижения и въздействия. Мрежата на инициативата „Доброволци на ЕС за хуманитарна помощ“ ще бъде подкрепена от събитие, което ще се проведе през 2020 г. и на него ще присъстват доброволци и участващи организации.</w:t>
      </w:r>
    </w:p>
    <w:p>
      <w:pPr>
        <w:pStyle w:val="NoSpacing"/>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 xml:space="preserve">Повече информация относно инициативата „Доброволци на ЕС за хуманитарна помощ“ може да бъде намерена на: </w:t>
      </w:r>
      <w:hyperlink r:id="rId25">
        <w:r>
          <w:rPr>
            <w:rStyle w:val="Hyperlink"/>
            <w:rFonts w:ascii="Times New Roman" w:hAnsi="Times New Roman"/>
            <w:noProof/>
            <w:sz w:val="24"/>
          </w:rPr>
          <w:t>http://ec.europa.eu/echo/what/humanitarian-aid/eu-aid-volunteers_en</w:t>
        </w:r>
      </w:hyperlink>
      <w:r>
        <w:rPr>
          <w:rStyle w:val="Hyperlink"/>
          <w:noProof/>
          <w:color w:val="auto"/>
          <w:u w:val="none"/>
        </w:rPr>
        <w:t>.</w:t>
      </w: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943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ascii="Times New Roman" w:hAnsi="Times New Roman"/>
          <w:spacing w:val="-6"/>
        </w:rPr>
      </w:pPr>
      <w:r>
        <w:rPr>
          <w:rStyle w:val="FootnoteReference"/>
          <w:rFonts w:ascii="Times New Roman" w:hAnsi="Times New Roman"/>
          <w:spacing w:val="-6"/>
        </w:rPr>
        <w:footnoteRef/>
      </w:r>
      <w:r>
        <w:rPr>
          <w:spacing w:val="-6"/>
        </w:rPr>
        <w:tab/>
      </w:r>
      <w:r>
        <w:rPr>
          <w:rFonts w:ascii="Times New Roman" w:hAnsi="Times New Roman"/>
          <w:spacing w:val="-6"/>
        </w:rPr>
        <w:t>Регламент (ЕС) № 375/2014 на Европейския парламент и на Съвета от 3 април 2014 г. за създаване на Европейския доброволчески корпус за хуманитарна помощ (инициатива „Доброволци на ЕС за хуманитарна помощ“) (ОВ L 122, 24.4.2014 г., стр. 1). Делегиран регламент (ЕС) № 1398/2014 на Комисията от 24 октомври 2014 г. за определяне на стандарти по отношение на кандидатите за доброволци и доброволците на ЕС за хуманитарна помощ (ОВ L 373, 31.12.2014 г., стр. 8). Регламент за изпълнение (ЕС) № 1244/2014 на Комисията от 20 ноември 2014 г. за определяне на правилата за изпълнение на Регламент (ЕС) № 375/2014 на Европейския парламент и на Съвета от 3 април 2014 г. за създаване на Европейския доброволчески корпус за хуманитарна помощ (инициатива „Доброволци на ЕС за хуманитарна помощ“) (ОВ L 334, 21.11.2014 г., стр. 52).</w:t>
      </w:r>
    </w:p>
  </w:footnote>
  <w:footnote w:id="2">
    <w:p>
      <w:pPr>
        <w:pStyle w:val="FootnoteText"/>
        <w:spacing w:after="0"/>
        <w:rPr>
          <w:rFonts w:ascii="Times New Roman" w:hAnsi="Times New Roman"/>
          <w:spacing w:val="-4"/>
        </w:rPr>
      </w:pPr>
      <w:r>
        <w:rPr>
          <w:rStyle w:val="FootnoteReference"/>
          <w:rFonts w:ascii="Times New Roman" w:hAnsi="Times New Roman"/>
          <w:spacing w:val="-4"/>
        </w:rPr>
        <w:footnoteRef/>
      </w:r>
      <w:r>
        <w:rPr>
          <w:spacing w:val="-4"/>
        </w:rPr>
        <w:tab/>
      </w:r>
      <w:r>
        <w:rPr>
          <w:rFonts w:ascii="Times New Roman" w:hAnsi="Times New Roman"/>
          <w:spacing w:val="-4"/>
        </w:rPr>
        <w:t>ОВ L 122, 24.4.2014 г., стр. 1—17.</w:t>
      </w:r>
    </w:p>
  </w:footnote>
  <w:footnote w:id="3">
    <w:p>
      <w:pPr>
        <w:pStyle w:val="FootnoteText"/>
        <w:spacing w:after="0"/>
        <w:rPr>
          <w:rFonts w:ascii="Times New Roman" w:hAnsi="Times New Roman"/>
        </w:rPr>
      </w:pPr>
      <w:r>
        <w:rPr>
          <w:rStyle w:val="FootnoteReference"/>
          <w:rFonts w:ascii="Times New Roman" w:hAnsi="Times New Roman"/>
        </w:rPr>
        <w:footnoteRef/>
      </w:r>
      <w:r>
        <w:tab/>
      </w:r>
      <w:hyperlink r:id="rId1">
        <w:r>
          <w:rPr>
            <w:rStyle w:val="Hyperlink"/>
            <w:rFonts w:ascii="Times New Roman" w:hAnsi="Times New Roman"/>
          </w:rPr>
          <w:t>http://ec.europa.eu/echo/who/accountability/annual-reports_en</w:t>
        </w:r>
      </w:hyperlink>
    </w:p>
  </w:footnote>
  <w:footnote w:id="4">
    <w:p>
      <w:pPr>
        <w:autoSpaceDE w:val="0"/>
        <w:autoSpaceDN w:val="0"/>
        <w:adjustRightInd w:val="0"/>
        <w:spacing w:after="0" w:line="240" w:lineRule="auto"/>
        <w:jc w:val="both"/>
        <w:rPr>
          <w:rFonts w:ascii="Times New Roman" w:eastAsia="Times New Roman" w:hAnsi="Times New Roman" w:cs="Times New Roman"/>
          <w:sz w:val="20"/>
          <w:szCs w:val="20"/>
          <w:lang w:eastAsia="en-GB"/>
        </w:rPr>
      </w:pPr>
      <w:r>
        <w:rPr>
          <w:rStyle w:val="FootnoteReference"/>
          <w:rFonts w:ascii="Times New Roman" w:hAnsi="Times New Roman"/>
          <w:sz w:val="20"/>
        </w:rPr>
        <w:footnoteRef/>
      </w:r>
      <w:r>
        <w:tab/>
      </w:r>
      <w:r>
        <w:rPr>
          <w:rFonts w:ascii="Times New Roman" w:hAnsi="Times New Roman"/>
          <w:sz w:val="20"/>
        </w:rPr>
        <w:t>Решение за изпълнение C(2018)165 на Комисията от 22.1.2018 г. относно приемането на работната програма за 2018 г. на инициативата „Доброволци на ЕС за хуманитарна помощ“.</w:t>
      </w:r>
    </w:p>
  </w:footnote>
  <w:footnote w:id="5">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 xml:space="preserve">Разпределението на задачите между Комисията и ЕАСЕА се основава на </w:t>
      </w:r>
      <w:r>
        <w:rPr>
          <w:rFonts w:ascii="Times New Roman" w:hAnsi="Times New Roman"/>
          <w:i/>
          <w:sz w:val="20"/>
        </w:rPr>
        <w:t>Решение C(2013)9189 на Комисията от 18 декември 2013 г. за делегиране на правомощия на Изпълнителната агенция за образование, аудиовизия и култура с цел изпълнение на задачи, свързани с осъществяването на програми на Съюза в областта на образованието, аудиовизията и културата и включващи по-специално изпълнение на бюджетни кредити, записани в общия бюджет на Съюза, и на средства по ЕФР.</w:t>
      </w:r>
    </w:p>
  </w:footnote>
  <w:footnote w:id="6">
    <w:p>
      <w:pPr>
        <w:pStyle w:val="FootnoteText"/>
        <w:spacing w:after="0"/>
        <w:rPr>
          <w:rFonts w:ascii="Times New Roman" w:hAnsi="Times New Roman"/>
        </w:rPr>
      </w:pPr>
      <w:r>
        <w:rPr>
          <w:rStyle w:val="FootnoteReference"/>
          <w:rFonts w:ascii="Times New Roman" w:hAnsi="Times New Roman"/>
        </w:rPr>
        <w:footnoteRef/>
      </w:r>
      <w:r>
        <w:tab/>
      </w:r>
      <w:hyperlink r:id="rId2">
        <w:r>
          <w:rPr>
            <w:rStyle w:val="Hyperlink"/>
            <w:rFonts w:ascii="Times New Roman" w:hAnsi="Times New Roman"/>
          </w:rPr>
          <w:t>https://ec.europa.eu/echo/funding-evaluations/evaluations/thematic-evaluations_en</w:t>
        </w:r>
      </w:hyperlink>
    </w:p>
  </w:footnote>
  <w:footnote w:id="7">
    <w:p>
      <w:pPr>
        <w:pStyle w:val="FootnoteText"/>
        <w:spacing w:after="0"/>
        <w:rPr>
          <w:rFonts w:ascii="Times New Roman" w:hAnsi="Times New Roman"/>
        </w:rPr>
      </w:pPr>
      <w:r>
        <w:rPr>
          <w:rStyle w:val="FootnoteReference"/>
          <w:rFonts w:ascii="Times New Roman" w:hAnsi="Times New Roman"/>
        </w:rPr>
        <w:footnoteRef/>
      </w:r>
      <w:r>
        <w:tab/>
      </w:r>
      <w:hyperlink r:id="rId3">
        <w:r>
          <w:rPr>
            <w:rStyle w:val="Hyperlink"/>
          </w:rPr>
          <w:t>https://webgate.ec.europa.eu/echo/eu-aid-volunteers_en/</w:t>
        </w:r>
      </w:hyperlink>
    </w:p>
  </w:footnote>
  <w:footnote w:id="8">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Данни от заявленията, подадени в отговор на поканата за представяне на предложения от 2018 г.</w:t>
      </w:r>
    </w:p>
  </w:footnote>
  <w:footnote w:id="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Текстът в курсив е разказ на доброволци на ЕС за хуманитарна помощ, участващи в изпълнението на проекти, финансирани по линия на инициативата „Доброволци на ЕС за хуманитарна помощ“.</w:t>
      </w:r>
    </w:p>
  </w:footnote>
  <w:footnote w:id="1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EACEA/04/2018.</w:t>
      </w:r>
    </w:p>
  </w:footnote>
  <w:footnote w:id="1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Style w:val="Hyperlink"/>
          <w:rFonts w:ascii="Times New Roman" w:hAnsi="Times New Roman"/>
        </w:rPr>
        <w:t>https://eacea.ec.europa.eu/sites/eacea-site/files/euav_deployment_2018_publication_of_results.pdf</w:t>
      </w:r>
    </w:p>
  </w:footnote>
  <w:footnote w:id="12">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Член 10 и член 15 от Регламент (ЕС) № 375/2014.</w:t>
      </w:r>
    </w:p>
  </w:footnote>
  <w:footnote w:id="13">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EACEA 14/2018.</w:t>
      </w:r>
    </w:p>
  </w:footnote>
  <w:footnote w:id="14">
    <w:p>
      <w:pPr>
        <w:pStyle w:val="FootnoteText"/>
        <w:spacing w:after="0"/>
        <w:rPr>
          <w:rFonts w:ascii="Times New Roman" w:hAnsi="Times New Roman"/>
        </w:rPr>
      </w:pPr>
      <w:r>
        <w:rPr>
          <w:rStyle w:val="FootnoteReference"/>
          <w:rFonts w:ascii="Times New Roman" w:hAnsi="Times New Roman"/>
        </w:rPr>
        <w:footnoteRef/>
      </w:r>
      <w:r>
        <w:tab/>
      </w:r>
      <w:hyperlink r:id="rId4">
        <w:r>
          <w:rPr>
            <w:rStyle w:val="Hyperlink"/>
            <w:rFonts w:ascii="Times New Roman" w:hAnsi="Times New Roman"/>
          </w:rPr>
          <w:t>https://eacea.ec.europa.eu/sites/eacea-site/files/euav_ta-cb_2018_publication_of_results.pdf</w:t>
        </w:r>
      </w:hyperlink>
    </w:p>
  </w:footnote>
  <w:footnote w:id="15">
    <w:p>
      <w:pPr>
        <w:pStyle w:val="FootnoteText"/>
        <w:spacing w:after="0"/>
        <w:rPr>
          <w:rFonts w:ascii="Times New Roman" w:hAnsi="Times New Roman"/>
        </w:rPr>
      </w:pPr>
      <w:r>
        <w:rPr>
          <w:rStyle w:val="FootnoteReference"/>
          <w:rFonts w:ascii="Times New Roman" w:hAnsi="Times New Roman"/>
        </w:rPr>
        <w:footnoteRef/>
      </w:r>
      <w:r>
        <w:tab/>
      </w:r>
      <w:hyperlink r:id="rId5">
        <w:r>
          <w:rPr>
            <w:rStyle w:val="Hyperlink"/>
            <w:rFonts w:ascii="Times New Roman" w:hAnsi="Times New Roman"/>
          </w:rPr>
          <w:t>https://eacea.ec.europa.eu/sites/eacea-site/files/certification-call-announcement-012115.pdf</w:t>
        </w:r>
      </w:hyperlink>
    </w:p>
  </w:footnote>
  <w:footnote w:id="16">
    <w:p>
      <w:pPr>
        <w:pStyle w:val="FootnoteText"/>
        <w:spacing w:after="0"/>
      </w:pPr>
      <w:r>
        <w:rPr>
          <w:rStyle w:val="FootnoteReference"/>
          <w:rFonts w:ascii="Times New Roman" w:hAnsi="Times New Roman"/>
        </w:rPr>
        <w:footnoteRef/>
      </w:r>
      <w:r>
        <w:tab/>
      </w:r>
      <w:r>
        <w:rPr>
          <w:rFonts w:ascii="Times New Roman" w:hAnsi="Times New Roman"/>
        </w:rPr>
        <w:t>ОВ L 334, 21.11.2014 г., стр. 52—83.</w:t>
      </w:r>
    </w:p>
  </w:footnote>
  <w:footnote w:id="17">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Приложение II към Регламент за изпълнение (ЕС) № 1244/2014.</w:t>
      </w:r>
    </w:p>
  </w:footnote>
  <w:footnote w:id="18">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Първият работен семинар на мрежата на инициативата „Доброволци на ЕС за хуманитарна помощ“ се проведе през февруари 2017 г. (вж. Годишен доклад относно изпълнението на инициативата „Доброволци на ЕС за хуманитарна помощ“ през 2017 г.)</w:t>
      </w:r>
    </w:p>
  </w:footnote>
  <w:footnote w:id="19">
    <w:p>
      <w:pPr>
        <w:pStyle w:val="FootnoteText"/>
        <w:spacing w:after="0"/>
        <w:rPr>
          <w:rFonts w:ascii="Times New Roman" w:hAnsi="Times New Roman"/>
        </w:rPr>
      </w:pPr>
      <w:r>
        <w:rPr>
          <w:rStyle w:val="FootnoteReference"/>
          <w:rFonts w:ascii="Times New Roman" w:hAnsi="Times New Roman"/>
        </w:rPr>
        <w:footnoteRef/>
      </w:r>
      <w:r>
        <w:tab/>
      </w:r>
      <w:hyperlink r:id="rId6">
        <w:r>
          <w:rPr>
            <w:rStyle w:val="Hyperlink"/>
            <w:rFonts w:ascii="Times New Roman" w:hAnsi="Times New Roman"/>
          </w:rPr>
          <w:t>https://ec.europa.eu/echo/what/humanitarian-aid/eu-aid-volunteers_en</w:t>
        </w:r>
      </w:hyperlink>
    </w:p>
  </w:footnote>
  <w:footnote w:id="20">
    <w:p>
      <w:pPr>
        <w:pStyle w:val="FootnoteText"/>
        <w:spacing w:after="0"/>
        <w:rPr>
          <w:rFonts w:ascii="Times New Roman" w:hAnsi="Times New Roman"/>
        </w:rPr>
      </w:pPr>
      <w:r>
        <w:rPr>
          <w:rStyle w:val="FootnoteReference"/>
          <w:rFonts w:ascii="Times New Roman" w:hAnsi="Times New Roman"/>
        </w:rPr>
        <w:footnoteRef/>
      </w:r>
      <w:r>
        <w:tab/>
      </w:r>
      <w:hyperlink r:id="rId7">
        <w:r>
          <w:rPr>
            <w:rStyle w:val="Hyperlink"/>
            <w:rFonts w:ascii="Times New Roman" w:hAnsi="Times New Roman"/>
          </w:rPr>
          <w:t>http://ec.europa.eu/echo/funding-evaluations/evaluations/thematic-evaluations_en</w:t>
        </w:r>
      </w:hyperlink>
    </w:p>
  </w:footnote>
  <w:footnote w:id="21">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COM(2018) 496, 28.6.2018 г.</w:t>
      </w:r>
    </w:p>
  </w:footnote>
  <w:footnote w:id="22">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COM(2018) 440, 11.6.2018 г.</w:t>
      </w:r>
    </w:p>
  </w:footnote>
  <w:footnote w:id="23">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Решение за изпълнение C(2019)4 на Комисията от 14.1.2019 г. относно финансирането на инициативата „Доброволци на ЕС за хуманитарна помощ“ и приемането на работната програма за 2019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6AF"/>
    <w:multiLevelType w:val="hybridMultilevel"/>
    <w:tmpl w:val="5C164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90C522B"/>
    <w:multiLevelType w:val="hybridMultilevel"/>
    <w:tmpl w:val="B542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7D79BA"/>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6358C9"/>
    <w:multiLevelType w:val="hybridMultilevel"/>
    <w:tmpl w:val="66AEB5AC"/>
    <w:lvl w:ilvl="0" w:tplc="2000E75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5CCF7B1-945E-4FEB-98FF-B18FB8286D16"/>
    <w:docVar w:name="LW_COVERPAGE_TYPE" w:val="1"/>
    <w:docVar w:name="LW_CROSSREFERENCE" w:val="&lt;UNUSED&gt;"/>
    <w:docVar w:name="LW_DocType" w:val="NORMAL"/>
    <w:docVar w:name="LW_EMISSION" w:val="24.6.2019"/>
    <w:docVar w:name="LW_EMISSION_ISODATE" w:val="2019-06-2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3?\u1086?\u1076?\u1080?\u1096?\u1077?\u1085? \u1076?\u1086?\u1082?\u1083?\u1072?\u1076? \u1086?\u1090?\u1085?\u1086?\u1089?\u1085?\u1086? \u1080?\u1079?\u1087?\u1098?\u1083?\u1085?\u1077?\u1085?\u1080?\u1077?\u1090?\u1086? \u1085?\u1072? \u1080?\u1085?\u1080?\u1094?\u1080?\u1072?\u1090?\u1080?\u1074?\u1072?\u1090?\u1072? \u8222?\u1044?\u1086?\u1073?\u1088?\u1086?\u1074?\u1086?\u1083?\u1094?\u1080? \u1085?\u1072? \u1045?\u1057? \u1079?\u1072? \u1093?\u1091?\u1084?\u1072?\u1085?\u1080?\u1090?\u1072?\u1088?\u1085?\u1072? \u1087?\u1086?\u1084?\u1086?\u1097?\u8220? \u1087?\u1088?\u1077?\u1079? 2018 \u1075?.&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CHO\ECHO-2019-00008\ECHO-2019-00008-00-00-EN-EDT-00.201903191131210737205.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qFormat/>
    <w:pPr>
      <w:tabs>
        <w:tab w:val="left" w:pos="360"/>
      </w:tabs>
      <w:autoSpaceDE w:val="0"/>
      <w:autoSpaceDN w:val="0"/>
      <w:adjustRightInd w:val="0"/>
      <w:spacing w:after="120" w:line="240" w:lineRule="auto"/>
      <w:ind w:left="360" w:hanging="360"/>
      <w:jc w:val="both"/>
    </w:pPr>
    <w:rPr>
      <w:rFonts w:ascii="Calibri" w:eastAsia="Times New Roman" w:hAnsi="Calibri" w:cs="Times New Roman"/>
      <w:sz w:val="20"/>
      <w:szCs w:val="20"/>
    </w:rPr>
  </w:style>
  <w:style w:type="character" w:customStyle="1" w:styleId="FootnoteTextChar">
    <w:name w:val="Footnote Text Char"/>
    <w:basedOn w:val="DefaultParagraphFont"/>
    <w:rPr>
      <w:rFonts w:ascii="Calibri" w:eastAsia="Times New Roman" w:hAnsi="Calibri" w:cs="Times New Roman"/>
      <w:sz w:val="20"/>
      <w:szCs w:val="20"/>
      <w:lang w:eastAsia="bg-BG"/>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qFormat/>
    <w:rPr>
      <w:vertAlign w:val="superscript"/>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link w:val="NoSpacing"/>
    <w:uiPriority w:val="1"/>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qFormat/>
    <w:pPr>
      <w:tabs>
        <w:tab w:val="left" w:pos="360"/>
      </w:tabs>
      <w:autoSpaceDE w:val="0"/>
      <w:autoSpaceDN w:val="0"/>
      <w:adjustRightInd w:val="0"/>
      <w:spacing w:after="120" w:line="240" w:lineRule="auto"/>
      <w:ind w:left="360" w:hanging="360"/>
      <w:jc w:val="both"/>
    </w:pPr>
    <w:rPr>
      <w:rFonts w:ascii="Calibri" w:eastAsia="Times New Roman" w:hAnsi="Calibri" w:cs="Times New Roman"/>
      <w:sz w:val="20"/>
      <w:szCs w:val="20"/>
    </w:rPr>
  </w:style>
  <w:style w:type="character" w:customStyle="1" w:styleId="FootnoteTextChar">
    <w:name w:val="Footnote Text Char"/>
    <w:basedOn w:val="DefaultParagraphFont"/>
    <w:rPr>
      <w:rFonts w:ascii="Calibri" w:eastAsia="Times New Roman" w:hAnsi="Calibri" w:cs="Times New Roman"/>
      <w:sz w:val="20"/>
      <w:szCs w:val="20"/>
      <w:lang w:eastAsia="bg-BG"/>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qFormat/>
    <w:rPr>
      <w:vertAlign w:val="superscript"/>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link w:val="NoSpacing"/>
    <w:uiPriority w:val="1"/>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ebgate.ec.europa.eu/echo/eu-aid-volunteers_en/story-meal_en"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yperlink" Target="http://ec.europa.eu/echo/what/humanitarian-aid/eu-aid-volunteers_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ebgate.ec.europa.eu/echo/eu-aid-volunteers_e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ebgate.ec.europa.eu/echo/eu-aid-volunteers_en/story-field-eu-aid-volunteer-petya-6-month-thailand_en"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ebgate.ec.europa.eu/echo/eu-aid-volunteers_en/" TargetMode="External"/><Relationship Id="rId7" Type="http://schemas.openxmlformats.org/officeDocument/2006/relationships/hyperlink" Target="http://ec.europa.eu/echo/funding-evaluations/evaluations/thematic-evaluations_en" TargetMode="External"/><Relationship Id="rId2" Type="http://schemas.openxmlformats.org/officeDocument/2006/relationships/hyperlink" Target="https://ec.europa.eu/echo/funding-evaluations/evaluations/thematic-evaluations_en" TargetMode="External"/><Relationship Id="rId1" Type="http://schemas.openxmlformats.org/officeDocument/2006/relationships/hyperlink" Target="http://ec.europa.eu/echo/who/accountability/annual-reports_en" TargetMode="External"/><Relationship Id="rId6" Type="http://schemas.openxmlformats.org/officeDocument/2006/relationships/hyperlink" Target="https://ec.europa.eu/echo/what/humanitarian-aid/eu-aid-volunteers_en" TargetMode="External"/><Relationship Id="rId5" Type="http://schemas.openxmlformats.org/officeDocument/2006/relationships/hyperlink" Target="https://eacea.ec.europa.eu/sites/eacea-site/files/certification-call-announcement-012115.pdf" TargetMode="External"/><Relationship Id="rId4" Type="http://schemas.openxmlformats.org/officeDocument/2006/relationships/hyperlink" Target="https://eacea.ec.europa.eu/sites/eacea-site/files/euav_ta-cb_2018_publication_of_results.pdf"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net1.cec.eu.int\Echo\B\2\05%20-%20A1.40%20EU%20AID%20VOLUNTEERS\ANNUAL%20REPORTS\AR%202018\Data%20book.xlsx" TargetMode="Externa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chartUserShapes" Target="../drawings/drawing2.xml"/><Relationship Id="rId1" Type="http://schemas.openxmlformats.org/officeDocument/2006/relationships/oleObject" Target="file:///\\net1.cec.eu.int\Echo\B\2\05%20-%20A1.40%20EU%20AID%20VOLUNTEERS\ANNUAL%20REPORTS\AR%202018\Data%20book.xlsx" TargetMode="Externa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4"/>
            <c:invertIfNegative val="0"/>
            <c:bubble3D val="0"/>
            <c:spPr>
              <a:solidFill>
                <a:srgbClr val="FFC000"/>
              </a:solidFill>
              <a:ln>
                <a:noFill/>
              </a:ln>
              <a:effectLst>
                <a:outerShdw blurRad="76200" dir="18900000" sy="23000" kx="-1200000" algn="bl" rotWithShape="0">
                  <a:prstClr val="black">
                    <a:alpha val="20000"/>
                  </a:prstClr>
                </a:outerShdw>
              </a:effectLst>
            </c:spPr>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1-043E-417C-8E1A-85C5EA5721EC}"/>
              </c:ext>
            </c:extLst>
          </c:dPt>
          <c:dLbls>
            <c:dLbl>
              <c:idx val="0"/>
              <c:layout>
                <c:manualLayout>
                  <c:x val="-1.2731334408019993E-17"/>
                  <c:y val="-4.7608632254318522E-4"/>
                </c:manualLayout>
              </c:layout>
              <c:dLblPos val="outEnd"/>
              <c:showLegendKey val="0"/>
              <c:showVal val="1"/>
              <c:showCatName val="0"/>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2-043E-417C-8E1A-85C5EA5721E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Sheet1!$H$38:$L$38</c:f>
              <c:strCache>
                <c:ptCount val="5"/>
                <c:pt idx="0">
                  <c:v>2015</c:v>
                </c:pt>
                <c:pt idx="1">
                  <c:v>2016</c:v>
                </c:pt>
                <c:pt idx="2">
                  <c:v>2017</c:v>
                </c:pt>
                <c:pt idx="3">
                  <c:v>2018</c:v>
                </c:pt>
                <c:pt idx="4">
                  <c:v>2015-2018</c:v>
                </c:pt>
              </c:strCache>
            </c:strRef>
          </c:cat>
          <c:val>
            <c:numRef>
              <c:f>Sheet1!$H$39:$L$39</c:f>
              <c:numCache>
                <c:formatCode>General</c:formatCode>
                <c:ptCount val="5"/>
                <c:pt idx="0">
                  <c:v>44</c:v>
                </c:pt>
                <c:pt idx="1">
                  <c:v>162</c:v>
                </c:pt>
                <c:pt idx="2">
                  <c:v>175</c:v>
                </c:pt>
                <c:pt idx="3">
                  <c:v>368</c:v>
                </c:pt>
                <c:pt idx="4">
                  <c:v>749</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3-043E-417C-8E1A-85C5EA5721EC}"/>
            </c:ext>
          </c:extLst>
        </c:ser>
        <c:dLbls>
          <c:dLblPos val="inEnd"/>
          <c:showLegendKey val="0"/>
          <c:showVal val="1"/>
          <c:showCatName val="0"/>
          <c:showSerName val="0"/>
          <c:showPercent val="0"/>
          <c:showBubbleSize val="0"/>
        </c:dLbls>
        <c:gapWidth val="41"/>
        <c:axId val="47486848"/>
        <c:axId val="47498368"/>
      </c:barChart>
      <c:catAx>
        <c:axId val="47486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effectLst/>
                <a:latin typeface="+mn-lt"/>
                <a:ea typeface="+mn-ea"/>
                <a:cs typeface="+mn-cs"/>
              </a:defRPr>
            </a:pPr>
            <a:endParaRPr lang="en-US"/>
          </a:p>
        </c:txPr>
        <c:crossAx val="47498368"/>
        <c:crosses val="autoZero"/>
        <c:auto val="1"/>
        <c:lblAlgn val="ctr"/>
        <c:lblOffset val="100"/>
        <c:noMultiLvlLbl val="0"/>
      </c:catAx>
      <c:valAx>
        <c:axId val="47498368"/>
        <c:scaling>
          <c:orientation val="minMax"/>
        </c:scaling>
        <c:delete val="1"/>
        <c:axPos val="l"/>
        <c:numFmt formatCode="General" sourceLinked="1"/>
        <c:majorTickMark val="none"/>
        <c:minorTickMark val="none"/>
        <c:tickLblPos val="nextTo"/>
        <c:crossAx val="4748684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6708333333333336"/>
          <c:w val="0.89019685039370078"/>
          <c:h val="0.72088764946048411"/>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4"/>
            <c:invertIfNegative val="0"/>
            <c:bubble3D val="0"/>
            <c:spPr>
              <a:solidFill>
                <a:srgbClr val="FFC000"/>
              </a:solidFill>
              <a:ln>
                <a:noFill/>
              </a:ln>
              <a:effectLst>
                <a:outerShdw blurRad="76200" dir="18900000" sy="23000" kx="-1200000" algn="bl" rotWithShape="0">
                  <a:prstClr val="black">
                    <a:alpha val="20000"/>
                  </a:prstClr>
                </a:outerShdw>
              </a:effectLst>
            </c:spPr>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1-D29E-4ED3-B949-DC205F84E625}"/>
              </c:ext>
            </c:extLst>
          </c:dPt>
          <c:dLbls>
            <c:dLbl>
              <c:idx val="0"/>
              <c:layout>
                <c:manualLayout>
                  <c:x val="0"/>
                  <c:y val="-7.1438466025080197E-3"/>
                </c:manualLayout>
              </c:layout>
              <c:dLblPos val="outEnd"/>
              <c:showLegendKey val="0"/>
              <c:showVal val="1"/>
              <c:showCatName val="0"/>
              <c:showSerName val="0"/>
              <c:showPercent val="0"/>
              <c:showBubbleSize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 xmlns:c16="http://schemas.microsoft.com/office/drawing/2014/chart" uri="{C3380CC4-5D6E-409C-BE32-E72D297353CC}">
                  <c16:uniqueId val="{00000002-D29E-4ED3-B949-DC205F84E62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0"/>
              </c:ext>
            </c:extLst>
          </c:dLbls>
          <c:cat>
            <c:strRef>
              <c:f>Sheet1!$H$24:$L$24</c:f>
              <c:strCache>
                <c:ptCount val="5"/>
                <c:pt idx="0">
                  <c:v>2015</c:v>
                </c:pt>
                <c:pt idx="1">
                  <c:v>2016</c:v>
                </c:pt>
                <c:pt idx="2">
                  <c:v>2017</c:v>
                </c:pt>
                <c:pt idx="3">
                  <c:v>2018</c:v>
                </c:pt>
                <c:pt idx="4">
                  <c:v>2015-2018</c:v>
                </c:pt>
              </c:strCache>
            </c:strRef>
          </c:cat>
          <c:val>
            <c:numRef>
              <c:f>Sheet1!$H$25:$L$25</c:f>
              <c:numCache>
                <c:formatCode>General</c:formatCode>
                <c:ptCount val="5"/>
                <c:pt idx="0">
                  <c:v>20</c:v>
                </c:pt>
                <c:pt idx="1">
                  <c:v>62</c:v>
                </c:pt>
                <c:pt idx="2">
                  <c:v>63</c:v>
                </c:pt>
                <c:pt idx="3">
                  <c:v>63</c:v>
                </c:pt>
                <c:pt idx="4">
                  <c:v>208</c:v>
                </c:pt>
              </c:numCache>
            </c:numRef>
          </c:val>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3-D29E-4ED3-B949-DC205F84E625}"/>
            </c:ext>
          </c:extLst>
        </c:ser>
        <c:dLbls>
          <c:dLblPos val="inEnd"/>
          <c:showLegendKey val="0"/>
          <c:showVal val="1"/>
          <c:showCatName val="0"/>
          <c:showSerName val="0"/>
          <c:showPercent val="0"/>
          <c:showBubbleSize val="0"/>
        </c:dLbls>
        <c:gapWidth val="41"/>
        <c:axId val="99439744"/>
        <c:axId val="99451264"/>
      </c:barChart>
      <c:catAx>
        <c:axId val="99439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effectLst/>
                <a:latin typeface="+mn-lt"/>
                <a:ea typeface="+mn-ea"/>
                <a:cs typeface="+mn-cs"/>
              </a:defRPr>
            </a:pPr>
            <a:endParaRPr lang="en-US"/>
          </a:p>
        </c:txPr>
        <c:crossAx val="99451264"/>
        <c:crosses val="autoZero"/>
        <c:auto val="1"/>
        <c:lblAlgn val="ctr"/>
        <c:lblOffset val="100"/>
        <c:noMultiLvlLbl val="0"/>
      </c:catAx>
      <c:valAx>
        <c:axId val="99451264"/>
        <c:scaling>
          <c:orientation val="minMax"/>
        </c:scaling>
        <c:delete val="1"/>
        <c:axPos val="l"/>
        <c:numFmt formatCode="General" sourceLinked="1"/>
        <c:majorTickMark val="none"/>
        <c:minorTickMark val="none"/>
        <c:tickLblPos val="nextTo"/>
        <c:crossAx val="9943974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Sheet1!$C$26:$C$37</c:f>
              <c:strCache>
                <c:ptCount val="12"/>
                <c:pt idx="0">
                  <c:v>1/2018</c:v>
                </c:pt>
                <c:pt idx="1">
                  <c:v>2/2018</c:v>
                </c:pt>
                <c:pt idx="2">
                  <c:v>3/2018</c:v>
                </c:pt>
                <c:pt idx="3">
                  <c:v>4/2018</c:v>
                </c:pt>
                <c:pt idx="4">
                  <c:v>5/2018</c:v>
                </c:pt>
                <c:pt idx="5">
                  <c:v>6/2018</c:v>
                </c:pt>
                <c:pt idx="6">
                  <c:v>7/2018</c:v>
                </c:pt>
                <c:pt idx="7">
                  <c:v>8/2018</c:v>
                </c:pt>
                <c:pt idx="8">
                  <c:v>9/2018</c:v>
                </c:pt>
                <c:pt idx="9">
                  <c:v>10/2018</c:v>
                </c:pt>
                <c:pt idx="10">
                  <c:v>11/2018</c:v>
                </c:pt>
                <c:pt idx="11">
                  <c:v>12/2018</c:v>
                </c:pt>
              </c:strCache>
            </c:strRef>
          </c:cat>
          <c:val>
            <c:numRef>
              <c:f>Sheet1!$D$26:$D$37</c:f>
              <c:numCache>
                <c:formatCode>General</c:formatCode>
                <c:ptCount val="12"/>
                <c:pt idx="0">
                  <c:v>1159</c:v>
                </c:pt>
                <c:pt idx="1">
                  <c:v>1295</c:v>
                </c:pt>
                <c:pt idx="2">
                  <c:v>1410</c:v>
                </c:pt>
                <c:pt idx="3">
                  <c:v>1853</c:v>
                </c:pt>
                <c:pt idx="4">
                  <c:v>1995</c:v>
                </c:pt>
                <c:pt idx="5">
                  <c:v>2069</c:v>
                </c:pt>
                <c:pt idx="6">
                  <c:v>2143</c:v>
                </c:pt>
                <c:pt idx="7">
                  <c:v>2229</c:v>
                </c:pt>
                <c:pt idx="8">
                  <c:v>2287</c:v>
                </c:pt>
                <c:pt idx="9">
                  <c:v>2496</c:v>
                </c:pt>
                <c:pt idx="10">
                  <c:v>2656</c:v>
                </c:pt>
                <c:pt idx="11">
                  <c:v>2656</c:v>
                </c:pt>
              </c:numCache>
            </c:numRef>
          </c:val>
          <c:smooth val="0"/>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0-4B86-4D76-B830-D8208450A052}"/>
            </c:ext>
          </c:extLst>
        </c:ser>
        <c:dLbls>
          <c:showLegendKey val="0"/>
          <c:showVal val="0"/>
          <c:showCatName val="0"/>
          <c:showSerName val="0"/>
          <c:showPercent val="0"/>
          <c:showBubbleSize val="0"/>
        </c:dLbls>
        <c:marker val="1"/>
        <c:smooth val="0"/>
        <c:axId val="99508224"/>
        <c:axId val="99509760"/>
      </c:lineChart>
      <c:catAx>
        <c:axId val="9950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effectLst/>
                <a:latin typeface="+mn-lt"/>
                <a:ea typeface="+mn-ea"/>
                <a:cs typeface="+mn-cs"/>
              </a:defRPr>
            </a:pPr>
            <a:endParaRPr lang="en-US"/>
          </a:p>
        </c:txPr>
        <c:crossAx val="99509760"/>
        <c:crosses val="autoZero"/>
        <c:auto val="1"/>
        <c:lblAlgn val="ctr"/>
        <c:lblOffset val="100"/>
        <c:noMultiLvlLbl val="0"/>
      </c:catAx>
      <c:valAx>
        <c:axId val="99509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effectLst/>
                <a:latin typeface="+mn-lt"/>
                <a:ea typeface="+mn-ea"/>
                <a:cs typeface="+mn-cs"/>
              </a:defRPr>
            </a:pPr>
            <a:endParaRPr lang="en-US"/>
          </a:p>
        </c:txPr>
        <c:crossAx val="99508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50800" dir="5400000" algn="ctr" rotWithShape="0">
        <a:schemeClr val="bg1"/>
      </a:outerShdw>
    </a:effectLst>
  </c:spPr>
  <c:txPr>
    <a:bodyPr/>
    <a:lstStyle/>
    <a:p>
      <a:pPr>
        <a:defRPr>
          <a:effectLst/>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0.16667</cdr:x>
      <cdr:y>0.03704</cdr:y>
    </cdr:from>
    <cdr:to>
      <cdr:x>0.79167</cdr:x>
      <cdr:y>0.1713</cdr:y>
    </cdr:to>
    <cdr:sp macro="" textlink="">
      <cdr:nvSpPr>
        <cdr:cNvPr id="2" name="TextBox 1"/>
        <cdr:cNvSpPr txBox="1"/>
      </cdr:nvSpPr>
      <cdr:spPr>
        <a:xfrm xmlns:a="http://schemas.openxmlformats.org/drawingml/2006/main">
          <a:off x="762000" y="101600"/>
          <a:ext cx="2857500" cy="368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bg-BG" sz="1800">
              <a:latin typeface="Times New Roman" panose="02020603050405020304" pitchFamily="18" charset="0"/>
              <a:cs typeface="Times New Roman" panose="02020603050405020304" pitchFamily="18" charset="0"/>
            </a:rPr>
            <a:t>Изпращане на терен</a:t>
          </a:r>
        </a:p>
      </cdr:txBody>
    </cdr:sp>
  </cdr:relSizeAnchor>
</c:userShapes>
</file>

<file path=word/drawings/drawing2.xml><?xml version="1.0" encoding="utf-8"?>
<c:userShapes xmlns:c="http://schemas.openxmlformats.org/drawingml/2006/chart">
  <cdr:relSizeAnchor xmlns:cdr="http://schemas.openxmlformats.org/drawingml/2006/chartDrawing">
    <cdr:from>
      <cdr:x>0.17569</cdr:x>
      <cdr:y>0.10301</cdr:y>
    </cdr:from>
    <cdr:to>
      <cdr:x>0.80069</cdr:x>
      <cdr:y>0.23727</cdr:y>
    </cdr:to>
    <cdr:sp macro="" textlink="">
      <cdr:nvSpPr>
        <cdr:cNvPr id="2" name="TextBox 1"/>
        <cdr:cNvSpPr txBox="1"/>
      </cdr:nvSpPr>
      <cdr:spPr>
        <a:xfrm xmlns:a="http://schemas.openxmlformats.org/drawingml/2006/main">
          <a:off x="803275" y="282575"/>
          <a:ext cx="2857500" cy="368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bg-BG" sz="1800">
              <a:latin typeface="Times New Roman" panose="02020603050405020304" pitchFamily="18" charset="0"/>
              <a:cs typeface="Times New Roman" panose="02020603050405020304" pitchFamily="18" charset="0"/>
            </a:rPr>
            <a:t>Сертифициране</a:t>
          </a:r>
          <a:endParaRPr lang="bg-BG">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F04696-F5B3-4A2A-B8AB-29FFB9EA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4065</Words>
  <Characters>23416</Characters>
  <Application>Microsoft Office Word</Application>
  <DocSecurity>0</DocSecurity>
  <Lines>459</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2019-04-03T07:28:00Z</cp:lastPrinted>
  <dcterms:created xsi:type="dcterms:W3CDTF">2019-05-17T12:49:00Z</dcterms:created>
  <dcterms:modified xsi:type="dcterms:W3CDTF">2019-06-21T11:41:00Z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