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592AE31-860D-4FB5-95B3-FCCD09549A5E"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Настоящото предложение е за решение за определяне на позицията, която да се заеме от името на Съюза в Международния съвет по захарта по предвиденото приемане на решение за продължаването до 31 декември 2021 г. на срока на действие на Международното споразумение за захарта от 1992 г.</w:t>
      </w:r>
    </w:p>
    <w:p>
      <w:pPr>
        <w:pStyle w:val="ManualHeading1"/>
        <w:rPr>
          <w:noProof/>
        </w:rPr>
      </w:pPr>
      <w:r>
        <w:t>2.</w:t>
      </w:r>
      <w:r>
        <w:tab/>
      </w:r>
      <w:r>
        <w:rPr>
          <w:noProof/>
        </w:rPr>
        <w:t>Контекст на предложението</w:t>
      </w:r>
    </w:p>
    <w:p>
      <w:pPr>
        <w:pStyle w:val="ManualHeading2"/>
        <w:rPr>
          <w:noProof/>
        </w:rPr>
      </w:pPr>
      <w:r>
        <w:t>2.1.</w:t>
      </w:r>
      <w:r>
        <w:tab/>
      </w:r>
      <w:r>
        <w:rPr>
          <w:noProof/>
        </w:rPr>
        <w:t>Международното споразумение за захарта от 1992 г.</w:t>
      </w:r>
    </w:p>
    <w:p>
      <w:pPr>
        <w:rPr>
          <w:rFonts w:eastAsia="Arial Unicode MS"/>
          <w:noProof/>
        </w:rPr>
      </w:pPr>
      <w:r>
        <w:rPr>
          <w:noProof/>
        </w:rPr>
        <w:t>Целта на Международното споразумение за захарта от 1992 г. (наричано по-долу „споразумението“) е засилване на международното сътрудничество по въпросите с пряко или непряко отношение към световната захарна промишленост, създаване на рамка за междуправителствени консултации по въпросите на захарта и начините да се подобри световната захарна промишленост, улесняване на търговията чрез събиране и предоставяне на информация за световния пазар на захар и други подсладители и насърчаване на търсенето на захар, по-специално за нетрадиционни начини на употреба.</w:t>
      </w:r>
    </w:p>
    <w:p>
      <w:pPr>
        <w:rPr>
          <w:rFonts w:eastAsia="Arial Unicode MS"/>
          <w:noProof/>
        </w:rPr>
      </w:pPr>
      <w:r>
        <w:rPr>
          <w:noProof/>
        </w:rPr>
        <w:t>Споразумението влезе в сила на 1 януари 1993 г.</w:t>
      </w:r>
    </w:p>
    <w:p>
      <w:pPr>
        <w:rPr>
          <w:rFonts w:eastAsia="Arial Unicode MS"/>
          <w:noProof/>
        </w:rPr>
      </w:pPr>
      <w:r>
        <w:rPr>
          <w:noProof/>
        </w:rPr>
        <w:t>Съюзът е страна по споразумението.</w:t>
      </w:r>
      <w:r>
        <w:rPr>
          <w:rStyle w:val="FootnoteReference"/>
          <w:noProof/>
        </w:rPr>
        <w:footnoteReference w:id="1"/>
      </w:r>
    </w:p>
    <w:p>
      <w:pPr>
        <w:pStyle w:val="ManualHeading2"/>
        <w:rPr>
          <w:noProof/>
        </w:rPr>
      </w:pPr>
      <w:r>
        <w:t>2.2.</w:t>
      </w:r>
      <w:r>
        <w:tab/>
      </w:r>
      <w:r>
        <w:rPr>
          <w:noProof/>
        </w:rPr>
        <w:t>Международният съвет по захарта</w:t>
      </w:r>
    </w:p>
    <w:p>
      <w:pPr>
        <w:rPr>
          <w:rFonts w:eastAsia="Arial Unicode MS"/>
          <w:noProof/>
        </w:rPr>
      </w:pPr>
      <w:r>
        <w:rPr>
          <w:noProof/>
        </w:rPr>
        <w:t>Международният съвет по захарта е органът, с който се осигурява прилагането на разпоредбите на споразумението. Този орган приема правила и разпоредби, сред които правилник за своята дейност и за дейността на своите комитети, както и финансовите правила на Международната организация за захарта (МОЗ) и правилника за нейните служители. Международният съвет по захарта води необходимата документация и публикува годишен доклад и друга подходяща информация.</w:t>
      </w:r>
    </w:p>
    <w:p>
      <w:pPr>
        <w:rPr>
          <w:rFonts w:eastAsia="Arial Unicode MS"/>
          <w:noProof/>
        </w:rPr>
      </w:pPr>
      <w:r>
        <w:rPr>
          <w:noProof/>
        </w:rPr>
        <w:t xml:space="preserve">Членовете на споразумението притежават общо 2 000 гласа. Всеки член има определен брой гласове, който всяка година се преизчислява съобразно предварително определени в споразумението критерии. По принцип решенията и препоръките се приемат с консенсус, освен ако в споразумението не е предвидено друго. Ако консенсус не бъде постигнат, решенията се приемат с обикновено мнозинство, освен ако в споразумението не е предвидено специално гласуване. </w:t>
      </w:r>
    </w:p>
    <w:p>
      <w:pPr>
        <w:pStyle w:val="ManualHeading2"/>
        <w:rPr>
          <w:noProof/>
        </w:rPr>
      </w:pPr>
      <w:r>
        <w:t>2.3.</w:t>
      </w:r>
      <w:r>
        <w:tab/>
      </w:r>
      <w:r>
        <w:rPr>
          <w:noProof/>
        </w:rPr>
        <w:t>Предвиденият акт на Международния съвет по захарта</w:t>
      </w:r>
    </w:p>
    <w:p>
      <w:pPr>
        <w:rPr>
          <w:rFonts w:eastAsia="Arial Unicode MS"/>
          <w:noProof/>
        </w:rPr>
      </w:pPr>
      <w:r>
        <w:rPr>
          <w:noProof/>
        </w:rPr>
        <w:t xml:space="preserve">Споразумението бе сключено с Решение 92/580/ЕИО на Съвета и влезе в сила на 1 януари 1993 г. Първоначално то бе сключено за три години – до 31 декември 1995 г., като оттогава бе редовно продължавано за допълнителни периоди от по две години, както е предвидено в член 45 от него. Последно споразумението бе продължено през декември 2017 г., и е в сила до 31 декември 2019 г.  </w:t>
      </w:r>
    </w:p>
    <w:p>
      <w:pPr>
        <w:rPr>
          <w:rFonts w:eastAsia="Arial Unicode MS"/>
          <w:noProof/>
        </w:rPr>
      </w:pPr>
      <w:r>
        <w:rPr>
          <w:noProof/>
        </w:rPr>
        <w:t>По време на петдесет и петото си заседание, което ще се проведе на 19 юли 2019 г., Международният съвет по захарта ще вземе решение („предвидения акт“) за продължаване с още 2 години на срока на действие на Международното споразумение за захарта от 1992 г.</w:t>
      </w:r>
    </w:p>
    <w:p>
      <w:pPr>
        <w:rPr>
          <w:rFonts w:eastAsia="Arial Unicode MS"/>
          <w:noProof/>
        </w:rPr>
      </w:pPr>
      <w:r>
        <w:rPr>
          <w:noProof/>
        </w:rPr>
        <w:t>Целта на предвидения акт е да се позволи на МОЗ да продължи своята работа.</w:t>
      </w:r>
    </w:p>
    <w:p>
      <w:pPr>
        <w:rPr>
          <w:noProof/>
        </w:rPr>
      </w:pPr>
      <w:r>
        <w:rPr>
          <w:noProof/>
        </w:rPr>
        <w:t xml:space="preserve">Предвиденият акт е задължителен за страните по споразумението по силата на член 45, параграф 2 от него, който постановява: „Със специално гласуване Съветът може да продължи настоящото споразумение след 31 декември 1995 г., за последователни периоди, като всеки период е не по-дълъг от две години. Членовете, които не приемат така решеното продължение, съобщават това на Съвета писмено и престават да бъдат страни по настоящото споразумение, считано от началото на периода на продължаването срока на действие.“ </w:t>
      </w:r>
    </w:p>
    <w:p>
      <w:pPr>
        <w:rPr>
          <w:rFonts w:eastAsia="Arial Unicode MS"/>
          <w:noProof/>
        </w:rPr>
      </w:pPr>
      <w:r>
        <w:rPr>
          <w:noProof/>
        </w:rPr>
        <w:t>Споразумението ще бъде продължено за периода 1 януари 2020 г. — 31 декември 2021 г.</w:t>
      </w:r>
    </w:p>
    <w:p>
      <w:pPr>
        <w:pStyle w:val="ManualHeading1"/>
        <w:rPr>
          <w:rFonts w:eastAsia="Arial Unicode MS"/>
          <w:noProof/>
        </w:rPr>
      </w:pPr>
      <w:r>
        <w:t>3.</w:t>
      </w:r>
      <w:r>
        <w:tab/>
      </w:r>
      <w:r>
        <w:rPr>
          <w:noProof/>
        </w:rPr>
        <w:t>Позицията, която да се заеме от името на Съюза</w:t>
      </w:r>
    </w:p>
    <w:p>
      <w:pPr>
        <w:rPr>
          <w:noProof/>
        </w:rPr>
      </w:pPr>
      <w:r>
        <w:rPr>
          <w:noProof/>
        </w:rPr>
        <w:t xml:space="preserve">Международното споразумение за захарта от 1992 г. бе сключено с Решение 92/580/ЕИО на Съвета и влезе в сила на 1 януари 1993 г. за срок от три години – до 31 декември 1995 г. Оттогава срокът му редовно бе продължаван за допълнителни периоди от по две години. Последно, с решение на Международния съвет по захарта, взето на 1 декември 2017 г. по време на 52-рото му заседание, срокът на действие на споразумението бе продължен до 31 декември 2019 г. </w:t>
      </w:r>
    </w:p>
    <w:p>
      <w:pPr>
        <w:rPr>
          <w:noProof/>
        </w:rPr>
      </w:pPr>
      <w:r>
        <w:rPr>
          <w:noProof/>
        </w:rPr>
        <w:t>Съюзът винаги е бил активен член на МОЗ и е заинтересован от продължаването с още две години на срока на действие на споразумението. Съюзът е основен производител на захар и основен партньор в търговията със захар за много членове на МОЗ.</w:t>
      </w:r>
    </w:p>
    <w:p>
      <w:pPr>
        <w:rPr>
          <w:noProof/>
        </w:rPr>
      </w:pPr>
      <w:r>
        <w:rPr>
          <w:noProof/>
        </w:rPr>
        <w:t>52-та членове на МОЗ имат общо 2 000 гласа. ЕС се брои за един член. Всяко гласуване е с тежест 653 британски лири за административния бюджет за 2019 г. За бюджетните процедури (вж. член 25 от МСЗ от 1992 г.), т.е. за определяне на годишните финансови вноски на членовете, броят на отредените на Съюза гласове е 552, поради което дължимата вноска за 2019 г. възлиза на 360 456 британски лири. Тези стойности се изменят всяка година.</w:t>
      </w:r>
    </w:p>
    <w:p>
      <w:pPr>
        <w:rPr>
          <w:noProof/>
        </w:rPr>
      </w:pPr>
      <w:r>
        <w:rPr>
          <w:noProof/>
        </w:rPr>
        <w:t>Официалното решение за продължаването до 31 декември 2021 г. на срока на действие на споразумението е насрочено за 55-ото заседание на Международния съвет по захарта, което ще се проведе на 19 юли 2019 г. в Кернс, Австралия.</w:t>
      </w:r>
    </w:p>
    <w:p>
      <w:pPr>
        <w:rPr>
          <w:noProof/>
        </w:rPr>
      </w:pPr>
      <w:r>
        <w:rPr>
          <w:noProof/>
        </w:rPr>
        <w:t>От 2015 г. насам ЕС се опитва да започне да обсъжда с членовете на МОЗ път към осъвременяване на споразумението, тъй като съгласно него гласовете все така се разпределят според ситуацията на световния пазар на захар през 1992 г., а такова разпределяне не отразява актуалната ситуация на този пазар. Поради това финансовият принос на Съюза вече не отразява относителната му позиция на световния пазар на захар. С цел да се преодолеят тези несъответствия, на 23 ноември 2017 г. Съветът прие Решение на Съвета за упълномощаване на започването на преговори за изменение на Международното споразумение за захарта от 1992 г.</w:t>
      </w:r>
      <w:r>
        <w:rPr>
          <w:rStyle w:val="FootnoteReference"/>
          <w:noProof/>
        </w:rPr>
        <w:footnoteReference w:id="2"/>
      </w:r>
      <w:r>
        <w:rPr>
          <w:noProof/>
        </w:rPr>
        <w:t xml:space="preserve"> (наричано по-нататък „решението“). При тези преговори Комисията представи предложения за изменение на споразумението, които са в процес на обсъждане с други членове на МОЗ. Гласуването за продължаване на срока на действие на споразумението ще се проведе на същото заседание, на което ще се гласува и по изменението на споразумението. По дневен ред гласуването за изменение на споразумението предхожда гласуването за продължаване на срока му на действие. </w:t>
      </w:r>
    </w:p>
    <w:p>
      <w:pPr>
        <w:rPr>
          <w:noProof/>
        </w:rPr>
      </w:pPr>
      <w:r>
        <w:rPr>
          <w:noProof/>
        </w:rPr>
        <w:t xml:space="preserve">Настоящото предложение е за това Съветът да оправомощи Комисията да гласува от името на Съюза в Международния съвет по захарта за продължаване до 31 декември 2021 г. на срока на действие на споразумението. Тази позиция обаче следва да бъде предхождана от положително решение от Съвета на МОЗ по предложението за изменение на споразумението. В противен случай Съюзът следва да възпрепятства приемането с консенсус на решение за продължаване на срока на действие на споразумението, да се въздържи от последващо гласуване по този въпрос и да се допита отново до Съвета. При отсъствието на кворум за специално гласуване, въздържането на Съюза ще означава, че на това заседание решение за продължаване на срока на действие на споразумението няма да бъде взето и че въпросът най-вероятно ще бъде отложен за следващото заседание през ноември 2019 г. При наличието на кворум ще бъде взето обвързващо за Съюза решение за продължаване на срока на действие на споразумението. Въпреки това въздържането се предпочита пред отрицателен вот, тъй като такова гласуване ще бъде недвусмислен политически сигнал, без при това да се попречи срокът на действие на споразумението да бъде продължен; ЕС обаче ще запази възможността да се оттегли от него. По силата на член 45, параграф 2 от споразумението, за да се оттегли от него Съюзът трябва писмено да уведоми МОЗ за това си намерение. В такъв случай ще е необходимо ново решение на Съвета.  </w:t>
      </w:r>
    </w:p>
    <w:p>
      <w:pPr>
        <w:pStyle w:val="ManualHeading1"/>
        <w:rPr>
          <w:noProof/>
        </w:rPr>
      </w:pPr>
      <w:r>
        <w:t>4.</w:t>
      </w:r>
      <w:r>
        <w:tab/>
      </w:r>
      <w:r>
        <w:rPr>
          <w:noProof/>
        </w:rPr>
        <w:t>Правно основание</w:t>
      </w:r>
      <w:r>
        <w:rPr>
          <w:noProof/>
        </w:rPr>
        <w:tab/>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определяне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Понятието „</w:t>
      </w:r>
      <w:r>
        <w:rPr>
          <w:i/>
          <w:noProof/>
        </w:rPr>
        <w:t>актове с правно действие</w:t>
      </w:r>
      <w:r>
        <w:rPr>
          <w:noProof/>
        </w:rPr>
        <w:t>“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3"/>
      </w:r>
      <w:r>
        <w:rPr>
          <w:noProof/>
        </w:rPr>
        <w:t>.</w:t>
      </w:r>
    </w:p>
    <w:p>
      <w:pPr>
        <w:pStyle w:val="ManualHeading3"/>
        <w:rPr>
          <w:noProof/>
        </w:rPr>
      </w:pPr>
      <w:r>
        <w:t>4.1.2.</w:t>
      </w:r>
      <w:r>
        <w:tab/>
      </w:r>
      <w:r>
        <w:rPr>
          <w:noProof/>
        </w:rPr>
        <w:t>Приложение в конкретния случай</w:t>
      </w:r>
    </w:p>
    <w:p>
      <w:pPr>
        <w:rPr>
          <w:noProof/>
        </w:rPr>
      </w:pPr>
      <w:r>
        <w:rPr>
          <w:noProof/>
        </w:rPr>
        <w:t xml:space="preserve">С предвидения акт на Международния съвет по захарта се продължава срокът на действие на споразумението, което представлява международно споразумение с обвързваща сила за Съюза. Поради това предвиденият акт поражда правни последици. </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по силата на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а другата – само като акцесорна, решението по силата на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pPr>
        <w:rPr>
          <w:noProof/>
        </w:rPr>
      </w:pPr>
      <w:r>
        <w:rPr>
          <w:noProof/>
        </w:rPr>
        <w:t xml:space="preserve">Основната цел и съдържанието на предвидения акт са свързани с общата търговска политика (търговия със селскостопански продукти). </w:t>
      </w:r>
    </w:p>
    <w:p>
      <w:pPr>
        <w:rPr>
          <w:i/>
          <w:noProof/>
        </w:rPr>
      </w:pPr>
      <w:r>
        <w:rPr>
          <w:noProof/>
        </w:rPr>
        <w:t>Поради това материалноправното основание за предложеното решение е член 207 от ДФЕС.</w:t>
      </w:r>
    </w:p>
    <w:p>
      <w:pPr>
        <w:pStyle w:val="ManualHeading2"/>
        <w:rPr>
          <w:noProof/>
        </w:rPr>
      </w:pPr>
      <w:r>
        <w:t>4.3.</w:t>
      </w:r>
      <w:r>
        <w:tab/>
      </w:r>
      <w:r>
        <w:rPr>
          <w:noProof/>
        </w:rPr>
        <w:t>Заключение</w:t>
      </w:r>
    </w:p>
    <w:p>
      <w:pPr>
        <w:rPr>
          <w:noProof/>
        </w:rPr>
      </w:pPr>
      <w:r>
        <w:rPr>
          <w:noProof/>
        </w:rPr>
        <w:t>Правното основание на предложеното решение следва да бъде член 207 от ДФЕС във връзка с член 218, параграф 9 от ДФЕС.</w:t>
      </w:r>
    </w:p>
    <w:p>
      <w:pPr>
        <w:pStyle w:val="ManualHeading1"/>
        <w:rPr>
          <w:noProof/>
        </w:rPr>
      </w:pPr>
      <w:r>
        <w:t>5.</w:t>
      </w:r>
      <w:r>
        <w:tab/>
      </w:r>
      <w:r>
        <w:rPr>
          <w:noProof/>
        </w:rPr>
        <w:t>Публикуване на предвидения акт</w:t>
      </w:r>
    </w:p>
    <w:p>
      <w:pPr>
        <w:rPr>
          <w:noProof/>
        </w:rPr>
      </w:pPr>
      <w:r>
        <w:rPr>
          <w:noProof/>
        </w:rPr>
        <w:t xml:space="preserve">Тъй като с акта на Международния съвет по захарта ще се измени споразумението, е целесъобразно след приемането му той да бъде публикуван в </w:t>
      </w:r>
      <w:r>
        <w:rPr>
          <w:i/>
          <w:noProof/>
        </w:rPr>
        <w:t>Официален вестник на Европейския съюз</w:t>
      </w:r>
      <w:r>
        <w:rPr>
          <w:noProof/>
        </w:rPr>
        <w:t>.</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2019/0139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позицията, която да се заеме в Международния съвет по захарта от името на Европейския съюз по продължаването на срока на действие на Международното споразумение за захарта от 1992 г.</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Международното споразумение за захарта („споразумението “) бе сключено с Решение 92/580/ЕИО на Съвета</w:t>
      </w:r>
      <w:r>
        <w:rPr>
          <w:rStyle w:val="FootnoteReference"/>
          <w:noProof/>
        </w:rPr>
        <w:footnoteReference w:id="4"/>
      </w:r>
      <w:r>
        <w:rPr>
          <w:noProof/>
        </w:rPr>
        <w:t xml:space="preserve"> и влезе в сила на 1 януари 1993 г. Първоначално споразумението бе сключено за три години – до 31 декември 1995 г., като оттогава бе редовно продължавано за допълнителни периоди от по две години. Последно срокът на споразумението бе продължен с решение на Международния съвет по захарта през декември 2017 г.</w:t>
      </w:r>
      <w:r>
        <w:rPr>
          <w:rStyle w:val="FootnoteReference"/>
          <w:noProof/>
        </w:rPr>
        <w:footnoteReference w:id="5"/>
      </w:r>
      <w:r>
        <w:rPr>
          <w:noProof/>
        </w:rPr>
        <w:t xml:space="preserve"> и остава в сила до 31 декември 2019 г. </w:t>
      </w:r>
    </w:p>
    <w:p>
      <w:pPr>
        <w:pStyle w:val="ManualConsidrant"/>
        <w:rPr>
          <w:noProof/>
        </w:rPr>
      </w:pPr>
      <w:r>
        <w:t>(2)</w:t>
      </w:r>
      <w:r>
        <w:tab/>
      </w:r>
      <w:r>
        <w:rPr>
          <w:noProof/>
        </w:rPr>
        <w:t xml:space="preserve">По силата на член 45, параграф 2 от споразумението Международният съвет по захарта може да продължава срока на действие на споразумението с последователни периоди, всеки от които не превишава две години. </w:t>
      </w:r>
    </w:p>
    <w:p>
      <w:pPr>
        <w:pStyle w:val="ManualConsidrant"/>
        <w:rPr>
          <w:noProof/>
        </w:rPr>
      </w:pPr>
      <w:r>
        <w:t>(3)</w:t>
      </w:r>
      <w:r>
        <w:tab/>
      </w:r>
      <w:r>
        <w:rPr>
          <w:noProof/>
        </w:rPr>
        <w:t xml:space="preserve">По време на 55-ото си заседание, което ще се проведе на 19 юли 2019 г., Международният съвет по захарта се очаква да вземе решение за продължаване до 31 декември 2021 г. на срока на действие на споразумението.    </w:t>
      </w:r>
    </w:p>
    <w:p>
      <w:pPr>
        <w:pStyle w:val="ManualConsidrant"/>
        <w:rPr>
          <w:noProof/>
        </w:rPr>
      </w:pPr>
      <w:r>
        <w:t>(4)</w:t>
      </w:r>
      <w:r>
        <w:tab/>
      </w:r>
      <w:r>
        <w:rPr>
          <w:noProof/>
        </w:rPr>
        <w:t>В рамките на същото 55-то заседание и преди да вземе решение за продължаването на срока на действие на споразумението, Международният съвет по захарта ще гласува по представено от Съюза предложение за изменение на споразумението. Това предложение е резултат от преговорите, водени от Комисията в резултат на разрешение от Съвета за започване на преговори от името на Съюза за изменения на споразумението, както е посочено в решението на Съвета от 23 ноември 2017 г. за разрешаване на започването на преговори за изменение на Международното споразумение за захарта от 1992 г.</w:t>
      </w:r>
      <w:r>
        <w:rPr>
          <w:rStyle w:val="FootnoteReference"/>
          <w:noProof/>
        </w:rPr>
        <w:footnoteReference w:id="6"/>
      </w:r>
      <w:r>
        <w:rPr>
          <w:noProof/>
        </w:rPr>
        <w:t xml:space="preserve"> </w:t>
      </w:r>
    </w:p>
    <w:p>
      <w:pPr>
        <w:pStyle w:val="ManualConsidrant"/>
        <w:rPr>
          <w:noProof/>
        </w:rPr>
      </w:pPr>
      <w:r>
        <w:t>(5)</w:t>
      </w:r>
      <w:r>
        <w:tab/>
      </w:r>
      <w:r>
        <w:rPr>
          <w:noProof/>
        </w:rPr>
        <w:t xml:space="preserve">Евентуално отхвърляне на предложението за изменение на споразумението би било в разрез с целите на Съюза за модернизиране на споразумението и би поставило под въпрос ползата от продължаване на срока му на действие. </w:t>
      </w:r>
    </w:p>
    <w:p>
      <w:pPr>
        <w:pStyle w:val="ManualConsidrant"/>
        <w:rPr>
          <w:noProof/>
        </w:rPr>
      </w:pPr>
      <w:r>
        <w:t>(6)</w:t>
      </w:r>
      <w:r>
        <w:tab/>
      </w:r>
      <w:r>
        <w:rPr>
          <w:noProof/>
        </w:rPr>
        <w:t xml:space="preserve">Целесъобразно е да се определи позицията, която да се заеме от името на Съюза, по продължаването на срока на действие на споразумението. При условие че се приеме споразумението да бъде изменено, продължаването на срока му на действие е в интерес на Съюза, </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Комисията трябва да заеме от името на Съюза, е гласуване в подкрепа на продължаването на срока на действие на Международното споразумение за захарта от 1992 г. за допълнителен срок до две години – до 31 декември 2021 г.</w:t>
      </w:r>
    </w:p>
    <w:p>
      <w:pPr>
        <w:rPr>
          <w:noProof/>
        </w:rPr>
      </w:pPr>
      <w:r>
        <w:rPr>
          <w:noProof/>
        </w:rPr>
        <w:t xml:space="preserve">Ако обаче Международният съвет по захарта не е гласувал в подкрепа на предложението за изменение на споразумението, Комисията ще се противопостави на взимането с консенсус на решение за продължаване на срока на действие на Международното споразумение за захарта от 1992 г. и ще се въздържи от последващо гласуване по този въпрос. </w:t>
      </w:r>
    </w:p>
    <w:p>
      <w:pPr>
        <w:rPr>
          <w:noProof/>
        </w:rPr>
      </w:pPr>
    </w:p>
    <w:p>
      <w:pPr>
        <w:pStyle w:val="Titrearticle"/>
        <w:rPr>
          <w:noProof/>
        </w:rPr>
      </w:pPr>
      <w:r>
        <w:rPr>
          <w:noProof/>
        </w:rPr>
        <w:t>Член 2</w:t>
      </w:r>
    </w:p>
    <w:p>
      <w:pPr>
        <w:rPr>
          <w:noProof/>
        </w:rPr>
      </w:pPr>
      <w:r>
        <w:rPr>
          <w:noProof/>
        </w:rPr>
        <w:t>Адресат на настоящото решение е Комисията.</w:t>
      </w:r>
    </w:p>
    <w:p>
      <w:pPr>
        <w:keepNext/>
        <w:keepLines/>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keepNext/>
        <w:rPr>
          <w:noProof/>
        </w:rPr>
      </w:pPr>
      <w:r>
        <w:rPr>
          <w:noProof/>
        </w:rPr>
        <w:tab/>
        <w:t>Председател</w:t>
      </w:r>
    </w:p>
    <w:p>
      <w:pPr>
        <w:pStyle w:val="Fichefinanciretitre"/>
        <w:keepNext/>
        <w:rPr>
          <w:noProof/>
        </w:rPr>
        <w:sectPr>
          <w:pgSz w:w="11907" w:h="16839"/>
          <w:pgMar w:top="1134" w:right="1417" w:bottom="1134" w:left="1417" w:header="709" w:footer="709" w:gutter="0"/>
          <w:cols w:space="708"/>
          <w:docGrid w:linePitch="36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67"/>
        <w:gridCol w:w="3884"/>
        <w:gridCol w:w="1417"/>
        <w:gridCol w:w="1276"/>
        <w:gridCol w:w="283"/>
        <w:gridCol w:w="851"/>
        <w:gridCol w:w="850"/>
      </w:tblGrid>
      <w:tr>
        <w:trPr>
          <w:trHeight w:val="355"/>
        </w:trPr>
        <w:tc>
          <w:tcPr>
            <w:tcW w:w="7144" w:type="dxa"/>
            <w:gridSpan w:val="4"/>
            <w:vMerge w:val="restart"/>
          </w:tcPr>
          <w:p>
            <w:pPr>
              <w:pStyle w:val="Fichefinanciretitretable"/>
              <w:keepNext/>
              <w:rPr>
                <w:noProof/>
              </w:rPr>
            </w:pPr>
            <w:r>
              <w:rPr>
                <w:noProof/>
              </w:rPr>
              <w:t>ФИНАНСОВА ОБОСНОВКА</w:t>
            </w:r>
          </w:p>
        </w:tc>
        <w:tc>
          <w:tcPr>
            <w:tcW w:w="1984" w:type="dxa"/>
            <w:gridSpan w:val="3"/>
          </w:tcPr>
          <w:p>
            <w:pPr>
              <w:pStyle w:val="Fichefinanciretextetable"/>
              <w:keepNext/>
              <w:rPr>
                <w:noProof/>
              </w:rPr>
            </w:pPr>
            <w:r>
              <w:t>FinancSt/10/</w:t>
            </w:r>
            <w:r>
              <w:rPr>
                <w:noProof/>
              </w:rPr>
              <w:t>PS/pl/</w:t>
            </w:r>
          </w:p>
          <w:p>
            <w:pPr>
              <w:pStyle w:val="Fichefinanciretextetable"/>
              <w:keepNext/>
            </w:pPr>
            <w:r>
              <w:t>agri.ddg3.g.4(2019)1278657</w:t>
            </w:r>
          </w:p>
        </w:tc>
      </w:tr>
      <w:tr>
        <w:trPr>
          <w:trHeight w:val="355"/>
        </w:trPr>
        <w:tc>
          <w:tcPr>
            <w:tcW w:w="7144" w:type="dxa"/>
            <w:gridSpan w:val="4"/>
            <w:vMerge/>
            <w:tcBorders>
              <w:bottom w:val="nil"/>
            </w:tcBorders>
          </w:tcPr>
          <w:p>
            <w:pPr>
              <w:pStyle w:val="Fichefinanciretitretable"/>
              <w:keepNext/>
              <w:rPr>
                <w:noProof/>
              </w:rPr>
            </w:pPr>
          </w:p>
        </w:tc>
        <w:tc>
          <w:tcPr>
            <w:tcW w:w="1984" w:type="dxa"/>
            <w:gridSpan w:val="3"/>
          </w:tcPr>
          <w:p>
            <w:pPr>
              <w:pStyle w:val="Fichefinanciretextetable"/>
              <w:keepNext/>
            </w:pPr>
            <w:r>
              <w:rPr>
                <w:noProof/>
              </w:rPr>
              <w:t>6.221.2019.1</w:t>
            </w:r>
          </w:p>
        </w:tc>
      </w:tr>
      <w:tr>
        <w:tc>
          <w:tcPr>
            <w:tcW w:w="7144" w:type="dxa"/>
            <w:gridSpan w:val="4"/>
            <w:tcBorders>
              <w:top w:val="nil"/>
            </w:tcBorders>
          </w:tcPr>
          <w:p>
            <w:pPr>
              <w:pStyle w:val="Fichefinanciretextetable"/>
              <w:keepNext/>
              <w:rPr>
                <w:noProof/>
              </w:rPr>
            </w:pPr>
          </w:p>
        </w:tc>
        <w:tc>
          <w:tcPr>
            <w:tcW w:w="1984" w:type="dxa"/>
            <w:gridSpan w:val="3"/>
          </w:tcPr>
          <w:p>
            <w:pPr>
              <w:pStyle w:val="Fichefinanciretextetable"/>
              <w:keepNext/>
            </w:pPr>
            <w:r>
              <w:rPr>
                <w:noProof/>
              </w:rPr>
              <w:t xml:space="preserve">ДАТА: </w:t>
            </w:r>
            <w:r>
              <w:t>8.5.2019 г.</w:t>
            </w:r>
          </w:p>
          <w:p>
            <w:pPr>
              <w:pStyle w:val="Fichefinanciretextetable"/>
              <w:keepNext/>
              <w:rPr>
                <w:noProof/>
              </w:rPr>
            </w:pPr>
          </w:p>
        </w:tc>
      </w:tr>
      <w:tr>
        <w:tc>
          <w:tcPr>
            <w:tcW w:w="567" w:type="dxa"/>
            <w:tcBorders>
              <w:right w:val="nil"/>
            </w:tcBorders>
          </w:tcPr>
          <w:p>
            <w:pPr>
              <w:pStyle w:val="Fichefinanciretextetable"/>
              <w:keepNext/>
              <w:rPr>
                <w:noProof/>
              </w:rPr>
            </w:pPr>
            <w:r>
              <w:rPr>
                <w:noProof/>
              </w:rPr>
              <w:t>1.</w:t>
            </w:r>
          </w:p>
        </w:tc>
        <w:tc>
          <w:tcPr>
            <w:tcW w:w="6577" w:type="dxa"/>
            <w:gridSpan w:val="3"/>
            <w:tcBorders>
              <w:left w:val="nil"/>
              <w:right w:val="nil"/>
            </w:tcBorders>
          </w:tcPr>
          <w:p>
            <w:pPr>
              <w:pStyle w:val="Fichefinanciretextetable"/>
              <w:keepNext/>
              <w:rPr>
                <w:noProof/>
              </w:rPr>
            </w:pPr>
            <w:r>
              <w:rPr>
                <w:noProof/>
              </w:rPr>
              <w:t>БЮДЖЕТЕН РЕД:</w:t>
            </w:r>
          </w:p>
          <w:p>
            <w:pPr>
              <w:pStyle w:val="Fichefinanciretextetable"/>
              <w:keepNext/>
              <w:rPr>
                <w:noProof/>
              </w:rPr>
            </w:pPr>
            <w:r>
              <w:rPr>
                <w:noProof/>
              </w:rPr>
              <w:t>ГЛАВА 05 06 — МЕЖДУНАРОДНИ АСПЕКТИ В ОБЛАСТ НА ПОЛИТИКАТА „ЗЕМЕДЕЛИЕ И РАЗВИТИЕ НА СЕЛСКИТЕ РАЙОНИ“</w:t>
            </w:r>
          </w:p>
          <w:p>
            <w:pPr>
              <w:pStyle w:val="Fichefinanciretextetable"/>
              <w:keepNext/>
              <w:rPr>
                <w:noProof/>
              </w:rPr>
            </w:pPr>
            <w:r>
              <w:rPr>
                <w:noProof/>
              </w:rPr>
              <w:t>05 06 01 - Международни споразумения в сферата на селското стопанство</w:t>
            </w:r>
          </w:p>
          <w:p>
            <w:pPr>
              <w:pStyle w:val="Fichefinanciretextetable"/>
              <w:keepNext/>
              <w:rPr>
                <w:noProof/>
              </w:rPr>
            </w:pPr>
          </w:p>
        </w:tc>
        <w:tc>
          <w:tcPr>
            <w:tcW w:w="1984" w:type="dxa"/>
            <w:gridSpan w:val="3"/>
            <w:tcBorders>
              <w:left w:val="nil"/>
            </w:tcBorders>
          </w:tcPr>
          <w:p>
            <w:pPr>
              <w:pStyle w:val="Fichefinanciretextetable"/>
              <w:keepNext/>
              <w:rPr>
                <w:noProof/>
              </w:rPr>
            </w:pPr>
            <w:r>
              <w:rPr>
                <w:noProof/>
              </w:rPr>
              <w:t>БЮДЖЕТНИ КРЕДИТИ:</w:t>
            </w:r>
          </w:p>
          <w:p>
            <w:pPr>
              <w:pStyle w:val="Fichefinanciretextetable"/>
              <w:keepNext/>
              <w:rPr>
                <w:noProof/>
              </w:rPr>
            </w:pPr>
            <w:r>
              <w:rPr>
                <w:noProof/>
              </w:rPr>
              <w:t xml:space="preserve">B2019 </w:t>
            </w:r>
            <w:r>
              <w:t xml:space="preserve"> 6 300 000 </w:t>
            </w:r>
            <w:r>
              <w:rPr>
                <w:noProof/>
              </w:rPr>
              <w:t>EUR</w:t>
            </w:r>
          </w:p>
        </w:tc>
      </w:tr>
      <w:tr>
        <w:tc>
          <w:tcPr>
            <w:tcW w:w="567" w:type="dxa"/>
            <w:tcBorders>
              <w:bottom w:val="nil"/>
              <w:right w:val="nil"/>
            </w:tcBorders>
          </w:tcPr>
          <w:p>
            <w:pPr>
              <w:pStyle w:val="Fichefinanciretextetable"/>
              <w:keepNext/>
              <w:rPr>
                <w:noProof/>
              </w:rPr>
            </w:pPr>
            <w:r>
              <w:rPr>
                <w:noProof/>
              </w:rPr>
              <w:t>2.</w:t>
            </w:r>
          </w:p>
        </w:tc>
        <w:tc>
          <w:tcPr>
            <w:tcW w:w="8561" w:type="dxa"/>
            <w:gridSpan w:val="6"/>
            <w:tcBorders>
              <w:left w:val="nil"/>
            </w:tcBorders>
          </w:tcPr>
          <w:p>
            <w:pPr>
              <w:pStyle w:val="Fichefinanciretextetable"/>
              <w:keepNext/>
              <w:rPr>
                <w:noProof/>
              </w:rPr>
            </w:pPr>
            <w:r>
              <w:rPr>
                <w:noProof/>
              </w:rPr>
              <w:t>ЗАГЛАВИЕ:</w:t>
            </w:r>
          </w:p>
          <w:p>
            <w:pPr>
              <w:pStyle w:val="Fichefinanciretextetable"/>
              <w:keepNext/>
              <w:rPr>
                <w:noProof/>
              </w:rPr>
            </w:pPr>
            <w:r>
              <w:rPr>
                <w:noProof/>
              </w:rPr>
              <w:t>Предложение за Решение на Съвета за позицията, която да се заеме в Международния съвет по захарта от името на Европейския съюз по продължаването на срока на действие на Международното споразумение за захарта от 1992 г.</w:t>
            </w:r>
          </w:p>
          <w:p>
            <w:pPr>
              <w:pStyle w:val="Fichefinanciretextetable"/>
              <w:keepNext/>
              <w:rPr>
                <w:noProof/>
              </w:rPr>
            </w:pPr>
          </w:p>
          <w:p>
            <w:pPr>
              <w:pStyle w:val="Fichefinanciretextetable"/>
              <w:keepNext/>
              <w:rPr>
                <w:noProof/>
              </w:rPr>
            </w:pPr>
          </w:p>
        </w:tc>
      </w:tr>
      <w:tr>
        <w:tc>
          <w:tcPr>
            <w:tcW w:w="567" w:type="dxa"/>
            <w:tcBorders>
              <w:bottom w:val="nil"/>
              <w:right w:val="nil"/>
            </w:tcBorders>
          </w:tcPr>
          <w:p>
            <w:pPr>
              <w:pStyle w:val="Fichefinanciretextetable"/>
              <w:keepNext/>
              <w:rPr>
                <w:noProof/>
              </w:rPr>
            </w:pPr>
            <w:r>
              <w:rPr>
                <w:noProof/>
              </w:rPr>
              <w:t>3.</w:t>
            </w:r>
          </w:p>
        </w:tc>
        <w:tc>
          <w:tcPr>
            <w:tcW w:w="8561" w:type="dxa"/>
            <w:gridSpan w:val="6"/>
            <w:tcBorders>
              <w:left w:val="nil"/>
            </w:tcBorders>
          </w:tcPr>
          <w:p>
            <w:pPr>
              <w:pStyle w:val="Fichefinanciretextetable"/>
              <w:keepNext/>
              <w:rPr>
                <w:noProof/>
              </w:rPr>
            </w:pPr>
            <w:r>
              <w:rPr>
                <w:noProof/>
              </w:rPr>
              <w:t>ПРАВНО ОСНОВАНИЕ: Член 207 във връзка с член 218, параграф 9 от Договора за функционирането на Европейския съюз</w:t>
            </w:r>
          </w:p>
          <w:p>
            <w:pPr>
              <w:pStyle w:val="Fichefinanciretextetable"/>
              <w:keepNext/>
              <w:rPr>
                <w:noProof/>
              </w:rPr>
            </w:pPr>
          </w:p>
        </w:tc>
      </w:tr>
      <w:tr>
        <w:tc>
          <w:tcPr>
            <w:tcW w:w="567" w:type="dxa"/>
            <w:tcBorders>
              <w:right w:val="nil"/>
            </w:tcBorders>
          </w:tcPr>
          <w:p>
            <w:pPr>
              <w:pStyle w:val="Fichefinanciretextetable"/>
              <w:keepNext/>
              <w:rPr>
                <w:noProof/>
              </w:rPr>
            </w:pPr>
            <w:r>
              <w:rPr>
                <w:noProof/>
              </w:rPr>
              <w:t>4.</w:t>
            </w:r>
          </w:p>
        </w:tc>
        <w:tc>
          <w:tcPr>
            <w:tcW w:w="8561" w:type="dxa"/>
            <w:gridSpan w:val="6"/>
            <w:tcBorders>
              <w:left w:val="nil"/>
            </w:tcBorders>
          </w:tcPr>
          <w:p>
            <w:pPr>
              <w:pStyle w:val="Fichefinanciretextetable"/>
              <w:keepNext/>
              <w:rPr>
                <w:noProof/>
              </w:rPr>
            </w:pPr>
            <w:r>
              <w:rPr>
                <w:noProof/>
              </w:rPr>
              <w:t>ЦЕЛИ:</w:t>
            </w:r>
          </w:p>
          <w:p>
            <w:pPr>
              <w:pStyle w:val="Fichefinanciretextetable"/>
              <w:keepNext/>
            </w:pPr>
            <w:r>
              <w:t>Продължаване с още две години на срока на действие на съществуващото Международно споразумение за захарта (1.1.2020—31.12.2021 г.).</w:t>
            </w:r>
          </w:p>
          <w:p>
            <w:pPr>
              <w:pStyle w:val="Fichefinanciretextetable"/>
              <w:keepNext/>
              <w:rPr>
                <w:noProof/>
              </w:rPr>
            </w:pPr>
          </w:p>
        </w:tc>
      </w:tr>
      <w:tr>
        <w:tc>
          <w:tcPr>
            <w:tcW w:w="567" w:type="dxa"/>
            <w:tcBorders>
              <w:bottom w:val="nil"/>
              <w:right w:val="nil"/>
            </w:tcBorders>
          </w:tcPr>
          <w:p>
            <w:pPr>
              <w:pStyle w:val="Fichefinanciretextetable"/>
              <w:keepNext/>
              <w:rPr>
                <w:noProof/>
              </w:rPr>
            </w:pPr>
            <w:r>
              <w:rPr>
                <w:noProof/>
              </w:rPr>
              <w:t>5.</w:t>
            </w:r>
          </w:p>
        </w:tc>
        <w:tc>
          <w:tcPr>
            <w:tcW w:w="3884" w:type="dxa"/>
            <w:tcBorders>
              <w:left w:val="nil"/>
            </w:tcBorders>
          </w:tcPr>
          <w:p>
            <w:pPr>
              <w:pStyle w:val="Fichefinanciretextetable"/>
              <w:keepNext/>
              <w:rPr>
                <w:noProof/>
              </w:rPr>
            </w:pPr>
            <w:r>
              <w:rPr>
                <w:noProof/>
              </w:rPr>
              <w:t>ФИНАНСОВО ОТРАЖЕНИЕ</w:t>
            </w:r>
          </w:p>
        </w:tc>
        <w:tc>
          <w:tcPr>
            <w:tcW w:w="1417" w:type="dxa"/>
          </w:tcPr>
          <w:p>
            <w:pPr>
              <w:pStyle w:val="Fichefinanciretextetable"/>
              <w:keepNext/>
              <w:jc w:val="center"/>
              <w:rPr>
                <w:noProof/>
              </w:rPr>
            </w:pPr>
            <w:r>
              <w:rPr>
                <w:noProof/>
              </w:rPr>
              <w:t>ПЕРИОД ОТ 12 МЕСЕЦА</w:t>
            </w:r>
            <w:r>
              <w:rPr>
                <w:noProof/>
              </w:rPr>
              <w:br/>
            </w:r>
            <w:r>
              <w:rPr>
                <w:noProof/>
              </w:rPr>
              <w:br/>
            </w:r>
            <w:r>
              <w:rPr>
                <w:noProof/>
              </w:rPr>
              <w:br/>
              <w:t>(в млн. евро)</w:t>
            </w:r>
          </w:p>
        </w:tc>
        <w:tc>
          <w:tcPr>
            <w:tcW w:w="1559" w:type="dxa"/>
            <w:gridSpan w:val="2"/>
          </w:tcPr>
          <w:p>
            <w:pPr>
              <w:pStyle w:val="Fichefinanciretextetable"/>
              <w:keepNext/>
              <w:jc w:val="center"/>
              <w:rPr>
                <w:noProof/>
              </w:rPr>
            </w:pPr>
            <w:r>
              <w:rPr>
                <w:noProof/>
              </w:rPr>
              <w:t>ТЕКУЩА ФИНАНСОВА ГОДИНА</w:t>
            </w:r>
          </w:p>
          <w:p>
            <w:pPr>
              <w:pStyle w:val="Fichefinanciretextetable"/>
              <w:keepNext/>
              <w:jc w:val="center"/>
            </w:pPr>
            <w:r>
              <w:t>2019 г.</w:t>
            </w:r>
          </w:p>
          <w:p>
            <w:pPr>
              <w:pStyle w:val="Fichefinanciretextetable"/>
              <w:keepNext/>
              <w:jc w:val="center"/>
              <w:rPr>
                <w:noProof/>
              </w:rPr>
            </w:pPr>
            <w:r>
              <w:rPr>
                <w:noProof/>
              </w:rPr>
              <w:t>(в млн. евро)</w:t>
            </w:r>
          </w:p>
        </w:tc>
        <w:tc>
          <w:tcPr>
            <w:tcW w:w="1701" w:type="dxa"/>
            <w:gridSpan w:val="2"/>
          </w:tcPr>
          <w:p>
            <w:pPr>
              <w:pStyle w:val="Fichefinanciretextetable"/>
              <w:keepNext/>
              <w:jc w:val="center"/>
              <w:rPr>
                <w:noProof/>
              </w:rPr>
            </w:pPr>
            <w:r>
              <w:rPr>
                <w:noProof/>
              </w:rPr>
              <w:t>СЛЕДВАЩА ФИНАНСОВА ГОДИНА</w:t>
            </w:r>
          </w:p>
          <w:p>
            <w:pPr>
              <w:pStyle w:val="Fichefinanciretextetable"/>
              <w:keepNext/>
              <w:jc w:val="center"/>
            </w:pPr>
            <w:r>
              <w:t>2020 г.</w:t>
            </w:r>
          </w:p>
          <w:p>
            <w:pPr>
              <w:pStyle w:val="Fichefinanciretextetable"/>
              <w:keepNext/>
              <w:jc w:val="center"/>
              <w:rPr>
                <w:noProof/>
              </w:rPr>
            </w:pPr>
            <w:r>
              <w:rPr>
                <w:noProof/>
              </w:rPr>
              <w:t>(в млн. евро)</w:t>
            </w:r>
          </w:p>
        </w:tc>
      </w:tr>
      <w:tr>
        <w:tc>
          <w:tcPr>
            <w:tcW w:w="567" w:type="dxa"/>
            <w:tcBorders>
              <w:bottom w:val="nil"/>
              <w:right w:val="nil"/>
            </w:tcBorders>
          </w:tcPr>
          <w:p>
            <w:pPr>
              <w:pStyle w:val="Fichefinanciretextetable"/>
              <w:keepNext/>
              <w:rPr>
                <w:noProof/>
              </w:rPr>
            </w:pPr>
            <w:r>
              <w:rPr>
                <w:noProof/>
              </w:rPr>
              <w:t>5.0</w:t>
            </w:r>
          </w:p>
        </w:tc>
        <w:tc>
          <w:tcPr>
            <w:tcW w:w="3884" w:type="dxa"/>
            <w:tcBorders>
              <w:left w:val="nil"/>
            </w:tcBorders>
          </w:tcPr>
          <w:p>
            <w:pPr>
              <w:pStyle w:val="Fichefinanciretextetable"/>
              <w:keepNext/>
              <w:rPr>
                <w:noProof/>
              </w:rPr>
            </w:pPr>
            <w:r>
              <w:rPr>
                <w:noProof/>
              </w:rPr>
              <w:t>РАЗХОДИ</w:t>
            </w:r>
          </w:p>
          <w:p>
            <w:pPr>
              <w:pStyle w:val="Fichefinanciretextetable"/>
              <w:keepNext/>
              <w:rPr>
                <w:noProof/>
              </w:rPr>
            </w:pPr>
            <w:r>
              <w:rPr>
                <w:noProof/>
              </w:rPr>
              <w:t>—</w:t>
            </w:r>
            <w:r>
              <w:rPr>
                <w:noProof/>
              </w:rPr>
              <w:tab/>
              <w:t>ЗА СМЕТКА НА БЮДЖЕТА НА ЕС</w:t>
            </w:r>
            <w:r>
              <w:rPr>
                <w:noProof/>
              </w:rPr>
              <w:br/>
              <w:t>(ВЪЗСТАНОВЯВАНИЯ/ИНТЕРВЕНЦИИ)</w:t>
            </w:r>
          </w:p>
          <w:p>
            <w:pPr>
              <w:pStyle w:val="Fichefinanciretextetable"/>
              <w:keepNext/>
              <w:rPr>
                <w:noProof/>
              </w:rPr>
            </w:pPr>
            <w:r>
              <w:rPr>
                <w:noProof/>
              </w:rPr>
              <w:t>—</w:t>
            </w:r>
            <w:r>
              <w:rPr>
                <w:noProof/>
              </w:rPr>
              <w:tab/>
              <w:t>НА НАЦИОНАЛНИТЕ ОРГАНИ</w:t>
            </w:r>
          </w:p>
          <w:p>
            <w:pPr>
              <w:pStyle w:val="Fichefinanciretextetable"/>
              <w:keepNext/>
              <w:rPr>
                <w:noProof/>
              </w:rPr>
            </w:pPr>
            <w:r>
              <w:rPr>
                <w:noProof/>
              </w:rPr>
              <w:t>—</w:t>
            </w:r>
            <w:r>
              <w:rPr>
                <w:noProof/>
              </w:rPr>
              <w:tab/>
              <w:t>ДРУГИ</w:t>
            </w:r>
          </w:p>
        </w:tc>
        <w:tc>
          <w:tcPr>
            <w:tcW w:w="1417" w:type="dxa"/>
          </w:tcPr>
          <w:p>
            <w:pPr>
              <w:pStyle w:val="Fichefinanciretextetable"/>
              <w:keepNext/>
              <w:jc w:val="center"/>
              <w:rPr>
                <w:noProof/>
              </w:rPr>
            </w:pPr>
          </w:p>
        </w:tc>
        <w:tc>
          <w:tcPr>
            <w:tcW w:w="1559" w:type="dxa"/>
            <w:gridSpan w:val="2"/>
          </w:tcPr>
          <w:p>
            <w:pPr>
              <w:pStyle w:val="Fichefinanciretextetable"/>
              <w:keepNext/>
              <w:jc w:val="center"/>
              <w:rPr>
                <w:noProof/>
              </w:rPr>
            </w:pPr>
          </w:p>
        </w:tc>
        <w:tc>
          <w:tcPr>
            <w:tcW w:w="1701" w:type="dxa"/>
            <w:gridSpan w:val="2"/>
          </w:tcPr>
          <w:p>
            <w:pPr>
              <w:pStyle w:val="Fichefinanciretextetable"/>
              <w:keepNext/>
              <w:jc w:val="center"/>
              <w:rPr>
                <w:noProof/>
              </w:rPr>
            </w:pPr>
            <w:r>
              <w:rPr>
                <w:noProof/>
              </w:rPr>
              <w:t>0,52</w:t>
            </w:r>
          </w:p>
        </w:tc>
      </w:tr>
      <w:tr>
        <w:tc>
          <w:tcPr>
            <w:tcW w:w="567" w:type="dxa"/>
            <w:tcBorders>
              <w:right w:val="nil"/>
            </w:tcBorders>
          </w:tcPr>
          <w:p>
            <w:pPr>
              <w:pStyle w:val="Fichefinanciretextetable"/>
              <w:keepNext/>
              <w:rPr>
                <w:noProof/>
              </w:rPr>
            </w:pPr>
            <w:r>
              <w:rPr>
                <w:noProof/>
              </w:rPr>
              <w:t>5.1</w:t>
            </w:r>
          </w:p>
        </w:tc>
        <w:tc>
          <w:tcPr>
            <w:tcW w:w="3884" w:type="dxa"/>
            <w:tcBorders>
              <w:left w:val="nil"/>
            </w:tcBorders>
          </w:tcPr>
          <w:p>
            <w:pPr>
              <w:pStyle w:val="Fichefinanciretextetable"/>
              <w:keepNext/>
              <w:rPr>
                <w:noProof/>
              </w:rPr>
            </w:pPr>
            <w:r>
              <w:rPr>
                <w:noProof/>
              </w:rPr>
              <w:t>ПРИХОДИ</w:t>
            </w:r>
          </w:p>
          <w:p>
            <w:pPr>
              <w:pStyle w:val="Fichefinanciretextetable"/>
              <w:keepNext/>
              <w:rPr>
                <w:noProof/>
              </w:rPr>
            </w:pPr>
            <w:r>
              <w:rPr>
                <w:noProof/>
              </w:rPr>
              <w:t>—</w:t>
            </w:r>
            <w:r>
              <w:rPr>
                <w:noProof/>
              </w:rPr>
              <w:tab/>
              <w:t xml:space="preserve">СОБСТВЕНИ РЕСУРСИ НА ЕС </w:t>
            </w:r>
            <w:r>
              <w:rPr>
                <w:noProof/>
              </w:rPr>
              <w:br/>
              <w:t>(НАЛОЗИ/МИТА)</w:t>
            </w:r>
          </w:p>
          <w:p>
            <w:pPr>
              <w:pStyle w:val="Fichefinanciretextetable"/>
              <w:keepNext/>
              <w:rPr>
                <w:noProof/>
              </w:rPr>
            </w:pPr>
            <w:r>
              <w:rPr>
                <w:noProof/>
              </w:rPr>
              <w:t>—</w:t>
            </w:r>
            <w:r>
              <w:rPr>
                <w:noProof/>
              </w:rPr>
              <w:tab/>
              <w:t>НАЦИОНАЛНИ</w:t>
            </w:r>
          </w:p>
        </w:tc>
        <w:tc>
          <w:tcPr>
            <w:tcW w:w="1417" w:type="dxa"/>
          </w:tcPr>
          <w:p>
            <w:pPr>
              <w:pStyle w:val="Fichefinanciretextetable"/>
              <w:keepNext/>
              <w:jc w:val="center"/>
              <w:rPr>
                <w:noProof/>
              </w:rPr>
            </w:pPr>
          </w:p>
        </w:tc>
        <w:tc>
          <w:tcPr>
            <w:tcW w:w="1559" w:type="dxa"/>
            <w:gridSpan w:val="2"/>
          </w:tcPr>
          <w:p>
            <w:pPr>
              <w:pStyle w:val="Fichefinanciretextetable"/>
              <w:keepNext/>
              <w:jc w:val="center"/>
              <w:rPr>
                <w:noProof/>
              </w:rPr>
            </w:pPr>
          </w:p>
        </w:tc>
        <w:tc>
          <w:tcPr>
            <w:tcW w:w="1701" w:type="dxa"/>
            <w:gridSpan w:val="2"/>
          </w:tcPr>
          <w:p>
            <w:pPr>
              <w:pStyle w:val="Fichefinanciretextetable"/>
              <w:keepNext/>
              <w:jc w:val="center"/>
              <w:rPr>
                <w:noProof/>
              </w:rPr>
            </w:pPr>
          </w:p>
        </w:tc>
      </w:tr>
      <w:tr>
        <w:tc>
          <w:tcPr>
            <w:tcW w:w="567" w:type="dxa"/>
            <w:tcBorders>
              <w:bottom w:val="nil"/>
              <w:right w:val="nil"/>
            </w:tcBorders>
          </w:tcPr>
          <w:p>
            <w:pPr>
              <w:pStyle w:val="Fichefinanciretextetable"/>
              <w:keepNext/>
              <w:rPr>
                <w:noProof/>
              </w:rPr>
            </w:pPr>
          </w:p>
        </w:tc>
        <w:tc>
          <w:tcPr>
            <w:tcW w:w="3884" w:type="dxa"/>
            <w:tcBorders>
              <w:left w:val="nil"/>
              <w:bottom w:val="nil"/>
            </w:tcBorders>
          </w:tcPr>
          <w:p>
            <w:pPr>
              <w:pStyle w:val="Fichefinanciretextetable"/>
              <w:keepNext/>
              <w:rPr>
                <w:noProof/>
              </w:rPr>
            </w:pPr>
          </w:p>
        </w:tc>
        <w:tc>
          <w:tcPr>
            <w:tcW w:w="1417" w:type="dxa"/>
            <w:tcBorders>
              <w:bottom w:val="nil"/>
            </w:tcBorders>
          </w:tcPr>
          <w:p>
            <w:pPr>
              <w:pStyle w:val="Fichefinanciretextetable"/>
              <w:keepNext/>
              <w:jc w:val="center"/>
              <w:rPr>
                <w:noProof/>
              </w:rPr>
            </w:pPr>
            <w:r>
              <w:rPr>
                <w:noProof/>
              </w:rPr>
              <w:t>2021 г. (в млн. евро)</w:t>
            </w:r>
          </w:p>
        </w:tc>
        <w:tc>
          <w:tcPr>
            <w:tcW w:w="1559" w:type="dxa"/>
            <w:gridSpan w:val="2"/>
            <w:tcBorders>
              <w:bottom w:val="nil"/>
            </w:tcBorders>
          </w:tcPr>
          <w:p>
            <w:pPr>
              <w:pStyle w:val="Fichefinanciretextetable"/>
              <w:keepNext/>
              <w:jc w:val="center"/>
            </w:pPr>
          </w:p>
        </w:tc>
        <w:tc>
          <w:tcPr>
            <w:tcW w:w="1701" w:type="dxa"/>
            <w:gridSpan w:val="2"/>
            <w:tcBorders>
              <w:bottom w:val="nil"/>
            </w:tcBorders>
          </w:tcPr>
          <w:p>
            <w:pPr>
              <w:pStyle w:val="Fichefinanciretextetable"/>
              <w:keepNext/>
              <w:jc w:val="center"/>
            </w:pPr>
          </w:p>
        </w:tc>
      </w:tr>
      <w:tr>
        <w:tc>
          <w:tcPr>
            <w:tcW w:w="567" w:type="dxa"/>
            <w:tcBorders>
              <w:top w:val="nil"/>
              <w:bottom w:val="nil"/>
              <w:right w:val="nil"/>
            </w:tcBorders>
          </w:tcPr>
          <w:p>
            <w:pPr>
              <w:pStyle w:val="Fichefinanciretextetable"/>
              <w:keepNext/>
              <w:rPr>
                <w:noProof/>
              </w:rPr>
            </w:pPr>
            <w:r>
              <w:rPr>
                <w:noProof/>
              </w:rPr>
              <w:t>5.0.1</w:t>
            </w:r>
          </w:p>
        </w:tc>
        <w:tc>
          <w:tcPr>
            <w:tcW w:w="3884" w:type="dxa"/>
            <w:tcBorders>
              <w:top w:val="nil"/>
              <w:left w:val="nil"/>
              <w:bottom w:val="nil"/>
            </w:tcBorders>
          </w:tcPr>
          <w:p>
            <w:pPr>
              <w:pStyle w:val="Fichefinanciretextetable"/>
              <w:keepNext/>
              <w:rPr>
                <w:noProof/>
              </w:rPr>
            </w:pPr>
            <w:r>
              <w:rPr>
                <w:noProof/>
              </w:rPr>
              <w:t>ОЧАКВАНИ РАЗХОДИ</w:t>
            </w:r>
          </w:p>
        </w:tc>
        <w:tc>
          <w:tcPr>
            <w:tcW w:w="1417" w:type="dxa"/>
            <w:tcBorders>
              <w:bottom w:val="nil"/>
            </w:tcBorders>
          </w:tcPr>
          <w:p>
            <w:pPr>
              <w:pStyle w:val="Fichefinanciretextetable"/>
              <w:keepNext/>
              <w:jc w:val="center"/>
              <w:rPr>
                <w:noProof/>
              </w:rPr>
            </w:pPr>
            <w:r>
              <w:rPr>
                <w:noProof/>
              </w:rPr>
              <w:t>0,48</w:t>
            </w:r>
          </w:p>
        </w:tc>
        <w:tc>
          <w:tcPr>
            <w:tcW w:w="1559" w:type="dxa"/>
            <w:gridSpan w:val="2"/>
            <w:tcBorders>
              <w:bottom w:val="nil"/>
            </w:tcBorders>
          </w:tcPr>
          <w:p>
            <w:pPr>
              <w:pStyle w:val="Fichefinanciretextetable"/>
              <w:keepNext/>
              <w:jc w:val="center"/>
              <w:rPr>
                <w:noProof/>
              </w:rPr>
            </w:pPr>
          </w:p>
        </w:tc>
        <w:tc>
          <w:tcPr>
            <w:tcW w:w="1701" w:type="dxa"/>
            <w:gridSpan w:val="2"/>
            <w:tcBorders>
              <w:bottom w:val="nil"/>
            </w:tcBorders>
          </w:tcPr>
          <w:p>
            <w:pPr>
              <w:pStyle w:val="Fichefinanciretextetable"/>
              <w:keepNext/>
              <w:jc w:val="center"/>
              <w:rPr>
                <w:noProof/>
              </w:rPr>
            </w:pPr>
          </w:p>
        </w:tc>
      </w:tr>
      <w:tr>
        <w:tc>
          <w:tcPr>
            <w:tcW w:w="567" w:type="dxa"/>
            <w:tcBorders>
              <w:top w:val="nil"/>
              <w:right w:val="nil"/>
            </w:tcBorders>
          </w:tcPr>
          <w:p>
            <w:pPr>
              <w:pStyle w:val="Fichefinanciretextetable"/>
              <w:keepNext/>
              <w:rPr>
                <w:noProof/>
              </w:rPr>
            </w:pPr>
            <w:r>
              <w:rPr>
                <w:noProof/>
              </w:rPr>
              <w:t>5.1.1</w:t>
            </w:r>
          </w:p>
        </w:tc>
        <w:tc>
          <w:tcPr>
            <w:tcW w:w="3884" w:type="dxa"/>
            <w:tcBorders>
              <w:top w:val="nil"/>
              <w:left w:val="nil"/>
            </w:tcBorders>
          </w:tcPr>
          <w:p>
            <w:pPr>
              <w:pStyle w:val="Fichefinanciretextetable"/>
              <w:keepNext/>
              <w:rPr>
                <w:noProof/>
              </w:rPr>
            </w:pPr>
            <w:r>
              <w:rPr>
                <w:noProof/>
              </w:rPr>
              <w:t>ОЧАКВАНИ ПРИХОДИ</w:t>
            </w:r>
          </w:p>
        </w:tc>
        <w:tc>
          <w:tcPr>
            <w:tcW w:w="1417" w:type="dxa"/>
            <w:tcBorders>
              <w:top w:val="nil"/>
            </w:tcBorders>
          </w:tcPr>
          <w:p>
            <w:pPr>
              <w:pStyle w:val="Fichefinanciretextetable"/>
              <w:keepNext/>
              <w:jc w:val="center"/>
              <w:rPr>
                <w:noProof/>
              </w:rPr>
            </w:pPr>
          </w:p>
        </w:tc>
        <w:tc>
          <w:tcPr>
            <w:tcW w:w="1559" w:type="dxa"/>
            <w:gridSpan w:val="2"/>
            <w:tcBorders>
              <w:top w:val="nil"/>
            </w:tcBorders>
          </w:tcPr>
          <w:p>
            <w:pPr>
              <w:pStyle w:val="Fichefinanciretextetable"/>
              <w:keepNext/>
              <w:jc w:val="center"/>
              <w:rPr>
                <w:noProof/>
              </w:rPr>
            </w:pPr>
          </w:p>
        </w:tc>
        <w:tc>
          <w:tcPr>
            <w:tcW w:w="1701" w:type="dxa"/>
            <w:gridSpan w:val="2"/>
            <w:tcBorders>
              <w:top w:val="nil"/>
            </w:tcBorders>
          </w:tcPr>
          <w:p>
            <w:pPr>
              <w:pStyle w:val="Fichefinanciretextetable"/>
              <w:keepNext/>
              <w:jc w:val="center"/>
              <w:rPr>
                <w:noProof/>
              </w:rPr>
            </w:pPr>
          </w:p>
        </w:tc>
      </w:tr>
      <w:tr>
        <w:tc>
          <w:tcPr>
            <w:tcW w:w="567" w:type="dxa"/>
            <w:tcBorders>
              <w:right w:val="nil"/>
            </w:tcBorders>
          </w:tcPr>
          <w:p>
            <w:pPr>
              <w:pStyle w:val="Fichefinanciretextetable"/>
              <w:keepNext/>
              <w:rPr>
                <w:noProof/>
              </w:rPr>
            </w:pPr>
            <w:r>
              <w:rPr>
                <w:noProof/>
              </w:rPr>
              <w:t>5.2</w:t>
            </w:r>
          </w:p>
        </w:tc>
        <w:tc>
          <w:tcPr>
            <w:tcW w:w="8561" w:type="dxa"/>
            <w:gridSpan w:val="6"/>
            <w:tcBorders>
              <w:left w:val="nil"/>
            </w:tcBorders>
          </w:tcPr>
          <w:p>
            <w:pPr>
              <w:pStyle w:val="Fichefinanciretextetable"/>
              <w:keepNext/>
              <w:spacing w:before="60" w:after="60"/>
              <w:rPr>
                <w:noProof/>
              </w:rPr>
            </w:pPr>
            <w:r>
              <w:rPr>
                <w:noProof/>
              </w:rPr>
              <w:t>МЕТОД НА ИЗЧИСЛЕНИЕ: Въз основа на предположения за приблизителния брой гласове на ЕС (варира всяка година) и на прогнозната сума в GBP за всеки един глас.</w:t>
            </w:r>
          </w:p>
        </w:tc>
      </w:tr>
      <w:tr>
        <w:tc>
          <w:tcPr>
            <w:tcW w:w="567" w:type="dxa"/>
            <w:tcBorders>
              <w:bottom w:val="nil"/>
              <w:right w:val="nil"/>
            </w:tcBorders>
          </w:tcPr>
          <w:p>
            <w:pPr>
              <w:pStyle w:val="Fichefinanciretextetable"/>
              <w:keepNext/>
              <w:rPr>
                <w:noProof/>
              </w:rPr>
            </w:pPr>
            <w:r>
              <w:rPr>
                <w:noProof/>
              </w:rPr>
              <w:t>6.0</w:t>
            </w:r>
          </w:p>
        </w:tc>
        <w:tc>
          <w:tcPr>
            <w:tcW w:w="7711" w:type="dxa"/>
            <w:gridSpan w:val="5"/>
            <w:tcBorders>
              <w:left w:val="nil"/>
              <w:right w:val="nil"/>
            </w:tcBorders>
          </w:tcPr>
          <w:p>
            <w:pPr>
              <w:pStyle w:val="Fichefinanciretextetable"/>
              <w:keepNext/>
              <w:spacing w:before="60" w:after="60"/>
              <w:rPr>
                <w:noProof/>
              </w:rPr>
            </w:pPr>
            <w:r>
              <w:rPr>
                <w:noProof/>
              </w:rPr>
              <w:t>МОЖЕ ЛИ ПРОЕКТЪТ ДА БЪДЕ ФИНАНСИРАН ОТ БЮДЖЕТНИ КРЕДИТИ, ВПИСАНИ В СЪОТВЕТНАТА ГЛАВА НА ТЕКУЩИЯ БЮДЖЕТ?</w:t>
            </w:r>
          </w:p>
        </w:tc>
        <w:tc>
          <w:tcPr>
            <w:tcW w:w="850" w:type="dxa"/>
            <w:tcBorders>
              <w:left w:val="nil"/>
              <w:bottom w:val="nil"/>
            </w:tcBorders>
          </w:tcPr>
          <w:p>
            <w:pPr>
              <w:pStyle w:val="Fichefinanciretextetable"/>
              <w:keepNext/>
              <w:jc w:val="center"/>
              <w:rPr>
                <w:noProof/>
              </w:rPr>
            </w:pPr>
            <w:r>
              <w:t xml:space="preserve">ДА </w:t>
            </w:r>
          </w:p>
        </w:tc>
      </w:tr>
      <w:tr>
        <w:tc>
          <w:tcPr>
            <w:tcW w:w="567" w:type="dxa"/>
            <w:tcBorders>
              <w:bottom w:val="nil"/>
              <w:right w:val="nil"/>
            </w:tcBorders>
          </w:tcPr>
          <w:p>
            <w:pPr>
              <w:pStyle w:val="Fichefinanciretextetable"/>
              <w:keepNext/>
              <w:rPr>
                <w:noProof/>
              </w:rPr>
            </w:pPr>
            <w:r>
              <w:rPr>
                <w:noProof/>
              </w:rPr>
              <w:t>6.1</w:t>
            </w:r>
          </w:p>
        </w:tc>
        <w:tc>
          <w:tcPr>
            <w:tcW w:w="7711" w:type="dxa"/>
            <w:gridSpan w:val="5"/>
            <w:tcBorders>
              <w:left w:val="nil"/>
              <w:right w:val="nil"/>
            </w:tcBorders>
          </w:tcPr>
          <w:p>
            <w:pPr>
              <w:pStyle w:val="Fichefinanciretextetable"/>
              <w:keepNext/>
              <w:spacing w:before="60" w:after="60"/>
              <w:rPr>
                <w:noProof/>
              </w:rPr>
            </w:pPr>
            <w:r>
              <w:rPr>
                <w:noProof/>
              </w:rPr>
              <w:t>МОЖЕ ЛИ ПРОЕКТЪТ ДА БЪДЕ ФИНАНСИРАН ЧРЕЗ ПРЕХВЪРЛЯНЕ МЕЖДУ ГЛАВИ ОТ ТЕКУЩИЯ БЮДЖЕТ?</w:t>
            </w:r>
          </w:p>
        </w:tc>
        <w:tc>
          <w:tcPr>
            <w:tcW w:w="850" w:type="dxa"/>
            <w:tcBorders>
              <w:left w:val="nil"/>
              <w:bottom w:val="nil"/>
            </w:tcBorders>
          </w:tcPr>
          <w:p>
            <w:pPr>
              <w:pStyle w:val="Fichefinanciretextetable"/>
              <w:keepNext/>
              <w:jc w:val="center"/>
              <w:rPr>
                <w:noProof/>
              </w:rPr>
            </w:pPr>
            <w:r>
              <w:rPr>
                <w:noProof/>
              </w:rPr>
              <w:t>—</w:t>
            </w:r>
          </w:p>
        </w:tc>
      </w:tr>
      <w:tr>
        <w:tc>
          <w:tcPr>
            <w:tcW w:w="567" w:type="dxa"/>
            <w:tcBorders>
              <w:bottom w:val="nil"/>
              <w:right w:val="nil"/>
            </w:tcBorders>
          </w:tcPr>
          <w:p>
            <w:pPr>
              <w:pStyle w:val="Fichefinanciretextetable"/>
              <w:keepNext/>
              <w:rPr>
                <w:noProof/>
              </w:rPr>
            </w:pPr>
            <w:r>
              <w:rPr>
                <w:noProof/>
              </w:rPr>
              <w:t>6.2</w:t>
            </w:r>
          </w:p>
        </w:tc>
        <w:tc>
          <w:tcPr>
            <w:tcW w:w="7711" w:type="dxa"/>
            <w:gridSpan w:val="5"/>
            <w:tcBorders>
              <w:left w:val="nil"/>
              <w:right w:val="nil"/>
            </w:tcBorders>
          </w:tcPr>
          <w:p>
            <w:pPr>
              <w:pStyle w:val="Fichefinanciretextetable"/>
              <w:keepNext/>
              <w:spacing w:before="60" w:after="60"/>
              <w:rPr>
                <w:noProof/>
              </w:rPr>
            </w:pPr>
            <w:r>
              <w:rPr>
                <w:noProof/>
              </w:rPr>
              <w:t>ЩЕ БЪДЕ ЛИ НЕОБХОДИМ ДОПЪЛНИТЕЛЕН БЮДЖЕТ?</w:t>
            </w:r>
          </w:p>
        </w:tc>
        <w:tc>
          <w:tcPr>
            <w:tcW w:w="850" w:type="dxa"/>
            <w:tcBorders>
              <w:left w:val="nil"/>
              <w:bottom w:val="nil"/>
            </w:tcBorders>
          </w:tcPr>
          <w:p>
            <w:pPr>
              <w:pStyle w:val="Fichefinanciretextetable"/>
              <w:keepNext/>
              <w:jc w:val="center"/>
              <w:rPr>
                <w:noProof/>
              </w:rPr>
            </w:pPr>
            <w:r>
              <w:rPr>
                <w:noProof/>
              </w:rPr>
              <w:t>—</w:t>
            </w:r>
          </w:p>
        </w:tc>
      </w:tr>
      <w:tr>
        <w:tc>
          <w:tcPr>
            <w:tcW w:w="567" w:type="dxa"/>
            <w:tcBorders>
              <w:right w:val="nil"/>
            </w:tcBorders>
          </w:tcPr>
          <w:p>
            <w:pPr>
              <w:pStyle w:val="Fichefinanciretextetable"/>
              <w:keepNext/>
              <w:rPr>
                <w:noProof/>
              </w:rPr>
            </w:pPr>
            <w:r>
              <w:rPr>
                <w:noProof/>
              </w:rPr>
              <w:t>6.3</w:t>
            </w:r>
          </w:p>
        </w:tc>
        <w:tc>
          <w:tcPr>
            <w:tcW w:w="7711" w:type="dxa"/>
            <w:gridSpan w:val="5"/>
            <w:tcBorders>
              <w:left w:val="nil"/>
              <w:right w:val="nil"/>
            </w:tcBorders>
          </w:tcPr>
          <w:p>
            <w:pPr>
              <w:pStyle w:val="Fichefinanciretextetable"/>
              <w:keepNext/>
              <w:spacing w:before="60" w:after="60"/>
              <w:rPr>
                <w:noProof/>
              </w:rPr>
            </w:pPr>
            <w:r>
              <w:rPr>
                <w:noProof/>
              </w:rPr>
              <w:t>ЩЕ БЪДЕ ЛИ НЕОБХОДИМО ВПИСВАНЕТО НА БЮДЖЕТНИ КРЕДИТИ В БЪДЕЩИ БЮДЖЕТИ?</w:t>
            </w:r>
          </w:p>
        </w:tc>
        <w:tc>
          <w:tcPr>
            <w:tcW w:w="850" w:type="dxa"/>
            <w:tcBorders>
              <w:left w:val="nil"/>
            </w:tcBorders>
          </w:tcPr>
          <w:p>
            <w:pPr>
              <w:pStyle w:val="Fichefinanciretextetable"/>
              <w:keepNext/>
              <w:jc w:val="center"/>
            </w:pPr>
            <w:r>
              <w:t xml:space="preserve">ДА </w:t>
            </w:r>
          </w:p>
        </w:tc>
      </w:tr>
      <w:tr>
        <w:tc>
          <w:tcPr>
            <w:tcW w:w="9128" w:type="dxa"/>
            <w:gridSpan w:val="7"/>
          </w:tcPr>
          <w:p>
            <w:pPr>
              <w:pStyle w:val="Fichefinanciretextetable"/>
              <w:keepNext/>
              <w:rPr>
                <w:noProof/>
              </w:rPr>
            </w:pPr>
            <w:r>
              <w:rPr>
                <w:noProof/>
              </w:rPr>
              <w:t>ЗАБЕЛЕЖКИ:</w:t>
            </w:r>
          </w:p>
          <w:p>
            <w:pPr>
              <w:keepNext/>
              <w:autoSpaceDE w:val="0"/>
              <w:autoSpaceDN w:val="0"/>
              <w:adjustRightInd w:val="0"/>
              <w:rPr>
                <w:noProof/>
                <w:sz w:val="20"/>
              </w:rPr>
            </w:pPr>
            <w:r>
              <w:rPr>
                <w:noProof/>
                <w:sz w:val="20"/>
              </w:rPr>
              <w:t xml:space="preserve">Размерът на ефективно изплатените средства може да варира в зависимост от крайния брой на получените от ЕС гласове, от сумата в GBP за всеки един глас, както и от обменния курс EUR/GBP. </w:t>
            </w:r>
          </w:p>
          <w:p>
            <w:pPr>
              <w:pStyle w:val="Fichefinanciretextetable"/>
              <w:keepNext/>
              <w:rPr>
                <w:noProof/>
              </w:rPr>
            </w:pPr>
          </w:p>
        </w:tc>
      </w:tr>
    </w:tbl>
    <w:p>
      <w:pPr>
        <w:rPr>
          <w:noProof/>
        </w:rPr>
      </w:pPr>
    </w:p>
    <w:sect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92/580/ЕИО на Съвета от 13.11.1992 г.; ОВ L 379 от 23.12.1992 г., стр. 15.</w:t>
      </w:r>
    </w:p>
  </w:footnote>
  <w:footnote w:id="2">
    <w:p>
      <w:pPr>
        <w:pStyle w:val="FootnoteText"/>
      </w:pPr>
      <w:r>
        <w:rPr>
          <w:rStyle w:val="FootnoteReference"/>
        </w:rPr>
        <w:footnoteRef/>
      </w:r>
      <w:r>
        <w:tab/>
        <w:t>Решение на Съвета от 23 ноември 2017 г. за упълномощаване на започването на преговори за изменение на Международното споразумение за захарта от 1992 г., непубликувано (документ на Съвета 14282/17).</w:t>
      </w:r>
    </w:p>
  </w:footnote>
  <w:footnote w:id="3">
    <w:p>
      <w:pPr>
        <w:pStyle w:val="FootnoteText"/>
      </w:pPr>
      <w:r>
        <w:rPr>
          <w:rStyle w:val="FootnoteReference"/>
        </w:rPr>
        <w:footnoteRef/>
      </w:r>
      <w:r>
        <w:tab/>
        <w:t xml:space="preserve">Решение на Съда от 7 октомври 2014 г., Германия/Съвет, C-399/12, ECLI:EU:C:2014:2258, т. 61—64. </w:t>
      </w:r>
    </w:p>
  </w:footnote>
  <w:footnote w:id="4">
    <w:p>
      <w:pPr>
        <w:pStyle w:val="FootnoteText"/>
      </w:pPr>
      <w:r>
        <w:rPr>
          <w:rStyle w:val="FootnoteReference"/>
        </w:rPr>
        <w:footnoteRef/>
      </w:r>
      <w:r>
        <w:tab/>
        <w:t>Решение 92/580/ЕИО на Съвета от 13 ноември 1992 г. относно подписването и сключването на Международното споразумение за захарта от 1992 г. (ОВ L 379, 23.12.1992 г., стp. 15).</w:t>
      </w:r>
    </w:p>
  </w:footnote>
  <w:footnote w:id="5">
    <w:p>
      <w:pPr>
        <w:pStyle w:val="FootnoteText"/>
      </w:pPr>
      <w:r>
        <w:rPr>
          <w:rStyle w:val="FootnoteReference"/>
        </w:rPr>
        <w:footnoteRef/>
      </w:r>
      <w:r>
        <w:tab/>
        <w:t>Информация относно удължаването на срока на действие на Международното споразумение за захарта от 1992 г. (OJ L 12, 17.1.2018 г., стр. 1).</w:t>
      </w:r>
    </w:p>
  </w:footnote>
  <w:footnote w:id="6">
    <w:p>
      <w:pPr>
        <w:pStyle w:val="FootnoteText"/>
      </w:pPr>
      <w:r>
        <w:rPr>
          <w:rStyle w:val="FootnoteReference"/>
        </w:rPr>
        <w:footnoteRef/>
      </w:r>
      <w:r>
        <w:tab/>
        <w:t>Решение на Съвета от 23 ноември 2017 г. за упълномощаване на започването на преговори за изменение на Международното споразумение за захарта от 1992 г., непубликувано (документ на Съвета 14282/17).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618BF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8824F64"/>
    <w:lvl w:ilvl="0">
      <w:start w:val="1"/>
      <w:numFmt w:val="decimal"/>
      <w:pStyle w:val="ListNumber3"/>
      <w:lvlText w:val="%1."/>
      <w:lvlJc w:val="left"/>
      <w:pPr>
        <w:tabs>
          <w:tab w:val="num" w:pos="926"/>
        </w:tabs>
        <w:ind w:left="926" w:hanging="360"/>
      </w:pPr>
    </w:lvl>
  </w:abstractNum>
  <w:abstractNum w:abstractNumId="2">
    <w:nsid w:val="FFFFFF7F"/>
    <w:multiLevelType w:val="singleLevel"/>
    <w:tmpl w:val="60CAB7E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5049F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796FF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70456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9E602B0"/>
    <w:lvl w:ilvl="0">
      <w:start w:val="1"/>
      <w:numFmt w:val="decimal"/>
      <w:pStyle w:val="ListNumber"/>
      <w:lvlText w:val="%1."/>
      <w:lvlJc w:val="left"/>
      <w:pPr>
        <w:tabs>
          <w:tab w:val="num" w:pos="360"/>
        </w:tabs>
        <w:ind w:left="360" w:hanging="360"/>
      </w:pPr>
    </w:lvl>
  </w:abstractNum>
  <w:abstractNum w:abstractNumId="7">
    <w:nsid w:val="FFFFFF89"/>
    <w:multiLevelType w:val="singleLevel"/>
    <w:tmpl w:val="B4BE5B0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3"/>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21 10:06:0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592AE31-860D-4FB5-95B3-FCCD09549A5E"/>
    <w:docVar w:name="LW_COVERPAGE_TYPE" w:val="1"/>
    <w:docVar w:name="LW_CROSSREFERENCE" w:val="&lt;UNUSED&gt;"/>
    <w:docVar w:name="LW_DocType" w:val="COM"/>
    <w:docVar w:name="LW_EMISSION" w:val="24.6.2019"/>
    <w:docVar w:name="LW_EMISSION_ISODATE" w:val="2019-06-24"/>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39"/>
    <w:docVar w:name="LW_REF.II.NEW.CP_YEAR" w:val="2019"/>
    <w:docVar w:name="LW_REF.INST.NEW" w:val="COM"/>
    <w:docVar w:name="LW_REF.INST.NEW_ADOPTED" w:val="final"/>
    <w:docVar w:name="LW_REF.INST.NEW_TEXT" w:val="(2019) 2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6?\u1079?\u1080?\u1094?\u1080?\u1103?\u1090?\u1072?, \u1082?\u1086?\u1103?\u1090?\u1086? \u1076?\u1072? \u1089?\u1077? \u1079?\u1072?\u1077?\u1084?\u1077? \u1074? \u1052?\u1077?\u1078?\u1076?\u1091?\u1085?\u1072?\u1088?\u1086?\u1076?\u1085?\u1080?\u1103? \u1089?\u1098?\u1074?\u1077?\u1090? \u1087?\u1086? \u1079?\u1072?\u1093?\u1072?\u1088?\u1090?\u1072? \u1086?\u1090? \u1080?\u1084?\u1077?\u1090?\u1086? \u1085?\u1072? \u1045?\u1074?\u1088?\u1086?\u1087?\u1077?\u1081?\u1089?\u1082?\u1080?\u1103? \u1089?\u1098?\u1102?\u1079? \u1087?\u1086? \u1087?\u1088?\u1086?\u1076?\u1098?\u1083?\u1078?\u1072?\u1074?\u1072?\u1085?\u1077?\u1090?\u1086? \u1085?\u1072? \u1089?\u1088?\u1086?\u1082?\u1072? \u1085?\u1072? \u1076?\u1077?\u1081?\u1089?\u1090?\u1074?\u1080?\u1077? \u1085?\u1072? \u1052?\u1077?\u1078?\u1076?\u1091?\u1085?\u1072?\u1088?\u1086?\u1076?\u1085?\u1086?\u1090?\u1086? \u1089?\u1087?\u1086?\u1088?\u1072?\u1079?\u1091?\u1084?\u1077?\u1085?\u1080?\u1077? \u1079?\u1072? \u1079?\u1072?\u1093?\u1072?\u1088?\u1090?\u1072? \u1086?\u1090? 1992 \u1075?."/>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customStyle="1" w:styleId="Fichefinanciretextetable">
    <w:name w:val="Fiche financière texte (table)"/>
    <w:basedOn w:val="Normal"/>
    <w:pPr>
      <w:spacing w:before="0" w:after="0"/>
      <w:jc w:val="left"/>
    </w:pPr>
    <w:rPr>
      <w:rFonts w:eastAsia="Times New Roman"/>
      <w:sz w:val="20"/>
      <w:szCs w:val="20"/>
    </w:rPr>
  </w:style>
  <w:style w:type="paragraph" w:customStyle="1" w:styleId="Fichefinanciretitretable">
    <w:name w:val="Fiche financière titre (table)"/>
    <w:basedOn w:val="Normal"/>
    <w:pPr>
      <w:jc w:val="center"/>
    </w:pPr>
    <w:rPr>
      <w:rFonts w:eastAsia="Times New Roman"/>
      <w:b/>
      <w:sz w:val="40"/>
      <w:szCs w:val="2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customStyle="1" w:styleId="Fichefinanciretextetable">
    <w:name w:val="Fiche financière texte (table)"/>
    <w:basedOn w:val="Normal"/>
    <w:pPr>
      <w:spacing w:before="0" w:after="0"/>
      <w:jc w:val="left"/>
    </w:pPr>
    <w:rPr>
      <w:rFonts w:eastAsia="Times New Roman"/>
      <w:sz w:val="20"/>
      <w:szCs w:val="20"/>
    </w:rPr>
  </w:style>
  <w:style w:type="paragraph" w:customStyle="1" w:styleId="Fichefinanciretitretable">
    <w:name w:val="Fiche financière titre (table)"/>
    <w:basedOn w:val="Normal"/>
    <w:pPr>
      <w:jc w:val="center"/>
    </w:pPr>
    <w:rPr>
      <w:rFonts w:eastAsia="Times New Roman"/>
      <w:b/>
      <w:sz w:val="40"/>
      <w:szCs w:val="2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AE08A-39F2-4939-B735-736748DAE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2311</Words>
  <Characters>12528</Characters>
  <Application>Microsoft Office Word</Application>
  <DocSecurity>0</DocSecurity>
  <Lines>321</Lines>
  <Paragraphs>146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18</cp:revision>
  <cp:lastPrinted>2019-04-01T10:10:00Z</cp:lastPrinted>
  <dcterms:created xsi:type="dcterms:W3CDTF">2019-06-19T15:26:00Z</dcterms:created>
  <dcterms:modified xsi:type="dcterms:W3CDTF">2019-06-21T08:06:00Z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