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56026166"/>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0E71F8FE-340C-409B-9ECA-C1F89FC93AD0" style="width:450.8pt;height:307.35pt">
            <v:imagedata r:id="rId12" o:title=""/>
          </v:shape>
        </w:pict>
      </w:r>
    </w:p>
    <w:bookmarkEnd w:id="1"/>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fmt="numberInDash" w:start="1"/>
          <w:cols w:space="720"/>
          <w:docGrid w:linePitch="326"/>
        </w:sectPr>
      </w:pPr>
    </w:p>
    <w:p>
      <w:pPr>
        <w:pStyle w:val="Heading1"/>
        <w:numPr>
          <w:ilvl w:val="0"/>
          <w:numId w:val="21"/>
        </w:numPr>
        <w:tabs>
          <w:tab w:val="left" w:pos="720"/>
        </w:tabs>
        <w:spacing w:before="0" w:after="120" w:line="276" w:lineRule="auto"/>
        <w:rPr>
          <w:noProof/>
        </w:rPr>
      </w:pPr>
      <w:bookmarkStart w:id="2" w:name="_Toc494974436"/>
      <w:bookmarkStart w:id="3" w:name="_Toc524523057"/>
      <w:bookmarkStart w:id="4" w:name="_GoBack"/>
      <w:bookmarkEnd w:id="0"/>
      <w:bookmarkEnd w:id="4"/>
      <w:r>
        <w:rPr>
          <w:noProof/>
        </w:rPr>
        <w:lastRenderedPageBreak/>
        <w:t>Introduction</w:t>
      </w:r>
      <w:bookmarkEnd w:id="2"/>
      <w:bookmarkEnd w:id="3"/>
    </w:p>
    <w:p>
      <w:pPr>
        <w:spacing w:after="120" w:line="276" w:lineRule="auto"/>
        <w:jc w:val="both"/>
        <w:rPr>
          <w:noProof/>
          <w:highlight w:val="yellow"/>
          <w:lang w:eastAsia="ko-KR"/>
        </w:rPr>
      </w:pPr>
      <w:r>
        <w:rPr>
          <w:noProof/>
        </w:rPr>
        <w:t>This report provides a long-term forecast of future inflows and outflows covering the next five years (2020-2024) as required by Article 247(1)(c) of the Financial Regulation</w:t>
      </w:r>
      <w:r>
        <w:rPr>
          <w:rStyle w:val="FootnoteReference"/>
          <w:noProof/>
        </w:rPr>
        <w:footnoteReference w:id="2"/>
      </w:r>
      <w:r>
        <w:rPr>
          <w:noProof/>
        </w:rPr>
        <w:t xml:space="preserve">. </w:t>
      </w:r>
      <w:r>
        <w:rPr>
          <w:noProof/>
          <w:lang w:eastAsia="ko-KR"/>
        </w:rPr>
        <w:t>The analysis takes into account the principles and terms set out in the draft Agreement on the withdrawal of the United Kingdom of Great Britain and Northern Ireland from the European Union and the European Atomic Energy Community</w:t>
      </w:r>
      <w:r>
        <w:rPr>
          <w:rStyle w:val="FootnoteReference"/>
          <w:noProof/>
          <w:lang w:eastAsia="ko-KR"/>
        </w:rPr>
        <w:footnoteReference w:id="3"/>
      </w:r>
      <w:r>
        <w:rPr>
          <w:noProof/>
        </w:rPr>
        <w:t>.</w:t>
      </w:r>
    </w:p>
    <w:p>
      <w:pPr>
        <w:spacing w:after="120" w:line="276" w:lineRule="auto"/>
        <w:jc w:val="both"/>
        <w:rPr>
          <w:noProof/>
        </w:rPr>
      </w:pPr>
      <w:r>
        <w:rPr>
          <w:noProof/>
        </w:rPr>
        <w:t>The scope of the forecast captures the elements of the current and the next financial frameworks. It is based on the level of appropriations for 2020 as included in the Draft Budget for that year. For the years 2021-2024, the commitments presented in the Commission’s proposal for the next Multiannual Financial Framework</w:t>
      </w:r>
      <w:r>
        <w:rPr>
          <w:rStyle w:val="FootnoteReference"/>
          <w:noProof/>
        </w:rPr>
        <w:footnoteReference w:id="4"/>
      </w:r>
      <w:r>
        <w:rPr>
          <w:noProof/>
        </w:rPr>
        <w:t xml:space="preserve"> are taken into account. </w:t>
      </w:r>
    </w:p>
    <w:p>
      <w:pPr>
        <w:spacing w:after="120" w:line="276" w:lineRule="auto"/>
        <w:jc w:val="both"/>
        <w:rPr>
          <w:noProof/>
        </w:rPr>
      </w:pPr>
      <w:r>
        <w:rPr>
          <w:noProof/>
        </w:rPr>
        <w:t>Compared to the forecast of last year</w:t>
      </w:r>
      <w:r>
        <w:rPr>
          <w:rStyle w:val="FootnoteReference"/>
          <w:noProof/>
        </w:rPr>
        <w:footnoteReference w:id="5"/>
      </w:r>
      <w:r>
        <w:rPr>
          <w:noProof/>
        </w:rPr>
        <w:t xml:space="preserve"> which covered the period 2019-2023, this new forecast captures one additional year (2024). The estimates for the payments on the commitments of the current financial framework are updated to take account of the actual implementation results for 2018,  the 2019 budget and its proposed amendments (the Draft Amending Budgets N°1</w:t>
      </w:r>
      <w:r>
        <w:rPr>
          <w:rStyle w:val="FootnoteReference"/>
          <w:noProof/>
        </w:rPr>
        <w:footnoteReference w:id="6"/>
      </w:r>
      <w:r>
        <w:rPr>
          <w:noProof/>
        </w:rPr>
        <w:t>, N°2</w:t>
      </w:r>
      <w:r>
        <w:rPr>
          <w:rStyle w:val="FootnoteReference"/>
          <w:noProof/>
        </w:rPr>
        <w:footnoteReference w:id="7"/>
      </w:r>
      <w:r>
        <w:rPr>
          <w:noProof/>
        </w:rPr>
        <w:t xml:space="preserve"> and N°3</w:t>
      </w:r>
      <w:r>
        <w:rPr>
          <w:rStyle w:val="FootnoteReference"/>
          <w:noProof/>
        </w:rPr>
        <w:footnoteReference w:id="8"/>
      </w:r>
      <w:r>
        <w:rPr>
          <w:noProof/>
        </w:rPr>
        <w:t>), and the Draft Budget for 2020</w:t>
      </w:r>
      <w:r>
        <w:rPr>
          <w:rStyle w:val="FootnoteReference"/>
          <w:noProof/>
        </w:rPr>
        <w:footnoteReference w:id="9"/>
      </w:r>
      <w:r>
        <w:rPr>
          <w:noProof/>
        </w:rPr>
        <w:t>.</w:t>
      </w:r>
    </w:p>
    <w:p>
      <w:pPr>
        <w:spacing w:after="120" w:line="276" w:lineRule="auto"/>
        <w:jc w:val="both"/>
        <w:rPr>
          <w:noProof/>
        </w:rPr>
      </w:pPr>
      <w:r>
        <w:rPr>
          <w:noProof/>
        </w:rPr>
        <w:t>As for the payments in relation to the post-2021 commitments, given that the negotiations for the next Multiannual Financial Framework are on-going those estimates remain consistent with the parameters of the Commission proposal for the future financial period, as reflected in last year’s report.</w:t>
      </w:r>
    </w:p>
    <w:p>
      <w:pPr>
        <w:pStyle w:val="Heading1"/>
        <w:numPr>
          <w:ilvl w:val="0"/>
          <w:numId w:val="21"/>
        </w:numPr>
        <w:tabs>
          <w:tab w:val="left" w:pos="720"/>
        </w:tabs>
        <w:spacing w:before="0" w:after="120" w:line="276" w:lineRule="auto"/>
        <w:rPr>
          <w:noProof/>
        </w:rPr>
      </w:pPr>
      <w:bookmarkStart w:id="5" w:name="_Toc494974438"/>
      <w:bookmarkStart w:id="6" w:name="_Toc524523058"/>
      <w:r>
        <w:rPr>
          <w:noProof/>
        </w:rPr>
        <w:t>Results of the Forecast</w:t>
      </w:r>
      <w:bookmarkEnd w:id="5"/>
      <w:bookmarkEnd w:id="6"/>
    </w:p>
    <w:p>
      <w:pPr>
        <w:pStyle w:val="Heading2"/>
        <w:keepNext w:val="0"/>
        <w:numPr>
          <w:ilvl w:val="1"/>
          <w:numId w:val="21"/>
        </w:numPr>
        <w:tabs>
          <w:tab w:val="left" w:pos="720"/>
        </w:tabs>
        <w:spacing w:after="120" w:line="276" w:lineRule="auto"/>
        <w:ind w:left="788" w:hanging="431"/>
        <w:rPr>
          <w:noProof/>
        </w:rPr>
      </w:pPr>
      <w:r>
        <w:rPr>
          <w:noProof/>
        </w:rPr>
        <w:t xml:space="preserve"> </w:t>
      </w:r>
      <w:bookmarkStart w:id="7" w:name="_Toc524523059"/>
      <w:r>
        <w:rPr>
          <w:noProof/>
        </w:rPr>
        <w:t>Payments</w:t>
      </w:r>
      <w:bookmarkEnd w:id="7"/>
    </w:p>
    <w:p>
      <w:pPr>
        <w:pStyle w:val="Heading2"/>
        <w:keepNext w:val="0"/>
        <w:numPr>
          <w:ilvl w:val="2"/>
          <w:numId w:val="21"/>
        </w:numPr>
        <w:tabs>
          <w:tab w:val="left" w:pos="720"/>
        </w:tabs>
        <w:spacing w:after="120" w:line="276" w:lineRule="auto"/>
        <w:rPr>
          <w:noProof/>
        </w:rPr>
      </w:pPr>
      <w:bookmarkStart w:id="8" w:name="_Toc524523061"/>
      <w:r>
        <w:rPr>
          <w:noProof/>
        </w:rPr>
        <w:t xml:space="preserve">Payments until the end of the current </w:t>
      </w:r>
      <w:bookmarkEnd w:id="8"/>
      <w:r>
        <w:rPr>
          <w:noProof/>
        </w:rPr>
        <w:t>financial framework (2020)</w:t>
      </w:r>
    </w:p>
    <w:p>
      <w:pPr>
        <w:spacing w:after="120" w:line="276" w:lineRule="auto"/>
        <w:jc w:val="both"/>
        <w:rPr>
          <w:noProof/>
        </w:rPr>
      </w:pPr>
      <w:bookmarkStart w:id="9" w:name="_Toc494974447"/>
      <w:r>
        <w:rPr>
          <w:noProof/>
        </w:rPr>
        <w:t>The report includes the estimates from the Draft Budget 2020, the last year of the current financial framework. The forecast for the 2020 payment levels is in total EUR 7 billion lower than in last year’s long-term forecast report. This is mainly in relation to Headings 1b, 2 and 4. For the funds in shared management, the Draft Budget is built on the latest implementation projections provided by Member States in January 2019, which are slightly lower than their projections of July 2018 on which last year’s forecast was based. In the external action field, the Draft Budget 2020 is actually below the level of the previous year, predominantly due to the lower payments for the Facility for Refugees in Turkey.</w:t>
      </w:r>
    </w:p>
    <w:p>
      <w:pPr>
        <w:spacing w:after="120" w:line="276" w:lineRule="auto"/>
        <w:jc w:val="both"/>
        <w:rPr>
          <w:noProof/>
        </w:rPr>
      </w:pPr>
    </w:p>
    <w:p>
      <w:pPr>
        <w:spacing w:after="120" w:line="276" w:lineRule="auto"/>
        <w:jc w:val="both"/>
        <w:rPr>
          <w:noProof/>
        </w:rPr>
      </w:pPr>
      <w:r>
        <w:rPr>
          <w:noProof/>
        </w:rPr>
        <w:t>Almost all payments in 2020 relate to the commitments made under the 2014-2020 programmes. Less than 1% of the payments will cover commitments outstanding from the pre-2014 financial framework under Headings 1a and 4. The bulk of the 2007-2013 programmes under the cohesion policy is expected to be closed by the end of 2019 with no further payments anticipated in 2020.</w:t>
      </w:r>
      <w:bookmarkEnd w:id="9"/>
    </w:p>
    <w:p>
      <w:pPr>
        <w:pStyle w:val="Heading2"/>
        <w:keepNext w:val="0"/>
        <w:numPr>
          <w:ilvl w:val="2"/>
          <w:numId w:val="21"/>
        </w:numPr>
        <w:tabs>
          <w:tab w:val="left" w:pos="720"/>
        </w:tabs>
        <w:spacing w:after="120" w:line="276" w:lineRule="auto"/>
        <w:rPr>
          <w:noProof/>
        </w:rPr>
      </w:pPr>
      <w:bookmarkStart w:id="10" w:name="_Toc524523062"/>
      <w:r>
        <w:rPr>
          <w:noProof/>
        </w:rPr>
        <w:t>Payments in the next financial framework (2021-2024)</w:t>
      </w:r>
      <w:bookmarkEnd w:id="10"/>
    </w:p>
    <w:p>
      <w:pPr>
        <w:spacing w:after="120" w:line="276" w:lineRule="auto"/>
        <w:jc w:val="both"/>
        <w:rPr>
          <w:noProof/>
        </w:rPr>
      </w:pPr>
      <w:r>
        <w:rPr>
          <w:noProof/>
        </w:rPr>
        <w:t>Overall, for the first four years of the next financial framework payments are expected to total some EUR 687 billion. This amount is not evenly distributed across the years but follows the expected parallel evolution of: 1) the phasing-in of payments for the new spending programmes (around 62% of the 4-year payments’ total) and 2) the payments for outstanding commitments from the 2014-2020 period (the remaining 38% of the payments).</w:t>
      </w:r>
    </w:p>
    <w:p>
      <w:pPr>
        <w:spacing w:after="120" w:line="276" w:lineRule="auto"/>
        <w:jc w:val="both"/>
        <w:rPr>
          <w:noProof/>
        </w:rPr>
      </w:pPr>
      <w:r>
        <w:rPr>
          <w:b/>
          <w:noProof/>
        </w:rPr>
        <w:t>Payments in relation to new commitments</w:t>
      </w:r>
    </w:p>
    <w:p>
      <w:pPr>
        <w:spacing w:after="120" w:line="276" w:lineRule="auto"/>
        <w:jc w:val="both"/>
        <w:rPr>
          <w:noProof/>
        </w:rPr>
      </w:pPr>
      <w:r>
        <w:rPr>
          <w:noProof/>
        </w:rPr>
        <w:t xml:space="preserve">There is no change in the forecast compared to last year’s report in relation to new commitments. As in last year, these payments follow the Commission proposal for the 2021-2027 Multiannual Financial Framework of 2 May 2018 and its underlying assumptions (see details in Section 3. Forecast Assumptions). An update of those estimates would only be possible when the negotiations on the next financial framework and accompanying sector-specific legislation are concluded. </w:t>
      </w:r>
    </w:p>
    <w:p>
      <w:pPr>
        <w:spacing w:after="120" w:line="276" w:lineRule="auto"/>
        <w:jc w:val="both"/>
        <w:rPr>
          <w:noProof/>
        </w:rPr>
      </w:pPr>
      <w:r>
        <w:rPr>
          <w:noProof/>
        </w:rPr>
        <w:t xml:space="preserve">This is the case especially for the negotiations relevant to the Common Provisions Regulation, which determines the implementation speed for cohesion policy – the biggest spending area delivered through differentiated appropriations. Changes in the implementing modalities of the cohesion policy funds compared to the Commission’s proposals would significantly influence the payments’ estimates for the whole EU budget. </w:t>
      </w:r>
    </w:p>
    <w:p>
      <w:pPr>
        <w:spacing w:after="120" w:line="276" w:lineRule="auto"/>
        <w:jc w:val="both"/>
        <w:rPr>
          <w:noProof/>
        </w:rPr>
      </w:pPr>
      <w:r>
        <w:rPr>
          <w:noProof/>
        </w:rPr>
        <w:t xml:space="preserve">For example, any reduction of the annual retention rate compared to the Commission proposal or the clearance of pre-financing at the time of the programmes’ closure rather than annually would lead to additional payment needs during the forecast period. The automatic de-commitment rules may also have a significant impact on the payment profiles. Any extension of the deadline for the submission of payment claims beyond the Commission proposal would delay the implementation of the cohesion policy and postpone payments to the following financial framework. </w:t>
      </w:r>
    </w:p>
    <w:p>
      <w:pPr>
        <w:spacing w:after="120" w:line="276" w:lineRule="auto"/>
        <w:jc w:val="both"/>
        <w:rPr>
          <w:noProof/>
        </w:rPr>
      </w:pPr>
      <w:r>
        <w:rPr>
          <w:noProof/>
        </w:rPr>
        <w:t>The pre-financing rates for the cohesion policy funds (both the 2014-2020 and the 2021-2027 funds) will particularly impact the first years of the next financial framework. The Commission proposals for the next Common Provisions Regulation and for amending the current Common Provisions Regulation take account of the funding requirements at the beginning of the new period as well as the constraints of an own resources ceiling corresponding to 1.20% of EU gross national income. While the Commission has proposed to increase the own resources ceiling to reflect the gross national income base for 27 Member States, the current level may still be applicable in the first years  of the next financial framework due to the likely lengthy ratification process for the new Own Resources Decision.</w:t>
      </w:r>
    </w:p>
    <w:p>
      <w:pPr>
        <w:spacing w:after="120" w:line="276" w:lineRule="auto"/>
        <w:jc w:val="both"/>
        <w:rPr>
          <w:noProof/>
        </w:rPr>
      </w:pPr>
    </w:p>
    <w:p>
      <w:pPr>
        <w:spacing w:after="120" w:line="276" w:lineRule="auto"/>
        <w:jc w:val="both"/>
        <w:rPr>
          <w:b/>
          <w:noProof/>
        </w:rPr>
      </w:pPr>
      <w:r>
        <w:rPr>
          <w:b/>
          <w:noProof/>
        </w:rPr>
        <w:t>Payments on pre-2021 commitments</w:t>
      </w:r>
    </w:p>
    <w:p>
      <w:pPr>
        <w:spacing w:after="120" w:line="276" w:lineRule="auto"/>
        <w:jc w:val="both"/>
        <w:rPr>
          <w:noProof/>
        </w:rPr>
      </w:pPr>
      <w:r>
        <w:rPr>
          <w:noProof/>
        </w:rPr>
        <w:t xml:space="preserve">The proposed level of payments in the  Draft Budget 2020 also has an impact on the payment needs in the following years. The lower level of payments for 2020 compared to previous forecasts is expected to lead to additional needs in the following years. As a consequence, the overall payment estimates for 2021 to 2024 are by around EUR 5 billion above the payment ceiling proposed by the Commission for the next period, of which EUR 4 billion would fall in 2024. </w:t>
      </w:r>
    </w:p>
    <w:p>
      <w:pPr>
        <w:spacing w:after="120" w:line="276" w:lineRule="auto"/>
        <w:jc w:val="both"/>
        <w:rPr>
          <w:noProof/>
        </w:rPr>
      </w:pPr>
      <w:r>
        <w:rPr>
          <w:noProof/>
        </w:rPr>
        <w:t>These additional needs will, in combination with the impact of the future implementing modalities for the cohesion policy funds, have to be taken into account in setting the payment ceilings for the next financial framework or would automatically lead to a need for mobilising special instruments, in particular the Contingency Margin, which – according to the Commission's proposal – would allow for mobilising payments of up to 0.03% of EU gross national income in a given year (to be offset against the ceilings in later years).</w:t>
      </w:r>
    </w:p>
    <w:p>
      <w:pPr>
        <w:pStyle w:val="Heading2"/>
        <w:keepNext w:val="0"/>
        <w:numPr>
          <w:ilvl w:val="2"/>
          <w:numId w:val="21"/>
        </w:numPr>
        <w:tabs>
          <w:tab w:val="left" w:pos="720"/>
        </w:tabs>
        <w:spacing w:after="120" w:line="276" w:lineRule="auto"/>
        <w:rPr>
          <w:noProof/>
        </w:rPr>
      </w:pPr>
      <w:bookmarkStart w:id="11" w:name="_Toc524523063"/>
      <w:r>
        <w:rPr>
          <w:noProof/>
        </w:rPr>
        <w:t>De-commitments</w:t>
      </w:r>
      <w:bookmarkEnd w:id="11"/>
    </w:p>
    <w:p>
      <w:pPr>
        <w:snapToGrid w:val="0"/>
        <w:spacing w:after="120" w:line="276" w:lineRule="auto"/>
        <w:jc w:val="both"/>
        <w:rPr>
          <w:noProof/>
          <w:color w:val="000000"/>
        </w:rPr>
      </w:pPr>
      <w:r>
        <w:rPr>
          <w:noProof/>
        </w:rPr>
        <w:t xml:space="preserve">The overall amount of de-commitments forecast for 2020-2024 is EUR 8 billion. Around 77% of the de-commitments relate to the programmes of the 2014-2020 period (EUR 6 billion) while the de-commitments of the programmes originating before 2014 continue to phase out as is the case for the related payments. </w:t>
      </w:r>
      <w:r>
        <w:rPr>
          <w:noProof/>
          <w:color w:val="000000"/>
        </w:rPr>
        <w:t>No de-commitments are anticipated for the commitments proposed for the 2021-2027 financial framework.</w:t>
      </w:r>
    </w:p>
    <w:p>
      <w:pPr>
        <w:snapToGrid w:val="0"/>
        <w:spacing w:after="120" w:line="276" w:lineRule="auto"/>
        <w:jc w:val="both"/>
        <w:rPr>
          <w:noProof/>
          <w:color w:val="000000"/>
        </w:rPr>
      </w:pPr>
      <w:r>
        <w:rPr>
          <w:noProof/>
          <w:color w:val="000000"/>
        </w:rPr>
        <w:t xml:space="preserve">The de-commitment levels vary across Headings as the forecast takes into account de-commitments already made and de-commitments identified at the time of the Draft Budget 2020 preparation. In principle, de-commitments are forecast for the entire duration of the programming period. Since for most programmes and actions no automatic de-commitment rules exist, any annual breakdown of de-commitments would be highly imprecise. To estimate the size of the de-commitments until 2024 only, the forecast de-commitments are broken down proportionally to the related annual payments. </w:t>
      </w:r>
    </w:p>
    <w:p>
      <w:pPr>
        <w:snapToGrid w:val="0"/>
        <w:spacing w:after="120" w:line="276" w:lineRule="auto"/>
        <w:jc w:val="both"/>
        <w:rPr>
          <w:noProof/>
          <w:color w:val="000000"/>
        </w:rPr>
      </w:pPr>
      <w:r>
        <w:rPr>
          <w:noProof/>
          <w:color w:val="000000"/>
        </w:rPr>
        <w:t xml:space="preserve">A specific forecast is made for the 2014-2020 European Structural and Investment (ESI) funds – it takes account of the experience with the 2007-2013 programmes’ closure. As the actual year of de-commitment depends on the specific closure dates for each Member State and given the n+3 de-commitment rules in place, the de-commitments are likely to spread over 2024-2026. As only 2024 is within the scope of this report, the tentative assumption is that roughly one third of all de-commitments on the 2014-2020 ESI funds could fall in that year. </w:t>
      </w:r>
    </w:p>
    <w:p>
      <w:pPr>
        <w:snapToGrid w:val="0"/>
        <w:spacing w:after="120" w:line="276" w:lineRule="auto"/>
        <w:jc w:val="both"/>
        <w:rPr>
          <w:noProof/>
          <w:color w:val="000000"/>
        </w:rPr>
      </w:pPr>
      <w:r>
        <w:rPr>
          <w:noProof/>
          <w:color w:val="000000"/>
        </w:rPr>
        <w:t>Compared to last year’s report, the 5-year de-commitment estimate increases by around EUR 1.6 billion. This is the combined effect of the increased de-commitment forecast for Headings 1b and 2, and decreases across the other Headings. The increase for Headings 1b and 2 is the mechanical effect of including one extra year (2024) which was not covered by last year’s report. The decreases in the other Headings are also mainly due to the shift by one year of the reporting period. For instance, in 2018 under Heading 1a EUR 0.7 billion was de-committed in relation to pre-2014 programmes and accordingly this amount is no longer included in future estimates. For Heading 3 there is a reduction of the anticipated de-commitments to reflect the amendments of the relevant legislation</w:t>
      </w:r>
      <w:r>
        <w:rPr>
          <w:rStyle w:val="FootnoteReference"/>
          <w:noProof/>
          <w:color w:val="000000"/>
        </w:rPr>
        <w:footnoteReference w:id="10"/>
      </w:r>
      <w:r>
        <w:rPr>
          <w:noProof/>
          <w:color w:val="000000"/>
        </w:rPr>
        <w:t>. For Heading 4, the decrease is a combined effect of the shift of one year and updating the assumptions for future years in line with the Draft Budget 2020.</w:t>
      </w:r>
    </w:p>
    <w:p>
      <w:pPr>
        <w:pStyle w:val="Heading2"/>
        <w:keepNext w:val="0"/>
        <w:numPr>
          <w:ilvl w:val="2"/>
          <w:numId w:val="21"/>
        </w:numPr>
        <w:tabs>
          <w:tab w:val="left" w:pos="720"/>
        </w:tabs>
        <w:spacing w:after="120" w:line="276" w:lineRule="auto"/>
        <w:rPr>
          <w:noProof/>
        </w:rPr>
      </w:pPr>
      <w:bookmarkStart w:id="12" w:name="_Toc524523064"/>
      <w:r>
        <w:rPr>
          <w:noProof/>
        </w:rPr>
        <w:t>Evolution of the level of outstanding commitments</w:t>
      </w:r>
      <w:bookmarkEnd w:id="12"/>
    </w:p>
    <w:p>
      <w:pPr>
        <w:spacing w:after="120" w:line="276" w:lineRule="auto"/>
        <w:jc w:val="both"/>
        <w:rPr>
          <w:noProof/>
        </w:rPr>
      </w:pPr>
      <w:r>
        <w:rPr>
          <w:noProof/>
        </w:rPr>
        <w:t xml:space="preserve">The build-up of outstanding commitments (or RAL for </w:t>
      </w:r>
      <w:r>
        <w:rPr>
          <w:i/>
          <w:noProof/>
        </w:rPr>
        <w:t>reste-a-liquider</w:t>
      </w:r>
      <w:r>
        <w:rPr>
          <w:noProof/>
        </w:rPr>
        <w:t>) is a natural consequence of the implementation of the EU budget with differentiated appropriations and the nominally increasing volume of the EU budget over the years. The RAL at the start of the reporting period is expected to stand at around EUR 291 billion and to reach EUR 303 billion at the end of the current financial framework. For comparison, the end-2020 RAL forecast with last year’s report stood at EUR 295 billion. This increase in the RAL forecast is mostly the result of updating the year 2020 with the actual Draft Budget projections.</w:t>
      </w:r>
    </w:p>
    <w:p>
      <w:pPr>
        <w:spacing w:after="120" w:line="276" w:lineRule="auto"/>
        <w:jc w:val="both"/>
        <w:rPr>
          <w:noProof/>
        </w:rPr>
      </w:pPr>
      <w:r>
        <w:rPr>
          <w:noProof/>
        </w:rPr>
        <w:t xml:space="preserve">By the end of 2024, the RAL is projected at around EUR 313 billion, which results in a 8% increase in nominal value over the five analysed years. However, the annual evolution of the RAL volume is not even as the RAL develops in function of the ratio of annual payments to annual commitments. Payments come close to commitments in 2023-2024 mostly </w:t>
      </w:r>
      <w:r>
        <w:rPr>
          <w:noProof/>
          <w:color w:val="000000"/>
        </w:rPr>
        <w:t>due to the combination of the first automatic de-commitment target for the new programmes under the Common Provision Regulation and the n+3 de-commitment target for the last tranche of the 2014-2020 ESI Funds and the closure of these programmes</w:t>
      </w:r>
      <w:r>
        <w:rPr>
          <w:noProof/>
        </w:rPr>
        <w:t xml:space="preserve">. As a result, payments in 2023 are expected to be almost at the level of commitments, and for 2024 to even exceed commitments. This would result in keeping the RAL stable at the end of 2023 and even slightly decreasing it in 2024. </w:t>
      </w:r>
    </w:p>
    <w:p>
      <w:pPr>
        <w:pStyle w:val="Heading2"/>
        <w:keepNext w:val="0"/>
        <w:numPr>
          <w:ilvl w:val="1"/>
          <w:numId w:val="21"/>
        </w:numPr>
        <w:tabs>
          <w:tab w:val="left" w:pos="720"/>
        </w:tabs>
        <w:spacing w:after="120" w:line="276" w:lineRule="auto"/>
        <w:ind w:left="788" w:hanging="431"/>
        <w:rPr>
          <w:noProof/>
        </w:rPr>
      </w:pPr>
      <w:r>
        <w:rPr>
          <w:noProof/>
        </w:rPr>
        <w:t xml:space="preserve"> </w:t>
      </w:r>
      <w:bookmarkStart w:id="13" w:name="_Toc524523065"/>
      <w:r>
        <w:rPr>
          <w:noProof/>
        </w:rPr>
        <w:t>Revenue</w:t>
      </w:r>
      <w:bookmarkEnd w:id="13"/>
    </w:p>
    <w:p>
      <w:pPr>
        <w:spacing w:after="120" w:line="276" w:lineRule="auto"/>
        <w:jc w:val="both"/>
        <w:rPr>
          <w:noProof/>
          <w:lang w:eastAsia="en-US"/>
        </w:rPr>
      </w:pPr>
      <w:r>
        <w:rPr>
          <w:noProof/>
          <w:lang w:eastAsia="en-US"/>
        </w:rPr>
        <w:t xml:space="preserve">The EU </w:t>
      </w:r>
      <w:r>
        <w:rPr>
          <w:noProof/>
        </w:rPr>
        <w:t>budget</w:t>
      </w:r>
      <w:r>
        <w:rPr>
          <w:noProof/>
          <w:lang w:eastAsia="en-US"/>
        </w:rPr>
        <w:t xml:space="preserve"> is financed by own resources and other revenue. The overall amount of own resources needed to finance the budget is determined by total expenditure less other revenue. Accordingly, the forecast of the EU budget revenue for 2020-2024 is based on the principle that expenditure must be matched by revenue; therefore total revenue must equal total expenditure.</w:t>
      </w:r>
    </w:p>
    <w:p>
      <w:pPr>
        <w:pStyle w:val="Heading1"/>
        <w:numPr>
          <w:ilvl w:val="0"/>
          <w:numId w:val="21"/>
        </w:numPr>
        <w:tabs>
          <w:tab w:val="left" w:pos="720"/>
        </w:tabs>
        <w:spacing w:before="0" w:after="120" w:line="276" w:lineRule="auto"/>
        <w:rPr>
          <w:noProof/>
        </w:rPr>
      </w:pPr>
      <w:bookmarkStart w:id="14" w:name="_Toc524523066"/>
      <w:r>
        <w:rPr>
          <w:noProof/>
        </w:rPr>
        <w:t xml:space="preserve">Forecast Assumptions </w:t>
      </w:r>
      <w:bookmarkEnd w:id="14"/>
    </w:p>
    <w:p>
      <w:pPr>
        <w:pStyle w:val="Heading2"/>
        <w:keepNext w:val="0"/>
        <w:numPr>
          <w:ilvl w:val="1"/>
          <w:numId w:val="21"/>
        </w:numPr>
        <w:tabs>
          <w:tab w:val="left" w:pos="720"/>
        </w:tabs>
        <w:spacing w:after="120" w:line="276" w:lineRule="auto"/>
        <w:ind w:left="788" w:hanging="431"/>
        <w:rPr>
          <w:noProof/>
        </w:rPr>
      </w:pPr>
      <w:bookmarkStart w:id="15" w:name="_Toc494974439"/>
      <w:r>
        <w:rPr>
          <w:noProof/>
        </w:rPr>
        <w:t xml:space="preserve"> </w:t>
      </w:r>
      <w:bookmarkStart w:id="16" w:name="_Toc524523068"/>
      <w:r>
        <w:rPr>
          <w:noProof/>
        </w:rPr>
        <w:t>Specific assumptions by main spending elements</w:t>
      </w:r>
      <w:bookmarkEnd w:id="16"/>
      <w:r>
        <w:rPr>
          <w:noProof/>
        </w:rPr>
        <w:t xml:space="preserve"> </w:t>
      </w:r>
      <w:bookmarkEnd w:id="15"/>
    </w:p>
    <w:p>
      <w:pPr>
        <w:pStyle w:val="Heading2"/>
        <w:keepNext w:val="0"/>
        <w:numPr>
          <w:ilvl w:val="2"/>
          <w:numId w:val="21"/>
        </w:numPr>
        <w:tabs>
          <w:tab w:val="left" w:pos="720"/>
        </w:tabs>
        <w:spacing w:after="120" w:line="276" w:lineRule="auto"/>
        <w:rPr>
          <w:noProof/>
        </w:rPr>
      </w:pPr>
      <w:bookmarkStart w:id="17" w:name="_Toc494974440"/>
      <w:bookmarkStart w:id="18" w:name="_Toc524523069"/>
      <w:r>
        <w:rPr>
          <w:noProof/>
        </w:rPr>
        <w:t>2014-2020 ESI funds</w:t>
      </w:r>
      <w:bookmarkEnd w:id="17"/>
      <w:bookmarkEnd w:id="18"/>
      <w:r>
        <w:rPr>
          <w:noProof/>
        </w:rPr>
        <w:t xml:space="preserve"> and cohesion policy funds 2021-2027</w:t>
      </w:r>
    </w:p>
    <w:p>
      <w:pPr>
        <w:pStyle w:val="Text1"/>
        <w:spacing w:after="120" w:line="276" w:lineRule="auto"/>
        <w:ind w:left="0"/>
        <w:rPr>
          <w:noProof/>
        </w:rPr>
      </w:pPr>
      <w:r>
        <w:rPr>
          <w:noProof/>
        </w:rPr>
        <w:t>The payments forecast for the 2014-2020 ESI funds is based on past experience of interim payment claims submitted as a percentage of the overall envelope. The performance review takes place in 2019 and the related commitments set aside since 2014 would lead to first payments in 2020. Specific payment profiles are used for each of the funds.</w:t>
      </w:r>
    </w:p>
    <w:p>
      <w:pPr>
        <w:pStyle w:val="Text1"/>
        <w:spacing w:after="120" w:line="276" w:lineRule="auto"/>
        <w:ind w:left="0"/>
        <w:rPr>
          <w:noProof/>
        </w:rPr>
      </w:pPr>
      <w:r>
        <w:rPr>
          <w:noProof/>
        </w:rPr>
        <w:t xml:space="preserve">For the 2021-2027 cohesion policy funds, </w:t>
      </w:r>
      <w:r>
        <w:rPr>
          <w:noProof/>
          <w:color w:val="000000"/>
        </w:rPr>
        <w:t>the relevant provisions included in the 2 May 2018 Commission proposal for the next financial framework are also used for this report (0.5% as annual pre-financing for each year from 2021 to 2026, 10% retention rate, no performance reserve). The interim payment claims’ profiles were estimated on the basis of statistics on the amounts claimed per year in the 2007-2013 programmes with n+2 de-commitment rules, as amended to allow for certain derogations for the first commitment tranches. Any changes in those assumptions would impact payments in relation to the 2021-2027 cohesion policy funds.</w:t>
      </w:r>
    </w:p>
    <w:p>
      <w:pPr>
        <w:pStyle w:val="Heading2"/>
        <w:keepNext w:val="0"/>
        <w:numPr>
          <w:ilvl w:val="2"/>
          <w:numId w:val="21"/>
        </w:numPr>
        <w:tabs>
          <w:tab w:val="left" w:pos="720"/>
        </w:tabs>
        <w:spacing w:after="120" w:line="276" w:lineRule="auto"/>
        <w:rPr>
          <w:noProof/>
        </w:rPr>
      </w:pPr>
      <w:bookmarkStart w:id="19" w:name="_Toc494974442"/>
      <w:bookmarkStart w:id="20" w:name="_Toc524523070"/>
      <w:r>
        <w:rPr>
          <w:noProof/>
        </w:rPr>
        <w:t>Direct payments and market measures</w:t>
      </w:r>
      <w:bookmarkEnd w:id="19"/>
      <w:bookmarkEnd w:id="20"/>
      <w:r>
        <w:rPr>
          <w:noProof/>
        </w:rPr>
        <w:t xml:space="preserve"> under the Common Agricultural Policy</w:t>
      </w:r>
    </w:p>
    <w:p>
      <w:pPr>
        <w:pStyle w:val="Text1"/>
        <w:spacing w:after="120" w:line="276" w:lineRule="auto"/>
        <w:ind w:left="0"/>
        <w:rPr>
          <w:noProof/>
        </w:rPr>
      </w:pPr>
      <w:r>
        <w:rPr>
          <w:noProof/>
        </w:rPr>
        <w:t>As regards the appropriations for the European Agricultural Guarantee Fund, they are mostly non-differentiated and the bulk related to direct payments to farmers is usually reimbursed to Member States during the first months of the following budget year.</w:t>
      </w:r>
    </w:p>
    <w:p>
      <w:pPr>
        <w:pStyle w:val="Heading2"/>
        <w:numPr>
          <w:ilvl w:val="2"/>
          <w:numId w:val="2"/>
        </w:numPr>
        <w:spacing w:after="120" w:line="276" w:lineRule="auto"/>
        <w:rPr>
          <w:noProof/>
        </w:rPr>
      </w:pPr>
      <w:r>
        <w:rPr>
          <w:noProof/>
        </w:rPr>
        <w:t>Other programmes and funds</w:t>
      </w:r>
    </w:p>
    <w:p>
      <w:pPr>
        <w:spacing w:after="120" w:line="276" w:lineRule="auto"/>
        <w:jc w:val="both"/>
        <w:rPr>
          <w:noProof/>
        </w:rPr>
      </w:pPr>
      <w:r>
        <w:rPr>
          <w:noProof/>
        </w:rPr>
        <w:t xml:space="preserve">For all other spending items (e.g. research and innovation, large scale infrastructure projects, internal and external policies) the forecasts for the payments on the commitments authorised in the current financial framework are based on the Draft Budget 2020 and the accompanying schedules of payments by individual budget lines. </w:t>
      </w:r>
    </w:p>
    <w:p>
      <w:pPr>
        <w:spacing w:after="120" w:line="276" w:lineRule="auto"/>
        <w:jc w:val="both"/>
        <w:rPr>
          <w:noProof/>
        </w:rPr>
      </w:pPr>
      <w:r>
        <w:rPr>
          <w:noProof/>
          <w:color w:val="000000"/>
        </w:rPr>
        <w:t>For the new generation of spending programmes, the annual payment needs have been calculated using statistical data for the actual implementation over 10 years (2007-2017) of the corresponding current programmes and their related 2007-2013 legacy. For programmes with no legacy, the payment estimate is based on the implementation experience of similar type of activities adjusted for the specific elements of the new programmes.</w:t>
      </w:r>
    </w:p>
    <w:p>
      <w:pPr>
        <w:pStyle w:val="Heading2"/>
        <w:numPr>
          <w:ilvl w:val="2"/>
          <w:numId w:val="2"/>
        </w:numPr>
        <w:spacing w:after="120" w:line="276" w:lineRule="auto"/>
        <w:ind w:left="1225" w:hanging="505"/>
        <w:rPr>
          <w:noProof/>
        </w:rPr>
      </w:pPr>
      <w:r>
        <w:rPr>
          <w:noProof/>
        </w:rPr>
        <w:t>Administration</w:t>
      </w:r>
    </w:p>
    <w:p>
      <w:pPr>
        <w:spacing w:after="120" w:line="276" w:lineRule="auto"/>
        <w:jc w:val="both"/>
        <w:rPr>
          <w:noProof/>
        </w:rPr>
      </w:pPr>
      <w:r>
        <w:rPr>
          <w:noProof/>
        </w:rPr>
        <w:t>Administrative expenditure (2014-2020 Heading 5, 2021-2027 Heading 7) is based on non-differentiated appropriations; the amounts for commitments as presented in the Draft Budget 2020, and the proposed expenditure ceilings for Heading 7 in 2021-2024 are fully transformed into payments.</w:t>
      </w:r>
    </w:p>
    <w:p>
      <w:pPr>
        <w:spacing w:after="120" w:line="276" w:lineRule="auto"/>
        <w:jc w:val="both"/>
        <w:rPr>
          <w:noProof/>
        </w:rPr>
      </w:pPr>
      <w:r>
        <w:rPr>
          <w:noProof/>
        </w:rPr>
        <w:t>The same applies also for subsidies to decentralised agencies, which are funded outside the administrative heading.</w:t>
      </w:r>
    </w:p>
    <w:p>
      <w:pPr>
        <w:pStyle w:val="Heading2"/>
        <w:keepNext w:val="0"/>
        <w:numPr>
          <w:ilvl w:val="1"/>
          <w:numId w:val="2"/>
        </w:numPr>
        <w:spacing w:after="120" w:line="276" w:lineRule="auto"/>
        <w:rPr>
          <w:noProof/>
        </w:rPr>
      </w:pPr>
      <w:bookmarkStart w:id="21" w:name="_Toc524523072"/>
      <w:bookmarkStart w:id="22" w:name="_Toc494974450"/>
      <w:r>
        <w:rPr>
          <w:noProof/>
        </w:rPr>
        <w:t>Assumptions for forecasting revenue</w:t>
      </w:r>
      <w:bookmarkEnd w:id="21"/>
    </w:p>
    <w:p>
      <w:pPr>
        <w:pStyle w:val="Heading2"/>
        <w:numPr>
          <w:ilvl w:val="2"/>
          <w:numId w:val="2"/>
        </w:numPr>
        <w:spacing w:after="120" w:line="276" w:lineRule="auto"/>
        <w:ind w:left="1225" w:hanging="505"/>
        <w:rPr>
          <w:noProof/>
        </w:rPr>
      </w:pPr>
      <w:r>
        <w:rPr>
          <w:noProof/>
        </w:rPr>
        <w:t>Traditional own resources and national contributions</w:t>
      </w:r>
    </w:p>
    <w:p>
      <w:pPr>
        <w:spacing w:after="120" w:line="276" w:lineRule="auto"/>
        <w:jc w:val="both"/>
        <w:rPr>
          <w:noProof/>
        </w:rPr>
      </w:pPr>
      <w:r>
        <w:rPr>
          <w:noProof/>
        </w:rPr>
        <w:t xml:space="preserve">From 2018, traditional own resources include only customs duties as the collection of the sugar production charge ended in 2017. Starting from the level included in the Draft Budget 2020, customs duties are projected to grow over the period 2021-2024 at the same rate as nominal gross national income of each Member State. </w:t>
      </w:r>
    </w:p>
    <w:p>
      <w:pPr>
        <w:spacing w:after="120" w:line="276" w:lineRule="auto"/>
        <w:jc w:val="both"/>
        <w:rPr>
          <w:noProof/>
        </w:rPr>
      </w:pPr>
      <w:r>
        <w:rPr>
          <w:noProof/>
        </w:rPr>
        <w:t xml:space="preserve">National contributions (in the form of the gross national income-based own resource, the VAT-based own resource and new own resources included in the Commission proposal for the Multiannual Financial Framework 2021-2027) fill the gap to balance revenue and forecasted expenditure. </w:t>
      </w:r>
    </w:p>
    <w:p>
      <w:pPr>
        <w:pStyle w:val="Heading2"/>
        <w:numPr>
          <w:ilvl w:val="2"/>
          <w:numId w:val="2"/>
        </w:numPr>
        <w:spacing w:after="120" w:line="276" w:lineRule="auto"/>
        <w:rPr>
          <w:noProof/>
        </w:rPr>
      </w:pPr>
      <w:r>
        <w:rPr>
          <w:noProof/>
        </w:rPr>
        <w:t>Other revenue</w:t>
      </w:r>
    </w:p>
    <w:p>
      <w:pPr>
        <w:spacing w:after="120" w:line="276" w:lineRule="auto"/>
        <w:jc w:val="both"/>
        <w:rPr>
          <w:noProof/>
          <w:lang w:eastAsia="en-US"/>
        </w:rPr>
      </w:pPr>
      <w:r>
        <w:rPr>
          <w:noProof/>
        </w:rPr>
        <w:t>Most of the components of ‘other revenue’ – including staff contributions, revenue accruing from the administrative operation of the institutions, contributions and refunds in connection with Union agreements and programmes, interest on late payments and fines, revenue from EU borrowing and lending operations, and miscellaneous revenue – as well as surpluses from previous years are difficult to project, given their inherent volatility. Therefore, the amount considered in the Commission proposal on the financial framework 2021-2027 (i.e. EUR 1.9 billion in line with the Draft Budget 2019) is assumed to remain nominally constant over the period covered by the report (2020-2024).</w:t>
      </w:r>
    </w:p>
    <w:p>
      <w:pPr>
        <w:pStyle w:val="Heading1"/>
        <w:numPr>
          <w:ilvl w:val="0"/>
          <w:numId w:val="2"/>
        </w:numPr>
        <w:spacing w:before="0" w:after="120" w:line="276" w:lineRule="auto"/>
        <w:rPr>
          <w:noProof/>
        </w:rPr>
      </w:pPr>
      <w:bookmarkStart w:id="23" w:name="_Toc524523073"/>
      <w:bookmarkEnd w:id="22"/>
      <w:r>
        <w:rPr>
          <w:noProof/>
        </w:rPr>
        <w:t>Conclusions</w:t>
      </w:r>
      <w:bookmarkEnd w:id="23"/>
    </w:p>
    <w:p>
      <w:pPr>
        <w:pStyle w:val="Text1"/>
        <w:spacing w:after="120" w:line="276" w:lineRule="auto"/>
        <w:ind w:left="0"/>
        <w:rPr>
          <w:noProof/>
        </w:rPr>
      </w:pPr>
      <w:r>
        <w:rPr>
          <w:noProof/>
        </w:rPr>
        <w:t>This year’s forecast report covers the first four years of the next Multiannual Financial Framework, for which negotiations are still on-going. The payment forecast is therefore based on the Commission's proposals of May 2018. Developments in two areas will be particularly important for payments in the next financial framework:</w:t>
      </w:r>
    </w:p>
    <w:p>
      <w:pPr>
        <w:pStyle w:val="Text1"/>
        <w:spacing w:after="120" w:line="276" w:lineRule="auto"/>
        <w:ind w:left="0"/>
        <w:rPr>
          <w:noProof/>
        </w:rPr>
      </w:pPr>
      <w:r>
        <w:rPr>
          <w:noProof/>
        </w:rPr>
        <w:t>First, the ongoing negotiations on the proposals for the next financial framework show diverging views on key elements influencing future payment needs. These relate in particular to the cohesion policy funds – accounting for roughly one third of the budget – and to their implementation parameters, such as pre-financing rates and de-commitment rules. Given there is no consensus on those elements at this stage, the current forecast remains based on the Commission proposal of 2018.</w:t>
      </w:r>
    </w:p>
    <w:p>
      <w:pPr>
        <w:pStyle w:val="Text1"/>
        <w:spacing w:after="120" w:line="276" w:lineRule="auto"/>
        <w:ind w:left="0"/>
        <w:rPr>
          <w:noProof/>
        </w:rPr>
      </w:pPr>
      <w:r>
        <w:rPr>
          <w:noProof/>
        </w:rPr>
        <w:t>Second, the payment forecast depends on the implementation of the current financial framework and the level of outstanding commitments at the start of 2021. For most of the expenditure headings the 2020 Draft Budget is below the level forecast last year. This automatically shifts payments to the post-2020 period, which come in addition to the payments assumed at the time of proposing the payment ceilings for the years 2021-2027.</w:t>
      </w:r>
    </w:p>
    <w:p>
      <w:pPr>
        <w:pStyle w:val="Text1"/>
        <w:spacing w:after="120" w:line="276" w:lineRule="auto"/>
        <w:ind w:left="0"/>
        <w:rPr>
          <w:noProof/>
        </w:rPr>
      </w:pPr>
      <w:r>
        <w:rPr>
          <w:noProof/>
        </w:rPr>
        <w:t>These developments will have to be taken into account in the negotiations for the next Multiannual Financial Framework. The payment ceilings under negotiation may need to be adjusted to accommodate the additional needs resulting from the higher level of outstanding commitments at the end of 2020 and from amendments of the implementation modalities for future programmes.</w:t>
      </w:r>
    </w:p>
    <w:p>
      <w:pPr>
        <w:pStyle w:val="Text1"/>
        <w:spacing w:after="120" w:line="276" w:lineRule="auto"/>
        <w:ind w:left="0"/>
        <w:rPr>
          <w:noProof/>
        </w:rPr>
      </w:pPr>
    </w:p>
    <w:p>
      <w:pPr>
        <w:pStyle w:val="Text1"/>
        <w:spacing w:after="120" w:line="276" w:lineRule="auto"/>
        <w:ind w:left="0"/>
        <w:rPr>
          <w:noProof/>
        </w:rPr>
      </w:pPr>
    </w:p>
    <w:p>
      <w:pPr>
        <w:jc w:val="right"/>
        <w:rPr>
          <w:b/>
          <w:noProof/>
          <w:sz w:val="20"/>
          <w:szCs w:val="20"/>
        </w:rPr>
      </w:pPr>
      <w:r>
        <w:rPr>
          <w:noProof/>
        </w:rPr>
        <w:br w:type="page"/>
      </w:r>
      <w:bookmarkStart w:id="24" w:name="_Toc524523074"/>
      <w:r>
        <w:rPr>
          <w:b/>
          <w:noProof/>
          <w:sz w:val="20"/>
          <w:szCs w:val="20"/>
        </w:rPr>
        <w:t>Annex</w:t>
      </w:r>
      <w:bookmarkEnd w:id="24"/>
      <w:r>
        <w:rPr>
          <w:b/>
          <w:noProof/>
          <w:sz w:val="20"/>
          <w:szCs w:val="20"/>
        </w:rPr>
        <w:t xml:space="preserve"> 1</w:t>
      </w:r>
    </w:p>
    <w:p>
      <w:pPr>
        <w:rPr>
          <w:noProof/>
        </w:rPr>
      </w:pPr>
    </w:p>
    <w:p>
      <w:pPr>
        <w:pStyle w:val="Caption"/>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Pr>
          <w:noProof/>
        </w:rPr>
        <w:t xml:space="preserve"> – Long-term forecast of future inflows and outflows of the EU budget over 2020-2024 </w:t>
      </w:r>
    </w:p>
    <w:tbl>
      <w:tblPr>
        <w:tblW w:w="9580" w:type="dxa"/>
        <w:tblInd w:w="93" w:type="dxa"/>
        <w:tblLook w:val="04A0" w:firstRow="1" w:lastRow="0" w:firstColumn="1" w:lastColumn="0" w:noHBand="0" w:noVBand="1"/>
      </w:tblPr>
      <w:tblGrid>
        <w:gridCol w:w="4479"/>
        <w:gridCol w:w="1020"/>
        <w:gridCol w:w="1020"/>
        <w:gridCol w:w="1020"/>
        <w:gridCol w:w="1020"/>
        <w:gridCol w:w="1021"/>
      </w:tblGrid>
      <w:tr>
        <w:trPr>
          <w:trHeight w:val="227"/>
        </w:trPr>
        <w:tc>
          <w:tcPr>
            <w:tcW w:w="4479" w:type="dxa"/>
            <w:tcBorders>
              <w:top w:val="single" w:sz="8" w:space="0" w:color="auto"/>
              <w:left w:val="single" w:sz="8" w:space="0" w:color="auto"/>
              <w:bottom w:val="nil"/>
              <w:right w:val="single" w:sz="4" w:space="0" w:color="auto"/>
            </w:tcBorders>
            <w:shd w:val="clear" w:color="auto" w:fill="auto"/>
            <w:noWrap/>
            <w:hideMark/>
          </w:tcPr>
          <w:p>
            <w:pPr>
              <w:spacing w:before="40" w:after="40"/>
              <w:rPr>
                <w:i/>
                <w:iCs/>
                <w:noProof/>
                <w:color w:val="000000"/>
                <w:sz w:val="20"/>
                <w:szCs w:val="22"/>
              </w:rPr>
            </w:pPr>
            <w:r>
              <w:rPr>
                <w:noProof/>
                <w:sz w:val="20"/>
              </w:rPr>
              <w:t>In EUR billion, current prices</w:t>
            </w:r>
          </w:p>
        </w:tc>
        <w:tc>
          <w:tcPr>
            <w:tcW w:w="102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color w:val="000000"/>
                <w:sz w:val="20"/>
                <w:szCs w:val="22"/>
              </w:rPr>
            </w:pPr>
            <w:r>
              <w:rPr>
                <w:noProof/>
                <w:sz w:val="16"/>
              </w:rPr>
              <w:t>MFF 2014-2020 (EU28)</w:t>
            </w:r>
          </w:p>
        </w:tc>
        <w:tc>
          <w:tcPr>
            <w:tcW w:w="4081" w:type="dxa"/>
            <w:gridSpan w:val="4"/>
            <w:tcBorders>
              <w:top w:val="single" w:sz="8" w:space="0" w:color="auto"/>
              <w:left w:val="single" w:sz="4" w:space="0" w:color="auto"/>
              <w:bottom w:val="single" w:sz="4" w:space="0" w:color="auto"/>
              <w:right w:val="single" w:sz="8" w:space="0" w:color="auto"/>
            </w:tcBorders>
            <w:shd w:val="clear" w:color="auto" w:fill="auto"/>
            <w:vAlign w:val="center"/>
          </w:tcPr>
          <w:p>
            <w:pPr>
              <w:spacing w:before="40" w:after="40"/>
              <w:jc w:val="center"/>
              <w:rPr>
                <w:b/>
                <w:bCs/>
                <w:noProof/>
                <w:color w:val="000000"/>
                <w:sz w:val="20"/>
                <w:szCs w:val="22"/>
              </w:rPr>
            </w:pPr>
            <w:r>
              <w:rPr>
                <w:noProof/>
                <w:sz w:val="20"/>
              </w:rPr>
              <w:t>COM proposal MFF 2021-2027 (EU27)</w:t>
            </w:r>
          </w:p>
        </w:tc>
      </w:tr>
      <w:tr>
        <w:trPr>
          <w:trHeight w:val="227"/>
        </w:trPr>
        <w:tc>
          <w:tcPr>
            <w:tcW w:w="4479" w:type="dxa"/>
            <w:tcBorders>
              <w:top w:val="nil"/>
              <w:left w:val="single" w:sz="8" w:space="0" w:color="auto"/>
              <w:bottom w:val="single" w:sz="8" w:space="0" w:color="auto"/>
              <w:right w:val="single" w:sz="4" w:space="0" w:color="auto"/>
            </w:tcBorders>
            <w:shd w:val="clear" w:color="auto" w:fill="auto"/>
            <w:noWrap/>
            <w:hideMark/>
          </w:tcPr>
          <w:p>
            <w:pPr>
              <w:spacing w:before="40" w:after="40"/>
              <w:rPr>
                <w:i/>
                <w:iCs/>
                <w:noProof/>
                <w:color w:val="000000"/>
                <w:sz w:val="20"/>
                <w:szCs w:val="22"/>
              </w:rPr>
            </w:pPr>
          </w:p>
        </w:tc>
        <w:tc>
          <w:tcPr>
            <w:tcW w:w="1020" w:type="dxa"/>
            <w:tcBorders>
              <w:top w:val="nil"/>
              <w:left w:val="single" w:sz="4" w:space="0" w:color="auto"/>
              <w:bottom w:val="single" w:sz="8" w:space="0" w:color="auto"/>
              <w:right w:val="single" w:sz="2" w:space="0" w:color="auto"/>
            </w:tcBorders>
            <w:shd w:val="clear" w:color="auto" w:fill="auto"/>
            <w:noWrap/>
            <w:hideMark/>
          </w:tcPr>
          <w:p>
            <w:pPr>
              <w:spacing w:before="40" w:after="40"/>
              <w:jc w:val="center"/>
              <w:rPr>
                <w:b/>
                <w:bCs/>
                <w:noProof/>
                <w:color w:val="000000"/>
                <w:sz w:val="20"/>
                <w:szCs w:val="22"/>
              </w:rPr>
            </w:pPr>
            <w:r>
              <w:rPr>
                <w:noProof/>
                <w:sz w:val="20"/>
              </w:rPr>
              <w:t>2020</w:t>
            </w:r>
          </w:p>
        </w:tc>
        <w:tc>
          <w:tcPr>
            <w:tcW w:w="1020" w:type="dxa"/>
            <w:tcBorders>
              <w:top w:val="single" w:sz="2" w:space="0" w:color="auto"/>
              <w:left w:val="single" w:sz="2" w:space="0" w:color="auto"/>
              <w:bottom w:val="single" w:sz="8" w:space="0" w:color="auto"/>
              <w:right w:val="single" w:sz="2" w:space="0" w:color="auto"/>
            </w:tcBorders>
            <w:shd w:val="clear" w:color="auto" w:fill="auto"/>
            <w:hideMark/>
          </w:tcPr>
          <w:p>
            <w:pPr>
              <w:spacing w:before="40" w:after="40"/>
              <w:jc w:val="center"/>
              <w:rPr>
                <w:b/>
                <w:bCs/>
                <w:noProof/>
                <w:color w:val="000000"/>
                <w:sz w:val="20"/>
                <w:szCs w:val="22"/>
              </w:rPr>
            </w:pPr>
            <w:r>
              <w:rPr>
                <w:noProof/>
                <w:sz w:val="20"/>
              </w:rPr>
              <w:t>2021</w:t>
            </w:r>
          </w:p>
        </w:tc>
        <w:tc>
          <w:tcPr>
            <w:tcW w:w="1020" w:type="dxa"/>
            <w:tcBorders>
              <w:top w:val="nil"/>
              <w:left w:val="single" w:sz="2" w:space="0" w:color="auto"/>
              <w:bottom w:val="single" w:sz="8" w:space="0" w:color="auto"/>
              <w:right w:val="single" w:sz="4" w:space="0" w:color="auto"/>
            </w:tcBorders>
            <w:shd w:val="clear" w:color="auto" w:fill="auto"/>
            <w:noWrap/>
            <w:hideMark/>
          </w:tcPr>
          <w:p>
            <w:pPr>
              <w:spacing w:before="40" w:after="40"/>
              <w:jc w:val="center"/>
              <w:rPr>
                <w:b/>
                <w:bCs/>
                <w:noProof/>
                <w:color w:val="000000"/>
                <w:sz w:val="20"/>
                <w:szCs w:val="22"/>
              </w:rPr>
            </w:pPr>
            <w:r>
              <w:rPr>
                <w:noProof/>
                <w:sz w:val="20"/>
              </w:rPr>
              <w:t>2022</w:t>
            </w:r>
          </w:p>
        </w:tc>
        <w:tc>
          <w:tcPr>
            <w:tcW w:w="1020" w:type="dxa"/>
            <w:tcBorders>
              <w:top w:val="nil"/>
              <w:left w:val="nil"/>
              <w:bottom w:val="single" w:sz="8" w:space="0" w:color="auto"/>
              <w:right w:val="single" w:sz="4" w:space="0" w:color="auto"/>
            </w:tcBorders>
            <w:shd w:val="clear" w:color="auto" w:fill="auto"/>
            <w:noWrap/>
            <w:hideMark/>
          </w:tcPr>
          <w:p>
            <w:pPr>
              <w:spacing w:before="40" w:after="40"/>
              <w:jc w:val="center"/>
              <w:rPr>
                <w:b/>
                <w:bCs/>
                <w:noProof/>
                <w:color w:val="000000"/>
                <w:sz w:val="20"/>
                <w:szCs w:val="22"/>
              </w:rPr>
            </w:pPr>
            <w:r>
              <w:rPr>
                <w:noProof/>
                <w:sz w:val="20"/>
              </w:rPr>
              <w:t>2023</w:t>
            </w:r>
          </w:p>
        </w:tc>
        <w:tc>
          <w:tcPr>
            <w:tcW w:w="1021" w:type="dxa"/>
            <w:tcBorders>
              <w:top w:val="nil"/>
              <w:left w:val="nil"/>
              <w:bottom w:val="single" w:sz="8" w:space="0" w:color="auto"/>
              <w:right w:val="single" w:sz="8" w:space="0" w:color="auto"/>
            </w:tcBorders>
            <w:shd w:val="clear" w:color="auto" w:fill="auto"/>
            <w:noWrap/>
            <w:hideMark/>
          </w:tcPr>
          <w:p>
            <w:pPr>
              <w:spacing w:before="40" w:after="40"/>
              <w:jc w:val="center"/>
              <w:rPr>
                <w:b/>
                <w:bCs/>
                <w:noProof/>
                <w:color w:val="000000"/>
                <w:sz w:val="20"/>
                <w:szCs w:val="22"/>
              </w:rPr>
            </w:pPr>
            <w:r>
              <w:rPr>
                <w:noProof/>
                <w:sz w:val="20"/>
              </w:rPr>
              <w:t>2024</w:t>
            </w:r>
          </w:p>
        </w:tc>
      </w:tr>
      <w:tr>
        <w:trPr>
          <w:trHeight w:val="227"/>
        </w:trPr>
        <w:tc>
          <w:tcPr>
            <w:tcW w:w="4479" w:type="dxa"/>
            <w:tcBorders>
              <w:top w:val="single" w:sz="8" w:space="0" w:color="auto"/>
              <w:left w:val="single" w:sz="8" w:space="0" w:color="auto"/>
              <w:bottom w:val="single" w:sz="4" w:space="0" w:color="auto"/>
              <w:right w:val="single" w:sz="4" w:space="0" w:color="auto"/>
            </w:tcBorders>
            <w:shd w:val="clear" w:color="000000" w:fill="CCFFCC"/>
            <w:noWrap/>
            <w:hideMark/>
          </w:tcPr>
          <w:p>
            <w:pPr>
              <w:spacing w:before="40" w:after="40"/>
              <w:rPr>
                <w:b/>
                <w:bCs/>
                <w:noProof/>
                <w:color w:val="000000"/>
                <w:sz w:val="20"/>
              </w:rPr>
            </w:pPr>
            <w:r>
              <w:rPr>
                <w:noProof/>
                <w:sz w:val="20"/>
              </w:rPr>
              <w:t>OUTFLOWS</w:t>
            </w:r>
          </w:p>
        </w:tc>
        <w:tc>
          <w:tcPr>
            <w:tcW w:w="1020" w:type="dxa"/>
            <w:tcBorders>
              <w:top w:val="single" w:sz="8" w:space="0" w:color="auto"/>
              <w:left w:val="single" w:sz="4" w:space="0" w:color="auto"/>
              <w:bottom w:val="single" w:sz="4" w:space="0" w:color="auto"/>
              <w:right w:val="single" w:sz="4" w:space="0" w:color="auto"/>
            </w:tcBorders>
            <w:shd w:val="clear" w:color="000000" w:fill="CCFFCC"/>
            <w:noWrap/>
            <w:hideMark/>
          </w:tcPr>
          <w:p>
            <w:pPr>
              <w:spacing w:before="40" w:after="40"/>
              <w:jc w:val="center"/>
              <w:rPr>
                <w:b/>
                <w:bCs/>
                <w:noProof/>
                <w:color w:val="000000"/>
                <w:sz w:val="20"/>
                <w:szCs w:val="22"/>
              </w:rPr>
            </w:pPr>
          </w:p>
        </w:tc>
        <w:tc>
          <w:tcPr>
            <w:tcW w:w="1020" w:type="dxa"/>
            <w:tcBorders>
              <w:top w:val="single" w:sz="8" w:space="0" w:color="auto"/>
              <w:left w:val="single" w:sz="4" w:space="0" w:color="auto"/>
              <w:bottom w:val="single" w:sz="2" w:space="0" w:color="auto"/>
              <w:right w:val="nil"/>
            </w:tcBorders>
            <w:shd w:val="clear" w:color="000000" w:fill="CCFFCC"/>
            <w:hideMark/>
          </w:tcPr>
          <w:p>
            <w:pPr>
              <w:spacing w:before="40" w:after="40"/>
              <w:jc w:val="center"/>
              <w:rPr>
                <w:b/>
                <w:bCs/>
                <w:noProof/>
                <w:color w:val="000000"/>
                <w:sz w:val="20"/>
                <w:szCs w:val="22"/>
              </w:rPr>
            </w:pPr>
          </w:p>
        </w:tc>
        <w:tc>
          <w:tcPr>
            <w:tcW w:w="1020" w:type="dxa"/>
            <w:tcBorders>
              <w:top w:val="single" w:sz="8" w:space="0" w:color="auto"/>
              <w:left w:val="nil"/>
              <w:bottom w:val="single" w:sz="4" w:space="0" w:color="auto"/>
              <w:right w:val="nil"/>
            </w:tcBorders>
            <w:shd w:val="clear" w:color="000000" w:fill="CCFFCC"/>
            <w:noWrap/>
            <w:hideMark/>
          </w:tcPr>
          <w:p>
            <w:pPr>
              <w:spacing w:before="40" w:after="40"/>
              <w:jc w:val="center"/>
              <w:rPr>
                <w:b/>
                <w:bCs/>
                <w:noProof/>
                <w:color w:val="000000"/>
                <w:sz w:val="20"/>
                <w:szCs w:val="22"/>
              </w:rPr>
            </w:pPr>
          </w:p>
        </w:tc>
        <w:tc>
          <w:tcPr>
            <w:tcW w:w="1020" w:type="dxa"/>
            <w:tcBorders>
              <w:top w:val="single" w:sz="8" w:space="0" w:color="auto"/>
              <w:left w:val="nil"/>
              <w:bottom w:val="single" w:sz="4" w:space="0" w:color="auto"/>
              <w:right w:val="nil"/>
            </w:tcBorders>
            <w:shd w:val="clear" w:color="000000" w:fill="CCFFCC"/>
            <w:noWrap/>
            <w:hideMark/>
          </w:tcPr>
          <w:p>
            <w:pPr>
              <w:spacing w:before="40" w:after="40"/>
              <w:jc w:val="center"/>
              <w:rPr>
                <w:b/>
                <w:bCs/>
                <w:noProof/>
                <w:color w:val="000000"/>
                <w:sz w:val="20"/>
                <w:szCs w:val="22"/>
              </w:rPr>
            </w:pPr>
          </w:p>
        </w:tc>
        <w:tc>
          <w:tcPr>
            <w:tcW w:w="1021" w:type="dxa"/>
            <w:tcBorders>
              <w:top w:val="single" w:sz="8" w:space="0" w:color="auto"/>
              <w:left w:val="nil"/>
              <w:bottom w:val="single" w:sz="4" w:space="0" w:color="auto"/>
              <w:right w:val="single" w:sz="8" w:space="0" w:color="auto"/>
            </w:tcBorders>
            <w:shd w:val="clear" w:color="000000" w:fill="CCFFCC"/>
            <w:noWrap/>
            <w:hideMark/>
          </w:tcPr>
          <w:p>
            <w:pPr>
              <w:spacing w:before="40" w:after="40"/>
              <w:jc w:val="center"/>
              <w:rPr>
                <w:b/>
                <w:bCs/>
                <w:noProof/>
                <w:color w:val="000000"/>
                <w:sz w:val="20"/>
                <w:szCs w:val="22"/>
              </w:rPr>
            </w:pPr>
          </w:p>
        </w:tc>
      </w:tr>
      <w:tr>
        <w:trPr>
          <w:trHeight w:val="227"/>
        </w:trPr>
        <w:tc>
          <w:tcPr>
            <w:tcW w:w="4479" w:type="dxa"/>
            <w:tcBorders>
              <w:top w:val="nil"/>
              <w:left w:val="single" w:sz="8" w:space="0" w:color="auto"/>
              <w:bottom w:val="nil"/>
              <w:right w:val="single" w:sz="4" w:space="0" w:color="auto"/>
            </w:tcBorders>
            <w:shd w:val="clear" w:color="auto" w:fill="auto"/>
            <w:noWrap/>
            <w:vAlign w:val="center"/>
            <w:hideMark/>
          </w:tcPr>
          <w:p>
            <w:pPr>
              <w:spacing w:before="40" w:after="40"/>
              <w:rPr>
                <w:i/>
                <w:iCs/>
                <w:noProof/>
                <w:color w:val="215868" w:themeColor="accent5" w:themeShade="80"/>
                <w:sz w:val="20"/>
                <w:szCs w:val="20"/>
              </w:rPr>
            </w:pPr>
            <w:r>
              <w:rPr>
                <w:i/>
                <w:iCs/>
                <w:noProof/>
                <w:color w:val="215967"/>
                <w:sz w:val="20"/>
                <w:szCs w:val="20"/>
              </w:rPr>
              <w:t>Commitments ceiling</w:t>
            </w:r>
          </w:p>
        </w:tc>
        <w:tc>
          <w:tcPr>
            <w:tcW w:w="1020" w:type="dxa"/>
            <w:tcBorders>
              <w:top w:val="nil"/>
              <w:left w:val="single" w:sz="4" w:space="0" w:color="auto"/>
              <w:bottom w:val="nil"/>
              <w:right w:val="single" w:sz="2" w:space="0" w:color="auto"/>
            </w:tcBorders>
            <w:shd w:val="clear" w:color="auto" w:fill="auto"/>
            <w:noWrap/>
            <w:vAlign w:val="center"/>
            <w:hideMark/>
          </w:tcPr>
          <w:p>
            <w:pPr>
              <w:spacing w:before="40" w:after="40"/>
              <w:jc w:val="right"/>
              <w:rPr>
                <w:i/>
                <w:iCs/>
                <w:noProof/>
                <w:color w:val="215868" w:themeColor="accent5" w:themeShade="80"/>
                <w:sz w:val="20"/>
                <w:szCs w:val="20"/>
              </w:rPr>
            </w:pPr>
            <w:r>
              <w:rPr>
                <w:i/>
                <w:iCs/>
                <w:noProof/>
                <w:color w:val="215967"/>
                <w:sz w:val="20"/>
                <w:szCs w:val="20"/>
              </w:rPr>
              <w:t>168,8</w:t>
            </w:r>
          </w:p>
        </w:tc>
        <w:tc>
          <w:tcPr>
            <w:tcW w:w="1020" w:type="dxa"/>
            <w:tcBorders>
              <w:top w:val="single" w:sz="2" w:space="0" w:color="auto"/>
              <w:left w:val="single" w:sz="2" w:space="0" w:color="auto"/>
              <w:bottom w:val="nil"/>
              <w:right w:val="single" w:sz="2" w:space="0" w:color="auto"/>
            </w:tcBorders>
            <w:shd w:val="clear" w:color="auto" w:fill="auto"/>
            <w:vAlign w:val="center"/>
            <w:hideMark/>
          </w:tcPr>
          <w:p>
            <w:pPr>
              <w:spacing w:before="40" w:after="40"/>
              <w:jc w:val="right"/>
              <w:rPr>
                <w:i/>
                <w:iCs/>
                <w:noProof/>
                <w:color w:val="215868" w:themeColor="accent5" w:themeShade="80"/>
                <w:sz w:val="20"/>
                <w:szCs w:val="20"/>
              </w:rPr>
            </w:pPr>
            <w:r>
              <w:rPr>
                <w:i/>
                <w:iCs/>
                <w:noProof/>
                <w:color w:val="215967"/>
                <w:sz w:val="20"/>
                <w:szCs w:val="20"/>
              </w:rPr>
              <w:t>166,7</w:t>
            </w:r>
          </w:p>
        </w:tc>
        <w:tc>
          <w:tcPr>
            <w:tcW w:w="1020" w:type="dxa"/>
            <w:tcBorders>
              <w:top w:val="nil"/>
              <w:left w:val="single" w:sz="2" w:space="0" w:color="auto"/>
              <w:bottom w:val="nil"/>
              <w:right w:val="single" w:sz="4" w:space="0" w:color="auto"/>
            </w:tcBorders>
            <w:shd w:val="clear" w:color="auto" w:fill="auto"/>
            <w:noWrap/>
            <w:vAlign w:val="center"/>
            <w:hideMark/>
          </w:tcPr>
          <w:p>
            <w:pPr>
              <w:spacing w:before="40" w:after="40"/>
              <w:jc w:val="right"/>
              <w:rPr>
                <w:i/>
                <w:iCs/>
                <w:noProof/>
                <w:color w:val="215868" w:themeColor="accent5" w:themeShade="80"/>
                <w:sz w:val="20"/>
                <w:szCs w:val="20"/>
              </w:rPr>
            </w:pPr>
            <w:r>
              <w:rPr>
                <w:i/>
                <w:iCs/>
                <w:noProof/>
                <w:color w:val="215967"/>
                <w:sz w:val="20"/>
                <w:szCs w:val="20"/>
              </w:rPr>
              <w:t>173,7</w:t>
            </w:r>
          </w:p>
        </w:tc>
        <w:tc>
          <w:tcPr>
            <w:tcW w:w="1020" w:type="dxa"/>
            <w:tcBorders>
              <w:top w:val="nil"/>
              <w:left w:val="nil"/>
              <w:bottom w:val="nil"/>
              <w:right w:val="single" w:sz="4" w:space="0" w:color="auto"/>
            </w:tcBorders>
            <w:shd w:val="clear" w:color="auto" w:fill="auto"/>
            <w:noWrap/>
            <w:vAlign w:val="center"/>
            <w:hideMark/>
          </w:tcPr>
          <w:p>
            <w:pPr>
              <w:spacing w:before="40" w:after="40"/>
              <w:jc w:val="right"/>
              <w:rPr>
                <w:i/>
                <w:iCs/>
                <w:noProof/>
                <w:color w:val="215868" w:themeColor="accent5" w:themeShade="80"/>
                <w:sz w:val="20"/>
                <w:szCs w:val="20"/>
              </w:rPr>
            </w:pPr>
            <w:r>
              <w:rPr>
                <w:i/>
                <w:iCs/>
                <w:noProof/>
                <w:color w:val="215967"/>
                <w:sz w:val="20"/>
                <w:szCs w:val="20"/>
              </w:rPr>
              <w:t>179,4</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i/>
                <w:iCs/>
                <w:noProof/>
                <w:color w:val="215868" w:themeColor="accent5" w:themeShade="80"/>
                <w:sz w:val="20"/>
                <w:szCs w:val="20"/>
              </w:rPr>
            </w:pPr>
            <w:r>
              <w:rPr>
                <w:i/>
                <w:iCs/>
                <w:noProof/>
                <w:color w:val="215967"/>
                <w:sz w:val="20"/>
                <w:szCs w:val="20"/>
              </w:rPr>
              <w:t>182,9</w:t>
            </w:r>
          </w:p>
        </w:tc>
      </w:tr>
      <w:tr>
        <w:trPr>
          <w:trHeight w:val="227"/>
        </w:trPr>
        <w:tc>
          <w:tcPr>
            <w:tcW w:w="4479" w:type="dxa"/>
            <w:tcBorders>
              <w:top w:val="nil"/>
              <w:left w:val="single" w:sz="8" w:space="0" w:color="auto"/>
              <w:bottom w:val="single" w:sz="8" w:space="0" w:color="auto"/>
              <w:right w:val="single" w:sz="4" w:space="0" w:color="auto"/>
            </w:tcBorders>
            <w:shd w:val="clear" w:color="auto" w:fill="auto"/>
            <w:noWrap/>
            <w:vAlign w:val="center"/>
            <w:hideMark/>
          </w:tcPr>
          <w:p>
            <w:pPr>
              <w:spacing w:before="40" w:after="40"/>
              <w:rPr>
                <w:i/>
                <w:iCs/>
                <w:noProof/>
                <w:color w:val="215868" w:themeColor="accent5" w:themeShade="80"/>
                <w:sz w:val="20"/>
                <w:szCs w:val="20"/>
              </w:rPr>
            </w:pPr>
            <w:r>
              <w:rPr>
                <w:i/>
                <w:iCs/>
                <w:noProof/>
                <w:color w:val="215967"/>
                <w:sz w:val="20"/>
                <w:szCs w:val="20"/>
              </w:rPr>
              <w:t>Payments ceiling</w:t>
            </w:r>
          </w:p>
        </w:tc>
        <w:tc>
          <w:tcPr>
            <w:tcW w:w="1020" w:type="dxa"/>
            <w:tcBorders>
              <w:top w:val="nil"/>
              <w:left w:val="single" w:sz="4" w:space="0" w:color="auto"/>
              <w:bottom w:val="single" w:sz="8" w:space="0" w:color="auto"/>
              <w:right w:val="single" w:sz="2" w:space="0" w:color="auto"/>
            </w:tcBorders>
            <w:shd w:val="clear" w:color="auto" w:fill="auto"/>
            <w:noWrap/>
            <w:vAlign w:val="center"/>
            <w:hideMark/>
          </w:tcPr>
          <w:p>
            <w:pPr>
              <w:spacing w:before="40" w:after="40"/>
              <w:jc w:val="right"/>
              <w:rPr>
                <w:i/>
                <w:iCs/>
                <w:noProof/>
                <w:color w:val="215868" w:themeColor="accent5" w:themeShade="80"/>
                <w:sz w:val="20"/>
                <w:szCs w:val="20"/>
              </w:rPr>
            </w:pPr>
            <w:r>
              <w:rPr>
                <w:i/>
                <w:iCs/>
                <w:noProof/>
                <w:color w:val="215967"/>
                <w:sz w:val="20"/>
                <w:szCs w:val="20"/>
              </w:rPr>
              <w:t>172,4</w:t>
            </w:r>
          </w:p>
        </w:tc>
        <w:tc>
          <w:tcPr>
            <w:tcW w:w="1020" w:type="dxa"/>
            <w:tcBorders>
              <w:top w:val="nil"/>
              <w:left w:val="single" w:sz="2" w:space="0" w:color="auto"/>
              <w:bottom w:val="single" w:sz="8" w:space="0" w:color="auto"/>
              <w:right w:val="single" w:sz="2" w:space="0" w:color="auto"/>
            </w:tcBorders>
            <w:shd w:val="clear" w:color="auto" w:fill="auto"/>
            <w:vAlign w:val="center"/>
            <w:hideMark/>
          </w:tcPr>
          <w:p>
            <w:pPr>
              <w:spacing w:before="40" w:after="40"/>
              <w:jc w:val="right"/>
              <w:rPr>
                <w:i/>
                <w:iCs/>
                <w:noProof/>
                <w:color w:val="215868" w:themeColor="accent5" w:themeShade="80"/>
                <w:sz w:val="20"/>
                <w:szCs w:val="20"/>
              </w:rPr>
            </w:pPr>
            <w:r>
              <w:rPr>
                <w:i/>
                <w:iCs/>
                <w:noProof/>
                <w:color w:val="215967"/>
                <w:sz w:val="20"/>
                <w:szCs w:val="20"/>
              </w:rPr>
              <w:t>159,4</w:t>
            </w:r>
          </w:p>
        </w:tc>
        <w:tc>
          <w:tcPr>
            <w:tcW w:w="1020" w:type="dxa"/>
            <w:tcBorders>
              <w:top w:val="nil"/>
              <w:left w:val="single" w:sz="2" w:space="0" w:color="auto"/>
              <w:bottom w:val="single" w:sz="8" w:space="0" w:color="auto"/>
              <w:right w:val="single" w:sz="4" w:space="0" w:color="auto"/>
            </w:tcBorders>
            <w:shd w:val="clear" w:color="auto" w:fill="auto"/>
            <w:noWrap/>
            <w:vAlign w:val="center"/>
            <w:hideMark/>
          </w:tcPr>
          <w:p>
            <w:pPr>
              <w:spacing w:before="40" w:after="40"/>
              <w:jc w:val="right"/>
              <w:rPr>
                <w:i/>
                <w:iCs/>
                <w:noProof/>
                <w:color w:val="215868" w:themeColor="accent5" w:themeShade="80"/>
                <w:sz w:val="20"/>
                <w:szCs w:val="20"/>
              </w:rPr>
            </w:pPr>
            <w:r>
              <w:rPr>
                <w:i/>
                <w:iCs/>
                <w:noProof/>
                <w:color w:val="215967"/>
                <w:sz w:val="20"/>
                <w:szCs w:val="20"/>
              </w:rPr>
              <w:t>164,0</w:t>
            </w:r>
          </w:p>
        </w:tc>
        <w:tc>
          <w:tcPr>
            <w:tcW w:w="1020" w:type="dxa"/>
            <w:tcBorders>
              <w:top w:val="nil"/>
              <w:left w:val="nil"/>
              <w:bottom w:val="single" w:sz="8" w:space="0" w:color="auto"/>
              <w:right w:val="single" w:sz="4" w:space="0" w:color="auto"/>
            </w:tcBorders>
            <w:shd w:val="clear" w:color="auto" w:fill="auto"/>
            <w:noWrap/>
            <w:vAlign w:val="center"/>
            <w:hideMark/>
          </w:tcPr>
          <w:p>
            <w:pPr>
              <w:spacing w:before="40" w:after="40"/>
              <w:jc w:val="right"/>
              <w:rPr>
                <w:i/>
                <w:iCs/>
                <w:noProof/>
                <w:color w:val="215868" w:themeColor="accent5" w:themeShade="80"/>
                <w:sz w:val="20"/>
                <w:szCs w:val="20"/>
              </w:rPr>
            </w:pPr>
            <w:r>
              <w:rPr>
                <w:i/>
                <w:iCs/>
                <w:noProof/>
                <w:color w:val="215967"/>
                <w:sz w:val="20"/>
                <w:szCs w:val="20"/>
              </w:rPr>
              <w:t>177,3</w:t>
            </w:r>
          </w:p>
        </w:tc>
        <w:tc>
          <w:tcPr>
            <w:tcW w:w="1021" w:type="dxa"/>
            <w:tcBorders>
              <w:top w:val="nil"/>
              <w:left w:val="nil"/>
              <w:bottom w:val="single" w:sz="8" w:space="0" w:color="auto"/>
              <w:right w:val="single" w:sz="8" w:space="0" w:color="auto"/>
            </w:tcBorders>
            <w:shd w:val="clear" w:color="auto" w:fill="auto"/>
            <w:noWrap/>
            <w:vAlign w:val="center"/>
            <w:hideMark/>
          </w:tcPr>
          <w:p>
            <w:pPr>
              <w:spacing w:before="40" w:after="40"/>
              <w:jc w:val="right"/>
              <w:rPr>
                <w:i/>
                <w:iCs/>
                <w:noProof/>
                <w:color w:val="215868" w:themeColor="accent5" w:themeShade="80"/>
                <w:sz w:val="20"/>
                <w:szCs w:val="20"/>
              </w:rPr>
            </w:pPr>
            <w:r>
              <w:rPr>
                <w:i/>
                <w:iCs/>
                <w:noProof/>
                <w:color w:val="215967"/>
                <w:sz w:val="20"/>
                <w:szCs w:val="20"/>
              </w:rPr>
              <w:t>180,9</w:t>
            </w:r>
          </w:p>
        </w:tc>
      </w:tr>
      <w:tr>
        <w:trPr>
          <w:trHeight w:val="227"/>
        </w:trPr>
        <w:tc>
          <w:tcPr>
            <w:tcW w:w="4479" w:type="dxa"/>
            <w:tcBorders>
              <w:top w:val="nil"/>
              <w:left w:val="single" w:sz="8" w:space="0" w:color="auto"/>
              <w:bottom w:val="nil"/>
              <w:right w:val="single" w:sz="4" w:space="0" w:color="auto"/>
            </w:tcBorders>
            <w:shd w:val="clear" w:color="auto" w:fill="auto"/>
            <w:noWrap/>
            <w:vAlign w:val="center"/>
            <w:hideMark/>
          </w:tcPr>
          <w:p>
            <w:pPr>
              <w:spacing w:before="40" w:after="40"/>
              <w:rPr>
                <w:b/>
                <w:bCs/>
                <w:noProof/>
                <w:color w:val="000000"/>
                <w:sz w:val="20"/>
                <w:szCs w:val="20"/>
              </w:rPr>
            </w:pPr>
            <w:r>
              <w:rPr>
                <w:b/>
                <w:bCs/>
                <w:noProof/>
                <w:color w:val="000000"/>
                <w:sz w:val="20"/>
                <w:szCs w:val="20"/>
              </w:rPr>
              <w:t>Commitment appropriations</w:t>
            </w:r>
          </w:p>
        </w:tc>
        <w:tc>
          <w:tcPr>
            <w:tcW w:w="1020" w:type="dxa"/>
            <w:tcBorders>
              <w:top w:val="nil"/>
              <w:left w:val="single" w:sz="4" w:space="0" w:color="auto"/>
              <w:bottom w:val="nil"/>
              <w:right w:val="single" w:sz="2" w:space="0" w:color="auto"/>
            </w:tcBorders>
            <w:shd w:val="clear" w:color="auto" w:fill="auto"/>
            <w:noWrap/>
            <w:vAlign w:val="center"/>
            <w:hideMark/>
          </w:tcPr>
          <w:p>
            <w:pPr>
              <w:spacing w:before="40" w:after="40"/>
              <w:jc w:val="right"/>
              <w:rPr>
                <w:b/>
                <w:noProof/>
                <w:color w:val="000000"/>
                <w:sz w:val="20"/>
                <w:szCs w:val="20"/>
              </w:rPr>
            </w:pPr>
            <w:r>
              <w:rPr>
                <w:noProof/>
                <w:color w:val="000000"/>
                <w:sz w:val="20"/>
                <w:szCs w:val="20"/>
              </w:rPr>
              <w:t>167,7</w:t>
            </w:r>
          </w:p>
        </w:tc>
        <w:tc>
          <w:tcPr>
            <w:tcW w:w="1020" w:type="dxa"/>
            <w:tcBorders>
              <w:top w:val="nil"/>
              <w:left w:val="single" w:sz="2" w:space="0" w:color="auto"/>
              <w:bottom w:val="nil"/>
              <w:right w:val="single" w:sz="2" w:space="0" w:color="auto"/>
            </w:tcBorders>
            <w:shd w:val="clear" w:color="auto" w:fill="auto"/>
            <w:noWrap/>
            <w:vAlign w:val="center"/>
            <w:hideMark/>
          </w:tcPr>
          <w:p>
            <w:pPr>
              <w:spacing w:before="40" w:after="40"/>
              <w:jc w:val="right"/>
              <w:rPr>
                <w:b/>
                <w:noProof/>
                <w:color w:val="000000"/>
                <w:sz w:val="20"/>
                <w:szCs w:val="20"/>
              </w:rPr>
            </w:pPr>
            <w:r>
              <w:rPr>
                <w:noProof/>
                <w:color w:val="000000"/>
                <w:sz w:val="20"/>
                <w:szCs w:val="20"/>
              </w:rPr>
              <w:t>166,7</w:t>
            </w:r>
          </w:p>
        </w:tc>
        <w:tc>
          <w:tcPr>
            <w:tcW w:w="1020" w:type="dxa"/>
            <w:tcBorders>
              <w:top w:val="nil"/>
              <w:left w:val="single" w:sz="2" w:space="0" w:color="auto"/>
              <w:bottom w:val="nil"/>
              <w:right w:val="single" w:sz="4" w:space="0" w:color="auto"/>
            </w:tcBorders>
            <w:shd w:val="clear" w:color="auto" w:fill="auto"/>
            <w:noWrap/>
            <w:vAlign w:val="center"/>
            <w:hideMark/>
          </w:tcPr>
          <w:p>
            <w:pPr>
              <w:spacing w:before="40" w:after="40"/>
              <w:jc w:val="right"/>
              <w:rPr>
                <w:b/>
                <w:noProof/>
                <w:color w:val="000000"/>
                <w:sz w:val="20"/>
                <w:szCs w:val="20"/>
              </w:rPr>
            </w:pPr>
            <w:r>
              <w:rPr>
                <w:noProof/>
                <w:color w:val="000000"/>
                <w:sz w:val="20"/>
                <w:szCs w:val="20"/>
              </w:rPr>
              <w:t>173,7</w:t>
            </w:r>
          </w:p>
        </w:tc>
        <w:tc>
          <w:tcPr>
            <w:tcW w:w="1020" w:type="dxa"/>
            <w:tcBorders>
              <w:top w:val="nil"/>
              <w:left w:val="nil"/>
              <w:bottom w:val="nil"/>
              <w:right w:val="single" w:sz="4" w:space="0" w:color="auto"/>
            </w:tcBorders>
            <w:shd w:val="clear" w:color="auto" w:fill="auto"/>
            <w:noWrap/>
            <w:vAlign w:val="center"/>
            <w:hideMark/>
          </w:tcPr>
          <w:p>
            <w:pPr>
              <w:spacing w:before="40" w:after="40"/>
              <w:jc w:val="right"/>
              <w:rPr>
                <w:b/>
                <w:noProof/>
                <w:color w:val="000000"/>
                <w:sz w:val="20"/>
                <w:szCs w:val="20"/>
              </w:rPr>
            </w:pPr>
            <w:r>
              <w:rPr>
                <w:noProof/>
                <w:color w:val="000000"/>
                <w:sz w:val="20"/>
                <w:szCs w:val="20"/>
              </w:rPr>
              <w:t>179,4</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b/>
                <w:noProof/>
                <w:color w:val="000000"/>
                <w:sz w:val="20"/>
                <w:szCs w:val="20"/>
              </w:rPr>
            </w:pPr>
            <w:r>
              <w:rPr>
                <w:noProof/>
                <w:color w:val="000000"/>
                <w:sz w:val="20"/>
                <w:szCs w:val="20"/>
              </w:rPr>
              <w:t>182,9</w:t>
            </w:r>
          </w:p>
        </w:tc>
      </w:tr>
      <w:tr>
        <w:trPr>
          <w:trHeight w:val="227"/>
        </w:trPr>
        <w:tc>
          <w:tcPr>
            <w:tcW w:w="4479" w:type="dxa"/>
            <w:tcBorders>
              <w:top w:val="nil"/>
              <w:left w:val="single" w:sz="8" w:space="0" w:color="auto"/>
              <w:bottom w:val="nil"/>
              <w:right w:val="single" w:sz="4" w:space="0" w:color="auto"/>
            </w:tcBorders>
            <w:shd w:val="clear" w:color="auto" w:fill="auto"/>
            <w:noWrap/>
            <w:vAlign w:val="center"/>
            <w:hideMark/>
          </w:tcPr>
          <w:p>
            <w:pPr>
              <w:spacing w:before="40" w:after="40"/>
              <w:rPr>
                <w:b/>
                <w:bCs/>
                <w:noProof/>
                <w:color w:val="000000"/>
                <w:sz w:val="20"/>
                <w:szCs w:val="20"/>
              </w:rPr>
            </w:pPr>
            <w:r>
              <w:rPr>
                <w:b/>
                <w:bCs/>
                <w:noProof/>
                <w:color w:val="000000"/>
                <w:sz w:val="20"/>
                <w:szCs w:val="20"/>
              </w:rPr>
              <w:t>Payment appropriations</w:t>
            </w:r>
          </w:p>
        </w:tc>
        <w:tc>
          <w:tcPr>
            <w:tcW w:w="1020" w:type="dxa"/>
            <w:tcBorders>
              <w:top w:val="nil"/>
              <w:left w:val="single" w:sz="4" w:space="0" w:color="auto"/>
              <w:bottom w:val="nil"/>
              <w:right w:val="single" w:sz="2" w:space="0" w:color="auto"/>
            </w:tcBorders>
            <w:shd w:val="clear" w:color="auto" w:fill="auto"/>
            <w:noWrap/>
            <w:vAlign w:val="center"/>
            <w:hideMark/>
          </w:tcPr>
          <w:p>
            <w:pPr>
              <w:spacing w:before="40" w:after="40"/>
              <w:jc w:val="right"/>
              <w:rPr>
                <w:b/>
                <w:noProof/>
                <w:color w:val="000000"/>
                <w:sz w:val="20"/>
                <w:szCs w:val="20"/>
              </w:rPr>
            </w:pPr>
            <w:r>
              <w:rPr>
                <w:noProof/>
                <w:color w:val="000000"/>
                <w:sz w:val="20"/>
                <w:szCs w:val="20"/>
              </w:rPr>
              <w:t>153,2</w:t>
            </w:r>
          </w:p>
        </w:tc>
        <w:tc>
          <w:tcPr>
            <w:tcW w:w="1020" w:type="dxa"/>
            <w:tcBorders>
              <w:top w:val="nil"/>
              <w:left w:val="single" w:sz="2" w:space="0" w:color="auto"/>
              <w:bottom w:val="nil"/>
              <w:right w:val="single" w:sz="2" w:space="0" w:color="auto"/>
            </w:tcBorders>
            <w:shd w:val="clear" w:color="auto" w:fill="auto"/>
            <w:noWrap/>
            <w:vAlign w:val="center"/>
            <w:hideMark/>
          </w:tcPr>
          <w:p>
            <w:pPr>
              <w:spacing w:before="40" w:after="40"/>
              <w:jc w:val="right"/>
              <w:rPr>
                <w:b/>
                <w:noProof/>
                <w:color w:val="000000"/>
                <w:sz w:val="20"/>
                <w:szCs w:val="20"/>
              </w:rPr>
            </w:pPr>
            <w:r>
              <w:rPr>
                <w:noProof/>
                <w:color w:val="000000"/>
                <w:sz w:val="20"/>
                <w:szCs w:val="20"/>
              </w:rPr>
              <w:t>159,1</w:t>
            </w:r>
          </w:p>
        </w:tc>
        <w:tc>
          <w:tcPr>
            <w:tcW w:w="1020" w:type="dxa"/>
            <w:tcBorders>
              <w:top w:val="nil"/>
              <w:left w:val="single" w:sz="2" w:space="0" w:color="auto"/>
              <w:bottom w:val="nil"/>
              <w:right w:val="single" w:sz="4" w:space="0" w:color="auto"/>
            </w:tcBorders>
            <w:shd w:val="clear" w:color="auto" w:fill="auto"/>
            <w:noWrap/>
            <w:vAlign w:val="center"/>
            <w:hideMark/>
          </w:tcPr>
          <w:p>
            <w:pPr>
              <w:spacing w:before="40" w:after="40"/>
              <w:jc w:val="right"/>
              <w:rPr>
                <w:b/>
                <w:noProof/>
                <w:color w:val="000000"/>
                <w:sz w:val="20"/>
                <w:szCs w:val="20"/>
              </w:rPr>
            </w:pPr>
            <w:r>
              <w:rPr>
                <w:noProof/>
                <w:color w:val="000000"/>
                <w:sz w:val="20"/>
                <w:szCs w:val="20"/>
              </w:rPr>
              <w:t>164,2</w:t>
            </w:r>
          </w:p>
        </w:tc>
        <w:tc>
          <w:tcPr>
            <w:tcW w:w="1020" w:type="dxa"/>
            <w:tcBorders>
              <w:top w:val="nil"/>
              <w:left w:val="nil"/>
              <w:bottom w:val="nil"/>
              <w:right w:val="single" w:sz="4" w:space="0" w:color="auto"/>
            </w:tcBorders>
            <w:shd w:val="clear" w:color="auto" w:fill="auto"/>
            <w:noWrap/>
            <w:vAlign w:val="center"/>
            <w:hideMark/>
          </w:tcPr>
          <w:p>
            <w:pPr>
              <w:spacing w:before="40" w:after="40"/>
              <w:jc w:val="right"/>
              <w:rPr>
                <w:b/>
                <w:noProof/>
                <w:color w:val="000000"/>
                <w:sz w:val="20"/>
                <w:szCs w:val="20"/>
              </w:rPr>
            </w:pPr>
            <w:r>
              <w:rPr>
                <w:noProof/>
                <w:color w:val="000000"/>
                <w:sz w:val="20"/>
                <w:szCs w:val="20"/>
              </w:rPr>
              <w:t>178,1</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b/>
                <w:noProof/>
                <w:color w:val="000000"/>
                <w:sz w:val="20"/>
                <w:szCs w:val="20"/>
              </w:rPr>
            </w:pPr>
            <w:r>
              <w:rPr>
                <w:noProof/>
                <w:color w:val="000000"/>
                <w:sz w:val="20"/>
                <w:szCs w:val="20"/>
              </w:rPr>
              <w:t>185,2</w:t>
            </w:r>
          </w:p>
        </w:tc>
      </w:tr>
      <w:tr>
        <w:trPr>
          <w:trHeight w:val="227"/>
        </w:trPr>
        <w:tc>
          <w:tcPr>
            <w:tcW w:w="447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pPr>
              <w:spacing w:before="40" w:after="40"/>
              <w:rPr>
                <w:noProof/>
                <w:color w:val="000000"/>
                <w:sz w:val="20"/>
                <w:szCs w:val="20"/>
              </w:rPr>
            </w:pPr>
            <w:r>
              <w:rPr>
                <w:noProof/>
                <w:color w:val="000000"/>
                <w:sz w:val="20"/>
                <w:szCs w:val="20"/>
              </w:rPr>
              <w:t>of which payments pre-2021 commitments</w:t>
            </w:r>
          </w:p>
        </w:tc>
        <w:tc>
          <w:tcPr>
            <w:tcW w:w="1020" w:type="dxa"/>
            <w:tcBorders>
              <w:top w:val="single" w:sz="8" w:space="0" w:color="auto"/>
              <w:left w:val="single" w:sz="4" w:space="0" w:color="auto"/>
              <w:bottom w:val="single" w:sz="4" w:space="0" w:color="auto"/>
              <w:right w:val="single" w:sz="2" w:space="0" w:color="auto"/>
            </w:tcBorders>
            <w:shd w:val="clear" w:color="auto" w:fill="auto"/>
            <w:noWrap/>
            <w:vAlign w:val="center"/>
            <w:hideMark/>
          </w:tcPr>
          <w:p>
            <w:pPr>
              <w:spacing w:before="40" w:after="40"/>
              <w:jc w:val="right"/>
              <w:rPr>
                <w:noProof/>
                <w:color w:val="000000"/>
                <w:sz w:val="20"/>
                <w:szCs w:val="20"/>
              </w:rPr>
            </w:pPr>
            <w:r>
              <w:rPr>
                <w:noProof/>
                <w:color w:val="000000"/>
                <w:sz w:val="20"/>
                <w:szCs w:val="20"/>
              </w:rPr>
              <w:t>153,2</w:t>
            </w:r>
          </w:p>
        </w:tc>
        <w:tc>
          <w:tcPr>
            <w:tcW w:w="1020" w:type="dxa"/>
            <w:tcBorders>
              <w:top w:val="single" w:sz="8" w:space="0" w:color="auto"/>
              <w:left w:val="single" w:sz="2" w:space="0" w:color="auto"/>
              <w:bottom w:val="single" w:sz="4" w:space="0" w:color="auto"/>
              <w:right w:val="single" w:sz="2" w:space="0" w:color="auto"/>
            </w:tcBorders>
            <w:shd w:val="clear" w:color="auto" w:fill="auto"/>
            <w:noWrap/>
            <w:vAlign w:val="center"/>
            <w:hideMark/>
          </w:tcPr>
          <w:p>
            <w:pPr>
              <w:spacing w:before="40" w:after="40"/>
              <w:jc w:val="right"/>
              <w:rPr>
                <w:noProof/>
                <w:color w:val="000000"/>
                <w:sz w:val="20"/>
                <w:szCs w:val="20"/>
              </w:rPr>
            </w:pPr>
            <w:r>
              <w:rPr>
                <w:noProof/>
                <w:color w:val="000000"/>
                <w:sz w:val="20"/>
                <w:szCs w:val="20"/>
              </w:rPr>
              <w:t>87,7</w:t>
            </w:r>
          </w:p>
        </w:tc>
        <w:tc>
          <w:tcPr>
            <w:tcW w:w="1020" w:type="dxa"/>
            <w:tcBorders>
              <w:top w:val="single" w:sz="8" w:space="0" w:color="auto"/>
              <w:left w:val="single" w:sz="2" w:space="0" w:color="auto"/>
              <w:bottom w:val="single" w:sz="4" w:space="0" w:color="auto"/>
              <w:right w:val="nil"/>
            </w:tcBorders>
            <w:shd w:val="clear" w:color="auto" w:fill="auto"/>
            <w:noWrap/>
            <w:vAlign w:val="center"/>
            <w:hideMark/>
          </w:tcPr>
          <w:p>
            <w:pPr>
              <w:spacing w:before="40" w:after="40"/>
              <w:jc w:val="right"/>
              <w:rPr>
                <w:noProof/>
                <w:color w:val="000000"/>
                <w:sz w:val="20"/>
                <w:szCs w:val="20"/>
              </w:rPr>
            </w:pPr>
            <w:r>
              <w:rPr>
                <w:noProof/>
                <w:color w:val="000000"/>
                <w:sz w:val="20"/>
                <w:szCs w:val="20"/>
              </w:rPr>
              <w:t>76,9</w:t>
            </w:r>
          </w:p>
        </w:tc>
        <w:tc>
          <w:tcPr>
            <w:tcW w:w="102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noProof/>
                <w:color w:val="000000"/>
                <w:sz w:val="20"/>
                <w:szCs w:val="20"/>
              </w:rPr>
            </w:pPr>
            <w:r>
              <w:rPr>
                <w:noProof/>
                <w:color w:val="000000"/>
                <w:sz w:val="20"/>
                <w:szCs w:val="20"/>
              </w:rPr>
              <w:t>56,7</w:t>
            </w:r>
          </w:p>
        </w:tc>
        <w:tc>
          <w:tcPr>
            <w:tcW w:w="1021" w:type="dxa"/>
            <w:tcBorders>
              <w:top w:val="single" w:sz="8" w:space="0" w:color="auto"/>
              <w:left w:val="nil"/>
              <w:bottom w:val="single" w:sz="4" w:space="0" w:color="auto"/>
              <w:right w:val="single" w:sz="8" w:space="0" w:color="auto"/>
            </w:tcBorders>
            <w:shd w:val="clear" w:color="auto" w:fill="auto"/>
            <w:noWrap/>
            <w:vAlign w:val="center"/>
            <w:hideMark/>
          </w:tcPr>
          <w:p>
            <w:pPr>
              <w:spacing w:before="40" w:after="40"/>
              <w:jc w:val="right"/>
              <w:rPr>
                <w:noProof/>
                <w:color w:val="000000"/>
                <w:sz w:val="20"/>
                <w:szCs w:val="20"/>
              </w:rPr>
            </w:pPr>
            <w:r>
              <w:rPr>
                <w:noProof/>
                <w:color w:val="000000"/>
                <w:sz w:val="20"/>
                <w:szCs w:val="20"/>
              </w:rPr>
              <w:t>42,8</w:t>
            </w:r>
          </w:p>
        </w:tc>
      </w:tr>
      <w:tr>
        <w:trPr>
          <w:trHeight w:val="227"/>
        </w:trPr>
        <w:tc>
          <w:tcPr>
            <w:tcW w:w="4479" w:type="dxa"/>
            <w:tcBorders>
              <w:top w:val="nil"/>
              <w:left w:val="single" w:sz="8"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1a. Competitiveness for growth and jobs</w:t>
            </w:r>
          </w:p>
        </w:tc>
        <w:tc>
          <w:tcPr>
            <w:tcW w:w="1020" w:type="dxa"/>
            <w:tcBorders>
              <w:top w:val="nil"/>
              <w:left w:val="single" w:sz="4" w:space="0" w:color="auto"/>
              <w:bottom w:val="nil"/>
              <w:right w:val="single" w:sz="2" w:space="0" w:color="auto"/>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22,1</w:t>
            </w:r>
          </w:p>
        </w:tc>
        <w:tc>
          <w:tcPr>
            <w:tcW w:w="1020" w:type="dxa"/>
            <w:tcBorders>
              <w:top w:val="nil"/>
              <w:left w:val="single" w:sz="2" w:space="0" w:color="auto"/>
              <w:bottom w:val="nil"/>
              <w:right w:val="single" w:sz="2" w:space="0" w:color="auto"/>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14,3</w:t>
            </w:r>
          </w:p>
        </w:tc>
        <w:tc>
          <w:tcPr>
            <w:tcW w:w="1020" w:type="dxa"/>
            <w:tcBorders>
              <w:top w:val="nil"/>
              <w:left w:val="single" w:sz="2" w:space="0" w:color="auto"/>
              <w:bottom w:val="nil"/>
              <w:right w:val="nil"/>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9,5</w:t>
            </w:r>
          </w:p>
        </w:tc>
        <w:tc>
          <w:tcPr>
            <w:tcW w:w="1020" w:type="dxa"/>
            <w:tcBorders>
              <w:top w:val="nil"/>
              <w:left w:val="single" w:sz="4"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6,0</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0"/>
              </w:rPr>
            </w:pPr>
            <w:r>
              <w:rPr>
                <w:noProof/>
                <w:color w:val="000000"/>
                <w:sz w:val="20"/>
                <w:szCs w:val="20"/>
              </w:rPr>
              <w:t>4,3</w:t>
            </w:r>
          </w:p>
        </w:tc>
      </w:tr>
      <w:tr>
        <w:trPr>
          <w:trHeight w:val="227"/>
        </w:trPr>
        <w:tc>
          <w:tcPr>
            <w:tcW w:w="4479" w:type="dxa"/>
            <w:tcBorders>
              <w:top w:val="nil"/>
              <w:left w:val="single" w:sz="8"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1b. Economic, social and territorial cohesion</w:t>
            </w:r>
          </w:p>
        </w:tc>
        <w:tc>
          <w:tcPr>
            <w:tcW w:w="1020" w:type="dxa"/>
            <w:tcBorders>
              <w:top w:val="nil"/>
              <w:left w:val="single" w:sz="4" w:space="0" w:color="auto"/>
              <w:bottom w:val="nil"/>
              <w:right w:val="single" w:sz="2" w:space="0" w:color="auto"/>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50,0</w:t>
            </w:r>
          </w:p>
        </w:tc>
        <w:tc>
          <w:tcPr>
            <w:tcW w:w="1020" w:type="dxa"/>
            <w:tcBorders>
              <w:top w:val="nil"/>
              <w:left w:val="single" w:sz="2" w:space="0" w:color="auto"/>
              <w:bottom w:val="nil"/>
              <w:right w:val="single" w:sz="2" w:space="0" w:color="auto"/>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48,5</w:t>
            </w:r>
          </w:p>
        </w:tc>
        <w:tc>
          <w:tcPr>
            <w:tcW w:w="1020" w:type="dxa"/>
            <w:tcBorders>
              <w:top w:val="nil"/>
              <w:left w:val="single" w:sz="2" w:space="0" w:color="auto"/>
              <w:bottom w:val="nil"/>
              <w:right w:val="nil"/>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47,6</w:t>
            </w:r>
          </w:p>
        </w:tc>
        <w:tc>
          <w:tcPr>
            <w:tcW w:w="1020" w:type="dxa"/>
            <w:tcBorders>
              <w:top w:val="nil"/>
              <w:left w:val="single" w:sz="4"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36,9</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0"/>
              </w:rPr>
            </w:pPr>
            <w:r>
              <w:rPr>
                <w:noProof/>
                <w:color w:val="000000"/>
                <w:sz w:val="20"/>
                <w:szCs w:val="20"/>
              </w:rPr>
              <w:t>28,0</w:t>
            </w:r>
          </w:p>
        </w:tc>
      </w:tr>
      <w:tr>
        <w:trPr>
          <w:trHeight w:val="227"/>
        </w:trPr>
        <w:tc>
          <w:tcPr>
            <w:tcW w:w="4479" w:type="dxa"/>
            <w:tcBorders>
              <w:top w:val="nil"/>
              <w:left w:val="single" w:sz="8"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2. Sustainable Growth: Natural Resources</w:t>
            </w:r>
          </w:p>
        </w:tc>
        <w:tc>
          <w:tcPr>
            <w:tcW w:w="1020" w:type="dxa"/>
            <w:tcBorders>
              <w:top w:val="nil"/>
              <w:left w:val="single" w:sz="4" w:space="0" w:color="auto"/>
              <w:bottom w:val="nil"/>
              <w:right w:val="single" w:sz="2" w:space="0" w:color="auto"/>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58,0</w:t>
            </w:r>
          </w:p>
        </w:tc>
        <w:tc>
          <w:tcPr>
            <w:tcW w:w="1020" w:type="dxa"/>
            <w:tcBorders>
              <w:top w:val="nil"/>
              <w:left w:val="single" w:sz="2" w:space="0" w:color="auto"/>
              <w:bottom w:val="nil"/>
              <w:right w:val="single" w:sz="2" w:space="0" w:color="auto"/>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15,0</w:t>
            </w:r>
          </w:p>
        </w:tc>
        <w:tc>
          <w:tcPr>
            <w:tcW w:w="1020" w:type="dxa"/>
            <w:tcBorders>
              <w:top w:val="nil"/>
              <w:left w:val="single" w:sz="2" w:space="0" w:color="auto"/>
              <w:bottom w:val="nil"/>
              <w:right w:val="nil"/>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11,7</w:t>
            </w:r>
          </w:p>
        </w:tc>
        <w:tc>
          <w:tcPr>
            <w:tcW w:w="1020" w:type="dxa"/>
            <w:tcBorders>
              <w:top w:val="nil"/>
              <w:left w:val="single" w:sz="4"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7,3</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0"/>
              </w:rPr>
            </w:pPr>
            <w:r>
              <w:rPr>
                <w:noProof/>
                <w:color w:val="000000"/>
                <w:sz w:val="20"/>
                <w:szCs w:val="20"/>
              </w:rPr>
              <w:t>5,2</w:t>
            </w:r>
          </w:p>
        </w:tc>
      </w:tr>
      <w:tr>
        <w:trPr>
          <w:trHeight w:val="227"/>
        </w:trPr>
        <w:tc>
          <w:tcPr>
            <w:tcW w:w="4479" w:type="dxa"/>
            <w:tcBorders>
              <w:top w:val="nil"/>
              <w:left w:val="single" w:sz="8"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3. Security and citizenship</w:t>
            </w:r>
          </w:p>
        </w:tc>
        <w:tc>
          <w:tcPr>
            <w:tcW w:w="1020" w:type="dxa"/>
            <w:tcBorders>
              <w:top w:val="nil"/>
              <w:left w:val="single" w:sz="4" w:space="0" w:color="auto"/>
              <w:bottom w:val="nil"/>
              <w:right w:val="single" w:sz="2" w:space="0" w:color="auto"/>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3,7</w:t>
            </w:r>
          </w:p>
        </w:tc>
        <w:tc>
          <w:tcPr>
            <w:tcW w:w="1020" w:type="dxa"/>
            <w:tcBorders>
              <w:top w:val="nil"/>
              <w:left w:val="single" w:sz="2" w:space="0" w:color="auto"/>
              <w:bottom w:val="nil"/>
              <w:right w:val="single" w:sz="2" w:space="0" w:color="auto"/>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2,3</w:t>
            </w:r>
          </w:p>
        </w:tc>
        <w:tc>
          <w:tcPr>
            <w:tcW w:w="1020" w:type="dxa"/>
            <w:tcBorders>
              <w:top w:val="nil"/>
              <w:left w:val="single" w:sz="2" w:space="0" w:color="auto"/>
              <w:bottom w:val="nil"/>
              <w:right w:val="nil"/>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1,2</w:t>
            </w:r>
          </w:p>
        </w:tc>
        <w:tc>
          <w:tcPr>
            <w:tcW w:w="1020" w:type="dxa"/>
            <w:tcBorders>
              <w:top w:val="nil"/>
              <w:left w:val="single" w:sz="4"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0,5</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0"/>
              </w:rPr>
            </w:pPr>
            <w:r>
              <w:rPr>
                <w:noProof/>
                <w:color w:val="000000"/>
                <w:sz w:val="20"/>
                <w:szCs w:val="20"/>
              </w:rPr>
              <w:t>0,3</w:t>
            </w:r>
          </w:p>
        </w:tc>
      </w:tr>
      <w:tr>
        <w:trPr>
          <w:trHeight w:val="227"/>
        </w:trPr>
        <w:tc>
          <w:tcPr>
            <w:tcW w:w="4479" w:type="dxa"/>
            <w:tcBorders>
              <w:top w:val="nil"/>
              <w:left w:val="single" w:sz="8"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4. Global Europe</w:t>
            </w:r>
          </w:p>
        </w:tc>
        <w:tc>
          <w:tcPr>
            <w:tcW w:w="1020" w:type="dxa"/>
            <w:tcBorders>
              <w:top w:val="nil"/>
              <w:left w:val="single" w:sz="4" w:space="0" w:color="auto"/>
              <w:bottom w:val="nil"/>
              <w:right w:val="single" w:sz="2" w:space="0" w:color="auto"/>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9,0</w:t>
            </w:r>
          </w:p>
        </w:tc>
        <w:tc>
          <w:tcPr>
            <w:tcW w:w="1020" w:type="dxa"/>
            <w:tcBorders>
              <w:top w:val="nil"/>
              <w:left w:val="single" w:sz="2" w:space="0" w:color="auto"/>
              <w:bottom w:val="nil"/>
              <w:right w:val="single" w:sz="2" w:space="0" w:color="auto"/>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7,6</w:t>
            </w:r>
          </w:p>
        </w:tc>
        <w:tc>
          <w:tcPr>
            <w:tcW w:w="1020" w:type="dxa"/>
            <w:tcBorders>
              <w:top w:val="nil"/>
              <w:left w:val="single" w:sz="2" w:space="0" w:color="auto"/>
              <w:bottom w:val="nil"/>
              <w:right w:val="nil"/>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6,8</w:t>
            </w:r>
          </w:p>
        </w:tc>
        <w:tc>
          <w:tcPr>
            <w:tcW w:w="1020" w:type="dxa"/>
            <w:tcBorders>
              <w:top w:val="nil"/>
              <w:left w:val="single" w:sz="4"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6,0</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0"/>
              </w:rPr>
            </w:pPr>
            <w:r>
              <w:rPr>
                <w:noProof/>
                <w:color w:val="000000"/>
                <w:sz w:val="20"/>
                <w:szCs w:val="20"/>
              </w:rPr>
              <w:t>5,0</w:t>
            </w:r>
          </w:p>
        </w:tc>
      </w:tr>
      <w:tr>
        <w:trPr>
          <w:trHeight w:val="227"/>
        </w:trPr>
        <w:tc>
          <w:tcPr>
            <w:tcW w:w="4479" w:type="dxa"/>
            <w:tcBorders>
              <w:top w:val="nil"/>
              <w:left w:val="single" w:sz="8" w:space="0" w:color="auto"/>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 xml:space="preserve">5. Administration </w:t>
            </w:r>
          </w:p>
        </w:tc>
        <w:tc>
          <w:tcPr>
            <w:tcW w:w="1020" w:type="dxa"/>
            <w:tcBorders>
              <w:top w:val="nil"/>
              <w:left w:val="single" w:sz="4" w:space="0" w:color="auto"/>
              <w:bottom w:val="single" w:sz="8" w:space="0" w:color="auto"/>
              <w:right w:val="single" w:sz="2" w:space="0" w:color="auto"/>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10,3</w:t>
            </w:r>
          </w:p>
        </w:tc>
        <w:tc>
          <w:tcPr>
            <w:tcW w:w="1020" w:type="dxa"/>
            <w:tcBorders>
              <w:top w:val="nil"/>
              <w:left w:val="single" w:sz="2" w:space="0" w:color="auto"/>
              <w:bottom w:val="single" w:sz="8" w:space="0" w:color="auto"/>
              <w:right w:val="single" w:sz="2" w:space="0" w:color="auto"/>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0,0</w:t>
            </w:r>
          </w:p>
        </w:tc>
        <w:tc>
          <w:tcPr>
            <w:tcW w:w="1020" w:type="dxa"/>
            <w:tcBorders>
              <w:top w:val="nil"/>
              <w:left w:val="single" w:sz="2" w:space="0" w:color="auto"/>
              <w:bottom w:val="single" w:sz="8" w:space="0" w:color="auto"/>
              <w:right w:val="nil"/>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0,0</w:t>
            </w:r>
          </w:p>
        </w:tc>
        <w:tc>
          <w:tcPr>
            <w:tcW w:w="1020" w:type="dxa"/>
            <w:tcBorders>
              <w:top w:val="nil"/>
              <w:left w:val="single" w:sz="4" w:space="0" w:color="auto"/>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0,0</w:t>
            </w:r>
          </w:p>
        </w:tc>
        <w:tc>
          <w:tcPr>
            <w:tcW w:w="1021" w:type="dxa"/>
            <w:tcBorders>
              <w:top w:val="nil"/>
              <w:left w:val="nil"/>
              <w:bottom w:val="single" w:sz="8" w:space="0" w:color="auto"/>
              <w:right w:val="single" w:sz="8" w:space="0" w:color="auto"/>
            </w:tcBorders>
            <w:shd w:val="clear" w:color="auto" w:fill="auto"/>
            <w:noWrap/>
            <w:vAlign w:val="center"/>
            <w:hideMark/>
          </w:tcPr>
          <w:p>
            <w:pPr>
              <w:spacing w:before="40" w:after="40"/>
              <w:jc w:val="right"/>
              <w:rPr>
                <w:i/>
                <w:iCs/>
                <w:noProof/>
                <w:color w:val="000000"/>
                <w:sz w:val="20"/>
                <w:szCs w:val="20"/>
              </w:rPr>
            </w:pPr>
            <w:r>
              <w:rPr>
                <w:noProof/>
                <w:color w:val="000000"/>
                <w:sz w:val="20"/>
                <w:szCs w:val="20"/>
              </w:rPr>
              <w:t>0,0</w:t>
            </w:r>
          </w:p>
        </w:tc>
      </w:tr>
      <w:tr>
        <w:trPr>
          <w:trHeight w:val="227"/>
        </w:trPr>
        <w:tc>
          <w:tcPr>
            <w:tcW w:w="4479" w:type="dxa"/>
            <w:tcBorders>
              <w:top w:val="nil"/>
              <w:left w:val="single" w:sz="8" w:space="0" w:color="auto"/>
              <w:bottom w:val="single" w:sz="4" w:space="0" w:color="auto"/>
              <w:right w:val="single" w:sz="4" w:space="0" w:color="auto"/>
            </w:tcBorders>
            <w:noWrap/>
            <w:vAlign w:val="center"/>
            <w:hideMark/>
          </w:tcPr>
          <w:p>
            <w:pPr>
              <w:spacing w:before="40" w:after="40"/>
              <w:rPr>
                <w:noProof/>
                <w:color w:val="000000"/>
                <w:sz w:val="20"/>
                <w:szCs w:val="20"/>
              </w:rPr>
            </w:pPr>
            <w:r>
              <w:rPr>
                <w:noProof/>
                <w:color w:val="000000"/>
                <w:sz w:val="20"/>
                <w:szCs w:val="20"/>
              </w:rPr>
              <w:t>of which payments on 2021-2024 commitments*</w:t>
            </w:r>
          </w:p>
        </w:tc>
        <w:tc>
          <w:tcPr>
            <w:tcW w:w="1020" w:type="dxa"/>
            <w:tcBorders>
              <w:top w:val="nil"/>
              <w:left w:val="single" w:sz="4" w:space="0" w:color="auto"/>
              <w:bottom w:val="single" w:sz="4" w:space="0" w:color="auto"/>
              <w:right w:val="single" w:sz="2" w:space="0" w:color="auto"/>
            </w:tcBorders>
            <w:noWrap/>
            <w:vAlign w:val="center"/>
            <w:hideMark/>
          </w:tcPr>
          <w:p>
            <w:pPr>
              <w:spacing w:before="40" w:after="40"/>
              <w:rPr>
                <w:noProof/>
                <w:color w:val="000000"/>
                <w:sz w:val="20"/>
                <w:szCs w:val="20"/>
              </w:rPr>
            </w:pPr>
            <w:r>
              <w:rPr>
                <w:noProof/>
                <w:color w:val="000000"/>
                <w:sz w:val="20"/>
                <w:szCs w:val="20"/>
              </w:rPr>
              <w:t> </w:t>
            </w:r>
          </w:p>
        </w:tc>
        <w:tc>
          <w:tcPr>
            <w:tcW w:w="1020" w:type="dxa"/>
            <w:tcBorders>
              <w:top w:val="single" w:sz="8" w:space="0" w:color="auto"/>
              <w:left w:val="single" w:sz="2" w:space="0" w:color="auto"/>
              <w:bottom w:val="single" w:sz="4" w:space="0" w:color="auto"/>
              <w:right w:val="single" w:sz="2" w:space="0" w:color="auto"/>
            </w:tcBorders>
            <w:shd w:val="clear" w:color="000000" w:fill="auto"/>
            <w:noWrap/>
            <w:vAlign w:val="center"/>
            <w:hideMark/>
          </w:tcPr>
          <w:p>
            <w:pPr>
              <w:spacing w:before="40" w:after="40"/>
              <w:jc w:val="right"/>
              <w:rPr>
                <w:noProof/>
                <w:sz w:val="20"/>
                <w:szCs w:val="20"/>
              </w:rPr>
            </w:pPr>
            <w:r>
              <w:rPr>
                <w:noProof/>
                <w:color w:val="000000"/>
                <w:sz w:val="20"/>
                <w:szCs w:val="20"/>
              </w:rPr>
              <w:t>71,3</w:t>
            </w:r>
          </w:p>
        </w:tc>
        <w:tc>
          <w:tcPr>
            <w:tcW w:w="1020" w:type="dxa"/>
            <w:tcBorders>
              <w:top w:val="nil"/>
              <w:left w:val="single" w:sz="2" w:space="0" w:color="auto"/>
              <w:bottom w:val="single" w:sz="4" w:space="0" w:color="auto"/>
              <w:right w:val="single" w:sz="4" w:space="0" w:color="auto"/>
            </w:tcBorders>
            <w:shd w:val="clear" w:color="auto" w:fill="auto"/>
            <w:noWrap/>
            <w:vAlign w:val="center"/>
            <w:hideMark/>
          </w:tcPr>
          <w:p>
            <w:pPr>
              <w:spacing w:before="40" w:after="40"/>
              <w:jc w:val="right"/>
              <w:rPr>
                <w:noProof/>
                <w:color w:val="000000"/>
                <w:sz w:val="20"/>
                <w:szCs w:val="20"/>
              </w:rPr>
            </w:pPr>
            <w:r>
              <w:rPr>
                <w:noProof/>
                <w:color w:val="000000"/>
                <w:sz w:val="20"/>
                <w:szCs w:val="20"/>
              </w:rPr>
              <w:t>87,3</w:t>
            </w:r>
          </w:p>
        </w:tc>
        <w:tc>
          <w:tcPr>
            <w:tcW w:w="1020" w:type="dxa"/>
            <w:tcBorders>
              <w:top w:val="nil"/>
              <w:left w:val="nil"/>
              <w:bottom w:val="single" w:sz="4" w:space="0" w:color="auto"/>
              <w:right w:val="single" w:sz="4" w:space="0" w:color="auto"/>
            </w:tcBorders>
            <w:shd w:val="clear" w:color="auto" w:fill="auto"/>
            <w:noWrap/>
            <w:vAlign w:val="center"/>
            <w:hideMark/>
          </w:tcPr>
          <w:p>
            <w:pPr>
              <w:spacing w:before="40" w:after="40"/>
              <w:jc w:val="right"/>
              <w:rPr>
                <w:noProof/>
                <w:color w:val="000000"/>
                <w:sz w:val="20"/>
                <w:szCs w:val="20"/>
              </w:rPr>
            </w:pPr>
            <w:r>
              <w:rPr>
                <w:noProof/>
                <w:color w:val="000000"/>
                <w:sz w:val="20"/>
                <w:szCs w:val="20"/>
              </w:rPr>
              <w:t>121,4</w:t>
            </w:r>
          </w:p>
        </w:tc>
        <w:tc>
          <w:tcPr>
            <w:tcW w:w="1021" w:type="dxa"/>
            <w:tcBorders>
              <w:top w:val="nil"/>
              <w:left w:val="nil"/>
              <w:bottom w:val="single" w:sz="4" w:space="0" w:color="auto"/>
              <w:right w:val="single" w:sz="8" w:space="0" w:color="auto"/>
            </w:tcBorders>
            <w:shd w:val="clear" w:color="auto" w:fill="auto"/>
            <w:noWrap/>
            <w:vAlign w:val="center"/>
            <w:hideMark/>
          </w:tcPr>
          <w:p>
            <w:pPr>
              <w:spacing w:before="40" w:after="40"/>
              <w:jc w:val="right"/>
              <w:rPr>
                <w:noProof/>
                <w:color w:val="000000"/>
                <w:sz w:val="20"/>
                <w:szCs w:val="20"/>
              </w:rPr>
            </w:pPr>
            <w:r>
              <w:rPr>
                <w:noProof/>
                <w:sz w:val="20"/>
                <w:szCs w:val="20"/>
              </w:rPr>
              <w:t>142,4</w:t>
            </w:r>
          </w:p>
        </w:tc>
      </w:tr>
      <w:tr>
        <w:trPr>
          <w:trHeight w:val="227"/>
        </w:trPr>
        <w:tc>
          <w:tcPr>
            <w:tcW w:w="4479" w:type="dxa"/>
            <w:tcBorders>
              <w:top w:val="nil"/>
              <w:left w:val="single" w:sz="8" w:space="0" w:color="auto"/>
              <w:bottom w:val="nil"/>
              <w:right w:val="single" w:sz="4" w:space="0" w:color="auto"/>
            </w:tcBorders>
            <w:noWrap/>
            <w:vAlign w:val="center"/>
            <w:hideMark/>
          </w:tcPr>
          <w:p>
            <w:pPr>
              <w:spacing w:before="40" w:after="40"/>
              <w:jc w:val="right"/>
              <w:rPr>
                <w:i/>
                <w:iCs/>
                <w:noProof/>
                <w:color w:val="000000"/>
                <w:sz w:val="20"/>
                <w:szCs w:val="20"/>
              </w:rPr>
            </w:pPr>
            <w:r>
              <w:rPr>
                <w:i/>
                <w:iCs/>
                <w:noProof/>
                <w:color w:val="000000"/>
                <w:sz w:val="20"/>
                <w:szCs w:val="20"/>
              </w:rPr>
              <w:t>1. Single Market, Innovation and Digital</w:t>
            </w:r>
          </w:p>
        </w:tc>
        <w:tc>
          <w:tcPr>
            <w:tcW w:w="1020" w:type="dxa"/>
            <w:tcBorders>
              <w:top w:val="nil"/>
              <w:left w:val="single" w:sz="4" w:space="0" w:color="auto"/>
              <w:bottom w:val="nil"/>
              <w:right w:val="single" w:sz="2" w:space="0" w:color="auto"/>
            </w:tcBorders>
            <w:noWrap/>
            <w:vAlign w:val="center"/>
            <w:hideMark/>
          </w:tcPr>
          <w:p>
            <w:pPr>
              <w:spacing w:before="40" w:after="40"/>
              <w:rPr>
                <w:noProof/>
                <w:color w:val="000000"/>
                <w:sz w:val="20"/>
                <w:szCs w:val="20"/>
              </w:rPr>
            </w:pPr>
            <w:r>
              <w:rPr>
                <w:noProof/>
                <w:color w:val="000000"/>
                <w:sz w:val="20"/>
                <w:szCs w:val="20"/>
              </w:rPr>
              <w:t> </w:t>
            </w:r>
          </w:p>
        </w:tc>
        <w:tc>
          <w:tcPr>
            <w:tcW w:w="1020" w:type="dxa"/>
            <w:tcBorders>
              <w:top w:val="nil"/>
              <w:left w:val="single" w:sz="2" w:space="0" w:color="auto"/>
              <w:bottom w:val="nil"/>
              <w:right w:val="single" w:sz="2" w:space="0" w:color="auto"/>
            </w:tcBorders>
            <w:shd w:val="clear" w:color="000000" w:fill="auto"/>
            <w:noWrap/>
            <w:vAlign w:val="center"/>
            <w:hideMark/>
          </w:tcPr>
          <w:p>
            <w:pPr>
              <w:spacing w:before="40" w:after="40"/>
              <w:jc w:val="right"/>
              <w:rPr>
                <w:noProof/>
                <w:sz w:val="20"/>
                <w:szCs w:val="20"/>
              </w:rPr>
            </w:pPr>
            <w:r>
              <w:rPr>
                <w:i/>
                <w:iCs/>
                <w:noProof/>
                <w:color w:val="000000"/>
                <w:sz w:val="20"/>
                <w:szCs w:val="20"/>
              </w:rPr>
              <w:t>7,9</w:t>
            </w:r>
          </w:p>
        </w:tc>
        <w:tc>
          <w:tcPr>
            <w:tcW w:w="1020" w:type="dxa"/>
            <w:tcBorders>
              <w:top w:val="nil"/>
              <w:left w:val="single" w:sz="2"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14,3</w:t>
            </w:r>
          </w:p>
        </w:tc>
        <w:tc>
          <w:tcPr>
            <w:tcW w:w="1020"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17,2</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0"/>
              </w:rPr>
            </w:pPr>
            <w:r>
              <w:rPr>
                <w:noProof/>
                <w:color w:val="000000"/>
                <w:sz w:val="20"/>
                <w:szCs w:val="20"/>
              </w:rPr>
              <w:t>21,7</w:t>
            </w:r>
          </w:p>
        </w:tc>
      </w:tr>
      <w:tr>
        <w:trPr>
          <w:trHeight w:val="227"/>
        </w:trPr>
        <w:tc>
          <w:tcPr>
            <w:tcW w:w="4479" w:type="dxa"/>
            <w:tcBorders>
              <w:top w:val="nil"/>
              <w:left w:val="single" w:sz="8" w:space="0" w:color="auto"/>
              <w:bottom w:val="nil"/>
              <w:right w:val="single" w:sz="4" w:space="0" w:color="auto"/>
            </w:tcBorders>
            <w:noWrap/>
            <w:vAlign w:val="center"/>
            <w:hideMark/>
          </w:tcPr>
          <w:p>
            <w:pPr>
              <w:spacing w:before="40" w:after="40"/>
              <w:jc w:val="right"/>
              <w:rPr>
                <w:i/>
                <w:iCs/>
                <w:noProof/>
                <w:color w:val="000000"/>
                <w:sz w:val="20"/>
                <w:szCs w:val="20"/>
              </w:rPr>
            </w:pPr>
            <w:r>
              <w:rPr>
                <w:i/>
                <w:iCs/>
                <w:noProof/>
                <w:color w:val="000000"/>
                <w:sz w:val="20"/>
                <w:szCs w:val="20"/>
              </w:rPr>
              <w:t xml:space="preserve">2. Cohesion and Values </w:t>
            </w:r>
          </w:p>
        </w:tc>
        <w:tc>
          <w:tcPr>
            <w:tcW w:w="1020" w:type="dxa"/>
            <w:tcBorders>
              <w:top w:val="nil"/>
              <w:left w:val="single" w:sz="4" w:space="0" w:color="auto"/>
              <w:bottom w:val="nil"/>
              <w:right w:val="single" w:sz="2" w:space="0" w:color="auto"/>
            </w:tcBorders>
            <w:noWrap/>
            <w:vAlign w:val="center"/>
            <w:hideMark/>
          </w:tcPr>
          <w:p>
            <w:pPr>
              <w:spacing w:before="40" w:after="40"/>
              <w:rPr>
                <w:noProof/>
                <w:color w:val="000000"/>
                <w:sz w:val="20"/>
                <w:szCs w:val="20"/>
              </w:rPr>
            </w:pPr>
            <w:r>
              <w:rPr>
                <w:noProof/>
                <w:color w:val="000000"/>
                <w:sz w:val="20"/>
                <w:szCs w:val="20"/>
              </w:rPr>
              <w:t> </w:t>
            </w:r>
          </w:p>
        </w:tc>
        <w:tc>
          <w:tcPr>
            <w:tcW w:w="1020" w:type="dxa"/>
            <w:tcBorders>
              <w:top w:val="nil"/>
              <w:left w:val="single" w:sz="2" w:space="0" w:color="auto"/>
              <w:bottom w:val="nil"/>
              <w:right w:val="single" w:sz="2" w:space="0" w:color="auto"/>
            </w:tcBorders>
            <w:shd w:val="clear" w:color="000000" w:fill="auto"/>
            <w:noWrap/>
            <w:vAlign w:val="center"/>
            <w:hideMark/>
          </w:tcPr>
          <w:p>
            <w:pPr>
              <w:spacing w:before="40" w:after="40"/>
              <w:jc w:val="right"/>
              <w:rPr>
                <w:noProof/>
                <w:sz w:val="20"/>
                <w:szCs w:val="20"/>
              </w:rPr>
            </w:pPr>
            <w:r>
              <w:rPr>
                <w:i/>
                <w:iCs/>
                <w:noProof/>
                <w:color w:val="000000"/>
                <w:sz w:val="20"/>
                <w:szCs w:val="20"/>
              </w:rPr>
              <w:t>5,3</w:t>
            </w:r>
          </w:p>
        </w:tc>
        <w:tc>
          <w:tcPr>
            <w:tcW w:w="1020" w:type="dxa"/>
            <w:tcBorders>
              <w:top w:val="nil"/>
              <w:left w:val="single" w:sz="2"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6,9</w:t>
            </w:r>
          </w:p>
        </w:tc>
        <w:tc>
          <w:tcPr>
            <w:tcW w:w="1020"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31,1</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0"/>
              </w:rPr>
            </w:pPr>
            <w:r>
              <w:rPr>
                <w:noProof/>
                <w:color w:val="000000"/>
                <w:sz w:val="20"/>
                <w:szCs w:val="20"/>
              </w:rPr>
              <w:t>39,6</w:t>
            </w:r>
          </w:p>
        </w:tc>
      </w:tr>
      <w:tr>
        <w:trPr>
          <w:trHeight w:val="227"/>
        </w:trPr>
        <w:tc>
          <w:tcPr>
            <w:tcW w:w="4479" w:type="dxa"/>
            <w:tcBorders>
              <w:top w:val="nil"/>
              <w:left w:val="single" w:sz="8" w:space="0" w:color="auto"/>
              <w:bottom w:val="nil"/>
              <w:right w:val="single" w:sz="4" w:space="0" w:color="auto"/>
            </w:tcBorders>
            <w:noWrap/>
            <w:vAlign w:val="center"/>
            <w:hideMark/>
          </w:tcPr>
          <w:p>
            <w:pPr>
              <w:spacing w:before="40" w:after="40"/>
              <w:jc w:val="right"/>
              <w:rPr>
                <w:i/>
                <w:iCs/>
                <w:noProof/>
                <w:color w:val="000000"/>
                <w:sz w:val="20"/>
                <w:szCs w:val="20"/>
              </w:rPr>
            </w:pPr>
            <w:r>
              <w:rPr>
                <w:i/>
                <w:iCs/>
                <w:noProof/>
                <w:color w:val="000000"/>
                <w:sz w:val="20"/>
                <w:szCs w:val="20"/>
              </w:rPr>
              <w:t>3. Natural Resources and Environment</w:t>
            </w:r>
          </w:p>
        </w:tc>
        <w:tc>
          <w:tcPr>
            <w:tcW w:w="1020" w:type="dxa"/>
            <w:tcBorders>
              <w:top w:val="nil"/>
              <w:left w:val="single" w:sz="4" w:space="0" w:color="auto"/>
              <w:bottom w:val="nil"/>
              <w:right w:val="single" w:sz="2" w:space="0" w:color="auto"/>
            </w:tcBorders>
            <w:noWrap/>
            <w:vAlign w:val="center"/>
            <w:hideMark/>
          </w:tcPr>
          <w:p>
            <w:pPr>
              <w:spacing w:before="40" w:after="40"/>
              <w:rPr>
                <w:noProof/>
                <w:color w:val="000000"/>
                <w:sz w:val="20"/>
                <w:szCs w:val="20"/>
              </w:rPr>
            </w:pPr>
            <w:r>
              <w:rPr>
                <w:noProof/>
                <w:color w:val="000000"/>
                <w:sz w:val="20"/>
                <w:szCs w:val="20"/>
              </w:rPr>
              <w:t> </w:t>
            </w:r>
          </w:p>
        </w:tc>
        <w:tc>
          <w:tcPr>
            <w:tcW w:w="1020" w:type="dxa"/>
            <w:tcBorders>
              <w:top w:val="nil"/>
              <w:left w:val="single" w:sz="2" w:space="0" w:color="auto"/>
              <w:bottom w:val="nil"/>
              <w:right w:val="single" w:sz="2" w:space="0" w:color="auto"/>
            </w:tcBorders>
            <w:shd w:val="clear" w:color="000000" w:fill="auto"/>
            <w:noWrap/>
            <w:vAlign w:val="center"/>
            <w:hideMark/>
          </w:tcPr>
          <w:p>
            <w:pPr>
              <w:spacing w:before="40" w:after="40"/>
              <w:jc w:val="right"/>
              <w:rPr>
                <w:noProof/>
                <w:sz w:val="20"/>
                <w:szCs w:val="20"/>
              </w:rPr>
            </w:pPr>
            <w:r>
              <w:rPr>
                <w:i/>
                <w:iCs/>
                <w:noProof/>
                <w:color w:val="000000"/>
                <w:sz w:val="20"/>
                <w:szCs w:val="20"/>
              </w:rPr>
              <w:t>41,3</w:t>
            </w:r>
          </w:p>
        </w:tc>
        <w:tc>
          <w:tcPr>
            <w:tcW w:w="1020" w:type="dxa"/>
            <w:tcBorders>
              <w:top w:val="nil"/>
              <w:left w:val="single" w:sz="2"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44,8</w:t>
            </w:r>
          </w:p>
        </w:tc>
        <w:tc>
          <w:tcPr>
            <w:tcW w:w="1020"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47,7</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0"/>
              </w:rPr>
            </w:pPr>
            <w:r>
              <w:rPr>
                <w:noProof/>
                <w:color w:val="000000"/>
                <w:sz w:val="20"/>
                <w:szCs w:val="20"/>
              </w:rPr>
              <w:t>49,9</w:t>
            </w:r>
          </w:p>
        </w:tc>
      </w:tr>
      <w:tr>
        <w:trPr>
          <w:trHeight w:val="227"/>
        </w:trPr>
        <w:tc>
          <w:tcPr>
            <w:tcW w:w="4479" w:type="dxa"/>
            <w:tcBorders>
              <w:top w:val="nil"/>
              <w:left w:val="single" w:sz="8" w:space="0" w:color="auto"/>
              <w:bottom w:val="nil"/>
              <w:right w:val="single" w:sz="4" w:space="0" w:color="auto"/>
            </w:tcBorders>
            <w:noWrap/>
            <w:vAlign w:val="center"/>
            <w:hideMark/>
          </w:tcPr>
          <w:p>
            <w:pPr>
              <w:spacing w:before="40" w:after="40"/>
              <w:jc w:val="right"/>
              <w:rPr>
                <w:i/>
                <w:iCs/>
                <w:noProof/>
                <w:color w:val="000000"/>
                <w:sz w:val="20"/>
                <w:szCs w:val="20"/>
              </w:rPr>
            </w:pPr>
            <w:r>
              <w:rPr>
                <w:i/>
                <w:iCs/>
                <w:noProof/>
                <w:color w:val="000000"/>
                <w:sz w:val="20"/>
                <w:szCs w:val="20"/>
              </w:rPr>
              <w:t>4. Migration and Border Management</w:t>
            </w:r>
          </w:p>
        </w:tc>
        <w:tc>
          <w:tcPr>
            <w:tcW w:w="1020" w:type="dxa"/>
            <w:tcBorders>
              <w:top w:val="nil"/>
              <w:left w:val="single" w:sz="4" w:space="0" w:color="auto"/>
              <w:bottom w:val="nil"/>
              <w:right w:val="single" w:sz="2" w:space="0" w:color="auto"/>
            </w:tcBorders>
            <w:noWrap/>
            <w:vAlign w:val="center"/>
            <w:hideMark/>
          </w:tcPr>
          <w:p>
            <w:pPr>
              <w:spacing w:before="40" w:after="40"/>
              <w:rPr>
                <w:noProof/>
                <w:color w:val="000000"/>
                <w:sz w:val="20"/>
                <w:szCs w:val="20"/>
              </w:rPr>
            </w:pPr>
            <w:r>
              <w:rPr>
                <w:noProof/>
                <w:color w:val="000000"/>
                <w:sz w:val="20"/>
                <w:szCs w:val="20"/>
              </w:rPr>
              <w:t> </w:t>
            </w:r>
          </w:p>
        </w:tc>
        <w:tc>
          <w:tcPr>
            <w:tcW w:w="1020" w:type="dxa"/>
            <w:tcBorders>
              <w:top w:val="nil"/>
              <w:left w:val="single" w:sz="2" w:space="0" w:color="auto"/>
              <w:bottom w:val="nil"/>
              <w:right w:val="single" w:sz="2" w:space="0" w:color="auto"/>
            </w:tcBorders>
            <w:shd w:val="clear" w:color="000000" w:fill="auto"/>
            <w:noWrap/>
            <w:vAlign w:val="center"/>
            <w:hideMark/>
          </w:tcPr>
          <w:p>
            <w:pPr>
              <w:spacing w:before="40" w:after="40"/>
              <w:jc w:val="right"/>
              <w:rPr>
                <w:noProof/>
                <w:sz w:val="20"/>
                <w:szCs w:val="20"/>
              </w:rPr>
            </w:pPr>
            <w:r>
              <w:rPr>
                <w:i/>
                <w:iCs/>
                <w:noProof/>
                <w:color w:val="000000"/>
                <w:sz w:val="20"/>
                <w:szCs w:val="20"/>
              </w:rPr>
              <w:t>1,6</w:t>
            </w:r>
          </w:p>
        </w:tc>
        <w:tc>
          <w:tcPr>
            <w:tcW w:w="1020" w:type="dxa"/>
            <w:tcBorders>
              <w:top w:val="nil"/>
              <w:left w:val="single" w:sz="2"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2,2</w:t>
            </w:r>
          </w:p>
        </w:tc>
        <w:tc>
          <w:tcPr>
            <w:tcW w:w="1020"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2,9</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0"/>
              </w:rPr>
            </w:pPr>
            <w:r>
              <w:rPr>
                <w:noProof/>
                <w:color w:val="000000"/>
                <w:sz w:val="20"/>
                <w:szCs w:val="20"/>
              </w:rPr>
              <w:t>4,5</w:t>
            </w:r>
          </w:p>
        </w:tc>
      </w:tr>
      <w:tr>
        <w:trPr>
          <w:trHeight w:val="227"/>
        </w:trPr>
        <w:tc>
          <w:tcPr>
            <w:tcW w:w="4479" w:type="dxa"/>
            <w:tcBorders>
              <w:top w:val="nil"/>
              <w:left w:val="single" w:sz="8" w:space="0" w:color="auto"/>
              <w:bottom w:val="nil"/>
              <w:right w:val="single" w:sz="4" w:space="0" w:color="auto"/>
            </w:tcBorders>
            <w:noWrap/>
            <w:vAlign w:val="center"/>
            <w:hideMark/>
          </w:tcPr>
          <w:p>
            <w:pPr>
              <w:spacing w:before="40" w:after="40"/>
              <w:jc w:val="right"/>
              <w:rPr>
                <w:i/>
                <w:iCs/>
                <w:noProof/>
                <w:color w:val="000000"/>
                <w:sz w:val="20"/>
                <w:szCs w:val="20"/>
              </w:rPr>
            </w:pPr>
            <w:r>
              <w:rPr>
                <w:i/>
                <w:iCs/>
                <w:noProof/>
                <w:color w:val="000000"/>
                <w:sz w:val="20"/>
                <w:szCs w:val="20"/>
              </w:rPr>
              <w:t>5. Security and Defence</w:t>
            </w:r>
          </w:p>
        </w:tc>
        <w:tc>
          <w:tcPr>
            <w:tcW w:w="1020" w:type="dxa"/>
            <w:tcBorders>
              <w:top w:val="nil"/>
              <w:left w:val="single" w:sz="4" w:space="0" w:color="auto"/>
              <w:bottom w:val="nil"/>
              <w:right w:val="single" w:sz="2" w:space="0" w:color="auto"/>
            </w:tcBorders>
            <w:noWrap/>
            <w:vAlign w:val="center"/>
            <w:hideMark/>
          </w:tcPr>
          <w:p>
            <w:pPr>
              <w:spacing w:before="40" w:after="40"/>
              <w:rPr>
                <w:noProof/>
                <w:color w:val="000000"/>
                <w:sz w:val="20"/>
                <w:szCs w:val="20"/>
              </w:rPr>
            </w:pPr>
            <w:r>
              <w:rPr>
                <w:noProof/>
                <w:color w:val="000000"/>
                <w:sz w:val="20"/>
                <w:szCs w:val="20"/>
              </w:rPr>
              <w:t> </w:t>
            </w:r>
          </w:p>
        </w:tc>
        <w:tc>
          <w:tcPr>
            <w:tcW w:w="1020" w:type="dxa"/>
            <w:tcBorders>
              <w:top w:val="nil"/>
              <w:left w:val="single" w:sz="2" w:space="0" w:color="auto"/>
              <w:bottom w:val="nil"/>
              <w:right w:val="single" w:sz="2" w:space="0" w:color="auto"/>
            </w:tcBorders>
            <w:shd w:val="clear" w:color="000000" w:fill="auto"/>
            <w:noWrap/>
            <w:vAlign w:val="center"/>
            <w:hideMark/>
          </w:tcPr>
          <w:p>
            <w:pPr>
              <w:spacing w:before="40" w:after="40"/>
              <w:jc w:val="right"/>
              <w:rPr>
                <w:noProof/>
                <w:sz w:val="20"/>
                <w:szCs w:val="20"/>
              </w:rPr>
            </w:pPr>
            <w:r>
              <w:rPr>
                <w:i/>
                <w:iCs/>
                <w:noProof/>
                <w:color w:val="000000"/>
                <w:sz w:val="20"/>
                <w:szCs w:val="20"/>
              </w:rPr>
              <w:t>0,8</w:t>
            </w:r>
          </w:p>
        </w:tc>
        <w:tc>
          <w:tcPr>
            <w:tcW w:w="1020" w:type="dxa"/>
            <w:tcBorders>
              <w:top w:val="nil"/>
              <w:left w:val="single" w:sz="2"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1,6</w:t>
            </w:r>
          </w:p>
        </w:tc>
        <w:tc>
          <w:tcPr>
            <w:tcW w:w="1020"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2,0</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0"/>
              </w:rPr>
            </w:pPr>
            <w:r>
              <w:rPr>
                <w:noProof/>
                <w:color w:val="000000"/>
                <w:sz w:val="20"/>
                <w:szCs w:val="20"/>
              </w:rPr>
              <w:t>2,9</w:t>
            </w:r>
          </w:p>
        </w:tc>
      </w:tr>
      <w:tr>
        <w:trPr>
          <w:trHeight w:val="227"/>
        </w:trPr>
        <w:tc>
          <w:tcPr>
            <w:tcW w:w="4479" w:type="dxa"/>
            <w:tcBorders>
              <w:top w:val="nil"/>
              <w:left w:val="single" w:sz="8" w:space="0" w:color="auto"/>
              <w:bottom w:val="nil"/>
              <w:right w:val="single" w:sz="4" w:space="0" w:color="auto"/>
            </w:tcBorders>
            <w:noWrap/>
            <w:vAlign w:val="center"/>
            <w:hideMark/>
          </w:tcPr>
          <w:p>
            <w:pPr>
              <w:spacing w:before="40" w:after="40"/>
              <w:jc w:val="right"/>
              <w:rPr>
                <w:i/>
                <w:iCs/>
                <w:noProof/>
                <w:color w:val="000000"/>
                <w:sz w:val="20"/>
                <w:szCs w:val="20"/>
              </w:rPr>
            </w:pPr>
            <w:r>
              <w:rPr>
                <w:i/>
                <w:iCs/>
                <w:noProof/>
                <w:color w:val="000000"/>
                <w:sz w:val="20"/>
                <w:szCs w:val="20"/>
              </w:rPr>
              <w:t>6. Neighbourhood and the World</w:t>
            </w:r>
          </w:p>
        </w:tc>
        <w:tc>
          <w:tcPr>
            <w:tcW w:w="1020" w:type="dxa"/>
            <w:tcBorders>
              <w:top w:val="nil"/>
              <w:left w:val="single" w:sz="4" w:space="0" w:color="auto"/>
              <w:bottom w:val="nil"/>
              <w:right w:val="single" w:sz="2" w:space="0" w:color="auto"/>
            </w:tcBorders>
            <w:noWrap/>
            <w:vAlign w:val="center"/>
            <w:hideMark/>
          </w:tcPr>
          <w:p>
            <w:pPr>
              <w:spacing w:before="40" w:after="40"/>
              <w:rPr>
                <w:noProof/>
                <w:color w:val="000000"/>
                <w:sz w:val="20"/>
                <w:szCs w:val="20"/>
              </w:rPr>
            </w:pPr>
            <w:r>
              <w:rPr>
                <w:noProof/>
                <w:color w:val="000000"/>
                <w:sz w:val="20"/>
                <w:szCs w:val="20"/>
              </w:rPr>
              <w:t> </w:t>
            </w:r>
          </w:p>
        </w:tc>
        <w:tc>
          <w:tcPr>
            <w:tcW w:w="1020" w:type="dxa"/>
            <w:tcBorders>
              <w:top w:val="nil"/>
              <w:left w:val="single" w:sz="2" w:space="0" w:color="auto"/>
              <w:bottom w:val="nil"/>
              <w:right w:val="single" w:sz="2" w:space="0" w:color="auto"/>
            </w:tcBorders>
            <w:shd w:val="clear" w:color="000000" w:fill="auto"/>
            <w:noWrap/>
            <w:vAlign w:val="center"/>
            <w:hideMark/>
          </w:tcPr>
          <w:p>
            <w:pPr>
              <w:spacing w:before="40" w:after="40"/>
              <w:jc w:val="right"/>
              <w:rPr>
                <w:noProof/>
                <w:sz w:val="20"/>
                <w:szCs w:val="20"/>
              </w:rPr>
            </w:pPr>
            <w:r>
              <w:rPr>
                <w:i/>
                <w:iCs/>
                <w:noProof/>
                <w:color w:val="000000"/>
                <w:sz w:val="20"/>
                <w:szCs w:val="20"/>
              </w:rPr>
              <w:t>3,3</w:t>
            </w:r>
          </w:p>
        </w:tc>
        <w:tc>
          <w:tcPr>
            <w:tcW w:w="1020" w:type="dxa"/>
            <w:tcBorders>
              <w:top w:val="nil"/>
              <w:left w:val="single" w:sz="2"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6,2</w:t>
            </w:r>
          </w:p>
        </w:tc>
        <w:tc>
          <w:tcPr>
            <w:tcW w:w="1020"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8,6</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0"/>
              </w:rPr>
            </w:pPr>
            <w:r>
              <w:rPr>
                <w:noProof/>
                <w:color w:val="000000"/>
                <w:sz w:val="20"/>
                <w:szCs w:val="20"/>
              </w:rPr>
              <w:t>11,6</w:t>
            </w:r>
          </w:p>
        </w:tc>
      </w:tr>
      <w:tr>
        <w:trPr>
          <w:trHeight w:val="227"/>
        </w:trPr>
        <w:tc>
          <w:tcPr>
            <w:tcW w:w="4479" w:type="dxa"/>
            <w:tcBorders>
              <w:top w:val="nil"/>
              <w:left w:val="single" w:sz="8" w:space="0" w:color="auto"/>
              <w:bottom w:val="single" w:sz="8" w:space="0" w:color="auto"/>
              <w:right w:val="single" w:sz="4" w:space="0" w:color="auto"/>
            </w:tcBorders>
            <w:noWrap/>
            <w:vAlign w:val="center"/>
            <w:hideMark/>
          </w:tcPr>
          <w:p>
            <w:pPr>
              <w:spacing w:before="40" w:after="40"/>
              <w:jc w:val="right"/>
              <w:rPr>
                <w:i/>
                <w:iCs/>
                <w:noProof/>
                <w:color w:val="000000"/>
                <w:sz w:val="20"/>
                <w:szCs w:val="20"/>
              </w:rPr>
            </w:pPr>
            <w:r>
              <w:rPr>
                <w:i/>
                <w:iCs/>
                <w:noProof/>
                <w:color w:val="000000"/>
                <w:sz w:val="20"/>
                <w:szCs w:val="20"/>
              </w:rPr>
              <w:t>7. European Public Administration</w:t>
            </w:r>
          </w:p>
        </w:tc>
        <w:tc>
          <w:tcPr>
            <w:tcW w:w="1020" w:type="dxa"/>
            <w:tcBorders>
              <w:top w:val="nil"/>
              <w:left w:val="single" w:sz="4" w:space="0" w:color="auto"/>
              <w:bottom w:val="single" w:sz="8" w:space="0" w:color="auto"/>
              <w:right w:val="single" w:sz="2" w:space="0" w:color="auto"/>
            </w:tcBorders>
            <w:noWrap/>
            <w:vAlign w:val="center"/>
            <w:hideMark/>
          </w:tcPr>
          <w:p>
            <w:pPr>
              <w:spacing w:before="40" w:after="40"/>
              <w:rPr>
                <w:noProof/>
                <w:color w:val="000000"/>
                <w:sz w:val="20"/>
                <w:szCs w:val="20"/>
              </w:rPr>
            </w:pPr>
            <w:r>
              <w:rPr>
                <w:noProof/>
                <w:color w:val="000000"/>
                <w:sz w:val="20"/>
                <w:szCs w:val="20"/>
              </w:rPr>
              <w:t> </w:t>
            </w:r>
          </w:p>
        </w:tc>
        <w:tc>
          <w:tcPr>
            <w:tcW w:w="1020" w:type="dxa"/>
            <w:tcBorders>
              <w:top w:val="nil"/>
              <w:left w:val="single" w:sz="2" w:space="0" w:color="auto"/>
              <w:bottom w:val="single" w:sz="8" w:space="0" w:color="auto"/>
              <w:right w:val="single" w:sz="2" w:space="0" w:color="auto"/>
            </w:tcBorders>
            <w:shd w:val="clear" w:color="000000" w:fill="auto"/>
            <w:noWrap/>
            <w:vAlign w:val="center"/>
            <w:hideMark/>
          </w:tcPr>
          <w:p>
            <w:pPr>
              <w:spacing w:before="40" w:after="40"/>
              <w:jc w:val="right"/>
              <w:rPr>
                <w:noProof/>
                <w:sz w:val="20"/>
                <w:szCs w:val="20"/>
              </w:rPr>
            </w:pPr>
            <w:r>
              <w:rPr>
                <w:i/>
                <w:iCs/>
                <w:noProof/>
                <w:color w:val="000000"/>
                <w:sz w:val="20"/>
                <w:szCs w:val="20"/>
              </w:rPr>
              <w:t>11,0</w:t>
            </w:r>
          </w:p>
        </w:tc>
        <w:tc>
          <w:tcPr>
            <w:tcW w:w="1020" w:type="dxa"/>
            <w:tcBorders>
              <w:top w:val="nil"/>
              <w:left w:val="single" w:sz="2" w:space="0" w:color="auto"/>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11,4</w:t>
            </w:r>
          </w:p>
        </w:tc>
        <w:tc>
          <w:tcPr>
            <w:tcW w:w="1020" w:type="dxa"/>
            <w:tcBorders>
              <w:top w:val="nil"/>
              <w:left w:val="nil"/>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11,8</w:t>
            </w:r>
          </w:p>
        </w:tc>
        <w:tc>
          <w:tcPr>
            <w:tcW w:w="1021" w:type="dxa"/>
            <w:tcBorders>
              <w:top w:val="nil"/>
              <w:left w:val="nil"/>
              <w:bottom w:val="single" w:sz="8" w:space="0" w:color="auto"/>
              <w:right w:val="single" w:sz="8" w:space="0" w:color="auto"/>
            </w:tcBorders>
            <w:shd w:val="clear" w:color="auto" w:fill="auto"/>
            <w:noWrap/>
            <w:vAlign w:val="center"/>
            <w:hideMark/>
          </w:tcPr>
          <w:p>
            <w:pPr>
              <w:spacing w:before="40" w:after="40"/>
              <w:jc w:val="right"/>
              <w:rPr>
                <w:i/>
                <w:iCs/>
                <w:noProof/>
                <w:color w:val="000000"/>
                <w:sz w:val="20"/>
                <w:szCs w:val="20"/>
              </w:rPr>
            </w:pPr>
            <w:r>
              <w:rPr>
                <w:noProof/>
                <w:color w:val="000000"/>
                <w:sz w:val="20"/>
                <w:szCs w:val="20"/>
              </w:rPr>
              <w:t>12,2</w:t>
            </w:r>
          </w:p>
        </w:tc>
      </w:tr>
      <w:tr>
        <w:trPr>
          <w:trHeight w:val="227"/>
        </w:trPr>
        <w:tc>
          <w:tcPr>
            <w:tcW w:w="4479" w:type="dxa"/>
            <w:tcBorders>
              <w:top w:val="nil"/>
              <w:left w:val="single" w:sz="8" w:space="0" w:color="auto"/>
              <w:bottom w:val="single" w:sz="8" w:space="0" w:color="auto"/>
              <w:right w:val="single" w:sz="4" w:space="0" w:color="auto"/>
            </w:tcBorders>
            <w:shd w:val="clear" w:color="auto" w:fill="auto"/>
            <w:noWrap/>
            <w:vAlign w:val="center"/>
            <w:hideMark/>
          </w:tcPr>
          <w:p>
            <w:pPr>
              <w:spacing w:before="40" w:after="40"/>
              <w:rPr>
                <w:noProof/>
                <w:color w:val="000000"/>
                <w:sz w:val="20"/>
                <w:szCs w:val="20"/>
              </w:rPr>
            </w:pPr>
            <w:r>
              <w:rPr>
                <w:noProof/>
                <w:color w:val="000000"/>
                <w:sz w:val="20"/>
                <w:szCs w:val="20"/>
              </w:rPr>
              <w:t>Other special instruments**</w:t>
            </w:r>
          </w:p>
        </w:tc>
        <w:tc>
          <w:tcPr>
            <w:tcW w:w="1020" w:type="dxa"/>
            <w:tcBorders>
              <w:top w:val="nil"/>
              <w:left w:val="single" w:sz="4" w:space="0" w:color="auto"/>
              <w:bottom w:val="single" w:sz="8" w:space="0" w:color="auto"/>
              <w:right w:val="single" w:sz="2" w:space="0" w:color="auto"/>
            </w:tcBorders>
            <w:shd w:val="clear" w:color="auto" w:fill="auto"/>
            <w:noWrap/>
            <w:vAlign w:val="center"/>
            <w:hideMark/>
          </w:tcPr>
          <w:p>
            <w:pPr>
              <w:spacing w:before="40" w:after="40"/>
              <w:jc w:val="right"/>
              <w:rPr>
                <w:noProof/>
                <w:sz w:val="20"/>
                <w:szCs w:val="20"/>
              </w:rPr>
            </w:pPr>
            <w:r>
              <w:rPr>
                <w:i/>
                <w:iCs/>
                <w:noProof/>
                <w:color w:val="000000"/>
                <w:sz w:val="20"/>
                <w:szCs w:val="20"/>
              </w:rPr>
              <w:t>0,4</w:t>
            </w:r>
          </w:p>
        </w:tc>
        <w:tc>
          <w:tcPr>
            <w:tcW w:w="1020" w:type="dxa"/>
            <w:tcBorders>
              <w:top w:val="nil"/>
              <w:left w:val="single" w:sz="2" w:space="0" w:color="auto"/>
              <w:bottom w:val="single" w:sz="8" w:space="0" w:color="auto"/>
              <w:right w:val="single" w:sz="2" w:space="0" w:color="auto"/>
            </w:tcBorders>
            <w:shd w:val="clear" w:color="auto" w:fill="auto"/>
            <w:noWrap/>
            <w:vAlign w:val="center"/>
            <w:hideMark/>
          </w:tcPr>
          <w:p>
            <w:pPr>
              <w:spacing w:before="40" w:after="40"/>
              <w:jc w:val="right"/>
              <w:rPr>
                <w:noProof/>
                <w:sz w:val="20"/>
                <w:szCs w:val="20"/>
              </w:rPr>
            </w:pPr>
            <w:r>
              <w:rPr>
                <w:i/>
                <w:iCs/>
                <w:noProof/>
                <w:color w:val="000000"/>
                <w:sz w:val="20"/>
                <w:szCs w:val="20"/>
              </w:rPr>
              <w:t> </w:t>
            </w:r>
          </w:p>
        </w:tc>
        <w:tc>
          <w:tcPr>
            <w:tcW w:w="1020" w:type="dxa"/>
            <w:tcBorders>
              <w:top w:val="nil"/>
              <w:left w:val="single" w:sz="2" w:space="0" w:color="auto"/>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 </w:t>
            </w:r>
          </w:p>
        </w:tc>
        <w:tc>
          <w:tcPr>
            <w:tcW w:w="1020" w:type="dxa"/>
            <w:tcBorders>
              <w:top w:val="nil"/>
              <w:left w:val="nil"/>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 </w:t>
            </w:r>
          </w:p>
        </w:tc>
        <w:tc>
          <w:tcPr>
            <w:tcW w:w="1021" w:type="dxa"/>
            <w:tcBorders>
              <w:top w:val="nil"/>
              <w:left w:val="nil"/>
              <w:bottom w:val="single" w:sz="8" w:space="0" w:color="auto"/>
              <w:right w:val="single" w:sz="8" w:space="0" w:color="auto"/>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 </w:t>
            </w:r>
          </w:p>
        </w:tc>
      </w:tr>
      <w:tr>
        <w:trPr>
          <w:trHeight w:val="227"/>
        </w:trPr>
        <w:tc>
          <w:tcPr>
            <w:tcW w:w="447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pPr>
              <w:spacing w:before="40" w:after="40"/>
              <w:rPr>
                <w:b/>
                <w:bCs/>
                <w:noProof/>
                <w:color w:val="000000"/>
                <w:sz w:val="20"/>
                <w:szCs w:val="20"/>
              </w:rPr>
            </w:pPr>
            <w:r>
              <w:rPr>
                <w:b/>
                <w:bCs/>
                <w:noProof/>
                <w:color w:val="000000"/>
                <w:sz w:val="20"/>
                <w:szCs w:val="20"/>
              </w:rPr>
              <w:t>Total payment appropriations including special instruments</w:t>
            </w:r>
          </w:p>
        </w:tc>
        <w:tc>
          <w:tcPr>
            <w:tcW w:w="1020" w:type="dxa"/>
            <w:tcBorders>
              <w:top w:val="single" w:sz="8" w:space="0" w:color="auto"/>
              <w:left w:val="single" w:sz="4" w:space="0" w:color="auto"/>
              <w:bottom w:val="single" w:sz="8" w:space="0" w:color="auto"/>
              <w:right w:val="single" w:sz="2" w:space="0" w:color="auto"/>
            </w:tcBorders>
            <w:shd w:val="clear" w:color="auto" w:fill="auto"/>
            <w:noWrap/>
            <w:vAlign w:val="center"/>
            <w:hideMark/>
          </w:tcPr>
          <w:p>
            <w:pPr>
              <w:spacing w:before="40" w:after="40"/>
              <w:jc w:val="right"/>
              <w:rPr>
                <w:b/>
                <w:bCs/>
                <w:noProof/>
                <w:sz w:val="20"/>
                <w:szCs w:val="20"/>
              </w:rPr>
            </w:pPr>
            <w:r>
              <w:rPr>
                <w:b/>
                <w:bCs/>
                <w:noProof/>
                <w:color w:val="000000"/>
                <w:sz w:val="20"/>
                <w:szCs w:val="20"/>
              </w:rPr>
              <w:t>153,6</w:t>
            </w:r>
          </w:p>
        </w:tc>
        <w:tc>
          <w:tcPr>
            <w:tcW w:w="1020" w:type="dxa"/>
            <w:tcBorders>
              <w:top w:val="single" w:sz="8" w:space="0" w:color="auto"/>
              <w:left w:val="single" w:sz="2" w:space="0" w:color="auto"/>
              <w:bottom w:val="single" w:sz="8" w:space="0" w:color="auto"/>
              <w:right w:val="single" w:sz="2" w:space="0" w:color="auto"/>
            </w:tcBorders>
            <w:shd w:val="clear" w:color="auto" w:fill="auto"/>
            <w:noWrap/>
            <w:vAlign w:val="center"/>
            <w:hideMark/>
          </w:tcPr>
          <w:p>
            <w:pPr>
              <w:spacing w:before="40" w:after="40"/>
              <w:jc w:val="right"/>
              <w:rPr>
                <w:b/>
                <w:bCs/>
                <w:noProof/>
                <w:color w:val="000000"/>
                <w:sz w:val="20"/>
                <w:szCs w:val="20"/>
              </w:rPr>
            </w:pPr>
            <w:r>
              <w:rPr>
                <w:b/>
                <w:bCs/>
                <w:noProof/>
                <w:color w:val="000000"/>
                <w:sz w:val="20"/>
                <w:szCs w:val="20"/>
              </w:rPr>
              <w:t>159,1</w:t>
            </w:r>
          </w:p>
        </w:tc>
        <w:tc>
          <w:tcPr>
            <w:tcW w:w="1020" w:type="dxa"/>
            <w:tcBorders>
              <w:top w:val="single" w:sz="8" w:space="0" w:color="auto"/>
              <w:left w:val="single" w:sz="2" w:space="0" w:color="auto"/>
              <w:bottom w:val="single" w:sz="8" w:space="0" w:color="auto"/>
              <w:right w:val="single" w:sz="4" w:space="0" w:color="auto"/>
            </w:tcBorders>
            <w:shd w:val="clear" w:color="auto" w:fill="auto"/>
            <w:noWrap/>
            <w:vAlign w:val="center"/>
            <w:hideMark/>
          </w:tcPr>
          <w:p>
            <w:pPr>
              <w:spacing w:before="40" w:after="40"/>
              <w:jc w:val="right"/>
              <w:rPr>
                <w:b/>
                <w:bCs/>
                <w:noProof/>
                <w:color w:val="000000"/>
                <w:sz w:val="20"/>
                <w:szCs w:val="20"/>
              </w:rPr>
            </w:pPr>
            <w:r>
              <w:rPr>
                <w:b/>
                <w:bCs/>
                <w:noProof/>
                <w:color w:val="000000"/>
                <w:sz w:val="20"/>
                <w:szCs w:val="20"/>
              </w:rPr>
              <w:t>164,2</w:t>
            </w:r>
          </w:p>
        </w:tc>
        <w:tc>
          <w:tcPr>
            <w:tcW w:w="1020" w:type="dxa"/>
            <w:tcBorders>
              <w:top w:val="single" w:sz="8" w:space="0" w:color="auto"/>
              <w:left w:val="nil"/>
              <w:bottom w:val="single" w:sz="8" w:space="0" w:color="auto"/>
              <w:right w:val="single" w:sz="4" w:space="0" w:color="auto"/>
            </w:tcBorders>
            <w:shd w:val="clear" w:color="auto" w:fill="auto"/>
            <w:noWrap/>
            <w:vAlign w:val="center"/>
            <w:hideMark/>
          </w:tcPr>
          <w:p>
            <w:pPr>
              <w:spacing w:before="40" w:after="40"/>
              <w:jc w:val="right"/>
              <w:rPr>
                <w:b/>
                <w:bCs/>
                <w:noProof/>
                <w:color w:val="000000"/>
                <w:sz w:val="20"/>
                <w:szCs w:val="20"/>
              </w:rPr>
            </w:pPr>
            <w:r>
              <w:rPr>
                <w:b/>
                <w:bCs/>
                <w:noProof/>
                <w:color w:val="000000"/>
                <w:sz w:val="20"/>
                <w:szCs w:val="20"/>
              </w:rPr>
              <w:t>178,1</w:t>
            </w:r>
          </w:p>
        </w:tc>
        <w:tc>
          <w:tcPr>
            <w:tcW w:w="1021" w:type="dxa"/>
            <w:tcBorders>
              <w:top w:val="single" w:sz="8" w:space="0" w:color="auto"/>
              <w:left w:val="nil"/>
              <w:bottom w:val="single" w:sz="8" w:space="0" w:color="auto"/>
              <w:right w:val="single" w:sz="8" w:space="0" w:color="auto"/>
            </w:tcBorders>
            <w:shd w:val="clear" w:color="auto" w:fill="auto"/>
            <w:noWrap/>
            <w:vAlign w:val="center"/>
            <w:hideMark/>
          </w:tcPr>
          <w:p>
            <w:pPr>
              <w:spacing w:before="40" w:after="40"/>
              <w:jc w:val="right"/>
              <w:rPr>
                <w:b/>
                <w:bCs/>
                <w:noProof/>
                <w:color w:val="000000"/>
                <w:sz w:val="20"/>
                <w:szCs w:val="20"/>
              </w:rPr>
            </w:pPr>
            <w:r>
              <w:rPr>
                <w:b/>
                <w:bCs/>
                <w:noProof/>
                <w:color w:val="000000"/>
                <w:sz w:val="20"/>
                <w:szCs w:val="20"/>
              </w:rPr>
              <w:t>185,2</w:t>
            </w:r>
          </w:p>
        </w:tc>
      </w:tr>
      <w:tr>
        <w:trPr>
          <w:trHeight w:val="66"/>
        </w:trPr>
        <w:tc>
          <w:tcPr>
            <w:tcW w:w="4479" w:type="dxa"/>
            <w:tcBorders>
              <w:top w:val="single" w:sz="8" w:space="0" w:color="auto"/>
              <w:left w:val="single" w:sz="8" w:space="0" w:color="auto"/>
              <w:bottom w:val="nil"/>
              <w:right w:val="single" w:sz="4" w:space="0" w:color="auto"/>
            </w:tcBorders>
            <w:shd w:val="clear" w:color="auto" w:fill="auto"/>
            <w:noWrap/>
            <w:vAlign w:val="center"/>
            <w:hideMark/>
          </w:tcPr>
          <w:p>
            <w:pPr>
              <w:spacing w:before="40" w:after="40"/>
              <w:rPr>
                <w:noProof/>
                <w:color w:val="000000"/>
                <w:sz w:val="20"/>
                <w:szCs w:val="20"/>
              </w:rPr>
            </w:pPr>
            <w:r>
              <w:rPr>
                <w:noProof/>
                <w:color w:val="000000"/>
                <w:sz w:val="20"/>
                <w:szCs w:val="20"/>
              </w:rPr>
              <w:t> </w:t>
            </w:r>
          </w:p>
        </w:tc>
        <w:tc>
          <w:tcPr>
            <w:tcW w:w="1020" w:type="dxa"/>
            <w:tcBorders>
              <w:top w:val="single" w:sz="8" w:space="0" w:color="auto"/>
              <w:left w:val="single" w:sz="4" w:space="0" w:color="auto"/>
              <w:bottom w:val="nil"/>
              <w:right w:val="single" w:sz="4" w:space="0" w:color="auto"/>
            </w:tcBorders>
            <w:shd w:val="clear" w:color="auto" w:fill="auto"/>
            <w:noWrap/>
            <w:vAlign w:val="center"/>
            <w:hideMark/>
          </w:tcPr>
          <w:p>
            <w:pPr>
              <w:spacing w:before="40" w:after="40"/>
              <w:rPr>
                <w:noProof/>
                <w:sz w:val="20"/>
                <w:szCs w:val="20"/>
              </w:rPr>
            </w:pPr>
          </w:p>
        </w:tc>
        <w:tc>
          <w:tcPr>
            <w:tcW w:w="1020" w:type="dxa"/>
            <w:tcBorders>
              <w:top w:val="single" w:sz="8" w:space="0" w:color="auto"/>
              <w:left w:val="single" w:sz="4" w:space="0" w:color="auto"/>
              <w:bottom w:val="nil"/>
              <w:right w:val="nil"/>
            </w:tcBorders>
            <w:shd w:val="clear" w:color="auto" w:fill="auto"/>
            <w:noWrap/>
            <w:vAlign w:val="center"/>
            <w:hideMark/>
          </w:tcPr>
          <w:p>
            <w:pPr>
              <w:spacing w:before="40" w:after="40"/>
              <w:rPr>
                <w:noProof/>
                <w:color w:val="000000"/>
                <w:sz w:val="20"/>
                <w:szCs w:val="20"/>
              </w:rPr>
            </w:pPr>
          </w:p>
        </w:tc>
        <w:tc>
          <w:tcPr>
            <w:tcW w:w="1020" w:type="dxa"/>
            <w:tcBorders>
              <w:top w:val="single" w:sz="8" w:space="0" w:color="auto"/>
              <w:left w:val="nil"/>
              <w:bottom w:val="nil"/>
              <w:right w:val="nil"/>
            </w:tcBorders>
            <w:shd w:val="clear" w:color="auto" w:fill="auto"/>
            <w:noWrap/>
            <w:vAlign w:val="center"/>
            <w:hideMark/>
          </w:tcPr>
          <w:p>
            <w:pPr>
              <w:spacing w:before="40" w:after="40"/>
              <w:rPr>
                <w:noProof/>
                <w:color w:val="000000"/>
                <w:sz w:val="20"/>
                <w:szCs w:val="20"/>
              </w:rPr>
            </w:pPr>
          </w:p>
        </w:tc>
        <w:tc>
          <w:tcPr>
            <w:tcW w:w="1020" w:type="dxa"/>
            <w:tcBorders>
              <w:top w:val="single" w:sz="8" w:space="0" w:color="auto"/>
              <w:left w:val="nil"/>
              <w:bottom w:val="nil"/>
              <w:right w:val="nil"/>
            </w:tcBorders>
            <w:shd w:val="clear" w:color="auto" w:fill="auto"/>
            <w:noWrap/>
            <w:vAlign w:val="center"/>
            <w:hideMark/>
          </w:tcPr>
          <w:p>
            <w:pPr>
              <w:spacing w:before="40" w:after="40"/>
              <w:rPr>
                <w:noProof/>
                <w:color w:val="000000"/>
                <w:sz w:val="20"/>
                <w:szCs w:val="20"/>
              </w:rPr>
            </w:pPr>
          </w:p>
        </w:tc>
        <w:tc>
          <w:tcPr>
            <w:tcW w:w="1021" w:type="dxa"/>
            <w:tcBorders>
              <w:top w:val="single" w:sz="8" w:space="0" w:color="auto"/>
              <w:left w:val="nil"/>
              <w:bottom w:val="nil"/>
              <w:right w:val="single" w:sz="8" w:space="0" w:color="auto"/>
            </w:tcBorders>
            <w:shd w:val="clear" w:color="auto" w:fill="auto"/>
            <w:noWrap/>
            <w:vAlign w:val="center"/>
            <w:hideMark/>
          </w:tcPr>
          <w:p>
            <w:pPr>
              <w:spacing w:before="40" w:after="40"/>
              <w:rPr>
                <w:noProof/>
                <w:color w:val="000000"/>
                <w:sz w:val="20"/>
                <w:szCs w:val="20"/>
              </w:rPr>
            </w:pPr>
          </w:p>
        </w:tc>
      </w:tr>
      <w:tr>
        <w:trPr>
          <w:trHeight w:val="227"/>
        </w:trPr>
        <w:tc>
          <w:tcPr>
            <w:tcW w:w="4479" w:type="dxa"/>
            <w:tcBorders>
              <w:top w:val="single" w:sz="8" w:space="0" w:color="auto"/>
              <w:left w:val="single" w:sz="8" w:space="0" w:color="auto"/>
              <w:bottom w:val="single" w:sz="4" w:space="0" w:color="auto"/>
              <w:right w:val="single" w:sz="4" w:space="0" w:color="auto"/>
            </w:tcBorders>
            <w:shd w:val="clear" w:color="000000" w:fill="CCFFCC"/>
            <w:noWrap/>
            <w:vAlign w:val="center"/>
            <w:hideMark/>
          </w:tcPr>
          <w:p>
            <w:pPr>
              <w:spacing w:before="40" w:after="40"/>
              <w:rPr>
                <w:b/>
                <w:bCs/>
                <w:noProof/>
                <w:color w:val="000000"/>
                <w:sz w:val="20"/>
                <w:szCs w:val="20"/>
              </w:rPr>
            </w:pPr>
            <w:r>
              <w:rPr>
                <w:b/>
                <w:bCs/>
                <w:noProof/>
                <w:color w:val="000000"/>
                <w:sz w:val="20"/>
                <w:szCs w:val="20"/>
              </w:rPr>
              <w:t>INFLOWS</w:t>
            </w:r>
          </w:p>
        </w:tc>
        <w:tc>
          <w:tcPr>
            <w:tcW w:w="1020" w:type="dxa"/>
            <w:tcBorders>
              <w:top w:val="single" w:sz="8" w:space="0" w:color="auto"/>
              <w:left w:val="single" w:sz="4" w:space="0" w:color="auto"/>
              <w:bottom w:val="single" w:sz="4" w:space="0" w:color="auto"/>
              <w:right w:val="single" w:sz="4" w:space="0" w:color="auto"/>
            </w:tcBorders>
            <w:shd w:val="clear" w:color="000000" w:fill="CCFFCC"/>
            <w:noWrap/>
            <w:vAlign w:val="center"/>
            <w:hideMark/>
          </w:tcPr>
          <w:p>
            <w:pPr>
              <w:spacing w:before="40" w:after="40"/>
              <w:rPr>
                <w:noProof/>
                <w:sz w:val="20"/>
                <w:szCs w:val="20"/>
              </w:rPr>
            </w:pPr>
            <w:r>
              <w:rPr>
                <w:noProof/>
                <w:color w:val="000000"/>
                <w:sz w:val="20"/>
                <w:szCs w:val="20"/>
              </w:rPr>
              <w:t> </w:t>
            </w:r>
          </w:p>
        </w:tc>
        <w:tc>
          <w:tcPr>
            <w:tcW w:w="1020" w:type="dxa"/>
            <w:tcBorders>
              <w:top w:val="single" w:sz="8" w:space="0" w:color="auto"/>
              <w:left w:val="single" w:sz="4" w:space="0" w:color="auto"/>
              <w:bottom w:val="single" w:sz="2" w:space="0" w:color="auto"/>
              <w:right w:val="nil"/>
            </w:tcBorders>
            <w:shd w:val="clear" w:color="000000" w:fill="CCFFCC"/>
            <w:noWrap/>
            <w:vAlign w:val="center"/>
            <w:hideMark/>
          </w:tcPr>
          <w:p>
            <w:pPr>
              <w:spacing w:before="40" w:after="40"/>
              <w:rPr>
                <w:noProof/>
                <w:color w:val="000000"/>
                <w:sz w:val="20"/>
                <w:szCs w:val="20"/>
              </w:rPr>
            </w:pPr>
            <w:r>
              <w:rPr>
                <w:noProof/>
                <w:color w:val="000000"/>
                <w:sz w:val="20"/>
                <w:szCs w:val="20"/>
              </w:rPr>
              <w:t> </w:t>
            </w:r>
          </w:p>
        </w:tc>
        <w:tc>
          <w:tcPr>
            <w:tcW w:w="1020" w:type="dxa"/>
            <w:tcBorders>
              <w:top w:val="single" w:sz="8" w:space="0" w:color="auto"/>
              <w:left w:val="nil"/>
              <w:bottom w:val="single" w:sz="4" w:space="0" w:color="auto"/>
              <w:right w:val="nil"/>
            </w:tcBorders>
            <w:shd w:val="clear" w:color="000000" w:fill="CCFFCC"/>
            <w:noWrap/>
            <w:vAlign w:val="center"/>
            <w:hideMark/>
          </w:tcPr>
          <w:p>
            <w:pPr>
              <w:spacing w:before="40" w:after="40"/>
              <w:rPr>
                <w:noProof/>
                <w:color w:val="000000"/>
                <w:sz w:val="20"/>
                <w:szCs w:val="20"/>
              </w:rPr>
            </w:pPr>
            <w:r>
              <w:rPr>
                <w:noProof/>
                <w:color w:val="000000"/>
                <w:sz w:val="20"/>
                <w:szCs w:val="20"/>
              </w:rPr>
              <w:t> </w:t>
            </w:r>
          </w:p>
        </w:tc>
        <w:tc>
          <w:tcPr>
            <w:tcW w:w="1020" w:type="dxa"/>
            <w:tcBorders>
              <w:top w:val="single" w:sz="8" w:space="0" w:color="auto"/>
              <w:left w:val="nil"/>
              <w:bottom w:val="single" w:sz="4" w:space="0" w:color="auto"/>
              <w:right w:val="nil"/>
            </w:tcBorders>
            <w:shd w:val="clear" w:color="000000" w:fill="CCFFCC"/>
            <w:noWrap/>
            <w:vAlign w:val="center"/>
            <w:hideMark/>
          </w:tcPr>
          <w:p>
            <w:pPr>
              <w:spacing w:before="40" w:after="40"/>
              <w:rPr>
                <w:noProof/>
                <w:color w:val="000000"/>
                <w:sz w:val="20"/>
                <w:szCs w:val="20"/>
              </w:rPr>
            </w:pPr>
            <w:r>
              <w:rPr>
                <w:noProof/>
                <w:color w:val="000000"/>
                <w:sz w:val="20"/>
                <w:szCs w:val="20"/>
              </w:rPr>
              <w:t> </w:t>
            </w:r>
          </w:p>
        </w:tc>
        <w:tc>
          <w:tcPr>
            <w:tcW w:w="1021" w:type="dxa"/>
            <w:tcBorders>
              <w:top w:val="single" w:sz="8" w:space="0" w:color="auto"/>
              <w:left w:val="nil"/>
              <w:bottom w:val="single" w:sz="4" w:space="0" w:color="auto"/>
              <w:right w:val="single" w:sz="8" w:space="0" w:color="auto"/>
            </w:tcBorders>
            <w:shd w:val="clear" w:color="000000" w:fill="CCFFCC"/>
            <w:noWrap/>
            <w:vAlign w:val="center"/>
            <w:hideMark/>
          </w:tcPr>
          <w:p>
            <w:pPr>
              <w:spacing w:before="40" w:after="40"/>
              <w:rPr>
                <w:noProof/>
                <w:color w:val="000000"/>
                <w:sz w:val="20"/>
                <w:szCs w:val="20"/>
              </w:rPr>
            </w:pPr>
            <w:r>
              <w:rPr>
                <w:noProof/>
                <w:color w:val="000000"/>
                <w:sz w:val="20"/>
                <w:szCs w:val="20"/>
              </w:rPr>
              <w:t> </w:t>
            </w:r>
          </w:p>
        </w:tc>
      </w:tr>
      <w:tr>
        <w:trPr>
          <w:trHeight w:val="227"/>
        </w:trPr>
        <w:tc>
          <w:tcPr>
            <w:tcW w:w="4479" w:type="dxa"/>
            <w:tcBorders>
              <w:top w:val="single" w:sz="4" w:space="0" w:color="auto"/>
              <w:left w:val="single" w:sz="8" w:space="0" w:color="auto"/>
              <w:bottom w:val="nil"/>
              <w:right w:val="single" w:sz="4" w:space="0" w:color="auto"/>
            </w:tcBorders>
            <w:shd w:val="clear" w:color="auto" w:fill="auto"/>
            <w:noWrap/>
            <w:vAlign w:val="center"/>
          </w:tcPr>
          <w:p>
            <w:pPr>
              <w:spacing w:before="40" w:after="40"/>
              <w:rPr>
                <w:i/>
                <w:noProof/>
                <w:color w:val="215868" w:themeColor="accent5" w:themeShade="80"/>
                <w:sz w:val="20"/>
                <w:szCs w:val="20"/>
              </w:rPr>
            </w:pPr>
            <w:r>
              <w:rPr>
                <w:i/>
                <w:iCs/>
                <w:noProof/>
                <w:color w:val="215967"/>
                <w:sz w:val="20"/>
                <w:szCs w:val="20"/>
              </w:rPr>
              <w:t>Own Resources ceiling in percentage of the EU Gross National Income</w:t>
            </w:r>
          </w:p>
        </w:tc>
        <w:tc>
          <w:tcPr>
            <w:tcW w:w="1020" w:type="dxa"/>
            <w:tcBorders>
              <w:top w:val="single" w:sz="4" w:space="0" w:color="auto"/>
              <w:left w:val="single" w:sz="4" w:space="0" w:color="auto"/>
              <w:bottom w:val="nil"/>
              <w:right w:val="single" w:sz="2" w:space="0" w:color="auto"/>
            </w:tcBorders>
            <w:shd w:val="clear" w:color="auto" w:fill="auto"/>
            <w:noWrap/>
            <w:vAlign w:val="center"/>
          </w:tcPr>
          <w:p>
            <w:pPr>
              <w:spacing w:before="40" w:after="40"/>
              <w:jc w:val="right"/>
              <w:rPr>
                <w:i/>
                <w:noProof/>
                <w:color w:val="215868" w:themeColor="accent5" w:themeShade="80"/>
                <w:sz w:val="20"/>
                <w:szCs w:val="20"/>
              </w:rPr>
            </w:pPr>
            <w:r>
              <w:rPr>
                <w:i/>
                <w:iCs/>
                <w:noProof/>
                <w:color w:val="215967"/>
                <w:sz w:val="20"/>
                <w:szCs w:val="20"/>
              </w:rPr>
              <w:t>1,20%</w:t>
            </w:r>
          </w:p>
        </w:tc>
        <w:tc>
          <w:tcPr>
            <w:tcW w:w="1020" w:type="dxa"/>
            <w:tcBorders>
              <w:top w:val="single" w:sz="2" w:space="0" w:color="auto"/>
              <w:left w:val="single" w:sz="2" w:space="0" w:color="auto"/>
              <w:bottom w:val="nil"/>
              <w:right w:val="single" w:sz="2" w:space="0" w:color="auto"/>
            </w:tcBorders>
            <w:shd w:val="clear" w:color="auto" w:fill="auto"/>
            <w:noWrap/>
            <w:vAlign w:val="center"/>
          </w:tcPr>
          <w:p>
            <w:pPr>
              <w:spacing w:before="40" w:after="40"/>
              <w:jc w:val="right"/>
              <w:rPr>
                <w:i/>
                <w:noProof/>
                <w:color w:val="215868" w:themeColor="accent5" w:themeShade="80"/>
                <w:sz w:val="20"/>
                <w:szCs w:val="20"/>
              </w:rPr>
            </w:pPr>
            <w:r>
              <w:rPr>
                <w:i/>
                <w:iCs/>
                <w:noProof/>
                <w:color w:val="215967"/>
                <w:sz w:val="20"/>
                <w:szCs w:val="20"/>
              </w:rPr>
              <w:t>1,29%</w:t>
            </w:r>
          </w:p>
        </w:tc>
        <w:tc>
          <w:tcPr>
            <w:tcW w:w="1020" w:type="dxa"/>
            <w:tcBorders>
              <w:top w:val="single" w:sz="4" w:space="0" w:color="auto"/>
              <w:left w:val="single" w:sz="2" w:space="0" w:color="auto"/>
              <w:bottom w:val="nil"/>
              <w:right w:val="single" w:sz="4" w:space="0" w:color="auto"/>
            </w:tcBorders>
            <w:shd w:val="clear" w:color="auto" w:fill="auto"/>
            <w:noWrap/>
            <w:vAlign w:val="center"/>
          </w:tcPr>
          <w:p>
            <w:pPr>
              <w:spacing w:before="40" w:after="40"/>
              <w:jc w:val="right"/>
              <w:rPr>
                <w:i/>
                <w:noProof/>
                <w:color w:val="215868" w:themeColor="accent5" w:themeShade="80"/>
                <w:sz w:val="20"/>
                <w:szCs w:val="20"/>
              </w:rPr>
            </w:pPr>
            <w:r>
              <w:rPr>
                <w:i/>
                <w:iCs/>
                <w:noProof/>
                <w:color w:val="215967"/>
                <w:sz w:val="20"/>
                <w:szCs w:val="20"/>
              </w:rPr>
              <w:t>1,29%</w:t>
            </w:r>
          </w:p>
        </w:tc>
        <w:tc>
          <w:tcPr>
            <w:tcW w:w="1020" w:type="dxa"/>
            <w:tcBorders>
              <w:top w:val="single" w:sz="4" w:space="0" w:color="auto"/>
              <w:left w:val="nil"/>
              <w:bottom w:val="nil"/>
              <w:right w:val="single" w:sz="4" w:space="0" w:color="auto"/>
            </w:tcBorders>
            <w:shd w:val="clear" w:color="auto" w:fill="auto"/>
            <w:noWrap/>
            <w:vAlign w:val="center"/>
          </w:tcPr>
          <w:p>
            <w:pPr>
              <w:spacing w:before="40" w:after="40"/>
              <w:jc w:val="right"/>
              <w:rPr>
                <w:i/>
                <w:noProof/>
                <w:color w:val="215868" w:themeColor="accent5" w:themeShade="80"/>
                <w:sz w:val="20"/>
                <w:szCs w:val="20"/>
              </w:rPr>
            </w:pPr>
            <w:r>
              <w:rPr>
                <w:i/>
                <w:iCs/>
                <w:noProof/>
                <w:color w:val="215967"/>
                <w:sz w:val="20"/>
                <w:szCs w:val="20"/>
              </w:rPr>
              <w:t>1,29%</w:t>
            </w:r>
          </w:p>
        </w:tc>
        <w:tc>
          <w:tcPr>
            <w:tcW w:w="1021" w:type="dxa"/>
            <w:tcBorders>
              <w:top w:val="single" w:sz="4" w:space="0" w:color="auto"/>
              <w:left w:val="nil"/>
              <w:bottom w:val="nil"/>
              <w:right w:val="single" w:sz="8" w:space="0" w:color="auto"/>
            </w:tcBorders>
            <w:shd w:val="clear" w:color="auto" w:fill="auto"/>
            <w:noWrap/>
            <w:vAlign w:val="center"/>
          </w:tcPr>
          <w:p>
            <w:pPr>
              <w:spacing w:before="40" w:after="40"/>
              <w:jc w:val="right"/>
              <w:rPr>
                <w:i/>
                <w:noProof/>
                <w:color w:val="215868" w:themeColor="accent5" w:themeShade="80"/>
                <w:sz w:val="20"/>
                <w:szCs w:val="20"/>
              </w:rPr>
            </w:pPr>
            <w:r>
              <w:rPr>
                <w:i/>
                <w:iCs/>
                <w:noProof/>
                <w:color w:val="215967"/>
                <w:sz w:val="20"/>
                <w:szCs w:val="20"/>
              </w:rPr>
              <w:t>1,29%</w:t>
            </w:r>
          </w:p>
        </w:tc>
      </w:tr>
      <w:tr>
        <w:trPr>
          <w:trHeight w:val="227"/>
        </w:trPr>
        <w:tc>
          <w:tcPr>
            <w:tcW w:w="4479" w:type="dxa"/>
            <w:tcBorders>
              <w:top w:val="nil"/>
              <w:left w:val="single" w:sz="8" w:space="0" w:color="auto"/>
              <w:bottom w:val="single" w:sz="8" w:space="0" w:color="auto"/>
              <w:right w:val="single" w:sz="4" w:space="0" w:color="auto"/>
            </w:tcBorders>
            <w:shd w:val="clear" w:color="auto" w:fill="auto"/>
            <w:noWrap/>
            <w:vAlign w:val="center"/>
          </w:tcPr>
          <w:p>
            <w:pPr>
              <w:spacing w:before="40" w:after="40"/>
              <w:rPr>
                <w:i/>
                <w:noProof/>
                <w:color w:val="215868" w:themeColor="accent5" w:themeShade="80"/>
                <w:sz w:val="20"/>
                <w:szCs w:val="20"/>
              </w:rPr>
            </w:pPr>
            <w:r>
              <w:rPr>
                <w:i/>
                <w:iCs/>
                <w:noProof/>
                <w:color w:val="215967"/>
                <w:sz w:val="20"/>
                <w:szCs w:val="20"/>
              </w:rPr>
              <w:t>Own Resources ceiling expressed in EUR billion***</w:t>
            </w:r>
          </w:p>
        </w:tc>
        <w:tc>
          <w:tcPr>
            <w:tcW w:w="1020" w:type="dxa"/>
            <w:tcBorders>
              <w:top w:val="nil"/>
              <w:left w:val="single" w:sz="4" w:space="0" w:color="auto"/>
              <w:bottom w:val="single" w:sz="8" w:space="0" w:color="auto"/>
              <w:right w:val="single" w:sz="2" w:space="0" w:color="auto"/>
            </w:tcBorders>
            <w:shd w:val="clear" w:color="auto" w:fill="auto"/>
            <w:noWrap/>
            <w:vAlign w:val="center"/>
          </w:tcPr>
          <w:p>
            <w:pPr>
              <w:spacing w:before="40" w:after="40"/>
              <w:jc w:val="right"/>
              <w:rPr>
                <w:i/>
                <w:noProof/>
                <w:color w:val="215868" w:themeColor="accent5" w:themeShade="80"/>
                <w:sz w:val="20"/>
                <w:szCs w:val="20"/>
              </w:rPr>
            </w:pPr>
            <w:r>
              <w:rPr>
                <w:i/>
                <w:iCs/>
                <w:noProof/>
                <w:color w:val="215967"/>
                <w:sz w:val="20"/>
                <w:szCs w:val="20"/>
              </w:rPr>
              <w:t>203,9</w:t>
            </w:r>
          </w:p>
        </w:tc>
        <w:tc>
          <w:tcPr>
            <w:tcW w:w="1020" w:type="dxa"/>
            <w:tcBorders>
              <w:top w:val="nil"/>
              <w:left w:val="single" w:sz="2" w:space="0" w:color="auto"/>
              <w:bottom w:val="single" w:sz="8" w:space="0" w:color="auto"/>
              <w:right w:val="single" w:sz="2" w:space="0" w:color="auto"/>
            </w:tcBorders>
            <w:shd w:val="clear" w:color="auto" w:fill="auto"/>
            <w:noWrap/>
            <w:vAlign w:val="center"/>
          </w:tcPr>
          <w:p>
            <w:pPr>
              <w:spacing w:before="40" w:after="40"/>
              <w:jc w:val="right"/>
              <w:rPr>
                <w:i/>
                <w:noProof/>
                <w:color w:val="215868" w:themeColor="accent5" w:themeShade="80"/>
                <w:sz w:val="20"/>
                <w:szCs w:val="20"/>
              </w:rPr>
            </w:pPr>
            <w:r>
              <w:rPr>
                <w:i/>
                <w:iCs/>
                <w:noProof/>
                <w:color w:val="215967"/>
                <w:sz w:val="20"/>
                <w:szCs w:val="20"/>
              </w:rPr>
              <w:t>191,4</w:t>
            </w:r>
          </w:p>
        </w:tc>
        <w:tc>
          <w:tcPr>
            <w:tcW w:w="1020" w:type="dxa"/>
            <w:tcBorders>
              <w:top w:val="nil"/>
              <w:left w:val="single" w:sz="2" w:space="0" w:color="auto"/>
              <w:bottom w:val="single" w:sz="8" w:space="0" w:color="auto"/>
              <w:right w:val="single" w:sz="4" w:space="0" w:color="auto"/>
            </w:tcBorders>
            <w:shd w:val="clear" w:color="auto" w:fill="auto"/>
            <w:noWrap/>
            <w:vAlign w:val="center"/>
          </w:tcPr>
          <w:p>
            <w:pPr>
              <w:spacing w:before="40" w:after="40"/>
              <w:jc w:val="right"/>
              <w:rPr>
                <w:i/>
                <w:noProof/>
                <w:color w:val="215868" w:themeColor="accent5" w:themeShade="80"/>
                <w:sz w:val="20"/>
                <w:szCs w:val="20"/>
              </w:rPr>
            </w:pPr>
            <w:r>
              <w:rPr>
                <w:i/>
                <w:iCs/>
                <w:noProof/>
                <w:color w:val="215967"/>
                <w:sz w:val="20"/>
                <w:szCs w:val="20"/>
              </w:rPr>
              <w:t>197,1</w:t>
            </w:r>
          </w:p>
        </w:tc>
        <w:tc>
          <w:tcPr>
            <w:tcW w:w="1020" w:type="dxa"/>
            <w:tcBorders>
              <w:top w:val="nil"/>
              <w:left w:val="nil"/>
              <w:bottom w:val="single" w:sz="8" w:space="0" w:color="auto"/>
              <w:right w:val="single" w:sz="4" w:space="0" w:color="auto"/>
            </w:tcBorders>
            <w:shd w:val="clear" w:color="auto" w:fill="auto"/>
            <w:noWrap/>
            <w:vAlign w:val="center"/>
          </w:tcPr>
          <w:p>
            <w:pPr>
              <w:spacing w:before="40" w:after="40"/>
              <w:jc w:val="right"/>
              <w:rPr>
                <w:i/>
                <w:noProof/>
                <w:color w:val="215868" w:themeColor="accent5" w:themeShade="80"/>
                <w:sz w:val="20"/>
                <w:szCs w:val="20"/>
              </w:rPr>
            </w:pPr>
            <w:r>
              <w:rPr>
                <w:i/>
                <w:iCs/>
                <w:noProof/>
                <w:color w:val="215967"/>
                <w:sz w:val="20"/>
                <w:szCs w:val="20"/>
              </w:rPr>
              <w:t>202,9</w:t>
            </w:r>
          </w:p>
        </w:tc>
        <w:tc>
          <w:tcPr>
            <w:tcW w:w="1021" w:type="dxa"/>
            <w:tcBorders>
              <w:top w:val="nil"/>
              <w:left w:val="nil"/>
              <w:bottom w:val="single" w:sz="8" w:space="0" w:color="auto"/>
              <w:right w:val="single" w:sz="8" w:space="0" w:color="auto"/>
            </w:tcBorders>
            <w:shd w:val="clear" w:color="auto" w:fill="auto"/>
            <w:noWrap/>
            <w:vAlign w:val="center"/>
          </w:tcPr>
          <w:p>
            <w:pPr>
              <w:spacing w:before="40" w:after="40"/>
              <w:jc w:val="right"/>
              <w:rPr>
                <w:i/>
                <w:noProof/>
                <w:color w:val="215868" w:themeColor="accent5" w:themeShade="80"/>
                <w:sz w:val="20"/>
                <w:szCs w:val="20"/>
              </w:rPr>
            </w:pPr>
            <w:r>
              <w:rPr>
                <w:i/>
                <w:iCs/>
                <w:noProof/>
                <w:color w:val="215967"/>
                <w:sz w:val="20"/>
                <w:szCs w:val="20"/>
              </w:rPr>
              <w:t>209,2</w:t>
            </w:r>
          </w:p>
        </w:tc>
      </w:tr>
      <w:tr>
        <w:trPr>
          <w:trHeight w:val="227"/>
        </w:trPr>
        <w:tc>
          <w:tcPr>
            <w:tcW w:w="4479" w:type="dxa"/>
            <w:tcBorders>
              <w:top w:val="single" w:sz="8" w:space="0" w:color="auto"/>
              <w:left w:val="single" w:sz="8" w:space="0" w:color="auto"/>
              <w:bottom w:val="nil"/>
              <w:right w:val="single" w:sz="4" w:space="0" w:color="auto"/>
            </w:tcBorders>
            <w:shd w:val="clear" w:color="auto" w:fill="auto"/>
            <w:noWrap/>
            <w:vAlign w:val="center"/>
            <w:hideMark/>
          </w:tcPr>
          <w:p>
            <w:pPr>
              <w:spacing w:before="40" w:after="40"/>
              <w:rPr>
                <w:b/>
                <w:noProof/>
                <w:color w:val="000000"/>
                <w:sz w:val="20"/>
                <w:szCs w:val="20"/>
              </w:rPr>
            </w:pPr>
            <w:r>
              <w:rPr>
                <w:b/>
                <w:bCs/>
                <w:noProof/>
                <w:color w:val="000000"/>
                <w:sz w:val="20"/>
                <w:szCs w:val="20"/>
              </w:rPr>
              <w:t>Total own resources:</w:t>
            </w:r>
          </w:p>
        </w:tc>
        <w:tc>
          <w:tcPr>
            <w:tcW w:w="1020" w:type="dxa"/>
            <w:tcBorders>
              <w:top w:val="single" w:sz="8" w:space="0" w:color="auto"/>
              <w:left w:val="single" w:sz="4" w:space="0" w:color="auto"/>
              <w:bottom w:val="nil"/>
              <w:right w:val="single" w:sz="2" w:space="0" w:color="auto"/>
            </w:tcBorders>
            <w:shd w:val="clear" w:color="auto" w:fill="auto"/>
            <w:noWrap/>
            <w:vAlign w:val="center"/>
            <w:hideMark/>
          </w:tcPr>
          <w:p>
            <w:pPr>
              <w:spacing w:before="40" w:after="40"/>
              <w:jc w:val="right"/>
              <w:rPr>
                <w:b/>
                <w:noProof/>
                <w:sz w:val="20"/>
                <w:szCs w:val="20"/>
              </w:rPr>
            </w:pPr>
            <w:r>
              <w:rPr>
                <w:b/>
                <w:bCs/>
                <w:noProof/>
                <w:color w:val="000000"/>
                <w:sz w:val="20"/>
                <w:szCs w:val="20"/>
              </w:rPr>
              <w:t>151,6</w:t>
            </w:r>
          </w:p>
        </w:tc>
        <w:tc>
          <w:tcPr>
            <w:tcW w:w="1020" w:type="dxa"/>
            <w:tcBorders>
              <w:top w:val="single" w:sz="8" w:space="0" w:color="auto"/>
              <w:left w:val="single" w:sz="2" w:space="0" w:color="auto"/>
              <w:bottom w:val="nil"/>
              <w:right w:val="single" w:sz="2" w:space="0" w:color="auto"/>
            </w:tcBorders>
            <w:shd w:val="clear" w:color="auto" w:fill="auto"/>
            <w:noWrap/>
            <w:vAlign w:val="center"/>
            <w:hideMark/>
          </w:tcPr>
          <w:p>
            <w:pPr>
              <w:spacing w:before="40" w:after="40"/>
              <w:jc w:val="right"/>
              <w:rPr>
                <w:b/>
                <w:noProof/>
                <w:color w:val="000000"/>
                <w:sz w:val="20"/>
                <w:szCs w:val="20"/>
              </w:rPr>
            </w:pPr>
            <w:r>
              <w:rPr>
                <w:b/>
                <w:bCs/>
                <w:noProof/>
                <w:color w:val="000000"/>
                <w:sz w:val="20"/>
                <w:szCs w:val="20"/>
              </w:rPr>
              <w:t>157,2</w:t>
            </w:r>
          </w:p>
        </w:tc>
        <w:tc>
          <w:tcPr>
            <w:tcW w:w="1020" w:type="dxa"/>
            <w:tcBorders>
              <w:top w:val="single" w:sz="8" w:space="0" w:color="auto"/>
              <w:left w:val="single" w:sz="2" w:space="0" w:color="auto"/>
              <w:bottom w:val="nil"/>
              <w:right w:val="single" w:sz="4" w:space="0" w:color="auto"/>
            </w:tcBorders>
            <w:shd w:val="clear" w:color="auto" w:fill="auto"/>
            <w:noWrap/>
            <w:vAlign w:val="center"/>
            <w:hideMark/>
          </w:tcPr>
          <w:p>
            <w:pPr>
              <w:spacing w:before="40" w:after="40"/>
              <w:jc w:val="right"/>
              <w:rPr>
                <w:b/>
                <w:noProof/>
                <w:color w:val="000000"/>
                <w:sz w:val="20"/>
                <w:szCs w:val="20"/>
              </w:rPr>
            </w:pPr>
            <w:r>
              <w:rPr>
                <w:b/>
                <w:bCs/>
                <w:noProof/>
                <w:color w:val="000000"/>
                <w:sz w:val="20"/>
                <w:szCs w:val="20"/>
              </w:rPr>
              <w:t>162,3</w:t>
            </w:r>
          </w:p>
        </w:tc>
        <w:tc>
          <w:tcPr>
            <w:tcW w:w="1020" w:type="dxa"/>
            <w:tcBorders>
              <w:top w:val="single" w:sz="8" w:space="0" w:color="auto"/>
              <w:left w:val="nil"/>
              <w:bottom w:val="nil"/>
              <w:right w:val="single" w:sz="4" w:space="0" w:color="auto"/>
            </w:tcBorders>
            <w:shd w:val="clear" w:color="auto" w:fill="auto"/>
            <w:noWrap/>
            <w:vAlign w:val="center"/>
            <w:hideMark/>
          </w:tcPr>
          <w:p>
            <w:pPr>
              <w:spacing w:before="40" w:after="40"/>
              <w:jc w:val="right"/>
              <w:rPr>
                <w:b/>
                <w:noProof/>
                <w:color w:val="000000"/>
                <w:sz w:val="20"/>
                <w:szCs w:val="20"/>
              </w:rPr>
            </w:pPr>
            <w:r>
              <w:rPr>
                <w:b/>
                <w:bCs/>
                <w:noProof/>
                <w:color w:val="000000"/>
                <w:sz w:val="20"/>
                <w:szCs w:val="20"/>
              </w:rPr>
              <w:t>176,2</w:t>
            </w:r>
          </w:p>
        </w:tc>
        <w:tc>
          <w:tcPr>
            <w:tcW w:w="1021" w:type="dxa"/>
            <w:tcBorders>
              <w:top w:val="single" w:sz="8" w:space="0" w:color="auto"/>
              <w:left w:val="nil"/>
              <w:bottom w:val="nil"/>
              <w:right w:val="single" w:sz="8" w:space="0" w:color="auto"/>
            </w:tcBorders>
            <w:shd w:val="clear" w:color="auto" w:fill="auto"/>
            <w:noWrap/>
            <w:vAlign w:val="center"/>
            <w:hideMark/>
          </w:tcPr>
          <w:p>
            <w:pPr>
              <w:spacing w:before="40" w:after="40"/>
              <w:jc w:val="right"/>
              <w:rPr>
                <w:b/>
                <w:noProof/>
                <w:color w:val="000000"/>
                <w:sz w:val="20"/>
                <w:szCs w:val="20"/>
              </w:rPr>
            </w:pPr>
            <w:r>
              <w:rPr>
                <w:b/>
                <w:bCs/>
                <w:noProof/>
                <w:color w:val="000000"/>
                <w:sz w:val="20"/>
                <w:szCs w:val="20"/>
              </w:rPr>
              <w:t>183,3</w:t>
            </w:r>
          </w:p>
        </w:tc>
      </w:tr>
      <w:tr>
        <w:trPr>
          <w:trHeight w:val="227"/>
        </w:trPr>
        <w:tc>
          <w:tcPr>
            <w:tcW w:w="4479" w:type="dxa"/>
            <w:tcBorders>
              <w:top w:val="nil"/>
              <w:left w:val="single" w:sz="8"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iCs/>
                <w:noProof/>
                <w:color w:val="000000"/>
                <w:sz w:val="20"/>
                <w:szCs w:val="20"/>
              </w:rPr>
              <w:t>of which net amount of traditional own resources</w:t>
            </w:r>
          </w:p>
        </w:tc>
        <w:tc>
          <w:tcPr>
            <w:tcW w:w="1020" w:type="dxa"/>
            <w:tcBorders>
              <w:top w:val="nil"/>
              <w:left w:val="single" w:sz="4" w:space="0" w:color="auto"/>
              <w:bottom w:val="nil"/>
              <w:right w:val="single" w:sz="2" w:space="0" w:color="auto"/>
            </w:tcBorders>
            <w:shd w:val="clear" w:color="auto" w:fill="auto"/>
            <w:noWrap/>
            <w:vAlign w:val="center"/>
            <w:hideMark/>
          </w:tcPr>
          <w:p>
            <w:pPr>
              <w:spacing w:before="40" w:after="40"/>
              <w:jc w:val="right"/>
              <w:rPr>
                <w:noProof/>
                <w:sz w:val="20"/>
                <w:szCs w:val="20"/>
              </w:rPr>
            </w:pPr>
            <w:r>
              <w:rPr>
                <w:noProof/>
                <w:color w:val="000000"/>
                <w:sz w:val="20"/>
                <w:szCs w:val="20"/>
              </w:rPr>
              <w:t>22,2</w:t>
            </w:r>
          </w:p>
        </w:tc>
        <w:tc>
          <w:tcPr>
            <w:tcW w:w="1020" w:type="dxa"/>
            <w:tcBorders>
              <w:top w:val="nil"/>
              <w:left w:val="single" w:sz="2" w:space="0" w:color="auto"/>
              <w:bottom w:val="nil"/>
              <w:right w:val="single" w:sz="2" w:space="0" w:color="auto"/>
            </w:tcBorders>
            <w:shd w:val="clear" w:color="auto" w:fill="auto"/>
            <w:noWrap/>
            <w:vAlign w:val="center"/>
            <w:hideMark/>
          </w:tcPr>
          <w:p>
            <w:pPr>
              <w:spacing w:before="40" w:after="40"/>
              <w:jc w:val="right"/>
              <w:rPr>
                <w:noProof/>
                <w:color w:val="000000"/>
                <w:sz w:val="20"/>
                <w:szCs w:val="20"/>
              </w:rPr>
            </w:pPr>
            <w:r>
              <w:rPr>
                <w:noProof/>
                <w:color w:val="000000"/>
                <w:sz w:val="20"/>
                <w:szCs w:val="20"/>
              </w:rPr>
              <w:t>21,8</w:t>
            </w:r>
          </w:p>
        </w:tc>
        <w:tc>
          <w:tcPr>
            <w:tcW w:w="1020" w:type="dxa"/>
            <w:tcBorders>
              <w:top w:val="nil"/>
              <w:left w:val="single" w:sz="2" w:space="0" w:color="auto"/>
              <w:bottom w:val="nil"/>
              <w:right w:val="single" w:sz="4" w:space="0" w:color="auto"/>
            </w:tcBorders>
            <w:shd w:val="clear" w:color="auto" w:fill="auto"/>
            <w:noWrap/>
            <w:vAlign w:val="center"/>
            <w:hideMark/>
          </w:tcPr>
          <w:p>
            <w:pPr>
              <w:spacing w:before="40" w:after="40"/>
              <w:jc w:val="right"/>
              <w:rPr>
                <w:noProof/>
                <w:color w:val="000000"/>
                <w:sz w:val="20"/>
                <w:szCs w:val="20"/>
              </w:rPr>
            </w:pPr>
            <w:r>
              <w:rPr>
                <w:noProof/>
                <w:color w:val="000000"/>
                <w:sz w:val="20"/>
                <w:szCs w:val="20"/>
              </w:rPr>
              <w:t>22,4</w:t>
            </w:r>
          </w:p>
        </w:tc>
        <w:tc>
          <w:tcPr>
            <w:tcW w:w="1020" w:type="dxa"/>
            <w:tcBorders>
              <w:top w:val="nil"/>
              <w:left w:val="nil"/>
              <w:bottom w:val="nil"/>
              <w:right w:val="single" w:sz="4" w:space="0" w:color="auto"/>
            </w:tcBorders>
            <w:shd w:val="clear" w:color="auto" w:fill="auto"/>
            <w:noWrap/>
            <w:vAlign w:val="center"/>
            <w:hideMark/>
          </w:tcPr>
          <w:p>
            <w:pPr>
              <w:spacing w:before="40" w:after="40"/>
              <w:jc w:val="right"/>
              <w:rPr>
                <w:noProof/>
                <w:color w:val="000000"/>
                <w:sz w:val="20"/>
                <w:szCs w:val="20"/>
              </w:rPr>
            </w:pPr>
            <w:r>
              <w:rPr>
                <w:noProof/>
                <w:color w:val="000000"/>
                <w:sz w:val="20"/>
                <w:szCs w:val="20"/>
              </w:rPr>
              <w:t>23,2</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noProof/>
                <w:color w:val="000000"/>
                <w:sz w:val="20"/>
                <w:szCs w:val="20"/>
              </w:rPr>
            </w:pPr>
            <w:r>
              <w:rPr>
                <w:noProof/>
                <w:color w:val="000000"/>
                <w:sz w:val="20"/>
                <w:szCs w:val="20"/>
              </w:rPr>
              <w:t>23,9</w:t>
            </w:r>
          </w:p>
        </w:tc>
      </w:tr>
      <w:tr>
        <w:trPr>
          <w:trHeight w:val="227"/>
        </w:trPr>
        <w:tc>
          <w:tcPr>
            <w:tcW w:w="4479" w:type="dxa"/>
            <w:tcBorders>
              <w:top w:val="nil"/>
              <w:left w:val="single" w:sz="8" w:space="0" w:color="auto"/>
              <w:bottom w:val="single" w:sz="4" w:space="0" w:color="auto"/>
              <w:right w:val="single" w:sz="4" w:space="0" w:color="auto"/>
            </w:tcBorders>
            <w:shd w:val="clear" w:color="auto" w:fill="auto"/>
            <w:vAlign w:val="center"/>
            <w:hideMark/>
          </w:tcPr>
          <w:p>
            <w:pPr>
              <w:spacing w:before="40" w:after="40"/>
              <w:jc w:val="right"/>
              <w:rPr>
                <w:i/>
                <w:iCs/>
                <w:noProof/>
                <w:color w:val="000000"/>
                <w:sz w:val="20"/>
                <w:szCs w:val="20"/>
              </w:rPr>
            </w:pPr>
            <w:r>
              <w:rPr>
                <w:i/>
                <w:iCs/>
                <w:noProof/>
                <w:color w:val="000000"/>
                <w:sz w:val="20"/>
                <w:szCs w:val="20"/>
              </w:rPr>
              <w:t>of which national contributions****</w:t>
            </w:r>
          </w:p>
        </w:tc>
        <w:tc>
          <w:tcPr>
            <w:tcW w:w="1020" w:type="dxa"/>
            <w:tcBorders>
              <w:top w:val="nil"/>
              <w:left w:val="single" w:sz="4" w:space="0" w:color="auto"/>
              <w:bottom w:val="single" w:sz="4" w:space="0" w:color="auto"/>
              <w:right w:val="single" w:sz="2" w:space="0" w:color="auto"/>
            </w:tcBorders>
            <w:shd w:val="clear" w:color="auto" w:fill="auto"/>
            <w:noWrap/>
            <w:vAlign w:val="center"/>
            <w:hideMark/>
          </w:tcPr>
          <w:p>
            <w:pPr>
              <w:spacing w:before="40" w:after="40"/>
              <w:jc w:val="right"/>
              <w:rPr>
                <w:noProof/>
                <w:sz w:val="20"/>
                <w:szCs w:val="20"/>
              </w:rPr>
            </w:pPr>
            <w:r>
              <w:rPr>
                <w:noProof/>
                <w:sz w:val="20"/>
                <w:szCs w:val="20"/>
              </w:rPr>
              <w:t>129,5</w:t>
            </w:r>
          </w:p>
        </w:tc>
        <w:tc>
          <w:tcPr>
            <w:tcW w:w="1020" w:type="dxa"/>
            <w:tcBorders>
              <w:top w:val="nil"/>
              <w:left w:val="single" w:sz="2" w:space="0" w:color="auto"/>
              <w:bottom w:val="single" w:sz="4" w:space="0" w:color="auto"/>
              <w:right w:val="single" w:sz="2" w:space="0" w:color="auto"/>
            </w:tcBorders>
            <w:shd w:val="clear" w:color="auto" w:fill="auto"/>
            <w:noWrap/>
            <w:vAlign w:val="center"/>
            <w:hideMark/>
          </w:tcPr>
          <w:p>
            <w:pPr>
              <w:spacing w:before="40" w:after="40"/>
              <w:jc w:val="right"/>
              <w:rPr>
                <w:noProof/>
                <w:color w:val="000000"/>
                <w:sz w:val="20"/>
                <w:szCs w:val="20"/>
              </w:rPr>
            </w:pPr>
            <w:r>
              <w:rPr>
                <w:noProof/>
                <w:color w:val="000000"/>
                <w:sz w:val="20"/>
                <w:szCs w:val="20"/>
              </w:rPr>
              <w:t>135,4</w:t>
            </w:r>
          </w:p>
        </w:tc>
        <w:tc>
          <w:tcPr>
            <w:tcW w:w="1020" w:type="dxa"/>
            <w:tcBorders>
              <w:top w:val="nil"/>
              <w:left w:val="single" w:sz="2" w:space="0" w:color="auto"/>
              <w:bottom w:val="single" w:sz="4" w:space="0" w:color="auto"/>
              <w:right w:val="single" w:sz="4" w:space="0" w:color="auto"/>
            </w:tcBorders>
            <w:shd w:val="clear" w:color="auto" w:fill="auto"/>
            <w:noWrap/>
            <w:vAlign w:val="center"/>
            <w:hideMark/>
          </w:tcPr>
          <w:p>
            <w:pPr>
              <w:spacing w:before="40" w:after="40"/>
              <w:jc w:val="right"/>
              <w:rPr>
                <w:noProof/>
                <w:color w:val="000000"/>
                <w:sz w:val="20"/>
                <w:szCs w:val="20"/>
              </w:rPr>
            </w:pPr>
            <w:r>
              <w:rPr>
                <w:noProof/>
                <w:color w:val="000000"/>
                <w:sz w:val="20"/>
                <w:szCs w:val="20"/>
              </w:rPr>
              <w:t>139,8</w:t>
            </w:r>
          </w:p>
        </w:tc>
        <w:tc>
          <w:tcPr>
            <w:tcW w:w="1020" w:type="dxa"/>
            <w:tcBorders>
              <w:top w:val="nil"/>
              <w:left w:val="nil"/>
              <w:bottom w:val="single" w:sz="4" w:space="0" w:color="auto"/>
              <w:right w:val="single" w:sz="4" w:space="0" w:color="auto"/>
            </w:tcBorders>
            <w:shd w:val="clear" w:color="auto" w:fill="auto"/>
            <w:noWrap/>
            <w:vAlign w:val="center"/>
            <w:hideMark/>
          </w:tcPr>
          <w:p>
            <w:pPr>
              <w:spacing w:before="40" w:after="40"/>
              <w:jc w:val="right"/>
              <w:rPr>
                <w:noProof/>
                <w:color w:val="000000"/>
                <w:sz w:val="20"/>
                <w:szCs w:val="20"/>
              </w:rPr>
            </w:pPr>
            <w:r>
              <w:rPr>
                <w:noProof/>
                <w:color w:val="000000"/>
                <w:sz w:val="20"/>
                <w:szCs w:val="20"/>
              </w:rPr>
              <w:t>153,1</w:t>
            </w:r>
          </w:p>
        </w:tc>
        <w:tc>
          <w:tcPr>
            <w:tcW w:w="1021" w:type="dxa"/>
            <w:tcBorders>
              <w:top w:val="nil"/>
              <w:left w:val="nil"/>
              <w:bottom w:val="single" w:sz="4" w:space="0" w:color="auto"/>
              <w:right w:val="single" w:sz="8" w:space="0" w:color="auto"/>
            </w:tcBorders>
            <w:shd w:val="clear" w:color="auto" w:fill="auto"/>
            <w:noWrap/>
            <w:vAlign w:val="center"/>
            <w:hideMark/>
          </w:tcPr>
          <w:p>
            <w:pPr>
              <w:spacing w:before="40" w:after="40"/>
              <w:jc w:val="right"/>
              <w:rPr>
                <w:noProof/>
                <w:color w:val="000000"/>
                <w:sz w:val="20"/>
                <w:szCs w:val="20"/>
              </w:rPr>
            </w:pPr>
            <w:r>
              <w:rPr>
                <w:noProof/>
                <w:color w:val="000000"/>
                <w:sz w:val="20"/>
                <w:szCs w:val="20"/>
              </w:rPr>
              <w:t>159,3</w:t>
            </w:r>
          </w:p>
        </w:tc>
      </w:tr>
      <w:tr>
        <w:trPr>
          <w:trHeight w:val="227"/>
        </w:trPr>
        <w:tc>
          <w:tcPr>
            <w:tcW w:w="4479" w:type="dxa"/>
            <w:tcBorders>
              <w:top w:val="nil"/>
              <w:left w:val="single" w:sz="8" w:space="0" w:color="auto"/>
              <w:bottom w:val="nil"/>
              <w:right w:val="single" w:sz="4" w:space="0" w:color="auto"/>
            </w:tcBorders>
            <w:shd w:val="clear" w:color="auto" w:fill="auto"/>
            <w:vAlign w:val="center"/>
            <w:hideMark/>
          </w:tcPr>
          <w:p>
            <w:pPr>
              <w:spacing w:before="40" w:after="40"/>
              <w:rPr>
                <w:noProof/>
                <w:color w:val="000000"/>
                <w:sz w:val="20"/>
                <w:szCs w:val="20"/>
              </w:rPr>
            </w:pPr>
            <w:r>
              <w:rPr>
                <w:noProof/>
                <w:color w:val="000000"/>
                <w:sz w:val="20"/>
                <w:szCs w:val="20"/>
              </w:rPr>
              <w:t>Other revenue</w:t>
            </w:r>
          </w:p>
        </w:tc>
        <w:tc>
          <w:tcPr>
            <w:tcW w:w="1020" w:type="dxa"/>
            <w:tcBorders>
              <w:top w:val="nil"/>
              <w:left w:val="single" w:sz="4" w:space="0" w:color="auto"/>
              <w:bottom w:val="nil"/>
              <w:right w:val="single" w:sz="2" w:space="0" w:color="auto"/>
            </w:tcBorders>
            <w:shd w:val="clear" w:color="auto" w:fill="auto"/>
            <w:noWrap/>
            <w:vAlign w:val="center"/>
            <w:hideMark/>
          </w:tcPr>
          <w:p>
            <w:pPr>
              <w:spacing w:before="40" w:after="40"/>
              <w:jc w:val="right"/>
              <w:rPr>
                <w:noProof/>
                <w:sz w:val="20"/>
                <w:szCs w:val="20"/>
              </w:rPr>
            </w:pPr>
            <w:r>
              <w:rPr>
                <w:noProof/>
                <w:sz w:val="20"/>
                <w:szCs w:val="20"/>
              </w:rPr>
              <w:t>2,0</w:t>
            </w:r>
          </w:p>
        </w:tc>
        <w:tc>
          <w:tcPr>
            <w:tcW w:w="1020" w:type="dxa"/>
            <w:tcBorders>
              <w:top w:val="nil"/>
              <w:left w:val="single" w:sz="2" w:space="0" w:color="auto"/>
              <w:bottom w:val="nil"/>
              <w:right w:val="single" w:sz="2" w:space="0" w:color="auto"/>
            </w:tcBorders>
            <w:shd w:val="clear" w:color="auto" w:fill="auto"/>
            <w:noWrap/>
            <w:vAlign w:val="center"/>
            <w:hideMark/>
          </w:tcPr>
          <w:p>
            <w:pPr>
              <w:spacing w:before="40" w:after="40"/>
              <w:jc w:val="right"/>
              <w:rPr>
                <w:noProof/>
                <w:color w:val="000000"/>
                <w:sz w:val="20"/>
                <w:szCs w:val="20"/>
              </w:rPr>
            </w:pPr>
            <w:r>
              <w:rPr>
                <w:noProof/>
                <w:color w:val="000000"/>
                <w:sz w:val="20"/>
                <w:szCs w:val="20"/>
              </w:rPr>
              <w:t>1,9</w:t>
            </w:r>
          </w:p>
        </w:tc>
        <w:tc>
          <w:tcPr>
            <w:tcW w:w="1020" w:type="dxa"/>
            <w:tcBorders>
              <w:top w:val="nil"/>
              <w:left w:val="single" w:sz="2" w:space="0" w:color="auto"/>
              <w:bottom w:val="nil"/>
              <w:right w:val="single" w:sz="4" w:space="0" w:color="auto"/>
            </w:tcBorders>
            <w:shd w:val="clear" w:color="auto" w:fill="auto"/>
            <w:noWrap/>
            <w:vAlign w:val="center"/>
            <w:hideMark/>
          </w:tcPr>
          <w:p>
            <w:pPr>
              <w:spacing w:before="40" w:after="40"/>
              <w:jc w:val="right"/>
              <w:rPr>
                <w:noProof/>
                <w:color w:val="000000"/>
                <w:sz w:val="20"/>
                <w:szCs w:val="20"/>
              </w:rPr>
            </w:pPr>
            <w:r>
              <w:rPr>
                <w:noProof/>
                <w:color w:val="000000"/>
                <w:sz w:val="20"/>
                <w:szCs w:val="20"/>
              </w:rPr>
              <w:t>1,9</w:t>
            </w:r>
          </w:p>
        </w:tc>
        <w:tc>
          <w:tcPr>
            <w:tcW w:w="1020" w:type="dxa"/>
            <w:tcBorders>
              <w:top w:val="nil"/>
              <w:left w:val="nil"/>
              <w:bottom w:val="nil"/>
              <w:right w:val="single" w:sz="4" w:space="0" w:color="auto"/>
            </w:tcBorders>
            <w:shd w:val="clear" w:color="auto" w:fill="auto"/>
            <w:noWrap/>
            <w:vAlign w:val="center"/>
            <w:hideMark/>
          </w:tcPr>
          <w:p>
            <w:pPr>
              <w:spacing w:before="40" w:after="40"/>
              <w:jc w:val="right"/>
              <w:rPr>
                <w:noProof/>
                <w:color w:val="000000"/>
                <w:sz w:val="20"/>
                <w:szCs w:val="20"/>
              </w:rPr>
            </w:pPr>
            <w:r>
              <w:rPr>
                <w:noProof/>
                <w:color w:val="000000"/>
                <w:sz w:val="20"/>
                <w:szCs w:val="20"/>
              </w:rPr>
              <w:t>1,9</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noProof/>
                <w:color w:val="000000"/>
                <w:sz w:val="20"/>
                <w:szCs w:val="20"/>
              </w:rPr>
            </w:pPr>
            <w:r>
              <w:rPr>
                <w:noProof/>
                <w:color w:val="000000"/>
                <w:sz w:val="20"/>
                <w:szCs w:val="20"/>
              </w:rPr>
              <w:t>1,9</w:t>
            </w:r>
          </w:p>
        </w:tc>
      </w:tr>
      <w:tr>
        <w:trPr>
          <w:trHeight w:val="227"/>
        </w:trPr>
        <w:tc>
          <w:tcPr>
            <w:tcW w:w="447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pPr>
              <w:spacing w:before="40" w:after="40"/>
              <w:rPr>
                <w:b/>
                <w:bCs/>
                <w:noProof/>
                <w:color w:val="000000"/>
                <w:sz w:val="20"/>
                <w:szCs w:val="20"/>
              </w:rPr>
            </w:pPr>
            <w:r>
              <w:rPr>
                <w:b/>
                <w:bCs/>
                <w:noProof/>
                <w:color w:val="000000"/>
                <w:sz w:val="20"/>
                <w:szCs w:val="20"/>
              </w:rPr>
              <w:t>Total revenue</w:t>
            </w:r>
          </w:p>
        </w:tc>
        <w:tc>
          <w:tcPr>
            <w:tcW w:w="1020" w:type="dxa"/>
            <w:tcBorders>
              <w:top w:val="single" w:sz="4" w:space="0" w:color="auto"/>
              <w:left w:val="single" w:sz="4" w:space="0" w:color="auto"/>
              <w:bottom w:val="single" w:sz="8" w:space="0" w:color="auto"/>
              <w:right w:val="single" w:sz="2" w:space="0" w:color="auto"/>
            </w:tcBorders>
            <w:shd w:val="clear" w:color="auto" w:fill="auto"/>
            <w:noWrap/>
            <w:vAlign w:val="center"/>
            <w:hideMark/>
          </w:tcPr>
          <w:p>
            <w:pPr>
              <w:spacing w:before="40" w:after="40"/>
              <w:jc w:val="right"/>
              <w:rPr>
                <w:b/>
                <w:bCs/>
                <w:noProof/>
                <w:sz w:val="20"/>
                <w:szCs w:val="20"/>
              </w:rPr>
            </w:pPr>
            <w:r>
              <w:rPr>
                <w:b/>
                <w:bCs/>
                <w:noProof/>
                <w:sz w:val="20"/>
                <w:szCs w:val="20"/>
              </w:rPr>
              <w:t>153,6</w:t>
            </w:r>
          </w:p>
        </w:tc>
        <w:tc>
          <w:tcPr>
            <w:tcW w:w="1020" w:type="dxa"/>
            <w:tcBorders>
              <w:top w:val="single" w:sz="4" w:space="0" w:color="auto"/>
              <w:left w:val="single" w:sz="2" w:space="0" w:color="auto"/>
              <w:bottom w:val="single" w:sz="8" w:space="0" w:color="auto"/>
              <w:right w:val="single" w:sz="2" w:space="0" w:color="auto"/>
            </w:tcBorders>
            <w:shd w:val="clear" w:color="auto" w:fill="auto"/>
            <w:noWrap/>
            <w:vAlign w:val="center"/>
            <w:hideMark/>
          </w:tcPr>
          <w:p>
            <w:pPr>
              <w:spacing w:before="40" w:after="40"/>
              <w:jc w:val="right"/>
              <w:rPr>
                <w:b/>
                <w:bCs/>
                <w:noProof/>
                <w:color w:val="000000"/>
                <w:sz w:val="20"/>
                <w:szCs w:val="20"/>
              </w:rPr>
            </w:pPr>
            <w:r>
              <w:rPr>
                <w:b/>
                <w:bCs/>
                <w:noProof/>
                <w:color w:val="000000"/>
                <w:sz w:val="20"/>
                <w:szCs w:val="20"/>
              </w:rPr>
              <w:t>159,1</w:t>
            </w:r>
          </w:p>
        </w:tc>
        <w:tc>
          <w:tcPr>
            <w:tcW w:w="1020" w:type="dxa"/>
            <w:tcBorders>
              <w:top w:val="single" w:sz="4" w:space="0" w:color="auto"/>
              <w:left w:val="single" w:sz="2" w:space="0" w:color="auto"/>
              <w:bottom w:val="single" w:sz="8" w:space="0" w:color="auto"/>
              <w:right w:val="single" w:sz="4" w:space="0" w:color="auto"/>
            </w:tcBorders>
            <w:shd w:val="clear" w:color="auto" w:fill="auto"/>
            <w:noWrap/>
            <w:vAlign w:val="center"/>
            <w:hideMark/>
          </w:tcPr>
          <w:p>
            <w:pPr>
              <w:spacing w:before="40" w:after="40"/>
              <w:jc w:val="right"/>
              <w:rPr>
                <w:b/>
                <w:bCs/>
                <w:noProof/>
                <w:color w:val="000000"/>
                <w:sz w:val="20"/>
                <w:szCs w:val="20"/>
              </w:rPr>
            </w:pPr>
            <w:r>
              <w:rPr>
                <w:b/>
                <w:bCs/>
                <w:noProof/>
                <w:color w:val="000000"/>
                <w:sz w:val="20"/>
                <w:szCs w:val="20"/>
              </w:rPr>
              <w:t>164,2</w:t>
            </w:r>
          </w:p>
        </w:tc>
        <w:tc>
          <w:tcPr>
            <w:tcW w:w="1020" w:type="dxa"/>
            <w:tcBorders>
              <w:top w:val="single" w:sz="4" w:space="0" w:color="auto"/>
              <w:left w:val="nil"/>
              <w:bottom w:val="single" w:sz="8" w:space="0" w:color="auto"/>
              <w:right w:val="single" w:sz="4" w:space="0" w:color="auto"/>
            </w:tcBorders>
            <w:shd w:val="clear" w:color="auto" w:fill="auto"/>
            <w:noWrap/>
            <w:vAlign w:val="center"/>
            <w:hideMark/>
          </w:tcPr>
          <w:p>
            <w:pPr>
              <w:spacing w:before="40" w:after="40"/>
              <w:jc w:val="right"/>
              <w:rPr>
                <w:b/>
                <w:bCs/>
                <w:noProof/>
                <w:color w:val="000000"/>
                <w:sz w:val="20"/>
                <w:szCs w:val="20"/>
              </w:rPr>
            </w:pPr>
            <w:r>
              <w:rPr>
                <w:b/>
                <w:bCs/>
                <w:noProof/>
                <w:color w:val="000000"/>
                <w:sz w:val="20"/>
                <w:szCs w:val="20"/>
              </w:rPr>
              <w:t>178,1</w:t>
            </w:r>
          </w:p>
        </w:tc>
        <w:tc>
          <w:tcPr>
            <w:tcW w:w="1021" w:type="dxa"/>
            <w:tcBorders>
              <w:top w:val="single" w:sz="4" w:space="0" w:color="auto"/>
              <w:left w:val="nil"/>
              <w:bottom w:val="single" w:sz="8" w:space="0" w:color="auto"/>
              <w:right w:val="single" w:sz="8" w:space="0" w:color="auto"/>
            </w:tcBorders>
            <w:shd w:val="clear" w:color="auto" w:fill="auto"/>
            <w:noWrap/>
            <w:vAlign w:val="center"/>
            <w:hideMark/>
          </w:tcPr>
          <w:p>
            <w:pPr>
              <w:spacing w:before="40" w:after="40"/>
              <w:jc w:val="right"/>
              <w:rPr>
                <w:b/>
                <w:bCs/>
                <w:noProof/>
                <w:color w:val="000000"/>
                <w:sz w:val="20"/>
                <w:szCs w:val="20"/>
              </w:rPr>
            </w:pPr>
            <w:r>
              <w:rPr>
                <w:b/>
                <w:bCs/>
                <w:noProof/>
                <w:color w:val="000000"/>
                <w:sz w:val="20"/>
                <w:szCs w:val="20"/>
              </w:rPr>
              <w:t>185,2</w:t>
            </w:r>
          </w:p>
        </w:tc>
      </w:tr>
    </w:tbl>
    <w:p>
      <w:pPr>
        <w:pStyle w:val="Text1"/>
        <w:spacing w:after="0"/>
        <w:ind w:left="0"/>
        <w:rPr>
          <w:noProof/>
          <w:sz w:val="16"/>
          <w:szCs w:val="18"/>
        </w:rPr>
      </w:pPr>
      <w:r>
        <w:rPr>
          <w:noProof/>
          <w:sz w:val="16"/>
          <w:szCs w:val="18"/>
        </w:rPr>
        <w:t>* Payments for the potential use of margins (including also through the Global Margin for Commitments - Union Reserve) have been added in the total for each heading, tentatively distributed in proportion to the headings' margins.</w:t>
      </w:r>
    </w:p>
    <w:p>
      <w:pPr>
        <w:pStyle w:val="Text1"/>
        <w:spacing w:after="0"/>
        <w:ind w:left="0"/>
        <w:rPr>
          <w:noProof/>
          <w:sz w:val="16"/>
          <w:szCs w:val="18"/>
        </w:rPr>
      </w:pPr>
      <w:r>
        <w:rPr>
          <w:noProof/>
          <w:sz w:val="16"/>
          <w:szCs w:val="18"/>
        </w:rPr>
        <w:t>** The following amounts correspond to the payments foreseen in the Draft Budget 2020 for the European Globalisation Adjustment Fund, the European Union Solidarity Fund and the Emergency Aid Reserve. Due to their specific nature, the use of those instruments beyond 2020 cannot be forecast. The appropriations for those instruments are considered outside the Multiannual Financial Framework ceilings for the purposes of the calculation of the corresponding margins. This is also the case for the appropriations related to the Flexibility Instrument.</w:t>
      </w:r>
    </w:p>
    <w:p>
      <w:pPr>
        <w:pStyle w:val="Text1"/>
        <w:spacing w:after="0"/>
        <w:ind w:left="0"/>
        <w:rPr>
          <w:noProof/>
          <w:sz w:val="16"/>
          <w:szCs w:val="18"/>
        </w:rPr>
      </w:pPr>
      <w:r>
        <w:rPr>
          <w:noProof/>
          <w:sz w:val="16"/>
          <w:szCs w:val="18"/>
        </w:rPr>
        <w:t>*** Calculated on the basis of the latest economic forecast for the gross national income of the EU28 for 2020, and of the EU27 for 2021-2024</w:t>
      </w:r>
    </w:p>
    <w:p>
      <w:pPr>
        <w:pStyle w:val="Text1"/>
        <w:spacing w:after="0"/>
        <w:ind w:left="0"/>
        <w:rPr>
          <w:noProof/>
          <w:sz w:val="16"/>
          <w:szCs w:val="18"/>
        </w:rPr>
      </w:pPr>
      <w:r>
        <w:rPr>
          <w:noProof/>
          <w:sz w:val="16"/>
          <w:szCs w:val="18"/>
        </w:rPr>
        <w:t>**** National contributions include the gross national income-based own resource, the Value Added Tax-based own resource and new own resources included in the Commission proposal for the MFF 2021-2027. Any United Kingdom contribution for outstanding obligations at the end of 2020 would constitute other revenue and hence reduce national contributions.</w:t>
      </w:r>
    </w:p>
    <w:p>
      <w:pPr>
        <w:pStyle w:val="Text1"/>
        <w:ind w:left="0"/>
        <w:rPr>
          <w:noProof/>
        </w:rPr>
      </w:pPr>
      <w:r>
        <w:rPr>
          <w:noProof/>
          <w:sz w:val="16"/>
          <w:szCs w:val="18"/>
        </w:rPr>
        <w:tab/>
      </w:r>
      <w:r>
        <w:rPr>
          <w:noProof/>
          <w:sz w:val="16"/>
          <w:szCs w:val="18"/>
        </w:rPr>
        <w:tab/>
      </w:r>
    </w:p>
    <w:p>
      <w:pPr>
        <w:pStyle w:val="Caption"/>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Pr>
          <w:noProof/>
        </w:rPr>
        <w:t xml:space="preserve"> - De-commitments forecast over 2020-2024</w:t>
      </w:r>
    </w:p>
    <w:tbl>
      <w:tblPr>
        <w:tblW w:w="10147" w:type="dxa"/>
        <w:tblInd w:w="93" w:type="dxa"/>
        <w:tblLook w:val="04A0" w:firstRow="1" w:lastRow="0" w:firstColumn="1" w:lastColumn="0" w:noHBand="0" w:noVBand="1"/>
      </w:tblPr>
      <w:tblGrid>
        <w:gridCol w:w="236"/>
        <w:gridCol w:w="236"/>
        <w:gridCol w:w="236"/>
        <w:gridCol w:w="4394"/>
        <w:gridCol w:w="1638"/>
        <w:gridCol w:w="1701"/>
        <w:gridCol w:w="1706"/>
      </w:tblGrid>
      <w:tr>
        <w:trPr>
          <w:trHeight w:val="300"/>
        </w:trPr>
        <w:tc>
          <w:tcPr>
            <w:tcW w:w="236" w:type="dxa"/>
            <w:tcBorders>
              <w:top w:val="nil"/>
              <w:left w:val="nil"/>
              <w:bottom w:val="nil"/>
              <w:right w:val="nil"/>
            </w:tcBorders>
            <w:shd w:val="clear" w:color="auto" w:fill="auto"/>
            <w:noWrap/>
            <w:vAlign w:val="center"/>
            <w:hideMark/>
          </w:tcPr>
          <w:p>
            <w:pPr>
              <w:rPr>
                <w:noProof/>
                <w:color w:val="000000"/>
                <w:sz w:val="20"/>
                <w:szCs w:val="22"/>
              </w:rPr>
            </w:pPr>
          </w:p>
        </w:tc>
        <w:tc>
          <w:tcPr>
            <w:tcW w:w="236" w:type="dxa"/>
            <w:tcBorders>
              <w:top w:val="nil"/>
              <w:left w:val="nil"/>
              <w:bottom w:val="nil"/>
              <w:right w:val="nil"/>
            </w:tcBorders>
            <w:shd w:val="clear" w:color="auto" w:fill="auto"/>
            <w:noWrap/>
            <w:vAlign w:val="center"/>
            <w:hideMark/>
          </w:tcPr>
          <w:p>
            <w:pPr>
              <w:rPr>
                <w:noProof/>
                <w:color w:val="000000"/>
                <w:sz w:val="20"/>
                <w:szCs w:val="22"/>
              </w:rPr>
            </w:pPr>
          </w:p>
        </w:tc>
        <w:tc>
          <w:tcPr>
            <w:tcW w:w="236" w:type="dxa"/>
            <w:tcBorders>
              <w:top w:val="nil"/>
              <w:left w:val="nil"/>
              <w:bottom w:val="nil"/>
              <w:right w:val="nil"/>
            </w:tcBorders>
            <w:shd w:val="clear" w:color="auto" w:fill="auto"/>
            <w:noWrap/>
            <w:vAlign w:val="center"/>
            <w:hideMark/>
          </w:tcPr>
          <w:p>
            <w:pPr>
              <w:rPr>
                <w:noProof/>
                <w:color w:val="000000"/>
                <w:sz w:val="20"/>
                <w:szCs w:val="22"/>
              </w:rPr>
            </w:pPr>
          </w:p>
        </w:tc>
        <w:tc>
          <w:tcPr>
            <w:tcW w:w="9439" w:type="dxa"/>
            <w:gridSpan w:val="4"/>
            <w:tcBorders>
              <w:top w:val="nil"/>
              <w:left w:val="nil"/>
              <w:bottom w:val="nil"/>
              <w:right w:val="nil"/>
            </w:tcBorders>
            <w:shd w:val="clear" w:color="auto" w:fill="auto"/>
            <w:noWrap/>
            <w:vAlign w:val="center"/>
            <w:hideMark/>
          </w:tcPr>
          <w:p>
            <w:pPr>
              <w:jc w:val="right"/>
              <w:rPr>
                <w:i/>
                <w:iCs/>
                <w:noProof/>
                <w:color w:val="000000"/>
                <w:sz w:val="20"/>
                <w:szCs w:val="22"/>
              </w:rPr>
            </w:pPr>
            <w:r>
              <w:rPr>
                <w:i/>
                <w:iCs/>
                <w:noProof/>
                <w:color w:val="000000"/>
                <w:sz w:val="20"/>
                <w:szCs w:val="22"/>
              </w:rPr>
              <w:t>in EUR billion, current prices</w:t>
            </w:r>
          </w:p>
        </w:tc>
      </w:tr>
      <w:tr>
        <w:trPr>
          <w:trHeight w:val="675"/>
        </w:trPr>
        <w:tc>
          <w:tcPr>
            <w:tcW w:w="5102" w:type="dxa"/>
            <w:gridSpan w:val="4"/>
            <w:vMerge w:val="restart"/>
            <w:tcBorders>
              <w:top w:val="single" w:sz="4" w:space="0" w:color="4F81BD"/>
              <w:left w:val="nil"/>
              <w:bottom w:val="single" w:sz="4" w:space="0" w:color="4F81BD"/>
              <w:right w:val="nil"/>
            </w:tcBorders>
            <w:shd w:val="clear" w:color="auto" w:fill="auto"/>
            <w:vAlign w:val="center"/>
            <w:hideMark/>
          </w:tcPr>
          <w:p>
            <w:pPr>
              <w:jc w:val="center"/>
              <w:rPr>
                <w:b/>
                <w:bCs/>
                <w:noProof/>
                <w:sz w:val="20"/>
                <w:szCs w:val="20"/>
              </w:rPr>
            </w:pPr>
            <w:r>
              <w:rPr>
                <w:b/>
                <w:bCs/>
                <w:noProof/>
                <w:sz w:val="20"/>
                <w:szCs w:val="20"/>
              </w:rPr>
              <w:t>Decommitments*</w:t>
            </w:r>
          </w:p>
        </w:tc>
        <w:tc>
          <w:tcPr>
            <w:tcW w:w="1638" w:type="dxa"/>
            <w:tcBorders>
              <w:top w:val="single" w:sz="4" w:space="0" w:color="4F81BD"/>
              <w:left w:val="nil"/>
              <w:bottom w:val="single" w:sz="4" w:space="0" w:color="4F81BD"/>
              <w:right w:val="nil"/>
            </w:tcBorders>
            <w:shd w:val="clear" w:color="auto" w:fill="auto"/>
            <w:vAlign w:val="center"/>
            <w:hideMark/>
          </w:tcPr>
          <w:p>
            <w:pPr>
              <w:rPr>
                <w:b/>
                <w:bCs/>
                <w:noProof/>
                <w:sz w:val="20"/>
                <w:szCs w:val="20"/>
              </w:rPr>
            </w:pPr>
            <w:r>
              <w:rPr>
                <w:b/>
                <w:bCs/>
                <w:noProof/>
                <w:sz w:val="20"/>
                <w:szCs w:val="20"/>
              </w:rPr>
              <w:t>On pre-2014 commitments</w:t>
            </w:r>
          </w:p>
        </w:tc>
        <w:tc>
          <w:tcPr>
            <w:tcW w:w="1701" w:type="dxa"/>
            <w:tcBorders>
              <w:top w:val="single" w:sz="4" w:space="0" w:color="4F81BD"/>
              <w:left w:val="nil"/>
              <w:bottom w:val="single" w:sz="4" w:space="0" w:color="4F81BD"/>
              <w:right w:val="nil"/>
            </w:tcBorders>
            <w:shd w:val="clear" w:color="auto" w:fill="auto"/>
            <w:vAlign w:val="center"/>
            <w:hideMark/>
          </w:tcPr>
          <w:p>
            <w:pPr>
              <w:jc w:val="center"/>
              <w:rPr>
                <w:b/>
                <w:bCs/>
                <w:noProof/>
                <w:sz w:val="20"/>
                <w:szCs w:val="20"/>
              </w:rPr>
            </w:pPr>
            <w:r>
              <w:rPr>
                <w:b/>
                <w:bCs/>
                <w:noProof/>
                <w:sz w:val="20"/>
                <w:szCs w:val="20"/>
              </w:rPr>
              <w:t>On 2014-2020 commitments</w:t>
            </w:r>
          </w:p>
        </w:tc>
        <w:tc>
          <w:tcPr>
            <w:tcW w:w="1706" w:type="dxa"/>
            <w:tcBorders>
              <w:top w:val="single" w:sz="4" w:space="0" w:color="4F81BD"/>
              <w:left w:val="nil"/>
              <w:bottom w:val="nil"/>
              <w:right w:val="nil"/>
            </w:tcBorders>
            <w:shd w:val="clear" w:color="auto" w:fill="auto"/>
            <w:vAlign w:val="center"/>
            <w:hideMark/>
          </w:tcPr>
          <w:p>
            <w:pPr>
              <w:jc w:val="center"/>
              <w:rPr>
                <w:b/>
                <w:bCs/>
                <w:noProof/>
                <w:sz w:val="20"/>
                <w:szCs w:val="20"/>
              </w:rPr>
            </w:pPr>
            <w:r>
              <w:rPr>
                <w:b/>
                <w:bCs/>
                <w:noProof/>
                <w:sz w:val="20"/>
                <w:szCs w:val="20"/>
              </w:rPr>
              <w:t>TOTAL 2020-2024</w:t>
            </w:r>
          </w:p>
        </w:tc>
      </w:tr>
      <w:tr>
        <w:trPr>
          <w:trHeight w:val="300"/>
        </w:trPr>
        <w:tc>
          <w:tcPr>
            <w:tcW w:w="5102" w:type="dxa"/>
            <w:gridSpan w:val="4"/>
            <w:vMerge/>
            <w:tcBorders>
              <w:top w:val="single" w:sz="4" w:space="0" w:color="4F81BD"/>
              <w:left w:val="nil"/>
              <w:bottom w:val="single" w:sz="4" w:space="0" w:color="4F81BD"/>
              <w:right w:val="nil"/>
            </w:tcBorders>
            <w:vAlign w:val="center"/>
            <w:hideMark/>
          </w:tcPr>
          <w:p>
            <w:pPr>
              <w:rPr>
                <w:b/>
                <w:bCs/>
                <w:noProof/>
                <w:sz w:val="20"/>
                <w:szCs w:val="20"/>
              </w:rPr>
            </w:pPr>
          </w:p>
        </w:tc>
        <w:tc>
          <w:tcPr>
            <w:tcW w:w="1638" w:type="dxa"/>
            <w:tcBorders>
              <w:top w:val="nil"/>
              <w:left w:val="nil"/>
              <w:bottom w:val="nil"/>
              <w:right w:val="nil"/>
            </w:tcBorders>
            <w:shd w:val="clear" w:color="auto" w:fill="auto"/>
            <w:vAlign w:val="center"/>
            <w:hideMark/>
          </w:tcPr>
          <w:p>
            <w:pPr>
              <w:jc w:val="center"/>
              <w:rPr>
                <w:i/>
                <w:iCs/>
                <w:noProof/>
                <w:sz w:val="20"/>
                <w:szCs w:val="20"/>
              </w:rPr>
            </w:pPr>
            <w:r>
              <w:rPr>
                <w:i/>
                <w:iCs/>
                <w:noProof/>
                <w:sz w:val="20"/>
                <w:szCs w:val="20"/>
              </w:rPr>
              <w:t>(a)</w:t>
            </w:r>
          </w:p>
        </w:tc>
        <w:tc>
          <w:tcPr>
            <w:tcW w:w="1701" w:type="dxa"/>
            <w:tcBorders>
              <w:top w:val="nil"/>
              <w:left w:val="nil"/>
              <w:bottom w:val="nil"/>
              <w:right w:val="nil"/>
            </w:tcBorders>
            <w:shd w:val="clear" w:color="auto" w:fill="auto"/>
            <w:vAlign w:val="center"/>
            <w:hideMark/>
          </w:tcPr>
          <w:p>
            <w:pPr>
              <w:jc w:val="center"/>
              <w:rPr>
                <w:i/>
                <w:iCs/>
                <w:noProof/>
                <w:sz w:val="20"/>
                <w:szCs w:val="20"/>
              </w:rPr>
            </w:pPr>
            <w:r>
              <w:rPr>
                <w:i/>
                <w:iCs/>
                <w:noProof/>
                <w:sz w:val="20"/>
                <w:szCs w:val="20"/>
              </w:rPr>
              <w:t>(b)</w:t>
            </w:r>
          </w:p>
        </w:tc>
        <w:tc>
          <w:tcPr>
            <w:tcW w:w="1706" w:type="dxa"/>
            <w:tcBorders>
              <w:top w:val="single" w:sz="4" w:space="0" w:color="4F81BD"/>
              <w:left w:val="nil"/>
              <w:bottom w:val="nil"/>
              <w:right w:val="nil"/>
            </w:tcBorders>
            <w:shd w:val="clear" w:color="auto" w:fill="auto"/>
            <w:vAlign w:val="center"/>
            <w:hideMark/>
          </w:tcPr>
          <w:p>
            <w:pPr>
              <w:jc w:val="center"/>
              <w:rPr>
                <w:i/>
                <w:iCs/>
                <w:noProof/>
                <w:sz w:val="20"/>
                <w:szCs w:val="20"/>
              </w:rPr>
            </w:pPr>
            <w:r>
              <w:rPr>
                <w:i/>
                <w:iCs/>
                <w:noProof/>
                <w:sz w:val="20"/>
                <w:szCs w:val="20"/>
              </w:rPr>
              <w:t>(a+b)</w:t>
            </w:r>
          </w:p>
        </w:tc>
      </w:tr>
      <w:tr>
        <w:trPr>
          <w:trHeight w:val="375"/>
        </w:trPr>
        <w:tc>
          <w:tcPr>
            <w:tcW w:w="5102" w:type="dxa"/>
            <w:gridSpan w:val="4"/>
            <w:tcBorders>
              <w:top w:val="nil"/>
              <w:left w:val="nil"/>
              <w:bottom w:val="nil"/>
              <w:right w:val="nil"/>
            </w:tcBorders>
            <w:shd w:val="clear" w:color="auto" w:fill="auto"/>
            <w:noWrap/>
            <w:vAlign w:val="center"/>
            <w:hideMark/>
          </w:tcPr>
          <w:p>
            <w:pPr>
              <w:rPr>
                <w:noProof/>
                <w:sz w:val="20"/>
                <w:szCs w:val="20"/>
              </w:rPr>
            </w:pPr>
            <w:r>
              <w:rPr>
                <w:noProof/>
                <w:sz w:val="20"/>
                <w:szCs w:val="20"/>
              </w:rPr>
              <w:t>1a. Competitiveness for growth and jobs</w:t>
            </w:r>
          </w:p>
        </w:tc>
        <w:tc>
          <w:tcPr>
            <w:tcW w:w="1638"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szCs w:val="20"/>
              </w:rPr>
              <w:t>-0,3</w:t>
            </w:r>
          </w:p>
        </w:tc>
        <w:tc>
          <w:tcPr>
            <w:tcW w:w="1701"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szCs w:val="20"/>
              </w:rPr>
              <w:t>-1,1</w:t>
            </w:r>
          </w:p>
        </w:tc>
        <w:tc>
          <w:tcPr>
            <w:tcW w:w="1706"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szCs w:val="20"/>
              </w:rPr>
              <w:t>-1,5</w:t>
            </w:r>
          </w:p>
        </w:tc>
      </w:tr>
      <w:tr>
        <w:trPr>
          <w:trHeight w:val="375"/>
        </w:trPr>
        <w:tc>
          <w:tcPr>
            <w:tcW w:w="5102" w:type="dxa"/>
            <w:gridSpan w:val="4"/>
            <w:tcBorders>
              <w:top w:val="single" w:sz="4" w:space="0" w:color="4F81BD"/>
              <w:left w:val="nil"/>
              <w:bottom w:val="nil"/>
              <w:right w:val="nil"/>
            </w:tcBorders>
            <w:shd w:val="clear" w:color="auto" w:fill="auto"/>
            <w:noWrap/>
            <w:vAlign w:val="center"/>
            <w:hideMark/>
          </w:tcPr>
          <w:p>
            <w:pPr>
              <w:rPr>
                <w:noProof/>
                <w:sz w:val="20"/>
                <w:szCs w:val="20"/>
              </w:rPr>
            </w:pPr>
            <w:r>
              <w:rPr>
                <w:noProof/>
                <w:sz w:val="20"/>
                <w:szCs w:val="20"/>
              </w:rPr>
              <w:t>1b. Economic, social and territorial cohesion</w:t>
            </w:r>
          </w:p>
        </w:tc>
        <w:tc>
          <w:tcPr>
            <w:tcW w:w="1638"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szCs w:val="20"/>
              </w:rPr>
              <w:t>-0,8</w:t>
            </w:r>
          </w:p>
        </w:tc>
        <w:tc>
          <w:tcPr>
            <w:tcW w:w="1701"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szCs w:val="20"/>
              </w:rPr>
              <w:t>-2,3</w:t>
            </w:r>
          </w:p>
        </w:tc>
        <w:tc>
          <w:tcPr>
            <w:tcW w:w="1706"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szCs w:val="20"/>
              </w:rPr>
              <w:t>-3,1</w:t>
            </w:r>
          </w:p>
        </w:tc>
      </w:tr>
      <w:tr>
        <w:trPr>
          <w:trHeight w:val="375"/>
        </w:trPr>
        <w:tc>
          <w:tcPr>
            <w:tcW w:w="5102" w:type="dxa"/>
            <w:gridSpan w:val="4"/>
            <w:tcBorders>
              <w:top w:val="single" w:sz="4" w:space="0" w:color="4F81BD"/>
              <w:left w:val="nil"/>
              <w:bottom w:val="nil"/>
              <w:right w:val="nil"/>
            </w:tcBorders>
            <w:shd w:val="clear" w:color="auto" w:fill="auto"/>
            <w:noWrap/>
            <w:vAlign w:val="center"/>
            <w:hideMark/>
          </w:tcPr>
          <w:p>
            <w:pPr>
              <w:rPr>
                <w:noProof/>
                <w:sz w:val="20"/>
                <w:szCs w:val="20"/>
              </w:rPr>
            </w:pPr>
            <w:r>
              <w:rPr>
                <w:noProof/>
                <w:sz w:val="20"/>
                <w:szCs w:val="20"/>
              </w:rPr>
              <w:t>2. Sustainable Growth: Natural Resources</w:t>
            </w:r>
          </w:p>
        </w:tc>
        <w:tc>
          <w:tcPr>
            <w:tcW w:w="1638"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szCs w:val="20"/>
              </w:rPr>
              <w:t>-0,2</w:t>
            </w:r>
          </w:p>
        </w:tc>
        <w:tc>
          <w:tcPr>
            <w:tcW w:w="1701"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szCs w:val="20"/>
              </w:rPr>
              <w:t>-1,3</w:t>
            </w:r>
          </w:p>
        </w:tc>
        <w:tc>
          <w:tcPr>
            <w:tcW w:w="1706"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szCs w:val="20"/>
              </w:rPr>
              <w:t>-1,5</w:t>
            </w:r>
          </w:p>
        </w:tc>
      </w:tr>
      <w:tr>
        <w:trPr>
          <w:trHeight w:val="375"/>
        </w:trPr>
        <w:tc>
          <w:tcPr>
            <w:tcW w:w="5102" w:type="dxa"/>
            <w:gridSpan w:val="4"/>
            <w:tcBorders>
              <w:top w:val="single" w:sz="4" w:space="0" w:color="4F81BD"/>
              <w:left w:val="nil"/>
              <w:bottom w:val="nil"/>
              <w:right w:val="nil"/>
            </w:tcBorders>
            <w:shd w:val="clear" w:color="auto" w:fill="auto"/>
            <w:noWrap/>
            <w:vAlign w:val="center"/>
            <w:hideMark/>
          </w:tcPr>
          <w:p>
            <w:pPr>
              <w:rPr>
                <w:noProof/>
                <w:sz w:val="20"/>
                <w:szCs w:val="20"/>
              </w:rPr>
            </w:pPr>
            <w:r>
              <w:rPr>
                <w:noProof/>
                <w:sz w:val="20"/>
                <w:szCs w:val="20"/>
              </w:rPr>
              <w:t>3. Security and citizenship</w:t>
            </w:r>
          </w:p>
        </w:tc>
        <w:tc>
          <w:tcPr>
            <w:tcW w:w="1638"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szCs w:val="20"/>
              </w:rPr>
              <w:t>-0,1</w:t>
            </w:r>
          </w:p>
        </w:tc>
        <w:tc>
          <w:tcPr>
            <w:tcW w:w="1701"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szCs w:val="20"/>
              </w:rPr>
              <w:t>-1,1</w:t>
            </w:r>
          </w:p>
        </w:tc>
        <w:tc>
          <w:tcPr>
            <w:tcW w:w="1706"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szCs w:val="20"/>
              </w:rPr>
              <w:t>-1,2</w:t>
            </w:r>
          </w:p>
        </w:tc>
      </w:tr>
      <w:tr>
        <w:trPr>
          <w:trHeight w:val="375"/>
        </w:trPr>
        <w:tc>
          <w:tcPr>
            <w:tcW w:w="5102" w:type="dxa"/>
            <w:gridSpan w:val="4"/>
            <w:tcBorders>
              <w:top w:val="single" w:sz="4" w:space="0" w:color="4F81BD"/>
              <w:left w:val="nil"/>
              <w:bottom w:val="nil"/>
              <w:right w:val="nil"/>
            </w:tcBorders>
            <w:shd w:val="clear" w:color="auto" w:fill="auto"/>
            <w:noWrap/>
            <w:vAlign w:val="center"/>
            <w:hideMark/>
          </w:tcPr>
          <w:p>
            <w:pPr>
              <w:rPr>
                <w:noProof/>
                <w:sz w:val="20"/>
                <w:szCs w:val="20"/>
              </w:rPr>
            </w:pPr>
            <w:r>
              <w:rPr>
                <w:noProof/>
                <w:sz w:val="20"/>
                <w:szCs w:val="20"/>
              </w:rPr>
              <w:t>4. Global Europe</w:t>
            </w:r>
          </w:p>
        </w:tc>
        <w:tc>
          <w:tcPr>
            <w:tcW w:w="1638"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szCs w:val="20"/>
              </w:rPr>
              <w:t>-0,3</w:t>
            </w:r>
          </w:p>
        </w:tc>
        <w:tc>
          <w:tcPr>
            <w:tcW w:w="1701"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szCs w:val="20"/>
              </w:rPr>
              <w:t>-0,3</w:t>
            </w:r>
          </w:p>
        </w:tc>
        <w:tc>
          <w:tcPr>
            <w:tcW w:w="1706"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szCs w:val="20"/>
              </w:rPr>
              <w:t>-0,6</w:t>
            </w:r>
          </w:p>
        </w:tc>
      </w:tr>
      <w:tr>
        <w:trPr>
          <w:trHeight w:val="375"/>
        </w:trPr>
        <w:tc>
          <w:tcPr>
            <w:tcW w:w="5102" w:type="dxa"/>
            <w:gridSpan w:val="4"/>
            <w:tcBorders>
              <w:top w:val="single" w:sz="4" w:space="0" w:color="4F81BD"/>
              <w:left w:val="nil"/>
              <w:bottom w:val="nil"/>
              <w:right w:val="nil"/>
            </w:tcBorders>
            <w:shd w:val="clear" w:color="auto" w:fill="auto"/>
            <w:noWrap/>
            <w:vAlign w:val="center"/>
            <w:hideMark/>
          </w:tcPr>
          <w:p>
            <w:pPr>
              <w:rPr>
                <w:noProof/>
                <w:sz w:val="20"/>
                <w:szCs w:val="20"/>
              </w:rPr>
            </w:pPr>
            <w:r>
              <w:rPr>
                <w:noProof/>
                <w:sz w:val="20"/>
                <w:szCs w:val="20"/>
              </w:rPr>
              <w:t xml:space="preserve">5. Administration </w:t>
            </w:r>
          </w:p>
        </w:tc>
        <w:tc>
          <w:tcPr>
            <w:tcW w:w="1638"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szCs w:val="20"/>
              </w:rPr>
              <w:t>0,0</w:t>
            </w:r>
          </w:p>
        </w:tc>
        <w:tc>
          <w:tcPr>
            <w:tcW w:w="1701"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szCs w:val="20"/>
              </w:rPr>
              <w:t>0,0</w:t>
            </w:r>
          </w:p>
        </w:tc>
        <w:tc>
          <w:tcPr>
            <w:tcW w:w="1706"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szCs w:val="20"/>
              </w:rPr>
              <w:t>0,0</w:t>
            </w:r>
          </w:p>
        </w:tc>
      </w:tr>
      <w:tr>
        <w:trPr>
          <w:trHeight w:val="375"/>
        </w:trPr>
        <w:tc>
          <w:tcPr>
            <w:tcW w:w="5102" w:type="dxa"/>
            <w:gridSpan w:val="4"/>
            <w:tcBorders>
              <w:top w:val="single" w:sz="4" w:space="0" w:color="4F81BD"/>
              <w:left w:val="nil"/>
              <w:bottom w:val="nil"/>
              <w:right w:val="nil"/>
            </w:tcBorders>
            <w:shd w:val="clear" w:color="auto" w:fill="auto"/>
            <w:noWrap/>
            <w:vAlign w:val="center"/>
            <w:hideMark/>
          </w:tcPr>
          <w:p>
            <w:pPr>
              <w:jc w:val="right"/>
              <w:rPr>
                <w:b/>
                <w:bCs/>
                <w:noProof/>
                <w:sz w:val="20"/>
                <w:szCs w:val="20"/>
              </w:rPr>
            </w:pPr>
            <w:r>
              <w:rPr>
                <w:b/>
                <w:bCs/>
                <w:noProof/>
                <w:sz w:val="20"/>
                <w:szCs w:val="20"/>
              </w:rPr>
              <w:t>TOTAL</w:t>
            </w:r>
          </w:p>
        </w:tc>
        <w:tc>
          <w:tcPr>
            <w:tcW w:w="1638" w:type="dxa"/>
            <w:tcBorders>
              <w:top w:val="single" w:sz="4" w:space="0" w:color="4F81BD"/>
              <w:left w:val="nil"/>
              <w:bottom w:val="nil"/>
              <w:right w:val="nil"/>
            </w:tcBorders>
            <w:shd w:val="clear" w:color="auto" w:fill="auto"/>
            <w:noWrap/>
            <w:vAlign w:val="center"/>
            <w:hideMark/>
          </w:tcPr>
          <w:p>
            <w:pPr>
              <w:jc w:val="right"/>
              <w:rPr>
                <w:b/>
                <w:bCs/>
                <w:noProof/>
                <w:sz w:val="20"/>
                <w:szCs w:val="20"/>
              </w:rPr>
            </w:pPr>
            <w:r>
              <w:rPr>
                <w:b/>
                <w:bCs/>
                <w:noProof/>
                <w:sz w:val="20"/>
                <w:szCs w:val="20"/>
              </w:rPr>
              <w:t>-1,8</w:t>
            </w:r>
          </w:p>
        </w:tc>
        <w:tc>
          <w:tcPr>
            <w:tcW w:w="1701" w:type="dxa"/>
            <w:tcBorders>
              <w:top w:val="single" w:sz="4" w:space="0" w:color="4F81BD"/>
              <w:left w:val="nil"/>
              <w:bottom w:val="nil"/>
              <w:right w:val="nil"/>
            </w:tcBorders>
            <w:shd w:val="clear" w:color="auto" w:fill="auto"/>
            <w:noWrap/>
            <w:vAlign w:val="center"/>
            <w:hideMark/>
          </w:tcPr>
          <w:p>
            <w:pPr>
              <w:jc w:val="right"/>
              <w:rPr>
                <w:b/>
                <w:bCs/>
                <w:noProof/>
                <w:sz w:val="20"/>
                <w:szCs w:val="20"/>
              </w:rPr>
            </w:pPr>
            <w:r>
              <w:rPr>
                <w:b/>
                <w:bCs/>
                <w:noProof/>
                <w:sz w:val="20"/>
                <w:szCs w:val="20"/>
              </w:rPr>
              <w:t>-6,1</w:t>
            </w:r>
          </w:p>
        </w:tc>
        <w:tc>
          <w:tcPr>
            <w:tcW w:w="1706" w:type="dxa"/>
            <w:tcBorders>
              <w:top w:val="single" w:sz="4" w:space="0" w:color="4F81BD"/>
              <w:left w:val="nil"/>
              <w:bottom w:val="nil"/>
              <w:right w:val="nil"/>
            </w:tcBorders>
            <w:shd w:val="clear" w:color="auto" w:fill="auto"/>
            <w:noWrap/>
            <w:vAlign w:val="center"/>
            <w:hideMark/>
          </w:tcPr>
          <w:p>
            <w:pPr>
              <w:jc w:val="right"/>
              <w:rPr>
                <w:b/>
                <w:bCs/>
                <w:noProof/>
                <w:sz w:val="20"/>
                <w:szCs w:val="20"/>
              </w:rPr>
            </w:pPr>
            <w:r>
              <w:rPr>
                <w:b/>
                <w:bCs/>
                <w:noProof/>
                <w:sz w:val="20"/>
                <w:szCs w:val="20"/>
              </w:rPr>
              <w:t>-8,0</w:t>
            </w:r>
          </w:p>
        </w:tc>
      </w:tr>
    </w:tbl>
    <w:p>
      <w:pPr>
        <w:pStyle w:val="Text1"/>
        <w:ind w:left="0"/>
        <w:rPr>
          <w:i/>
          <w:noProof/>
          <w:sz w:val="20"/>
        </w:rPr>
      </w:pPr>
      <w:r>
        <w:rPr>
          <w:i/>
          <w:noProof/>
          <w:sz w:val="20"/>
        </w:rPr>
        <w:t>* No de-commitments are anticipated in relation to the commitments proposed for the 2021-2027 financial framework</w:t>
      </w:r>
    </w:p>
    <w:p>
      <w:pPr>
        <w:pStyle w:val="Text1"/>
        <w:ind w:left="0"/>
        <w:rPr>
          <w:i/>
          <w:noProof/>
          <w:sz w:val="20"/>
        </w:rPr>
      </w:pPr>
    </w:p>
    <w:p>
      <w:pPr>
        <w:pStyle w:val="Caption"/>
        <w:keepNext/>
        <w:jc w:val="both"/>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rPr>
          <w:noProof/>
        </w:rPr>
        <w:t xml:space="preserve"> – Change in the total outstanding commitments from 2020 to 2024</w:t>
      </w:r>
    </w:p>
    <w:tbl>
      <w:tblPr>
        <w:tblW w:w="9977" w:type="dxa"/>
        <w:tblInd w:w="93" w:type="dxa"/>
        <w:tblLook w:val="04A0" w:firstRow="1" w:lastRow="0" w:firstColumn="1" w:lastColumn="0" w:noHBand="0" w:noVBand="1"/>
      </w:tblPr>
      <w:tblGrid>
        <w:gridCol w:w="1701"/>
        <w:gridCol w:w="283"/>
        <w:gridCol w:w="1421"/>
        <w:gridCol w:w="567"/>
        <w:gridCol w:w="1135"/>
        <w:gridCol w:w="849"/>
        <w:gridCol w:w="875"/>
        <w:gridCol w:w="1162"/>
        <w:gridCol w:w="1984"/>
      </w:tblGrid>
      <w:tr>
        <w:trPr>
          <w:trHeight w:val="315"/>
        </w:trPr>
        <w:tc>
          <w:tcPr>
            <w:tcW w:w="1701" w:type="dxa"/>
            <w:tcBorders>
              <w:top w:val="nil"/>
              <w:left w:val="nil"/>
              <w:bottom w:val="nil"/>
              <w:right w:val="nil"/>
            </w:tcBorders>
            <w:shd w:val="clear" w:color="auto" w:fill="auto"/>
            <w:noWrap/>
            <w:vAlign w:val="center"/>
            <w:hideMark/>
          </w:tcPr>
          <w:p>
            <w:pPr>
              <w:rPr>
                <w:noProof/>
                <w:color w:val="000000"/>
                <w:sz w:val="20"/>
                <w:szCs w:val="20"/>
              </w:rPr>
            </w:pPr>
          </w:p>
        </w:tc>
        <w:tc>
          <w:tcPr>
            <w:tcW w:w="1704" w:type="dxa"/>
            <w:gridSpan w:val="2"/>
            <w:tcBorders>
              <w:top w:val="nil"/>
              <w:left w:val="nil"/>
              <w:bottom w:val="nil"/>
              <w:right w:val="nil"/>
            </w:tcBorders>
            <w:shd w:val="clear" w:color="auto" w:fill="auto"/>
            <w:noWrap/>
            <w:vAlign w:val="center"/>
            <w:hideMark/>
          </w:tcPr>
          <w:p>
            <w:pPr>
              <w:rPr>
                <w:noProof/>
                <w:color w:val="000000"/>
                <w:sz w:val="20"/>
                <w:szCs w:val="20"/>
              </w:rPr>
            </w:pPr>
          </w:p>
        </w:tc>
        <w:tc>
          <w:tcPr>
            <w:tcW w:w="1702" w:type="dxa"/>
            <w:gridSpan w:val="2"/>
            <w:tcBorders>
              <w:top w:val="nil"/>
              <w:left w:val="nil"/>
              <w:bottom w:val="nil"/>
              <w:right w:val="nil"/>
            </w:tcBorders>
            <w:shd w:val="clear" w:color="auto" w:fill="auto"/>
            <w:noWrap/>
            <w:vAlign w:val="center"/>
            <w:hideMark/>
          </w:tcPr>
          <w:p>
            <w:pPr>
              <w:rPr>
                <w:noProof/>
                <w:color w:val="000000"/>
                <w:sz w:val="20"/>
                <w:szCs w:val="20"/>
              </w:rPr>
            </w:pPr>
          </w:p>
        </w:tc>
        <w:tc>
          <w:tcPr>
            <w:tcW w:w="1724" w:type="dxa"/>
            <w:gridSpan w:val="2"/>
            <w:tcBorders>
              <w:top w:val="nil"/>
              <w:left w:val="nil"/>
              <w:bottom w:val="nil"/>
              <w:right w:val="nil"/>
            </w:tcBorders>
            <w:shd w:val="clear" w:color="auto" w:fill="auto"/>
            <w:noWrap/>
            <w:vAlign w:val="center"/>
            <w:hideMark/>
          </w:tcPr>
          <w:p>
            <w:pPr>
              <w:rPr>
                <w:noProof/>
                <w:color w:val="000000"/>
                <w:sz w:val="20"/>
                <w:szCs w:val="20"/>
              </w:rPr>
            </w:pPr>
          </w:p>
        </w:tc>
        <w:tc>
          <w:tcPr>
            <w:tcW w:w="3146" w:type="dxa"/>
            <w:gridSpan w:val="2"/>
            <w:tcBorders>
              <w:top w:val="nil"/>
              <w:left w:val="nil"/>
              <w:bottom w:val="nil"/>
              <w:right w:val="nil"/>
            </w:tcBorders>
            <w:shd w:val="clear" w:color="auto" w:fill="auto"/>
            <w:noWrap/>
            <w:vAlign w:val="center"/>
            <w:hideMark/>
          </w:tcPr>
          <w:p>
            <w:pPr>
              <w:jc w:val="right"/>
              <w:rPr>
                <w:i/>
                <w:iCs/>
                <w:noProof/>
                <w:color w:val="000000"/>
                <w:sz w:val="20"/>
                <w:szCs w:val="20"/>
              </w:rPr>
            </w:pPr>
            <w:r>
              <w:rPr>
                <w:i/>
                <w:iCs/>
                <w:noProof/>
                <w:color w:val="000000"/>
                <w:sz w:val="20"/>
                <w:szCs w:val="20"/>
              </w:rPr>
              <w:t>in EUR billion, current prices</w:t>
            </w:r>
          </w:p>
        </w:tc>
      </w:tr>
      <w:tr>
        <w:trPr>
          <w:trHeight w:val="645"/>
        </w:trPr>
        <w:tc>
          <w:tcPr>
            <w:tcW w:w="1984" w:type="dxa"/>
            <w:gridSpan w:val="2"/>
            <w:tcBorders>
              <w:top w:val="single" w:sz="8" w:space="0" w:color="auto"/>
              <w:left w:val="single" w:sz="8" w:space="0" w:color="auto"/>
              <w:bottom w:val="nil"/>
              <w:right w:val="single" w:sz="8" w:space="0" w:color="auto"/>
            </w:tcBorders>
            <w:shd w:val="clear" w:color="auto" w:fill="auto"/>
            <w:noWrap/>
            <w:vAlign w:val="center"/>
            <w:hideMark/>
          </w:tcPr>
          <w:p>
            <w:pPr>
              <w:jc w:val="center"/>
              <w:rPr>
                <w:b/>
                <w:bCs/>
                <w:noProof/>
                <w:color w:val="000000"/>
                <w:sz w:val="20"/>
                <w:szCs w:val="20"/>
              </w:rPr>
            </w:pPr>
            <w:r>
              <w:rPr>
                <w:b/>
                <w:bCs/>
                <w:noProof/>
                <w:color w:val="000000"/>
                <w:sz w:val="20"/>
                <w:szCs w:val="20"/>
              </w:rPr>
              <w:t>RAL end-2019*</w:t>
            </w:r>
          </w:p>
        </w:tc>
        <w:tc>
          <w:tcPr>
            <w:tcW w:w="1988" w:type="dxa"/>
            <w:gridSpan w:val="2"/>
            <w:tcBorders>
              <w:top w:val="single" w:sz="8" w:space="0" w:color="auto"/>
              <w:left w:val="nil"/>
              <w:bottom w:val="nil"/>
              <w:right w:val="nil"/>
            </w:tcBorders>
            <w:shd w:val="clear" w:color="auto" w:fill="auto"/>
            <w:noWrap/>
            <w:vAlign w:val="center"/>
            <w:hideMark/>
          </w:tcPr>
          <w:p>
            <w:pPr>
              <w:jc w:val="center"/>
              <w:rPr>
                <w:b/>
                <w:bCs/>
                <w:noProof/>
                <w:color w:val="000000"/>
                <w:sz w:val="20"/>
                <w:szCs w:val="20"/>
              </w:rPr>
            </w:pPr>
            <w:r>
              <w:rPr>
                <w:b/>
                <w:bCs/>
                <w:noProof/>
                <w:color w:val="000000"/>
                <w:sz w:val="20"/>
                <w:szCs w:val="20"/>
              </w:rPr>
              <w:t>Commitments 2020-2024</w:t>
            </w:r>
          </w:p>
        </w:tc>
        <w:tc>
          <w:tcPr>
            <w:tcW w:w="1984" w:type="dxa"/>
            <w:gridSpan w:val="2"/>
            <w:tcBorders>
              <w:top w:val="single" w:sz="8" w:space="0" w:color="auto"/>
              <w:left w:val="single" w:sz="8" w:space="0" w:color="auto"/>
              <w:bottom w:val="nil"/>
              <w:right w:val="nil"/>
            </w:tcBorders>
            <w:shd w:val="clear" w:color="auto" w:fill="auto"/>
            <w:noWrap/>
            <w:vAlign w:val="center"/>
            <w:hideMark/>
          </w:tcPr>
          <w:p>
            <w:pPr>
              <w:jc w:val="center"/>
              <w:rPr>
                <w:b/>
                <w:bCs/>
                <w:noProof/>
                <w:color w:val="000000"/>
                <w:sz w:val="20"/>
                <w:szCs w:val="20"/>
              </w:rPr>
            </w:pPr>
            <w:r>
              <w:rPr>
                <w:b/>
                <w:bCs/>
                <w:noProof/>
                <w:color w:val="000000"/>
                <w:sz w:val="20"/>
                <w:szCs w:val="20"/>
              </w:rPr>
              <w:t>Payments 2020-2024</w:t>
            </w:r>
          </w:p>
        </w:tc>
        <w:tc>
          <w:tcPr>
            <w:tcW w:w="2037" w:type="dxa"/>
            <w:gridSpan w:val="2"/>
            <w:tcBorders>
              <w:top w:val="single" w:sz="8" w:space="0" w:color="auto"/>
              <w:left w:val="single" w:sz="8" w:space="0" w:color="auto"/>
              <w:bottom w:val="nil"/>
              <w:right w:val="nil"/>
            </w:tcBorders>
            <w:shd w:val="clear" w:color="auto" w:fill="auto"/>
            <w:vAlign w:val="center"/>
            <w:hideMark/>
          </w:tcPr>
          <w:p>
            <w:pPr>
              <w:jc w:val="center"/>
              <w:rPr>
                <w:b/>
                <w:bCs/>
                <w:noProof/>
                <w:color w:val="000000"/>
                <w:sz w:val="20"/>
                <w:szCs w:val="20"/>
              </w:rPr>
            </w:pPr>
            <w:r>
              <w:rPr>
                <w:b/>
                <w:bCs/>
                <w:noProof/>
                <w:color w:val="000000"/>
                <w:sz w:val="20"/>
                <w:szCs w:val="20"/>
              </w:rPr>
              <w:t>De-commitments</w:t>
            </w:r>
          </w:p>
        </w:tc>
        <w:tc>
          <w:tcPr>
            <w:tcW w:w="1984" w:type="dxa"/>
            <w:tcBorders>
              <w:top w:val="single" w:sz="8" w:space="0" w:color="auto"/>
              <w:left w:val="single" w:sz="8" w:space="0" w:color="auto"/>
              <w:bottom w:val="nil"/>
              <w:right w:val="single" w:sz="8" w:space="0" w:color="auto"/>
            </w:tcBorders>
            <w:shd w:val="clear" w:color="auto" w:fill="auto"/>
            <w:noWrap/>
            <w:vAlign w:val="center"/>
            <w:hideMark/>
          </w:tcPr>
          <w:p>
            <w:pPr>
              <w:jc w:val="center"/>
              <w:rPr>
                <w:b/>
                <w:bCs/>
                <w:noProof/>
                <w:color w:val="000000"/>
                <w:sz w:val="20"/>
                <w:szCs w:val="20"/>
              </w:rPr>
            </w:pPr>
            <w:r>
              <w:rPr>
                <w:b/>
                <w:bCs/>
                <w:noProof/>
                <w:color w:val="000000"/>
                <w:sz w:val="20"/>
                <w:szCs w:val="20"/>
              </w:rPr>
              <w:t>RAL end-2024</w:t>
            </w:r>
          </w:p>
        </w:tc>
      </w:tr>
      <w:tr>
        <w:trPr>
          <w:trHeight w:val="300"/>
        </w:trPr>
        <w:tc>
          <w:tcPr>
            <w:tcW w:w="1984" w:type="dxa"/>
            <w:gridSpan w:val="2"/>
            <w:tcBorders>
              <w:top w:val="nil"/>
              <w:left w:val="single" w:sz="8" w:space="0" w:color="auto"/>
              <w:bottom w:val="nil"/>
              <w:right w:val="single" w:sz="8" w:space="0" w:color="auto"/>
            </w:tcBorders>
            <w:shd w:val="clear" w:color="auto" w:fill="auto"/>
            <w:noWrap/>
            <w:vAlign w:val="center"/>
            <w:hideMark/>
          </w:tcPr>
          <w:p>
            <w:pPr>
              <w:jc w:val="center"/>
              <w:rPr>
                <w:i/>
                <w:iCs/>
                <w:noProof/>
                <w:color w:val="000000"/>
                <w:sz w:val="20"/>
                <w:szCs w:val="20"/>
              </w:rPr>
            </w:pPr>
            <w:r>
              <w:rPr>
                <w:i/>
                <w:iCs/>
                <w:noProof/>
                <w:color w:val="000000"/>
                <w:sz w:val="20"/>
                <w:szCs w:val="20"/>
              </w:rPr>
              <w:t>(a)</w:t>
            </w:r>
          </w:p>
        </w:tc>
        <w:tc>
          <w:tcPr>
            <w:tcW w:w="1988" w:type="dxa"/>
            <w:gridSpan w:val="2"/>
            <w:tcBorders>
              <w:top w:val="nil"/>
              <w:left w:val="nil"/>
              <w:bottom w:val="nil"/>
              <w:right w:val="nil"/>
            </w:tcBorders>
            <w:shd w:val="clear" w:color="auto" w:fill="auto"/>
            <w:noWrap/>
            <w:vAlign w:val="center"/>
            <w:hideMark/>
          </w:tcPr>
          <w:p>
            <w:pPr>
              <w:jc w:val="center"/>
              <w:rPr>
                <w:i/>
                <w:iCs/>
                <w:noProof/>
                <w:color w:val="000000"/>
                <w:sz w:val="20"/>
                <w:szCs w:val="20"/>
              </w:rPr>
            </w:pPr>
            <w:r>
              <w:rPr>
                <w:i/>
                <w:iCs/>
                <w:noProof/>
                <w:color w:val="000000"/>
                <w:sz w:val="20"/>
                <w:szCs w:val="20"/>
              </w:rPr>
              <w:t>(b)</w:t>
            </w:r>
          </w:p>
        </w:tc>
        <w:tc>
          <w:tcPr>
            <w:tcW w:w="1984" w:type="dxa"/>
            <w:gridSpan w:val="2"/>
            <w:tcBorders>
              <w:top w:val="nil"/>
              <w:left w:val="single" w:sz="8" w:space="0" w:color="auto"/>
              <w:bottom w:val="nil"/>
              <w:right w:val="nil"/>
            </w:tcBorders>
            <w:shd w:val="clear" w:color="auto" w:fill="auto"/>
            <w:noWrap/>
            <w:vAlign w:val="center"/>
            <w:hideMark/>
          </w:tcPr>
          <w:p>
            <w:pPr>
              <w:jc w:val="center"/>
              <w:rPr>
                <w:i/>
                <w:iCs/>
                <w:noProof/>
                <w:color w:val="000000"/>
                <w:sz w:val="20"/>
                <w:szCs w:val="20"/>
              </w:rPr>
            </w:pPr>
            <w:r>
              <w:rPr>
                <w:i/>
                <w:iCs/>
                <w:noProof/>
                <w:color w:val="000000"/>
                <w:sz w:val="20"/>
                <w:szCs w:val="20"/>
              </w:rPr>
              <w:t>(c )</w:t>
            </w:r>
          </w:p>
        </w:tc>
        <w:tc>
          <w:tcPr>
            <w:tcW w:w="2037" w:type="dxa"/>
            <w:gridSpan w:val="2"/>
            <w:tcBorders>
              <w:top w:val="nil"/>
              <w:left w:val="single" w:sz="8" w:space="0" w:color="auto"/>
              <w:bottom w:val="nil"/>
              <w:right w:val="nil"/>
            </w:tcBorders>
            <w:shd w:val="clear" w:color="auto" w:fill="auto"/>
            <w:vAlign w:val="center"/>
            <w:hideMark/>
          </w:tcPr>
          <w:p>
            <w:pPr>
              <w:jc w:val="center"/>
              <w:rPr>
                <w:i/>
                <w:iCs/>
                <w:noProof/>
                <w:color w:val="000000"/>
                <w:sz w:val="20"/>
                <w:szCs w:val="20"/>
              </w:rPr>
            </w:pPr>
            <w:r>
              <w:rPr>
                <w:i/>
                <w:iCs/>
                <w:noProof/>
                <w:color w:val="000000"/>
                <w:sz w:val="20"/>
                <w:szCs w:val="20"/>
              </w:rPr>
              <w:t>(d)</w:t>
            </w:r>
          </w:p>
        </w:tc>
        <w:tc>
          <w:tcPr>
            <w:tcW w:w="1984" w:type="dxa"/>
            <w:tcBorders>
              <w:top w:val="nil"/>
              <w:left w:val="single" w:sz="8" w:space="0" w:color="auto"/>
              <w:bottom w:val="nil"/>
              <w:right w:val="single" w:sz="8" w:space="0" w:color="auto"/>
            </w:tcBorders>
            <w:shd w:val="clear" w:color="auto" w:fill="auto"/>
            <w:noWrap/>
            <w:vAlign w:val="center"/>
            <w:hideMark/>
          </w:tcPr>
          <w:p>
            <w:pPr>
              <w:jc w:val="center"/>
              <w:rPr>
                <w:i/>
                <w:iCs/>
                <w:noProof/>
                <w:color w:val="000000"/>
                <w:sz w:val="20"/>
                <w:szCs w:val="20"/>
              </w:rPr>
            </w:pPr>
            <w:r>
              <w:rPr>
                <w:i/>
                <w:iCs/>
                <w:noProof/>
                <w:color w:val="000000"/>
                <w:sz w:val="20"/>
                <w:szCs w:val="20"/>
              </w:rPr>
              <w:t>(a+b-c+d)</w:t>
            </w:r>
          </w:p>
        </w:tc>
      </w:tr>
      <w:tr>
        <w:trPr>
          <w:trHeight w:val="600"/>
        </w:trPr>
        <w:tc>
          <w:tcPr>
            <w:tcW w:w="1984"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pPr>
              <w:jc w:val="center"/>
              <w:rPr>
                <w:noProof/>
                <w:color w:val="000000"/>
                <w:sz w:val="20"/>
                <w:szCs w:val="20"/>
              </w:rPr>
            </w:pPr>
            <w:r>
              <w:rPr>
                <w:noProof/>
                <w:color w:val="000000"/>
                <w:sz w:val="20"/>
                <w:szCs w:val="20"/>
              </w:rPr>
              <w:t>290,6</w:t>
            </w:r>
          </w:p>
        </w:tc>
        <w:tc>
          <w:tcPr>
            <w:tcW w:w="1988" w:type="dxa"/>
            <w:gridSpan w:val="2"/>
            <w:tcBorders>
              <w:top w:val="single" w:sz="4" w:space="0" w:color="auto"/>
              <w:left w:val="nil"/>
              <w:bottom w:val="single" w:sz="8" w:space="0" w:color="auto"/>
              <w:right w:val="nil"/>
            </w:tcBorders>
            <w:shd w:val="clear" w:color="auto" w:fill="auto"/>
            <w:noWrap/>
            <w:vAlign w:val="center"/>
            <w:hideMark/>
          </w:tcPr>
          <w:p>
            <w:pPr>
              <w:jc w:val="center"/>
              <w:rPr>
                <w:noProof/>
                <w:color w:val="000000"/>
                <w:sz w:val="20"/>
                <w:szCs w:val="20"/>
              </w:rPr>
            </w:pPr>
            <w:r>
              <w:rPr>
                <w:noProof/>
                <w:color w:val="000000"/>
                <w:sz w:val="20"/>
                <w:szCs w:val="20"/>
              </w:rPr>
              <w:t>870,4</w:t>
            </w:r>
          </w:p>
        </w:tc>
        <w:tc>
          <w:tcPr>
            <w:tcW w:w="1984" w:type="dxa"/>
            <w:gridSpan w:val="2"/>
            <w:tcBorders>
              <w:top w:val="single" w:sz="4" w:space="0" w:color="auto"/>
              <w:left w:val="single" w:sz="8" w:space="0" w:color="auto"/>
              <w:bottom w:val="single" w:sz="8" w:space="0" w:color="auto"/>
              <w:right w:val="nil"/>
            </w:tcBorders>
            <w:shd w:val="clear" w:color="auto" w:fill="auto"/>
            <w:noWrap/>
            <w:vAlign w:val="center"/>
            <w:hideMark/>
          </w:tcPr>
          <w:p>
            <w:pPr>
              <w:jc w:val="center"/>
              <w:rPr>
                <w:noProof/>
                <w:color w:val="000000"/>
                <w:sz w:val="20"/>
                <w:szCs w:val="20"/>
              </w:rPr>
            </w:pPr>
            <w:r>
              <w:rPr>
                <w:noProof/>
                <w:color w:val="000000"/>
                <w:sz w:val="20"/>
                <w:szCs w:val="20"/>
              </w:rPr>
              <w:t>839,8</w:t>
            </w:r>
          </w:p>
        </w:tc>
        <w:tc>
          <w:tcPr>
            <w:tcW w:w="2037" w:type="dxa"/>
            <w:gridSpan w:val="2"/>
            <w:tcBorders>
              <w:top w:val="single" w:sz="4" w:space="0" w:color="auto"/>
              <w:left w:val="single" w:sz="8" w:space="0" w:color="auto"/>
              <w:bottom w:val="single" w:sz="8" w:space="0" w:color="auto"/>
              <w:right w:val="nil"/>
            </w:tcBorders>
            <w:shd w:val="clear" w:color="auto" w:fill="auto"/>
            <w:noWrap/>
            <w:vAlign w:val="center"/>
            <w:hideMark/>
          </w:tcPr>
          <w:p>
            <w:pPr>
              <w:jc w:val="center"/>
              <w:rPr>
                <w:noProof/>
                <w:color w:val="000000"/>
                <w:sz w:val="20"/>
                <w:szCs w:val="20"/>
              </w:rPr>
            </w:pPr>
            <w:r>
              <w:rPr>
                <w:noProof/>
                <w:color w:val="000000"/>
                <w:sz w:val="20"/>
                <w:szCs w:val="20"/>
              </w:rPr>
              <w:t>-8,0</w:t>
            </w:r>
          </w:p>
        </w:tc>
        <w:tc>
          <w:tcPr>
            <w:tcW w:w="198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pPr>
              <w:jc w:val="center"/>
              <w:rPr>
                <w:noProof/>
                <w:color w:val="000000"/>
                <w:sz w:val="20"/>
                <w:szCs w:val="20"/>
              </w:rPr>
            </w:pPr>
            <w:r>
              <w:rPr>
                <w:noProof/>
                <w:color w:val="000000"/>
                <w:sz w:val="20"/>
                <w:szCs w:val="20"/>
              </w:rPr>
              <w:t>313,2</w:t>
            </w:r>
          </w:p>
        </w:tc>
      </w:tr>
      <w:tr>
        <w:trPr>
          <w:trHeight w:val="435"/>
        </w:trPr>
        <w:tc>
          <w:tcPr>
            <w:tcW w:w="1984" w:type="dxa"/>
            <w:gridSpan w:val="2"/>
            <w:tcBorders>
              <w:top w:val="nil"/>
              <w:left w:val="nil"/>
              <w:bottom w:val="nil"/>
              <w:right w:val="nil"/>
            </w:tcBorders>
            <w:shd w:val="clear" w:color="auto" w:fill="auto"/>
            <w:noWrap/>
            <w:vAlign w:val="center"/>
            <w:hideMark/>
          </w:tcPr>
          <w:p>
            <w:pPr>
              <w:outlineLvl w:val="0"/>
              <w:rPr>
                <w:i/>
                <w:iCs/>
                <w:noProof/>
                <w:color w:val="000000"/>
                <w:sz w:val="20"/>
                <w:szCs w:val="20"/>
              </w:rPr>
            </w:pPr>
            <w:r>
              <w:rPr>
                <w:i/>
                <w:iCs/>
                <w:noProof/>
                <w:color w:val="000000"/>
                <w:sz w:val="20"/>
                <w:szCs w:val="20"/>
              </w:rPr>
              <w:t>Of which on:</w:t>
            </w:r>
          </w:p>
        </w:tc>
        <w:tc>
          <w:tcPr>
            <w:tcW w:w="1988" w:type="dxa"/>
            <w:gridSpan w:val="2"/>
            <w:tcBorders>
              <w:top w:val="nil"/>
              <w:left w:val="nil"/>
              <w:bottom w:val="nil"/>
              <w:right w:val="nil"/>
            </w:tcBorders>
            <w:shd w:val="clear" w:color="auto" w:fill="auto"/>
            <w:noWrap/>
            <w:vAlign w:val="center"/>
            <w:hideMark/>
          </w:tcPr>
          <w:p>
            <w:pPr>
              <w:outlineLvl w:val="0"/>
              <w:rPr>
                <w:noProof/>
                <w:color w:val="000000"/>
                <w:sz w:val="20"/>
                <w:szCs w:val="20"/>
              </w:rPr>
            </w:pPr>
          </w:p>
        </w:tc>
        <w:tc>
          <w:tcPr>
            <w:tcW w:w="1984" w:type="dxa"/>
            <w:gridSpan w:val="2"/>
            <w:tcBorders>
              <w:top w:val="nil"/>
              <w:left w:val="nil"/>
              <w:bottom w:val="nil"/>
              <w:right w:val="nil"/>
            </w:tcBorders>
            <w:shd w:val="clear" w:color="auto" w:fill="auto"/>
            <w:noWrap/>
            <w:vAlign w:val="center"/>
            <w:hideMark/>
          </w:tcPr>
          <w:p>
            <w:pPr>
              <w:outlineLvl w:val="0"/>
              <w:rPr>
                <w:noProof/>
                <w:color w:val="000000"/>
                <w:sz w:val="20"/>
                <w:szCs w:val="20"/>
              </w:rPr>
            </w:pPr>
          </w:p>
        </w:tc>
        <w:tc>
          <w:tcPr>
            <w:tcW w:w="2037" w:type="dxa"/>
            <w:gridSpan w:val="2"/>
            <w:tcBorders>
              <w:top w:val="nil"/>
              <w:left w:val="nil"/>
              <w:bottom w:val="nil"/>
              <w:right w:val="nil"/>
            </w:tcBorders>
            <w:shd w:val="clear" w:color="auto" w:fill="auto"/>
            <w:noWrap/>
            <w:vAlign w:val="center"/>
            <w:hideMark/>
          </w:tcPr>
          <w:p>
            <w:pPr>
              <w:outlineLvl w:val="0"/>
              <w:rPr>
                <w:noProof/>
                <w:color w:val="000000"/>
                <w:sz w:val="20"/>
                <w:szCs w:val="20"/>
              </w:rPr>
            </w:pPr>
          </w:p>
        </w:tc>
        <w:tc>
          <w:tcPr>
            <w:tcW w:w="1984" w:type="dxa"/>
            <w:tcBorders>
              <w:top w:val="nil"/>
              <w:left w:val="nil"/>
              <w:bottom w:val="nil"/>
              <w:right w:val="nil"/>
            </w:tcBorders>
            <w:shd w:val="clear" w:color="auto" w:fill="auto"/>
            <w:noWrap/>
            <w:vAlign w:val="center"/>
            <w:hideMark/>
          </w:tcPr>
          <w:p>
            <w:pPr>
              <w:outlineLvl w:val="0"/>
              <w:rPr>
                <w:noProof/>
                <w:color w:val="000000"/>
                <w:sz w:val="20"/>
                <w:szCs w:val="20"/>
              </w:rPr>
            </w:pPr>
          </w:p>
        </w:tc>
      </w:tr>
      <w:tr>
        <w:trPr>
          <w:trHeight w:val="600"/>
        </w:trPr>
        <w:tc>
          <w:tcPr>
            <w:tcW w:w="1984" w:type="dxa"/>
            <w:gridSpan w:val="2"/>
            <w:tcBorders>
              <w:top w:val="single" w:sz="8" w:space="0" w:color="auto"/>
              <w:left w:val="single" w:sz="8" w:space="0" w:color="auto"/>
              <w:bottom w:val="nil"/>
              <w:right w:val="single" w:sz="8" w:space="0" w:color="auto"/>
            </w:tcBorders>
            <w:shd w:val="clear" w:color="auto" w:fill="auto"/>
            <w:noWrap/>
            <w:vAlign w:val="center"/>
            <w:hideMark/>
          </w:tcPr>
          <w:p>
            <w:pPr>
              <w:jc w:val="center"/>
              <w:outlineLvl w:val="0"/>
              <w:rPr>
                <w:b/>
                <w:bCs/>
                <w:noProof/>
                <w:color w:val="000000"/>
                <w:sz w:val="20"/>
                <w:szCs w:val="20"/>
              </w:rPr>
            </w:pPr>
            <w:r>
              <w:rPr>
                <w:b/>
                <w:bCs/>
                <w:noProof/>
                <w:color w:val="000000"/>
                <w:sz w:val="20"/>
                <w:szCs w:val="20"/>
              </w:rPr>
              <w:t>2014-2020 MFF</w:t>
            </w:r>
          </w:p>
        </w:tc>
        <w:tc>
          <w:tcPr>
            <w:tcW w:w="1988" w:type="dxa"/>
            <w:gridSpan w:val="2"/>
            <w:tcBorders>
              <w:top w:val="single" w:sz="8" w:space="0" w:color="auto"/>
              <w:left w:val="nil"/>
              <w:bottom w:val="nil"/>
              <w:right w:val="single" w:sz="8" w:space="0" w:color="auto"/>
            </w:tcBorders>
            <w:shd w:val="clear" w:color="auto" w:fill="auto"/>
            <w:noWrap/>
            <w:vAlign w:val="center"/>
            <w:hideMark/>
          </w:tcPr>
          <w:p>
            <w:pPr>
              <w:outlineLvl w:val="0"/>
              <w:rPr>
                <w:noProof/>
                <w:color w:val="000000"/>
                <w:sz w:val="20"/>
                <w:szCs w:val="20"/>
              </w:rPr>
            </w:pPr>
            <w:r>
              <w:rPr>
                <w:noProof/>
                <w:color w:val="000000"/>
                <w:sz w:val="20"/>
                <w:szCs w:val="20"/>
              </w:rPr>
              <w:t> </w:t>
            </w:r>
          </w:p>
        </w:tc>
        <w:tc>
          <w:tcPr>
            <w:tcW w:w="1984" w:type="dxa"/>
            <w:gridSpan w:val="2"/>
            <w:tcBorders>
              <w:top w:val="single" w:sz="8" w:space="0" w:color="auto"/>
              <w:left w:val="nil"/>
              <w:bottom w:val="nil"/>
              <w:right w:val="single" w:sz="8" w:space="0" w:color="auto"/>
            </w:tcBorders>
            <w:shd w:val="clear" w:color="auto" w:fill="auto"/>
            <w:noWrap/>
            <w:vAlign w:val="center"/>
            <w:hideMark/>
          </w:tcPr>
          <w:p>
            <w:pPr>
              <w:outlineLvl w:val="0"/>
              <w:rPr>
                <w:noProof/>
                <w:color w:val="000000"/>
                <w:sz w:val="20"/>
                <w:szCs w:val="20"/>
              </w:rPr>
            </w:pPr>
            <w:r>
              <w:rPr>
                <w:noProof/>
                <w:color w:val="000000"/>
                <w:sz w:val="20"/>
                <w:szCs w:val="20"/>
              </w:rPr>
              <w:t> </w:t>
            </w:r>
          </w:p>
        </w:tc>
        <w:tc>
          <w:tcPr>
            <w:tcW w:w="2037" w:type="dxa"/>
            <w:gridSpan w:val="2"/>
            <w:tcBorders>
              <w:top w:val="single" w:sz="8" w:space="0" w:color="auto"/>
              <w:left w:val="nil"/>
              <w:bottom w:val="nil"/>
              <w:right w:val="nil"/>
            </w:tcBorders>
            <w:shd w:val="clear" w:color="auto" w:fill="auto"/>
            <w:vAlign w:val="center"/>
            <w:hideMark/>
          </w:tcPr>
          <w:p>
            <w:pPr>
              <w:jc w:val="center"/>
              <w:outlineLvl w:val="0"/>
              <w:rPr>
                <w:noProof/>
                <w:color w:val="000000"/>
                <w:sz w:val="20"/>
                <w:szCs w:val="20"/>
              </w:rPr>
            </w:pPr>
            <w:r>
              <w:rPr>
                <w:noProof/>
                <w:color w:val="000000"/>
                <w:sz w:val="20"/>
                <w:szCs w:val="20"/>
              </w:rPr>
              <w:t> </w:t>
            </w:r>
          </w:p>
        </w:tc>
        <w:tc>
          <w:tcPr>
            <w:tcW w:w="1984" w:type="dxa"/>
            <w:tcBorders>
              <w:top w:val="single" w:sz="8" w:space="0" w:color="auto"/>
              <w:left w:val="single" w:sz="8" w:space="0" w:color="auto"/>
              <w:bottom w:val="nil"/>
              <w:right w:val="single" w:sz="8" w:space="0" w:color="auto"/>
            </w:tcBorders>
            <w:shd w:val="clear" w:color="auto" w:fill="auto"/>
            <w:noWrap/>
            <w:vAlign w:val="center"/>
            <w:hideMark/>
          </w:tcPr>
          <w:p>
            <w:pPr>
              <w:outlineLvl w:val="0"/>
              <w:rPr>
                <w:noProof/>
                <w:color w:val="000000"/>
                <w:sz w:val="20"/>
                <w:szCs w:val="20"/>
              </w:rPr>
            </w:pPr>
            <w:r>
              <w:rPr>
                <w:noProof/>
                <w:color w:val="000000"/>
                <w:sz w:val="20"/>
                <w:szCs w:val="20"/>
              </w:rPr>
              <w:t> </w:t>
            </w:r>
          </w:p>
        </w:tc>
      </w:tr>
      <w:tr>
        <w:trPr>
          <w:trHeight w:val="450"/>
        </w:trPr>
        <w:tc>
          <w:tcPr>
            <w:tcW w:w="1984" w:type="dxa"/>
            <w:gridSpan w:val="2"/>
            <w:tcBorders>
              <w:top w:val="nil"/>
              <w:left w:val="single" w:sz="8" w:space="0" w:color="auto"/>
              <w:bottom w:val="nil"/>
              <w:right w:val="single" w:sz="8" w:space="0" w:color="auto"/>
            </w:tcBorders>
            <w:shd w:val="clear" w:color="auto" w:fill="auto"/>
            <w:noWrap/>
            <w:vAlign w:val="center"/>
            <w:hideMark/>
          </w:tcPr>
          <w:p>
            <w:pPr>
              <w:jc w:val="center"/>
              <w:outlineLvl w:val="0"/>
              <w:rPr>
                <w:noProof/>
                <w:color w:val="000000"/>
                <w:sz w:val="20"/>
                <w:szCs w:val="20"/>
              </w:rPr>
            </w:pPr>
            <w:r>
              <w:rPr>
                <w:noProof/>
                <w:color w:val="000000"/>
                <w:sz w:val="20"/>
                <w:szCs w:val="20"/>
              </w:rPr>
              <w:t>290,6</w:t>
            </w:r>
          </w:p>
        </w:tc>
        <w:tc>
          <w:tcPr>
            <w:tcW w:w="1988" w:type="dxa"/>
            <w:gridSpan w:val="2"/>
            <w:tcBorders>
              <w:top w:val="nil"/>
              <w:left w:val="nil"/>
              <w:bottom w:val="nil"/>
              <w:right w:val="single" w:sz="8" w:space="0" w:color="auto"/>
            </w:tcBorders>
            <w:shd w:val="clear" w:color="auto" w:fill="auto"/>
            <w:noWrap/>
            <w:vAlign w:val="center"/>
            <w:hideMark/>
          </w:tcPr>
          <w:p>
            <w:pPr>
              <w:jc w:val="center"/>
              <w:outlineLvl w:val="0"/>
              <w:rPr>
                <w:noProof/>
                <w:color w:val="000000"/>
                <w:sz w:val="20"/>
                <w:szCs w:val="20"/>
              </w:rPr>
            </w:pPr>
            <w:r>
              <w:rPr>
                <w:noProof/>
                <w:color w:val="000000"/>
                <w:sz w:val="20"/>
                <w:szCs w:val="20"/>
              </w:rPr>
              <w:t>167,7</w:t>
            </w:r>
          </w:p>
        </w:tc>
        <w:tc>
          <w:tcPr>
            <w:tcW w:w="1984" w:type="dxa"/>
            <w:gridSpan w:val="2"/>
            <w:tcBorders>
              <w:top w:val="nil"/>
              <w:left w:val="nil"/>
              <w:bottom w:val="nil"/>
              <w:right w:val="single" w:sz="8" w:space="0" w:color="auto"/>
            </w:tcBorders>
            <w:shd w:val="clear" w:color="auto" w:fill="auto"/>
            <w:noWrap/>
            <w:vAlign w:val="center"/>
            <w:hideMark/>
          </w:tcPr>
          <w:p>
            <w:pPr>
              <w:jc w:val="center"/>
              <w:outlineLvl w:val="0"/>
              <w:rPr>
                <w:noProof/>
                <w:color w:val="000000"/>
                <w:sz w:val="20"/>
                <w:szCs w:val="20"/>
              </w:rPr>
            </w:pPr>
            <w:r>
              <w:rPr>
                <w:noProof/>
                <w:color w:val="000000"/>
                <w:sz w:val="20"/>
                <w:szCs w:val="20"/>
              </w:rPr>
              <w:t>417,3</w:t>
            </w:r>
          </w:p>
        </w:tc>
        <w:tc>
          <w:tcPr>
            <w:tcW w:w="2037" w:type="dxa"/>
            <w:gridSpan w:val="2"/>
            <w:tcBorders>
              <w:top w:val="nil"/>
              <w:left w:val="nil"/>
              <w:bottom w:val="nil"/>
              <w:right w:val="single" w:sz="8" w:space="0" w:color="auto"/>
            </w:tcBorders>
            <w:shd w:val="clear" w:color="auto" w:fill="auto"/>
            <w:noWrap/>
            <w:vAlign w:val="center"/>
            <w:hideMark/>
          </w:tcPr>
          <w:p>
            <w:pPr>
              <w:jc w:val="center"/>
              <w:outlineLvl w:val="0"/>
              <w:rPr>
                <w:noProof/>
                <w:color w:val="000000"/>
                <w:sz w:val="20"/>
                <w:szCs w:val="20"/>
              </w:rPr>
            </w:pPr>
            <w:r>
              <w:rPr>
                <w:noProof/>
                <w:color w:val="000000"/>
                <w:sz w:val="20"/>
                <w:szCs w:val="20"/>
              </w:rPr>
              <w:t>-8,0</w:t>
            </w:r>
          </w:p>
        </w:tc>
        <w:tc>
          <w:tcPr>
            <w:tcW w:w="1984" w:type="dxa"/>
            <w:tcBorders>
              <w:top w:val="nil"/>
              <w:left w:val="nil"/>
              <w:bottom w:val="nil"/>
              <w:right w:val="single" w:sz="8" w:space="0" w:color="auto"/>
            </w:tcBorders>
            <w:shd w:val="clear" w:color="auto" w:fill="auto"/>
            <w:noWrap/>
            <w:vAlign w:val="center"/>
            <w:hideMark/>
          </w:tcPr>
          <w:p>
            <w:pPr>
              <w:jc w:val="center"/>
              <w:outlineLvl w:val="0"/>
              <w:rPr>
                <w:noProof/>
                <w:color w:val="000000"/>
                <w:sz w:val="20"/>
                <w:szCs w:val="20"/>
              </w:rPr>
            </w:pPr>
            <w:r>
              <w:rPr>
                <w:noProof/>
                <w:color w:val="000000"/>
                <w:sz w:val="20"/>
                <w:szCs w:val="20"/>
              </w:rPr>
              <w:t>32,9</w:t>
            </w:r>
          </w:p>
        </w:tc>
      </w:tr>
      <w:tr>
        <w:trPr>
          <w:trHeight w:val="480"/>
        </w:trPr>
        <w:tc>
          <w:tcPr>
            <w:tcW w:w="1984" w:type="dxa"/>
            <w:gridSpan w:val="2"/>
            <w:tcBorders>
              <w:top w:val="single" w:sz="4" w:space="0" w:color="auto"/>
              <w:left w:val="single" w:sz="8" w:space="0" w:color="auto"/>
              <w:bottom w:val="nil"/>
              <w:right w:val="single" w:sz="8" w:space="0" w:color="auto"/>
            </w:tcBorders>
            <w:shd w:val="clear" w:color="auto" w:fill="auto"/>
            <w:noWrap/>
            <w:vAlign w:val="center"/>
            <w:hideMark/>
          </w:tcPr>
          <w:p>
            <w:pPr>
              <w:jc w:val="center"/>
              <w:outlineLvl w:val="0"/>
              <w:rPr>
                <w:b/>
                <w:bCs/>
                <w:noProof/>
                <w:color w:val="000000"/>
                <w:sz w:val="20"/>
                <w:szCs w:val="20"/>
              </w:rPr>
            </w:pPr>
            <w:r>
              <w:rPr>
                <w:b/>
                <w:bCs/>
                <w:noProof/>
                <w:color w:val="000000"/>
                <w:sz w:val="20"/>
                <w:szCs w:val="20"/>
              </w:rPr>
              <w:t>2021-2027 MFF</w:t>
            </w:r>
          </w:p>
        </w:tc>
        <w:tc>
          <w:tcPr>
            <w:tcW w:w="1988" w:type="dxa"/>
            <w:gridSpan w:val="2"/>
            <w:tcBorders>
              <w:top w:val="single" w:sz="4" w:space="0" w:color="auto"/>
              <w:left w:val="nil"/>
              <w:bottom w:val="nil"/>
              <w:right w:val="single" w:sz="8" w:space="0" w:color="auto"/>
            </w:tcBorders>
            <w:shd w:val="clear" w:color="auto" w:fill="auto"/>
            <w:noWrap/>
            <w:vAlign w:val="center"/>
            <w:hideMark/>
          </w:tcPr>
          <w:p>
            <w:pPr>
              <w:outlineLvl w:val="0"/>
              <w:rPr>
                <w:noProof/>
                <w:color w:val="000000"/>
                <w:sz w:val="20"/>
                <w:szCs w:val="20"/>
              </w:rPr>
            </w:pPr>
            <w:r>
              <w:rPr>
                <w:noProof/>
                <w:color w:val="000000"/>
                <w:sz w:val="20"/>
                <w:szCs w:val="20"/>
              </w:rPr>
              <w:t> </w:t>
            </w:r>
          </w:p>
        </w:tc>
        <w:tc>
          <w:tcPr>
            <w:tcW w:w="1984" w:type="dxa"/>
            <w:gridSpan w:val="2"/>
            <w:tcBorders>
              <w:top w:val="single" w:sz="4" w:space="0" w:color="auto"/>
              <w:left w:val="nil"/>
              <w:bottom w:val="nil"/>
              <w:right w:val="single" w:sz="8" w:space="0" w:color="auto"/>
            </w:tcBorders>
            <w:shd w:val="clear" w:color="auto" w:fill="auto"/>
            <w:noWrap/>
            <w:vAlign w:val="center"/>
            <w:hideMark/>
          </w:tcPr>
          <w:p>
            <w:pPr>
              <w:outlineLvl w:val="0"/>
              <w:rPr>
                <w:noProof/>
                <w:color w:val="000000"/>
                <w:sz w:val="20"/>
                <w:szCs w:val="20"/>
              </w:rPr>
            </w:pPr>
            <w:r>
              <w:rPr>
                <w:noProof/>
                <w:color w:val="000000"/>
                <w:sz w:val="20"/>
                <w:szCs w:val="20"/>
              </w:rPr>
              <w:t> </w:t>
            </w:r>
          </w:p>
        </w:tc>
        <w:tc>
          <w:tcPr>
            <w:tcW w:w="2037" w:type="dxa"/>
            <w:gridSpan w:val="2"/>
            <w:tcBorders>
              <w:top w:val="single" w:sz="4" w:space="0" w:color="auto"/>
              <w:left w:val="nil"/>
              <w:bottom w:val="nil"/>
              <w:right w:val="single" w:sz="8" w:space="0" w:color="auto"/>
            </w:tcBorders>
            <w:shd w:val="clear" w:color="auto" w:fill="auto"/>
            <w:vAlign w:val="center"/>
            <w:hideMark/>
          </w:tcPr>
          <w:p>
            <w:pPr>
              <w:jc w:val="center"/>
              <w:outlineLvl w:val="0"/>
              <w:rPr>
                <w:noProof/>
                <w:color w:val="000000"/>
                <w:sz w:val="20"/>
                <w:szCs w:val="20"/>
              </w:rPr>
            </w:pPr>
            <w:r>
              <w:rPr>
                <w:noProof/>
                <w:color w:val="000000"/>
                <w:sz w:val="20"/>
                <w:szCs w:val="20"/>
              </w:rPr>
              <w:t> </w:t>
            </w:r>
          </w:p>
        </w:tc>
        <w:tc>
          <w:tcPr>
            <w:tcW w:w="1984" w:type="dxa"/>
            <w:tcBorders>
              <w:top w:val="single" w:sz="4" w:space="0" w:color="auto"/>
              <w:left w:val="nil"/>
              <w:bottom w:val="nil"/>
              <w:right w:val="single" w:sz="8" w:space="0" w:color="auto"/>
            </w:tcBorders>
            <w:shd w:val="clear" w:color="auto" w:fill="auto"/>
            <w:noWrap/>
            <w:vAlign w:val="center"/>
            <w:hideMark/>
          </w:tcPr>
          <w:p>
            <w:pPr>
              <w:outlineLvl w:val="0"/>
              <w:rPr>
                <w:noProof/>
                <w:color w:val="FF0000"/>
                <w:sz w:val="20"/>
                <w:szCs w:val="20"/>
              </w:rPr>
            </w:pPr>
            <w:r>
              <w:rPr>
                <w:noProof/>
                <w:color w:val="FF0000"/>
                <w:sz w:val="20"/>
                <w:szCs w:val="20"/>
              </w:rPr>
              <w:t> </w:t>
            </w:r>
          </w:p>
        </w:tc>
      </w:tr>
      <w:tr>
        <w:trPr>
          <w:trHeight w:val="510"/>
        </w:trPr>
        <w:tc>
          <w:tcPr>
            <w:tcW w:w="1984" w:type="dxa"/>
            <w:gridSpan w:val="2"/>
            <w:tcBorders>
              <w:top w:val="nil"/>
              <w:left w:val="single" w:sz="8" w:space="0" w:color="auto"/>
              <w:bottom w:val="single" w:sz="8" w:space="0" w:color="auto"/>
              <w:right w:val="single" w:sz="8" w:space="0" w:color="auto"/>
            </w:tcBorders>
            <w:shd w:val="clear" w:color="auto" w:fill="auto"/>
            <w:noWrap/>
            <w:vAlign w:val="center"/>
            <w:hideMark/>
          </w:tcPr>
          <w:p>
            <w:pPr>
              <w:jc w:val="center"/>
              <w:outlineLvl w:val="0"/>
              <w:rPr>
                <w:noProof/>
                <w:color w:val="000000"/>
                <w:sz w:val="20"/>
                <w:szCs w:val="20"/>
              </w:rPr>
            </w:pPr>
            <w:r>
              <w:rPr>
                <w:noProof/>
                <w:color w:val="000000"/>
                <w:sz w:val="20"/>
                <w:szCs w:val="20"/>
              </w:rPr>
              <w:t>n/a</w:t>
            </w:r>
          </w:p>
        </w:tc>
        <w:tc>
          <w:tcPr>
            <w:tcW w:w="1988" w:type="dxa"/>
            <w:gridSpan w:val="2"/>
            <w:tcBorders>
              <w:top w:val="nil"/>
              <w:left w:val="nil"/>
              <w:bottom w:val="single" w:sz="8" w:space="0" w:color="auto"/>
              <w:right w:val="single" w:sz="8" w:space="0" w:color="auto"/>
            </w:tcBorders>
            <w:shd w:val="clear" w:color="auto" w:fill="auto"/>
            <w:noWrap/>
            <w:vAlign w:val="center"/>
            <w:hideMark/>
          </w:tcPr>
          <w:p>
            <w:pPr>
              <w:jc w:val="center"/>
              <w:outlineLvl w:val="0"/>
              <w:rPr>
                <w:noProof/>
                <w:color w:val="000000"/>
                <w:sz w:val="20"/>
                <w:szCs w:val="20"/>
              </w:rPr>
            </w:pPr>
            <w:r>
              <w:rPr>
                <w:noProof/>
                <w:color w:val="000000"/>
                <w:sz w:val="20"/>
                <w:szCs w:val="20"/>
              </w:rPr>
              <w:t>702,7</w:t>
            </w:r>
          </w:p>
        </w:tc>
        <w:tc>
          <w:tcPr>
            <w:tcW w:w="1984" w:type="dxa"/>
            <w:gridSpan w:val="2"/>
            <w:tcBorders>
              <w:top w:val="nil"/>
              <w:left w:val="nil"/>
              <w:bottom w:val="single" w:sz="8" w:space="0" w:color="auto"/>
              <w:right w:val="single" w:sz="8" w:space="0" w:color="auto"/>
            </w:tcBorders>
            <w:shd w:val="clear" w:color="auto" w:fill="auto"/>
            <w:noWrap/>
            <w:vAlign w:val="center"/>
            <w:hideMark/>
          </w:tcPr>
          <w:p>
            <w:pPr>
              <w:jc w:val="center"/>
              <w:outlineLvl w:val="0"/>
              <w:rPr>
                <w:noProof/>
                <w:color w:val="000000"/>
                <w:sz w:val="20"/>
                <w:szCs w:val="20"/>
              </w:rPr>
            </w:pPr>
            <w:r>
              <w:rPr>
                <w:noProof/>
                <w:color w:val="000000"/>
                <w:sz w:val="20"/>
                <w:szCs w:val="20"/>
              </w:rPr>
              <w:t>422,5</w:t>
            </w:r>
          </w:p>
        </w:tc>
        <w:tc>
          <w:tcPr>
            <w:tcW w:w="2037" w:type="dxa"/>
            <w:gridSpan w:val="2"/>
            <w:tcBorders>
              <w:top w:val="nil"/>
              <w:left w:val="nil"/>
              <w:bottom w:val="single" w:sz="8" w:space="0" w:color="auto"/>
              <w:right w:val="single" w:sz="8" w:space="0" w:color="auto"/>
            </w:tcBorders>
            <w:shd w:val="clear" w:color="auto" w:fill="auto"/>
            <w:noWrap/>
            <w:vAlign w:val="center"/>
            <w:hideMark/>
          </w:tcPr>
          <w:p>
            <w:pPr>
              <w:jc w:val="center"/>
              <w:outlineLvl w:val="0"/>
              <w:rPr>
                <w:noProof/>
                <w:color w:val="000000"/>
                <w:sz w:val="20"/>
                <w:szCs w:val="20"/>
              </w:rPr>
            </w:pPr>
            <w:r>
              <w:rPr>
                <w:noProof/>
                <w:color w:val="000000"/>
                <w:sz w:val="20"/>
                <w:szCs w:val="20"/>
              </w:rPr>
              <w:t>-</w:t>
            </w:r>
          </w:p>
        </w:tc>
        <w:tc>
          <w:tcPr>
            <w:tcW w:w="1984" w:type="dxa"/>
            <w:tcBorders>
              <w:top w:val="nil"/>
              <w:left w:val="nil"/>
              <w:bottom w:val="single" w:sz="8" w:space="0" w:color="auto"/>
              <w:right w:val="single" w:sz="8" w:space="0" w:color="auto"/>
            </w:tcBorders>
            <w:shd w:val="clear" w:color="auto" w:fill="auto"/>
            <w:noWrap/>
            <w:vAlign w:val="center"/>
            <w:hideMark/>
          </w:tcPr>
          <w:p>
            <w:pPr>
              <w:jc w:val="center"/>
              <w:outlineLvl w:val="0"/>
              <w:rPr>
                <w:noProof/>
                <w:color w:val="000000"/>
                <w:sz w:val="20"/>
                <w:szCs w:val="20"/>
              </w:rPr>
            </w:pPr>
            <w:r>
              <w:rPr>
                <w:noProof/>
                <w:color w:val="000000"/>
                <w:sz w:val="20"/>
                <w:szCs w:val="20"/>
              </w:rPr>
              <w:t>280,2</w:t>
            </w:r>
          </w:p>
        </w:tc>
      </w:tr>
    </w:tbl>
    <w:p>
      <w:pPr>
        <w:rPr>
          <w:noProof/>
        </w:rPr>
      </w:pPr>
    </w:p>
    <w:p>
      <w:pPr>
        <w:rPr>
          <w:i/>
          <w:noProof/>
          <w:sz w:val="20"/>
        </w:rPr>
      </w:pPr>
      <w:r>
        <w:rPr>
          <w:i/>
          <w:noProof/>
          <w:sz w:val="20"/>
          <w:szCs w:val="20"/>
          <w:lang w:eastAsia="en-US"/>
        </w:rPr>
        <w:t>* The performance reserve set aside during 2014-2019 is included in the RAL, but no payments are foreseen against those commitments before 2020. The RAL does not include outstanding commitments generated from revenues from third countries' contributions</w:t>
      </w:r>
      <w:r>
        <w:rPr>
          <w:i/>
          <w:noProof/>
          <w:sz w:val="20"/>
        </w:rPr>
        <w:tab/>
      </w:r>
      <w:r>
        <w:rPr>
          <w:i/>
          <w:noProof/>
          <w:sz w:val="20"/>
        </w:rPr>
        <w:tab/>
      </w:r>
      <w:r>
        <w:rPr>
          <w:i/>
          <w:noProof/>
          <w:sz w:val="20"/>
        </w:rPr>
        <w:tab/>
      </w:r>
      <w:r>
        <w:rPr>
          <w:i/>
          <w:noProof/>
          <w:sz w:val="20"/>
        </w:rPr>
        <w:tab/>
      </w:r>
    </w:p>
    <w:sectPr>
      <w:headerReference w:type="even" r:id="rId19"/>
      <w:headerReference w:type="default" r:id="rId20"/>
      <w:footerReference w:type="even" r:id="rId21"/>
      <w:footerReference w:type="default" r:id="rId22"/>
      <w:headerReference w:type="first" r:id="rId23"/>
      <w:footerReference w:type="first" r:id="rId24"/>
      <w:pgSz w:w="11906" w:h="16838"/>
      <w:pgMar w:top="1320" w:right="1151" w:bottom="1440" w:left="1151" w:header="720" w:footer="720" w:gutter="0"/>
      <w:pgNumType w:fmt="numberInDash"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p/>
  </w:endnote>
  <w:endnote w:type="continuationSeparator" w:id="0">
    <w:p>
      <w:r>
        <w:continuationSeparator/>
      </w:r>
    </w:p>
    <w:p/>
  </w:endnote>
  <w:endnote w:type="continuationNotice" w:id="1">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41691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- 1 -</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p/>
  </w:footnote>
  <w:footnote w:type="continuationSeparator" w:id="0">
    <w:p>
      <w:r>
        <w:continuationSeparator/>
      </w:r>
    </w:p>
    <w:p/>
  </w:footnote>
  <w:footnote w:type="continuationNotice" w:id="1">
    <w:p/>
    <w:p/>
  </w:footnote>
  <w:footnote w:id="2">
    <w:p>
      <w:pPr>
        <w:pStyle w:val="FootnoteText"/>
      </w:pPr>
      <w:r>
        <w:rPr>
          <w:rStyle w:val="FootnoteReference"/>
        </w:rPr>
        <w:footnoteRef/>
      </w:r>
      <w:r>
        <w:t xml:space="preserve"> Financial Regulation applicable to the general budget of the Union and its rules of application, Regulation (EU, Euratom) 2018/1046 of 30.7.2018.</w:t>
      </w:r>
    </w:p>
  </w:footnote>
  <w:footnote w:id="3">
    <w:p>
      <w:pPr>
        <w:pStyle w:val="FootnoteText"/>
      </w:pPr>
      <w:r>
        <w:footnoteRef/>
      </w:r>
      <w:r>
        <w:t xml:space="preserve"> OJ C66 I, 19.2.2019, p.1.</w:t>
      </w:r>
    </w:p>
  </w:footnote>
  <w:footnote w:id="4">
    <w:p>
      <w:pPr>
        <w:pStyle w:val="FootnoteText"/>
      </w:pPr>
      <w:r>
        <w:rPr>
          <w:rStyle w:val="FootnoteReference"/>
        </w:rPr>
        <w:footnoteRef/>
      </w:r>
      <w:r>
        <w:t xml:space="preserve"> COM(2018)321 to 328 of 2.5.2018</w:t>
      </w:r>
    </w:p>
  </w:footnote>
  <w:footnote w:id="5">
    <w:p>
      <w:pPr>
        <w:pStyle w:val="FootnoteText"/>
        <w:rPr>
          <w:lang w:val="en-US"/>
        </w:rPr>
      </w:pPr>
      <w:r>
        <w:rPr>
          <w:rStyle w:val="FootnoteReference"/>
        </w:rPr>
        <w:footnoteRef/>
      </w:r>
      <w:r>
        <w:t xml:space="preserve"> COM(2018)687 final of 10.10.2018</w:t>
      </w:r>
    </w:p>
  </w:footnote>
  <w:footnote w:id="6">
    <w:p>
      <w:pPr>
        <w:pStyle w:val="FootnoteText"/>
      </w:pPr>
      <w:r>
        <w:rPr>
          <w:rStyle w:val="FootnoteReference"/>
        </w:rPr>
        <w:footnoteRef/>
      </w:r>
      <w:r>
        <w:t xml:space="preserve"> COM(2019)300 final of 15.4.2019</w:t>
      </w:r>
    </w:p>
  </w:footnote>
  <w:footnote w:id="7">
    <w:p>
      <w:pPr>
        <w:pStyle w:val="FootnoteText"/>
      </w:pPr>
      <w:r>
        <w:rPr>
          <w:rStyle w:val="FootnoteReference"/>
        </w:rPr>
        <w:footnoteRef/>
      </w:r>
      <w:r>
        <w:t xml:space="preserve"> COM(2019)320 final of 15.5.2019</w:t>
      </w:r>
    </w:p>
  </w:footnote>
  <w:footnote w:id="8">
    <w:p>
      <w:pPr>
        <w:pStyle w:val="FootnoteText"/>
      </w:pPr>
      <w:r>
        <w:rPr>
          <w:rStyle w:val="FootnoteReference"/>
        </w:rPr>
        <w:footnoteRef/>
      </w:r>
      <w:r>
        <w:t xml:space="preserve"> COM(2019)205 final of 22.5.2019</w:t>
      </w:r>
    </w:p>
  </w:footnote>
  <w:footnote w:id="9">
    <w:p>
      <w:pPr>
        <w:pStyle w:val="FootnoteText"/>
      </w:pPr>
      <w:r>
        <w:rPr>
          <w:rStyle w:val="FootnoteReference"/>
        </w:rPr>
        <w:footnoteRef/>
      </w:r>
      <w:r>
        <w:t xml:space="preserve"> SEC(2019)250 of 5.6.2019</w:t>
      </w:r>
    </w:p>
  </w:footnote>
  <w:footnote w:id="10">
    <w:p>
      <w:pPr>
        <w:pStyle w:val="FootnoteText"/>
        <w:jc w:val="both"/>
        <w:rPr>
          <w:lang w:val="en-US"/>
        </w:rPr>
      </w:pPr>
      <w:r>
        <w:rPr>
          <w:rStyle w:val="FootnoteReference"/>
        </w:rPr>
        <w:footnoteRef/>
      </w:r>
      <w:r>
        <w:t xml:space="preserve"> </w:t>
      </w:r>
      <w:r>
        <w:rPr>
          <w:lang w:val="en-US"/>
        </w:rPr>
        <w:t>Regulation (EU) 2018/2000 of the European Parliament and of the Council of 12 December 2018 amending Regulation (EU) No 516/2014 of the European Parliament and of the Council, as regards the recommitment of the remaining amounts committed to support the implementation of Council Decisions (EU) 2015/1523 and (EU) 2015/1601 or the allocation of those amounts to other actions under the national programmes (OJ L 328, 21.12.2018)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F2"/>
    <w:multiLevelType w:val="singleLevel"/>
    <w:tmpl w:val="4190AB00"/>
    <w:name w:val="Tiret 0"/>
    <w:lvl w:ilvl="0">
      <w:start w:val="1"/>
      <w:numFmt w:val="bullet"/>
      <w:lvlText w:val="–"/>
      <w:lvlJc w:val="left"/>
      <w:pPr>
        <w:tabs>
          <w:tab w:val="num" w:pos="850"/>
        </w:tabs>
        <w:ind w:left="850" w:hanging="850"/>
      </w:pPr>
    </w:lvl>
  </w:abstractNum>
  <w:abstractNum w:abstractNumId="1">
    <w:nsid w:val="04421258"/>
    <w:multiLevelType w:val="hybridMultilevel"/>
    <w:tmpl w:val="F3A242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1578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4D226D"/>
    <w:multiLevelType w:val="hybridMultilevel"/>
    <w:tmpl w:val="B6A09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ED505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29572355"/>
    <w:multiLevelType w:val="hybridMultilevel"/>
    <w:tmpl w:val="5608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9C68F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566"/>
        </w:tabs>
        <w:ind w:left="156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nsid w:val="2CC371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6AC28B0"/>
    <w:multiLevelType w:val="hybridMultilevel"/>
    <w:tmpl w:val="213685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40A54562"/>
    <w:multiLevelType w:val="hybridMultilevel"/>
    <w:tmpl w:val="8286EDAC"/>
    <w:lvl w:ilvl="0" w:tplc="08090001">
      <w:start w:val="1"/>
      <w:numFmt w:val="bullet"/>
      <w:lvlText w:val=""/>
      <w:lvlJc w:val="left"/>
      <w:pPr>
        <w:tabs>
          <w:tab w:val="num" w:pos="720"/>
        </w:tabs>
        <w:ind w:left="720" w:hanging="360"/>
      </w:pPr>
      <w:rPr>
        <w:rFonts w:ascii="Symbol" w:hAnsi="Symbol" w:hint="default"/>
      </w:rPr>
    </w:lvl>
    <w:lvl w:ilvl="1" w:tplc="08090019">
      <w:start w:val="1"/>
      <w:numFmt w:val="bullet"/>
      <w:lvlText w:val=""/>
      <w:lvlJc w:val="left"/>
      <w:pPr>
        <w:tabs>
          <w:tab w:val="num" w:pos="3905"/>
        </w:tabs>
        <w:ind w:left="3905" w:hanging="360"/>
      </w:pPr>
      <w:rPr>
        <w:rFonts w:ascii="Wingdings" w:hAnsi="Wingdings" w:hint="default"/>
      </w:rPr>
    </w:lvl>
    <w:lvl w:ilvl="2" w:tplc="0809001B">
      <w:start w:val="1"/>
      <w:numFmt w:val="decimal"/>
      <w:lvlText w:val="%3."/>
      <w:lvlJc w:val="left"/>
      <w:pPr>
        <w:tabs>
          <w:tab w:val="num" w:pos="2160"/>
        </w:tabs>
        <w:ind w:left="2160" w:hanging="360"/>
      </w:pPr>
      <w:rPr>
        <w:rFonts w:hint="default"/>
      </w:rPr>
    </w:lvl>
    <w:lvl w:ilvl="3" w:tplc="8184259A">
      <w:numFmt w:val="bullet"/>
      <w:lvlText w:val="•"/>
      <w:lvlJc w:val="left"/>
      <w:pPr>
        <w:ind w:left="2880" w:hanging="360"/>
      </w:pPr>
      <w:rPr>
        <w:rFonts w:ascii="Times New Roman" w:eastAsia="Times New Roman" w:hAnsi="Times New Roman" w:cs="Times New Roman"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1">
    <w:nsid w:val="489956A0"/>
    <w:multiLevelType w:val="singleLevel"/>
    <w:tmpl w:val="6520E3F6"/>
    <w:lvl w:ilvl="0">
      <w:start w:val="1"/>
      <w:numFmt w:val="bullet"/>
      <w:lvlRestart w:val="0"/>
      <w:pStyle w:val="Tiret0"/>
      <w:lvlText w:val="–"/>
      <w:lvlJc w:val="left"/>
      <w:pPr>
        <w:tabs>
          <w:tab w:val="num" w:pos="850"/>
        </w:tabs>
        <w:ind w:left="850" w:hanging="850"/>
      </w:pPr>
    </w:lvl>
  </w:abstractNum>
  <w:abstractNum w:abstractNumId="12">
    <w:nsid w:val="4D3527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F8732B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6913628"/>
    <w:multiLevelType w:val="hybridMultilevel"/>
    <w:tmpl w:val="C5E810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
      <w:lvlJc w:val="left"/>
      <w:pPr>
        <w:tabs>
          <w:tab w:val="num" w:pos="3905"/>
        </w:tabs>
        <w:ind w:left="3905" w:hanging="360"/>
      </w:pPr>
      <w:rPr>
        <w:rFonts w:ascii="Wingdings" w:hAnsi="Wingdings" w:hint="default"/>
      </w:rPr>
    </w:lvl>
    <w:lvl w:ilvl="2" w:tplc="08090005">
      <w:start w:val="1"/>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7BF14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AD31103"/>
    <w:multiLevelType w:val="hybridMultilevel"/>
    <w:tmpl w:val="9228A87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C3D65A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24C4580"/>
    <w:multiLevelType w:val="hybridMultilevel"/>
    <w:tmpl w:val="0D282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64B0DA2"/>
    <w:multiLevelType w:val="hybridMultilevel"/>
    <w:tmpl w:val="5E5C631A"/>
    <w:name w:val="Heading"/>
    <w:lvl w:ilvl="0" w:tplc="70C0E33E">
      <w:start w:val="1"/>
      <w:numFmt w:val="bullet"/>
      <w:lvlText w:val=""/>
      <w:lvlJc w:val="left"/>
      <w:pPr>
        <w:tabs>
          <w:tab w:val="num" w:pos="720"/>
        </w:tabs>
        <w:ind w:left="720" w:hanging="360"/>
      </w:pPr>
      <w:rPr>
        <w:rFonts w:ascii="Wingdings" w:hAnsi="Wingdings" w:hint="default"/>
      </w:rPr>
    </w:lvl>
    <w:lvl w:ilvl="1" w:tplc="5608EE86" w:tentative="1">
      <w:start w:val="1"/>
      <w:numFmt w:val="bullet"/>
      <w:lvlText w:val="o"/>
      <w:lvlJc w:val="left"/>
      <w:pPr>
        <w:tabs>
          <w:tab w:val="num" w:pos="1440"/>
        </w:tabs>
        <w:ind w:left="1440" w:hanging="360"/>
      </w:pPr>
      <w:rPr>
        <w:rFonts w:ascii="Courier New" w:hAnsi="Courier New" w:cs="Courier New" w:hint="default"/>
      </w:rPr>
    </w:lvl>
    <w:lvl w:ilvl="2" w:tplc="30244C20" w:tentative="1">
      <w:start w:val="1"/>
      <w:numFmt w:val="bullet"/>
      <w:lvlText w:val=""/>
      <w:lvlJc w:val="left"/>
      <w:pPr>
        <w:tabs>
          <w:tab w:val="num" w:pos="2160"/>
        </w:tabs>
        <w:ind w:left="2160" w:hanging="360"/>
      </w:pPr>
      <w:rPr>
        <w:rFonts w:ascii="Wingdings" w:hAnsi="Wingdings" w:hint="default"/>
      </w:rPr>
    </w:lvl>
    <w:lvl w:ilvl="3" w:tplc="E5CE95E6" w:tentative="1">
      <w:start w:val="1"/>
      <w:numFmt w:val="bullet"/>
      <w:lvlText w:val=""/>
      <w:lvlJc w:val="left"/>
      <w:pPr>
        <w:tabs>
          <w:tab w:val="num" w:pos="2880"/>
        </w:tabs>
        <w:ind w:left="2880" w:hanging="360"/>
      </w:pPr>
      <w:rPr>
        <w:rFonts w:ascii="Symbol" w:hAnsi="Symbol" w:hint="default"/>
      </w:rPr>
    </w:lvl>
    <w:lvl w:ilvl="4" w:tplc="0100D990" w:tentative="1">
      <w:start w:val="1"/>
      <w:numFmt w:val="bullet"/>
      <w:lvlText w:val="o"/>
      <w:lvlJc w:val="left"/>
      <w:pPr>
        <w:tabs>
          <w:tab w:val="num" w:pos="3600"/>
        </w:tabs>
        <w:ind w:left="3600" w:hanging="360"/>
      </w:pPr>
      <w:rPr>
        <w:rFonts w:ascii="Courier New" w:hAnsi="Courier New" w:cs="Courier New" w:hint="default"/>
      </w:rPr>
    </w:lvl>
    <w:lvl w:ilvl="5" w:tplc="FC88B498" w:tentative="1">
      <w:start w:val="1"/>
      <w:numFmt w:val="bullet"/>
      <w:lvlText w:val=""/>
      <w:lvlJc w:val="left"/>
      <w:pPr>
        <w:tabs>
          <w:tab w:val="num" w:pos="4320"/>
        </w:tabs>
        <w:ind w:left="4320" w:hanging="360"/>
      </w:pPr>
      <w:rPr>
        <w:rFonts w:ascii="Wingdings" w:hAnsi="Wingdings" w:hint="default"/>
      </w:rPr>
    </w:lvl>
    <w:lvl w:ilvl="6" w:tplc="D4D21692" w:tentative="1">
      <w:start w:val="1"/>
      <w:numFmt w:val="bullet"/>
      <w:lvlText w:val=""/>
      <w:lvlJc w:val="left"/>
      <w:pPr>
        <w:tabs>
          <w:tab w:val="num" w:pos="5040"/>
        </w:tabs>
        <w:ind w:left="5040" w:hanging="360"/>
      </w:pPr>
      <w:rPr>
        <w:rFonts w:ascii="Symbol" w:hAnsi="Symbol" w:hint="default"/>
      </w:rPr>
    </w:lvl>
    <w:lvl w:ilvl="7" w:tplc="3B12B370" w:tentative="1">
      <w:start w:val="1"/>
      <w:numFmt w:val="bullet"/>
      <w:lvlText w:val="o"/>
      <w:lvlJc w:val="left"/>
      <w:pPr>
        <w:tabs>
          <w:tab w:val="num" w:pos="5760"/>
        </w:tabs>
        <w:ind w:left="5760" w:hanging="360"/>
      </w:pPr>
      <w:rPr>
        <w:rFonts w:ascii="Courier New" w:hAnsi="Courier New" w:cs="Courier New" w:hint="default"/>
      </w:rPr>
    </w:lvl>
    <w:lvl w:ilvl="8" w:tplc="46463BCA" w:tentative="1">
      <w:start w:val="1"/>
      <w:numFmt w:val="bullet"/>
      <w:lvlText w:val=""/>
      <w:lvlJc w:val="left"/>
      <w:pPr>
        <w:tabs>
          <w:tab w:val="num" w:pos="6480"/>
        </w:tabs>
        <w:ind w:left="6480" w:hanging="360"/>
      </w:pPr>
      <w:rPr>
        <w:rFonts w:ascii="Wingdings" w:hAnsi="Wingdings" w:hint="default"/>
      </w:rPr>
    </w:lvl>
  </w:abstractNum>
  <w:abstractNum w:abstractNumId="20">
    <w:nsid w:val="66870614"/>
    <w:multiLevelType w:val="hybridMultilevel"/>
    <w:tmpl w:val="995A9EAA"/>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1">
    <w:nsid w:val="6715525B"/>
    <w:multiLevelType w:val="hybridMultilevel"/>
    <w:tmpl w:val="F3905F4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72DB0EF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5215256"/>
    <w:multiLevelType w:val="hybridMultilevel"/>
    <w:tmpl w:val="F8F0A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7460620"/>
    <w:multiLevelType w:val="hybridMultilevel"/>
    <w:tmpl w:val="6E620E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EC3634E"/>
    <w:multiLevelType w:val="hybridMultilevel"/>
    <w:tmpl w:val="F3905F4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7F117AE3"/>
    <w:multiLevelType w:val="hybridMultilevel"/>
    <w:tmpl w:val="F7EEF178"/>
    <w:lvl w:ilvl="0" w:tplc="6AAA8028">
      <w:start w:val="1"/>
      <w:numFmt w:val="bullet"/>
      <w:lvlText w:val=""/>
      <w:lvlJc w:val="left"/>
      <w:pPr>
        <w:tabs>
          <w:tab w:val="num" w:pos="720"/>
        </w:tabs>
        <w:ind w:left="720" w:hanging="360"/>
      </w:pPr>
      <w:rPr>
        <w:rFonts w:ascii="Wingdings" w:hAnsi="Wingdings" w:hint="default"/>
      </w:rPr>
    </w:lvl>
    <w:lvl w:ilvl="1" w:tplc="F9AE0BC2">
      <w:start w:val="1"/>
      <w:numFmt w:val="bullet"/>
      <w:lvlText w:val=""/>
      <w:lvlJc w:val="left"/>
      <w:pPr>
        <w:tabs>
          <w:tab w:val="num" w:pos="3905"/>
        </w:tabs>
        <w:ind w:left="3905" w:hanging="360"/>
      </w:pPr>
      <w:rPr>
        <w:rFonts w:ascii="Wingdings" w:hAnsi="Wingdings" w:hint="default"/>
      </w:rPr>
    </w:lvl>
    <w:lvl w:ilvl="2" w:tplc="6FC8AB52">
      <w:start w:val="1"/>
      <w:numFmt w:val="decimal"/>
      <w:lvlText w:val="%3."/>
      <w:lvlJc w:val="left"/>
      <w:pPr>
        <w:tabs>
          <w:tab w:val="num" w:pos="2160"/>
        </w:tabs>
        <w:ind w:left="2160" w:hanging="360"/>
      </w:pPr>
      <w:rPr>
        <w:rFonts w:hint="default"/>
      </w:rPr>
    </w:lvl>
    <w:lvl w:ilvl="3" w:tplc="0E96D468" w:tentative="1">
      <w:start w:val="1"/>
      <w:numFmt w:val="bullet"/>
      <w:lvlText w:val=""/>
      <w:lvlJc w:val="left"/>
      <w:pPr>
        <w:tabs>
          <w:tab w:val="num" w:pos="2880"/>
        </w:tabs>
        <w:ind w:left="2880" w:hanging="360"/>
      </w:pPr>
      <w:rPr>
        <w:rFonts w:ascii="Symbol" w:hAnsi="Symbol" w:hint="default"/>
      </w:rPr>
    </w:lvl>
    <w:lvl w:ilvl="4" w:tplc="2F8C92AC" w:tentative="1">
      <w:start w:val="1"/>
      <w:numFmt w:val="bullet"/>
      <w:lvlText w:val="o"/>
      <w:lvlJc w:val="left"/>
      <w:pPr>
        <w:tabs>
          <w:tab w:val="num" w:pos="3600"/>
        </w:tabs>
        <w:ind w:left="3600" w:hanging="360"/>
      </w:pPr>
      <w:rPr>
        <w:rFonts w:ascii="Courier New" w:hAnsi="Courier New" w:cs="Courier New" w:hint="default"/>
      </w:rPr>
    </w:lvl>
    <w:lvl w:ilvl="5" w:tplc="68BEBA64" w:tentative="1">
      <w:start w:val="1"/>
      <w:numFmt w:val="bullet"/>
      <w:lvlText w:val=""/>
      <w:lvlJc w:val="left"/>
      <w:pPr>
        <w:tabs>
          <w:tab w:val="num" w:pos="4320"/>
        </w:tabs>
        <w:ind w:left="4320" w:hanging="360"/>
      </w:pPr>
      <w:rPr>
        <w:rFonts w:ascii="Wingdings" w:hAnsi="Wingdings" w:hint="default"/>
      </w:rPr>
    </w:lvl>
    <w:lvl w:ilvl="6" w:tplc="466CF938" w:tentative="1">
      <w:start w:val="1"/>
      <w:numFmt w:val="bullet"/>
      <w:lvlText w:val=""/>
      <w:lvlJc w:val="left"/>
      <w:pPr>
        <w:tabs>
          <w:tab w:val="num" w:pos="5040"/>
        </w:tabs>
        <w:ind w:left="5040" w:hanging="360"/>
      </w:pPr>
      <w:rPr>
        <w:rFonts w:ascii="Symbol" w:hAnsi="Symbol" w:hint="default"/>
      </w:rPr>
    </w:lvl>
    <w:lvl w:ilvl="7" w:tplc="8FE826AC" w:tentative="1">
      <w:start w:val="1"/>
      <w:numFmt w:val="bullet"/>
      <w:lvlText w:val="o"/>
      <w:lvlJc w:val="left"/>
      <w:pPr>
        <w:tabs>
          <w:tab w:val="num" w:pos="5760"/>
        </w:tabs>
        <w:ind w:left="5760" w:hanging="360"/>
      </w:pPr>
      <w:rPr>
        <w:rFonts w:ascii="Courier New" w:hAnsi="Courier New" w:cs="Courier New" w:hint="default"/>
      </w:rPr>
    </w:lvl>
    <w:lvl w:ilvl="8" w:tplc="E0524B4E"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7"/>
  </w:num>
  <w:num w:numId="4">
    <w:abstractNumId w:val="26"/>
  </w:num>
  <w:num w:numId="5">
    <w:abstractNumId w:val="14"/>
  </w:num>
  <w:num w:numId="6">
    <w:abstractNumId w:val="10"/>
  </w:num>
  <w:num w:numId="7">
    <w:abstractNumId w:val="4"/>
  </w:num>
  <w:num w:numId="8">
    <w:abstractNumId w:val="25"/>
  </w:num>
  <w:num w:numId="9">
    <w:abstractNumId w:val="3"/>
  </w:num>
  <w:num w:numId="10">
    <w:abstractNumId w:val="23"/>
  </w:num>
  <w:num w:numId="11">
    <w:abstractNumId w:val="1"/>
  </w:num>
  <w:num w:numId="12">
    <w:abstractNumId w:val="5"/>
  </w:num>
  <w:num w:numId="13">
    <w:abstractNumId w:val="20"/>
  </w:num>
  <w:num w:numId="14">
    <w:abstractNumId w:val="24"/>
  </w:num>
  <w:num w:numId="15">
    <w:abstractNumId w:val="6"/>
  </w:num>
  <w:num w:numId="16">
    <w:abstractNumId w:val="21"/>
  </w:num>
  <w:num w:numId="17">
    <w:abstractNumId w:val="16"/>
  </w:num>
  <w:num w:numId="18">
    <w:abstractNumId w:val="9"/>
  </w:num>
  <w:num w:numId="19">
    <w:abstractNumId w:val="18"/>
  </w:num>
  <w:num w:numId="20">
    <w:abstractNumId w:val="26"/>
    <w:lvlOverride w:ilvl="0"/>
    <w:lvlOverride w:ilvl="1"/>
    <w:lvlOverride w:ilvl="2">
      <w:startOverride w:val="1"/>
    </w:lvlOverride>
    <w:lvlOverride w:ilvl="3"/>
    <w:lvlOverride w:ilvl="4"/>
    <w:lvlOverride w:ilvl="5"/>
    <w:lvlOverride w:ilvl="6"/>
    <w:lvlOverride w:ilvl="7"/>
    <w:lvlOverride w:ilvl="8"/>
  </w:num>
  <w:num w:numId="21">
    <w:abstractNumId w:val="2"/>
  </w:num>
  <w:num w:numId="22">
    <w:abstractNumId w:val="16"/>
  </w:num>
  <w:num w:numId="23">
    <w:abstractNumId w:val="14"/>
    <w:lvlOverride w:ilvl="0"/>
    <w:lvlOverride w:ilvl="1"/>
    <w:lvlOverride w:ilvl="2">
      <w:startOverride w:val="1"/>
    </w:lvlOverride>
    <w:lvlOverride w:ilvl="3"/>
    <w:lvlOverride w:ilvl="4"/>
    <w:lvlOverride w:ilvl="5"/>
    <w:lvlOverride w:ilvl="6"/>
    <w:lvlOverride w:ilvl="7"/>
    <w:lvlOverride w:ilvl="8"/>
  </w:num>
  <w:num w:numId="24">
    <w:abstractNumId w:val="12"/>
  </w:num>
  <w:num w:numId="25">
    <w:abstractNumId w:val="22"/>
  </w:num>
  <w:num w:numId="26">
    <w:abstractNumId w:val="8"/>
  </w:num>
  <w:num w:numId="27">
    <w:abstractNumId w:val="15"/>
  </w:num>
  <w:num w:numId="28">
    <w:abstractNumId w:val="17"/>
  </w:num>
  <w:num w:numId="29">
    <w:abstractNumId w:val="13"/>
  </w:num>
  <w:num w:numId="30">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120"/>
  <w:displayHorizontalDrawingGridEvery w:val="2"/>
  <w:noPunctuationKerning/>
  <w:characterSpacingControl w:val="doNotCompress"/>
  <w:hdrShapeDefaults>
    <o:shapedefaults v:ext="edit" spidmax="61441"/>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CORRIGENDUM" w:val="&lt;UNUSED&gt;"/>
    <w:docVar w:name="LW_COVERPAGE_EXISTS" w:val="True"/>
    <w:docVar w:name="LW_COVERPAGE_GUID" w:val="0E71F8FE-340C-409B-9ECA-C1F89FC93AD0"/>
    <w:docVar w:name="LW_COVERPAGE_TYPE" w:val="1"/>
    <w:docVar w:name="LW_CROSSREFERENCE" w:val="&lt;UNUSED&gt;"/>
    <w:docVar w:name="LW_DocType" w:val="NORMAL"/>
    <w:docVar w:name="LW_EMISSION" w:val="26.6.2019"/>
    <w:docVar w:name="LW_EMISSION_ISODATE" w:val="2019-06-26"/>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3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ong-term forecast of future inflows and outflows of the EU budget (2020-2024)"/>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Text1"/>
    <w:link w:val="Heading1Char"/>
    <w:qFormat/>
    <w:pPr>
      <w:keepNext/>
      <w:tabs>
        <w:tab w:val="num" w:pos="480"/>
      </w:tabs>
      <w:spacing w:before="240" w:after="240"/>
      <w:ind w:left="480" w:hanging="480"/>
      <w:jc w:val="both"/>
      <w:outlineLvl w:val="0"/>
    </w:pPr>
    <w:rPr>
      <w:b/>
      <w:smallCaps/>
      <w:szCs w:val="20"/>
      <w:lang w:eastAsia="en-US"/>
    </w:rPr>
  </w:style>
  <w:style w:type="paragraph" w:styleId="Heading2">
    <w:name w:val="heading 2"/>
    <w:basedOn w:val="Normal"/>
    <w:next w:val="Normal"/>
    <w:link w:val="Heading2Char"/>
    <w:qFormat/>
    <w:pPr>
      <w:keepNext/>
      <w:tabs>
        <w:tab w:val="num" w:pos="1200"/>
      </w:tabs>
      <w:spacing w:after="240"/>
      <w:ind w:left="1200" w:hanging="720"/>
      <w:jc w:val="both"/>
      <w:outlineLvl w:val="1"/>
    </w:pPr>
    <w:rPr>
      <w:b/>
      <w:szCs w:val="20"/>
      <w:lang w:eastAsia="en-US"/>
    </w:rPr>
  </w:style>
  <w:style w:type="paragraph" w:styleId="Heading3">
    <w:name w:val="heading 3"/>
    <w:basedOn w:val="Normal"/>
    <w:next w:val="Normal"/>
    <w:qFormat/>
    <w:pPr>
      <w:keepNext/>
      <w:spacing w:before="240" w:after="60"/>
      <w:outlineLvl w:val="2"/>
    </w:pPr>
    <w:rPr>
      <w:rFonts w:ascii="Arial" w:hAnsi="Arial"/>
      <w:szCs w:val="20"/>
      <w:lang w:val="fr-FR"/>
    </w:rPr>
  </w:style>
  <w:style w:type="paragraph" w:styleId="Heading4">
    <w:name w:val="heading 4"/>
    <w:basedOn w:val="Normal"/>
    <w:next w:val="Normal"/>
    <w:qFormat/>
    <w:pPr>
      <w:keepNext/>
      <w:tabs>
        <w:tab w:val="num" w:pos="1920"/>
      </w:tabs>
      <w:spacing w:after="240"/>
      <w:ind w:left="1920" w:hanging="720"/>
      <w:jc w:val="both"/>
      <w:outlineLvl w:val="3"/>
    </w:pPr>
    <w:rPr>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9072"/>
      </w:tabs>
    </w:pPr>
    <w:rPr>
      <w:szCs w:val="20"/>
      <w:lang w:val="fr-FR"/>
    </w:rPr>
  </w:style>
  <w:style w:type="paragraph" w:styleId="Header">
    <w:name w:val="header"/>
    <w:basedOn w:val="Normal"/>
    <w:pPr>
      <w:tabs>
        <w:tab w:val="center" w:pos="4536"/>
        <w:tab w:val="right" w:pos="9072"/>
      </w:tabs>
    </w:pPr>
  </w:style>
  <w:style w:type="paragraph" w:styleId="BalloonText">
    <w:name w:val="Balloon Text"/>
    <w:basedOn w:val="Normal"/>
    <w:semiHidden/>
    <w:rPr>
      <w:rFonts w:ascii="Tahoma" w:hAnsi="Tahoma" w:cs="Tahoma"/>
      <w:sz w:val="16"/>
      <w:szCs w:val="16"/>
    </w:rPr>
  </w:style>
  <w:style w:type="paragraph" w:styleId="FootnoteText">
    <w:name w:val="footnote text"/>
    <w:aliases w:val="fn,footnote text,footnote text Char Char,Car,Footnote Text Char2 Char,Footnote Text Char Char Char1,Footnote Text Char1 Char Char Char,Footnote Text Char2 Char Char Char Char,Footnote Text Char1 Char1 Char Char Char Char,Car Car Ca"/>
    <w:basedOn w:val="Normal"/>
    <w:link w:val="FootnoteTextChar"/>
    <w:uiPriority w:val="99"/>
    <w:qFormat/>
    <w:rPr>
      <w:sz w:val="20"/>
      <w:szCs w:val="20"/>
    </w:rPr>
  </w:style>
  <w:style w:type="character" w:styleId="FootnoteReference">
    <w:name w:val="footnote reference"/>
    <w:aliases w:val="Footnote,Footnote number,Footnote symbol,Footnote Reference Number,Footnote reference number,Times 10 Point,Exposant 3 Point,Voetnootverwijzing,fr,o,Footnotemark,FR,Footnotemark1,Footnotemark2,FR1,Footnotemark3,FR2,Footnotemark4,FR3"/>
    <w:basedOn w:val="DefaultParagraphFont"/>
    <w:uiPriority w:val="99"/>
    <w:qFormat/>
    <w:rPr>
      <w:vertAlign w:val="superscript"/>
    </w:rPr>
  </w:style>
  <w:style w:type="paragraph" w:customStyle="1" w:styleId="ZCom">
    <w:name w:val="Z_Com"/>
    <w:basedOn w:val="Normal"/>
    <w:next w:val="ZDGName"/>
    <w:pPr>
      <w:widowControl w:val="0"/>
      <w:autoSpaceDE w:val="0"/>
      <w:autoSpaceDN w:val="0"/>
      <w:ind w:right="85"/>
      <w:jc w:val="both"/>
    </w:pPr>
    <w:rPr>
      <w:rFonts w:ascii="Arial" w:hAnsi="Arial" w:cs="Arial"/>
      <w:lang w:val="fr-FR" w:eastAsia="ko-KR"/>
    </w:rPr>
  </w:style>
  <w:style w:type="paragraph" w:customStyle="1" w:styleId="ZDGName">
    <w:name w:val="Z_DGName"/>
    <w:basedOn w:val="Normal"/>
    <w:pPr>
      <w:widowControl w:val="0"/>
      <w:autoSpaceDE w:val="0"/>
      <w:autoSpaceDN w:val="0"/>
      <w:ind w:right="85"/>
    </w:pPr>
    <w:rPr>
      <w:rFonts w:ascii="Arial" w:hAnsi="Arial" w:cs="Arial"/>
      <w:sz w:val="16"/>
      <w:szCs w:val="16"/>
      <w:lang w:val="fr-FR" w:eastAsia="ko-KR"/>
    </w:rPr>
  </w:style>
  <w:style w:type="paragraph" w:customStyle="1" w:styleId="NoteHead">
    <w:name w:val="NoteHead"/>
    <w:basedOn w:val="Normal"/>
    <w:next w:val="Normal"/>
    <w:pPr>
      <w:spacing w:before="720" w:after="720"/>
      <w:jc w:val="center"/>
    </w:pPr>
    <w:rPr>
      <w:b/>
      <w:smallCaps/>
      <w:szCs w:val="20"/>
      <w:lang w:eastAsia="en-US"/>
    </w:rPr>
  </w:style>
  <w:style w:type="paragraph" w:customStyle="1" w:styleId="Text3">
    <w:name w:val="Text 3"/>
    <w:basedOn w:val="Normal"/>
    <w:pPr>
      <w:spacing w:before="120" w:after="120"/>
      <w:ind w:left="851"/>
      <w:jc w:val="both"/>
    </w:pPr>
    <w:rPr>
      <w:szCs w:val="20"/>
      <w:lang w:eastAsia="fr-BE"/>
    </w:rPr>
  </w:style>
  <w:style w:type="paragraph" w:customStyle="1" w:styleId="Tiret0">
    <w:name w:val="Tiret 0"/>
    <w:basedOn w:val="Normal"/>
    <w:link w:val="Tiret0Char"/>
    <w:uiPriority w:val="99"/>
    <w:pPr>
      <w:numPr>
        <w:numId w:val="1"/>
      </w:numPr>
      <w:spacing w:before="120" w:after="120"/>
      <w:jc w:val="both"/>
    </w:pPr>
  </w:style>
  <w:style w:type="character" w:customStyle="1" w:styleId="Tiret0Char">
    <w:name w:val="Tiret 0 Char"/>
    <w:basedOn w:val="DefaultParagraphFont"/>
    <w:link w:val="Tiret0"/>
    <w:rPr>
      <w:sz w:val="24"/>
      <w:szCs w:val="24"/>
    </w:rPr>
  </w:style>
  <w:style w:type="character" w:styleId="PageNumber">
    <w:name w:val="page number"/>
    <w:basedOn w:val="DefaultParagraphFont"/>
  </w:style>
  <w:style w:type="paragraph" w:customStyle="1" w:styleId="Text1">
    <w:name w:val="Text 1"/>
    <w:basedOn w:val="Normal"/>
    <w:link w:val="Text1Char"/>
    <w:pPr>
      <w:spacing w:after="240"/>
      <w:ind w:left="482"/>
      <w:jc w:val="both"/>
    </w:pPr>
    <w:rPr>
      <w:szCs w:val="20"/>
      <w:lang w:eastAsia="en-US"/>
    </w:rPr>
  </w:style>
  <w:style w:type="paragraph" w:customStyle="1" w:styleId="Text2">
    <w:name w:val="Text 2"/>
    <w:basedOn w:val="Normal"/>
    <w:pPr>
      <w:tabs>
        <w:tab w:val="left" w:pos="2160"/>
      </w:tabs>
      <w:spacing w:after="240"/>
      <w:ind w:left="1077"/>
      <w:jc w:val="both"/>
    </w:pPr>
    <w:rPr>
      <w:szCs w:val="20"/>
      <w:lang w:eastAsia="en-US"/>
    </w:rPr>
  </w:style>
  <w:style w:type="paragraph" w:styleId="ListBullet2">
    <w:name w:val="List Bullet 2"/>
    <w:basedOn w:val="Text2"/>
    <w:pPr>
      <w:numPr>
        <w:numId w:val="3"/>
      </w:numPr>
      <w:tabs>
        <w:tab w:val="clear" w:pos="2160"/>
      </w:tabs>
    </w:pPr>
  </w:style>
  <w:style w:type="table" w:styleId="TableGrid">
    <w:name w:val="Table Grid"/>
    <w:basedOn w:val="TableNormal"/>
    <w:uiPriority w:val="5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ject">
    <w:name w:val="Subject"/>
    <w:basedOn w:val="Normal"/>
    <w:next w:val="Normal"/>
    <w:pPr>
      <w:spacing w:after="480"/>
      <w:ind w:left="1191" w:hanging="1191"/>
    </w:pPr>
    <w:rPr>
      <w:b/>
      <w:szCs w:val="20"/>
      <w:lang w:eastAsia="en-US"/>
    </w:rPr>
  </w:style>
  <w:style w:type="character" w:customStyle="1" w:styleId="Text1Char">
    <w:name w:val="Text 1 Char"/>
    <w:basedOn w:val="DefaultParagraphFont"/>
    <w:link w:val="Text1"/>
    <w:rPr>
      <w:sz w:val="24"/>
      <w:lang w:val="en-GB" w:eastAsia="en-US" w:bidi="ar-SA"/>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Heading1Char">
    <w:name w:val="Heading 1 Char"/>
    <w:basedOn w:val="DefaultParagraphFont"/>
    <w:link w:val="Heading1"/>
    <w:rPr>
      <w:b/>
      <w:smallCaps/>
      <w:sz w:val="24"/>
      <w:lang w:eastAsia="en-US"/>
    </w:rPr>
  </w:style>
  <w:style w:type="character" w:customStyle="1" w:styleId="Heading2Char">
    <w:name w:val="Heading 2 Char"/>
    <w:basedOn w:val="DefaultParagraphFont"/>
    <w:link w:val="Heading2"/>
    <w:rPr>
      <w:b/>
      <w:sz w:val="24"/>
      <w:lang w:eastAsia="en-US"/>
    </w:rPr>
  </w:style>
  <w:style w:type="character" w:customStyle="1" w:styleId="FootnoteTextChar">
    <w:name w:val="Footnote Text Char"/>
    <w:aliases w:val="fn Char,footnote text Char,footnote text Char Char Char,Car Char,Footnote Text Char2 Char Char,Footnote Text Char Char Char1 Char,Footnote Text Char1 Char Char Char Char,Footnote Text Char2 Char Char Char Char Char,Car Car Ca Char"/>
    <w:basedOn w:val="DefaultParagraphFont"/>
    <w:link w:val="FootnoteText"/>
    <w:uiPriority w:val="99"/>
  </w:style>
  <w:style w:type="paragraph" w:styleId="Revision">
    <w:name w:val="Revision"/>
    <w:hidden/>
    <w:uiPriority w:val="99"/>
    <w:semiHidden/>
    <w:rPr>
      <w:sz w:val="24"/>
      <w:szCs w:val="24"/>
    </w:rPr>
  </w:style>
  <w:style w:type="paragraph" w:styleId="ListParagraph">
    <w:name w:val="List Paragraph"/>
    <w:basedOn w:val="Normal"/>
    <w:uiPriority w:val="34"/>
    <w:qFormat/>
    <w:pPr>
      <w:ind w:left="720"/>
    </w:pPr>
    <w:rPr>
      <w:rFonts w:ascii="Calibri" w:hAnsi="Calibri"/>
      <w:sz w:val="22"/>
      <w:szCs w:val="22"/>
      <w:lang w:eastAsia="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FooterChar">
    <w:name w:val="Footer Char"/>
    <w:basedOn w:val="DefaultParagraphFont"/>
    <w:link w:val="Footer"/>
    <w:uiPriority w:val="99"/>
    <w:rPr>
      <w:sz w:val="24"/>
      <w:lang w:val="fr-FR"/>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styleId="Caption">
    <w:name w:val="caption"/>
    <w:basedOn w:val="Normal"/>
    <w:next w:val="Normal"/>
    <w:link w:val="CaptionChar"/>
    <w:unhideWhenUsed/>
    <w:qFormat/>
    <w:pPr>
      <w:spacing w:after="200"/>
    </w:pPr>
    <w:rPr>
      <w:b/>
      <w:bCs/>
      <w:color w:val="4F81BD" w:themeColor="accent1"/>
      <w:sz w:val="18"/>
      <w:szCs w:val="18"/>
    </w:rPr>
  </w:style>
  <w:style w:type="character" w:styleId="Strong">
    <w:name w:val="Strong"/>
    <w:basedOn w:val="DefaultParagraphFont"/>
    <w:uiPriority w:val="22"/>
    <w:qFormat/>
    <w:rPr>
      <w:b/>
      <w:bCs/>
    </w:rPr>
  </w:style>
  <w:style w:type="paragraph" w:styleId="TOCHeading">
    <w:name w:val="TOC Heading"/>
    <w:basedOn w:val="Heading1"/>
    <w:next w:val="Normal"/>
    <w:uiPriority w:val="39"/>
    <w:unhideWhenUsed/>
    <w:qFormat/>
    <w:pPr>
      <w:keepLines/>
      <w:tabs>
        <w:tab w:val="clear" w:pos="480"/>
      </w:tabs>
      <w:spacing w:before="480" w:after="0" w:line="276" w:lineRule="auto"/>
      <w:ind w:left="0" w:firstLine="0"/>
      <w:jc w:val="left"/>
      <w:outlineLvl w:val="9"/>
    </w:pPr>
    <w:rPr>
      <w:rFonts w:asciiTheme="majorHAnsi" w:eastAsiaTheme="majorEastAsia" w:hAnsiTheme="majorHAnsi" w:cstheme="majorBidi"/>
      <w:bCs/>
      <w:smallCaps w:val="0"/>
      <w:color w:val="365F91" w:themeColor="accent1" w:themeShade="BF"/>
      <w:sz w:val="28"/>
      <w:szCs w:val="28"/>
      <w:lang w:val="en-US" w:eastAsia="ja-JP"/>
    </w:rPr>
  </w:style>
  <w:style w:type="paragraph" w:styleId="TOC1">
    <w:name w:val="toc 1"/>
    <w:basedOn w:val="Normal"/>
    <w:next w:val="Normal"/>
    <w:autoRedefine/>
    <w:uiPriority w:val="39"/>
    <w:qFormat/>
    <w:pPr>
      <w:spacing w:after="100"/>
    </w:pPr>
  </w:style>
  <w:style w:type="paragraph" w:styleId="TOC2">
    <w:name w:val="toc 2"/>
    <w:basedOn w:val="Normal"/>
    <w:next w:val="Normal"/>
    <w:autoRedefine/>
    <w:uiPriority w:val="39"/>
    <w:qFormat/>
    <w:pPr>
      <w:spacing w:after="100"/>
      <w:ind w:left="240"/>
    </w:pPr>
  </w:style>
  <w:style w:type="character" w:styleId="Hyperlink">
    <w:name w:val="Hyperlink"/>
    <w:basedOn w:val="DefaultParagraphFont"/>
    <w:uiPriority w:val="99"/>
    <w:unhideWhenUsed/>
    <w:rPr>
      <w:color w:val="0000FF" w:themeColor="hyperlink"/>
      <w:u w:val="single"/>
    </w:rPr>
  </w:style>
  <w:style w:type="paragraph" w:styleId="TOC3">
    <w:name w:val="toc 3"/>
    <w:basedOn w:val="Normal"/>
    <w:next w:val="Normal"/>
    <w:autoRedefine/>
    <w:uiPriority w:val="39"/>
    <w:unhideWhenUsed/>
    <w:qFormat/>
    <w:pPr>
      <w:spacing w:after="100" w:line="276" w:lineRule="auto"/>
      <w:ind w:left="440"/>
    </w:pPr>
    <w:rPr>
      <w:rFonts w:asciiTheme="minorHAnsi" w:eastAsiaTheme="minorEastAsia" w:hAnsiTheme="minorHAnsi" w:cstheme="minorBidi"/>
      <w:sz w:val="22"/>
      <w:szCs w:val="22"/>
      <w:lang w:val="en-US" w:eastAsia="ja-JP"/>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CaptionChar">
    <w:name w:val="Caption Char"/>
    <w:basedOn w:val="DefaultParagraphFont"/>
    <w:link w:val="Caption"/>
    <w:rPr>
      <w:b/>
      <w:bCs/>
      <w:color w:val="4F81BD" w:themeColor="accent1"/>
      <w:sz w:val="18"/>
      <w:szCs w:val="18"/>
    </w:rPr>
  </w:style>
  <w:style w:type="character" w:customStyle="1" w:styleId="FooterCoverPageChar">
    <w:name w:val="Footer Cover Page Char"/>
    <w:basedOn w:val="CaptionChar"/>
    <w:link w:val="FooterCoverPage"/>
    <w:rPr>
      <w:b w:val="0"/>
      <w:bCs w:val="0"/>
      <w:color w:val="4F81BD" w:themeColor="accent1"/>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CaptionChar"/>
    <w:link w:val="FooterSensitivity"/>
    <w:rPr>
      <w:b/>
      <w:bCs w:val="0"/>
      <w:color w:val="4F81BD" w:themeColor="accent1"/>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CaptionChar"/>
    <w:link w:val="HeaderCoverPage"/>
    <w:rPr>
      <w:b w:val="0"/>
      <w:bCs w:val="0"/>
      <w:color w:val="4F81BD" w:themeColor="accent1"/>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aptionChar"/>
    <w:link w:val="HeaderSensitivity"/>
    <w:rPr>
      <w:b/>
      <w:bCs w:val="0"/>
      <w:color w:val="4F81BD" w:themeColor="accent1"/>
      <w:sz w:val="32"/>
      <w:szCs w:val="24"/>
    </w:rPr>
  </w:style>
  <w:style w:type="character" w:customStyle="1" w:styleId="WW8Num4z1">
    <w:name w:val="WW8Num4z1"/>
    <w:rPr>
      <w:rFonts w:ascii="Wingdings" w:hAnsi="Wingdings" w:cs="Symbol" w:hint="default"/>
    </w:rPr>
  </w:style>
  <w:style w:type="character" w:customStyle="1" w:styleId="footnotereference0">
    <w:name w:val="footnotereference"/>
    <w:basedOn w:val="DefaultParagraphFont"/>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Text1"/>
    <w:link w:val="Heading1Char"/>
    <w:qFormat/>
    <w:pPr>
      <w:keepNext/>
      <w:tabs>
        <w:tab w:val="num" w:pos="480"/>
      </w:tabs>
      <w:spacing w:before="240" w:after="240"/>
      <w:ind w:left="480" w:hanging="480"/>
      <w:jc w:val="both"/>
      <w:outlineLvl w:val="0"/>
    </w:pPr>
    <w:rPr>
      <w:b/>
      <w:smallCaps/>
      <w:szCs w:val="20"/>
      <w:lang w:eastAsia="en-US"/>
    </w:rPr>
  </w:style>
  <w:style w:type="paragraph" w:styleId="Heading2">
    <w:name w:val="heading 2"/>
    <w:basedOn w:val="Normal"/>
    <w:next w:val="Normal"/>
    <w:link w:val="Heading2Char"/>
    <w:qFormat/>
    <w:pPr>
      <w:keepNext/>
      <w:tabs>
        <w:tab w:val="num" w:pos="1200"/>
      </w:tabs>
      <w:spacing w:after="240"/>
      <w:ind w:left="1200" w:hanging="720"/>
      <w:jc w:val="both"/>
      <w:outlineLvl w:val="1"/>
    </w:pPr>
    <w:rPr>
      <w:b/>
      <w:szCs w:val="20"/>
      <w:lang w:eastAsia="en-US"/>
    </w:rPr>
  </w:style>
  <w:style w:type="paragraph" w:styleId="Heading3">
    <w:name w:val="heading 3"/>
    <w:basedOn w:val="Normal"/>
    <w:next w:val="Normal"/>
    <w:qFormat/>
    <w:pPr>
      <w:keepNext/>
      <w:spacing w:before="240" w:after="60"/>
      <w:outlineLvl w:val="2"/>
    </w:pPr>
    <w:rPr>
      <w:rFonts w:ascii="Arial" w:hAnsi="Arial"/>
      <w:szCs w:val="20"/>
      <w:lang w:val="fr-FR"/>
    </w:rPr>
  </w:style>
  <w:style w:type="paragraph" w:styleId="Heading4">
    <w:name w:val="heading 4"/>
    <w:basedOn w:val="Normal"/>
    <w:next w:val="Normal"/>
    <w:qFormat/>
    <w:pPr>
      <w:keepNext/>
      <w:tabs>
        <w:tab w:val="num" w:pos="1920"/>
      </w:tabs>
      <w:spacing w:after="240"/>
      <w:ind w:left="1920" w:hanging="720"/>
      <w:jc w:val="both"/>
      <w:outlineLvl w:val="3"/>
    </w:pPr>
    <w:rPr>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9072"/>
      </w:tabs>
    </w:pPr>
    <w:rPr>
      <w:szCs w:val="20"/>
      <w:lang w:val="fr-FR"/>
    </w:rPr>
  </w:style>
  <w:style w:type="paragraph" w:styleId="Header">
    <w:name w:val="header"/>
    <w:basedOn w:val="Normal"/>
    <w:pPr>
      <w:tabs>
        <w:tab w:val="center" w:pos="4536"/>
        <w:tab w:val="right" w:pos="9072"/>
      </w:tabs>
    </w:pPr>
  </w:style>
  <w:style w:type="paragraph" w:styleId="BalloonText">
    <w:name w:val="Balloon Text"/>
    <w:basedOn w:val="Normal"/>
    <w:semiHidden/>
    <w:rPr>
      <w:rFonts w:ascii="Tahoma" w:hAnsi="Tahoma" w:cs="Tahoma"/>
      <w:sz w:val="16"/>
      <w:szCs w:val="16"/>
    </w:rPr>
  </w:style>
  <w:style w:type="paragraph" w:styleId="FootnoteText">
    <w:name w:val="footnote text"/>
    <w:aliases w:val="fn,footnote text,footnote text Char Char,Car,Footnote Text Char2 Char,Footnote Text Char Char Char1,Footnote Text Char1 Char Char Char,Footnote Text Char2 Char Char Char Char,Footnote Text Char1 Char1 Char Char Char Char,Car Car Ca"/>
    <w:basedOn w:val="Normal"/>
    <w:link w:val="FootnoteTextChar"/>
    <w:uiPriority w:val="99"/>
    <w:qFormat/>
    <w:rPr>
      <w:sz w:val="20"/>
      <w:szCs w:val="20"/>
    </w:rPr>
  </w:style>
  <w:style w:type="character" w:styleId="FootnoteReference">
    <w:name w:val="footnote reference"/>
    <w:aliases w:val="Footnote,Footnote number,Footnote symbol,Footnote Reference Number,Footnote reference number,Times 10 Point,Exposant 3 Point,Voetnootverwijzing,fr,o,Footnotemark,FR,Footnotemark1,Footnotemark2,FR1,Footnotemark3,FR2,Footnotemark4,FR3"/>
    <w:basedOn w:val="DefaultParagraphFont"/>
    <w:uiPriority w:val="99"/>
    <w:qFormat/>
    <w:rPr>
      <w:vertAlign w:val="superscript"/>
    </w:rPr>
  </w:style>
  <w:style w:type="paragraph" w:customStyle="1" w:styleId="ZCom">
    <w:name w:val="Z_Com"/>
    <w:basedOn w:val="Normal"/>
    <w:next w:val="ZDGName"/>
    <w:pPr>
      <w:widowControl w:val="0"/>
      <w:autoSpaceDE w:val="0"/>
      <w:autoSpaceDN w:val="0"/>
      <w:ind w:right="85"/>
      <w:jc w:val="both"/>
    </w:pPr>
    <w:rPr>
      <w:rFonts w:ascii="Arial" w:hAnsi="Arial" w:cs="Arial"/>
      <w:lang w:val="fr-FR" w:eastAsia="ko-KR"/>
    </w:rPr>
  </w:style>
  <w:style w:type="paragraph" w:customStyle="1" w:styleId="ZDGName">
    <w:name w:val="Z_DGName"/>
    <w:basedOn w:val="Normal"/>
    <w:pPr>
      <w:widowControl w:val="0"/>
      <w:autoSpaceDE w:val="0"/>
      <w:autoSpaceDN w:val="0"/>
      <w:ind w:right="85"/>
    </w:pPr>
    <w:rPr>
      <w:rFonts w:ascii="Arial" w:hAnsi="Arial" w:cs="Arial"/>
      <w:sz w:val="16"/>
      <w:szCs w:val="16"/>
      <w:lang w:val="fr-FR" w:eastAsia="ko-KR"/>
    </w:rPr>
  </w:style>
  <w:style w:type="paragraph" w:customStyle="1" w:styleId="NoteHead">
    <w:name w:val="NoteHead"/>
    <w:basedOn w:val="Normal"/>
    <w:next w:val="Normal"/>
    <w:pPr>
      <w:spacing w:before="720" w:after="720"/>
      <w:jc w:val="center"/>
    </w:pPr>
    <w:rPr>
      <w:b/>
      <w:smallCaps/>
      <w:szCs w:val="20"/>
      <w:lang w:eastAsia="en-US"/>
    </w:rPr>
  </w:style>
  <w:style w:type="paragraph" w:customStyle="1" w:styleId="Text3">
    <w:name w:val="Text 3"/>
    <w:basedOn w:val="Normal"/>
    <w:pPr>
      <w:spacing w:before="120" w:after="120"/>
      <w:ind w:left="851"/>
      <w:jc w:val="both"/>
    </w:pPr>
    <w:rPr>
      <w:szCs w:val="20"/>
      <w:lang w:eastAsia="fr-BE"/>
    </w:rPr>
  </w:style>
  <w:style w:type="paragraph" w:customStyle="1" w:styleId="Tiret0">
    <w:name w:val="Tiret 0"/>
    <w:basedOn w:val="Normal"/>
    <w:link w:val="Tiret0Char"/>
    <w:uiPriority w:val="99"/>
    <w:pPr>
      <w:numPr>
        <w:numId w:val="1"/>
      </w:numPr>
      <w:spacing w:before="120" w:after="120"/>
      <w:jc w:val="both"/>
    </w:pPr>
  </w:style>
  <w:style w:type="character" w:customStyle="1" w:styleId="Tiret0Char">
    <w:name w:val="Tiret 0 Char"/>
    <w:basedOn w:val="DefaultParagraphFont"/>
    <w:link w:val="Tiret0"/>
    <w:rPr>
      <w:sz w:val="24"/>
      <w:szCs w:val="24"/>
    </w:rPr>
  </w:style>
  <w:style w:type="character" w:styleId="PageNumber">
    <w:name w:val="page number"/>
    <w:basedOn w:val="DefaultParagraphFont"/>
  </w:style>
  <w:style w:type="paragraph" w:customStyle="1" w:styleId="Text1">
    <w:name w:val="Text 1"/>
    <w:basedOn w:val="Normal"/>
    <w:link w:val="Text1Char"/>
    <w:pPr>
      <w:spacing w:after="240"/>
      <w:ind w:left="482"/>
      <w:jc w:val="both"/>
    </w:pPr>
    <w:rPr>
      <w:szCs w:val="20"/>
      <w:lang w:eastAsia="en-US"/>
    </w:rPr>
  </w:style>
  <w:style w:type="paragraph" w:customStyle="1" w:styleId="Text2">
    <w:name w:val="Text 2"/>
    <w:basedOn w:val="Normal"/>
    <w:pPr>
      <w:tabs>
        <w:tab w:val="left" w:pos="2160"/>
      </w:tabs>
      <w:spacing w:after="240"/>
      <w:ind w:left="1077"/>
      <w:jc w:val="both"/>
    </w:pPr>
    <w:rPr>
      <w:szCs w:val="20"/>
      <w:lang w:eastAsia="en-US"/>
    </w:rPr>
  </w:style>
  <w:style w:type="paragraph" w:styleId="ListBullet2">
    <w:name w:val="List Bullet 2"/>
    <w:basedOn w:val="Text2"/>
    <w:pPr>
      <w:numPr>
        <w:numId w:val="3"/>
      </w:numPr>
      <w:tabs>
        <w:tab w:val="clear" w:pos="2160"/>
      </w:tabs>
    </w:pPr>
  </w:style>
  <w:style w:type="table" w:styleId="TableGrid">
    <w:name w:val="Table Grid"/>
    <w:basedOn w:val="TableNormal"/>
    <w:uiPriority w:val="5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ject">
    <w:name w:val="Subject"/>
    <w:basedOn w:val="Normal"/>
    <w:next w:val="Normal"/>
    <w:pPr>
      <w:spacing w:after="480"/>
      <w:ind w:left="1191" w:hanging="1191"/>
    </w:pPr>
    <w:rPr>
      <w:b/>
      <w:szCs w:val="20"/>
      <w:lang w:eastAsia="en-US"/>
    </w:rPr>
  </w:style>
  <w:style w:type="character" w:customStyle="1" w:styleId="Text1Char">
    <w:name w:val="Text 1 Char"/>
    <w:basedOn w:val="DefaultParagraphFont"/>
    <w:link w:val="Text1"/>
    <w:rPr>
      <w:sz w:val="24"/>
      <w:lang w:val="en-GB" w:eastAsia="en-US" w:bidi="ar-SA"/>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Heading1Char">
    <w:name w:val="Heading 1 Char"/>
    <w:basedOn w:val="DefaultParagraphFont"/>
    <w:link w:val="Heading1"/>
    <w:rPr>
      <w:b/>
      <w:smallCaps/>
      <w:sz w:val="24"/>
      <w:lang w:eastAsia="en-US"/>
    </w:rPr>
  </w:style>
  <w:style w:type="character" w:customStyle="1" w:styleId="Heading2Char">
    <w:name w:val="Heading 2 Char"/>
    <w:basedOn w:val="DefaultParagraphFont"/>
    <w:link w:val="Heading2"/>
    <w:rPr>
      <w:b/>
      <w:sz w:val="24"/>
      <w:lang w:eastAsia="en-US"/>
    </w:rPr>
  </w:style>
  <w:style w:type="character" w:customStyle="1" w:styleId="FootnoteTextChar">
    <w:name w:val="Footnote Text Char"/>
    <w:aliases w:val="fn Char,footnote text Char,footnote text Char Char Char,Car Char,Footnote Text Char2 Char Char,Footnote Text Char Char Char1 Char,Footnote Text Char1 Char Char Char Char,Footnote Text Char2 Char Char Char Char Char,Car Car Ca Char"/>
    <w:basedOn w:val="DefaultParagraphFont"/>
    <w:link w:val="FootnoteText"/>
    <w:uiPriority w:val="99"/>
  </w:style>
  <w:style w:type="paragraph" w:styleId="Revision">
    <w:name w:val="Revision"/>
    <w:hidden/>
    <w:uiPriority w:val="99"/>
    <w:semiHidden/>
    <w:rPr>
      <w:sz w:val="24"/>
      <w:szCs w:val="24"/>
    </w:rPr>
  </w:style>
  <w:style w:type="paragraph" w:styleId="ListParagraph">
    <w:name w:val="List Paragraph"/>
    <w:basedOn w:val="Normal"/>
    <w:uiPriority w:val="34"/>
    <w:qFormat/>
    <w:pPr>
      <w:ind w:left="720"/>
    </w:pPr>
    <w:rPr>
      <w:rFonts w:ascii="Calibri" w:hAnsi="Calibri"/>
      <w:sz w:val="22"/>
      <w:szCs w:val="22"/>
      <w:lang w:eastAsia="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FooterChar">
    <w:name w:val="Footer Char"/>
    <w:basedOn w:val="DefaultParagraphFont"/>
    <w:link w:val="Footer"/>
    <w:uiPriority w:val="99"/>
    <w:rPr>
      <w:sz w:val="24"/>
      <w:lang w:val="fr-FR"/>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styleId="Caption">
    <w:name w:val="caption"/>
    <w:basedOn w:val="Normal"/>
    <w:next w:val="Normal"/>
    <w:link w:val="CaptionChar"/>
    <w:unhideWhenUsed/>
    <w:qFormat/>
    <w:pPr>
      <w:spacing w:after="200"/>
    </w:pPr>
    <w:rPr>
      <w:b/>
      <w:bCs/>
      <w:color w:val="4F81BD" w:themeColor="accent1"/>
      <w:sz w:val="18"/>
      <w:szCs w:val="18"/>
    </w:rPr>
  </w:style>
  <w:style w:type="character" w:styleId="Strong">
    <w:name w:val="Strong"/>
    <w:basedOn w:val="DefaultParagraphFont"/>
    <w:uiPriority w:val="22"/>
    <w:qFormat/>
    <w:rPr>
      <w:b/>
      <w:bCs/>
    </w:rPr>
  </w:style>
  <w:style w:type="paragraph" w:styleId="TOCHeading">
    <w:name w:val="TOC Heading"/>
    <w:basedOn w:val="Heading1"/>
    <w:next w:val="Normal"/>
    <w:uiPriority w:val="39"/>
    <w:unhideWhenUsed/>
    <w:qFormat/>
    <w:pPr>
      <w:keepLines/>
      <w:tabs>
        <w:tab w:val="clear" w:pos="480"/>
      </w:tabs>
      <w:spacing w:before="480" w:after="0" w:line="276" w:lineRule="auto"/>
      <w:ind w:left="0" w:firstLine="0"/>
      <w:jc w:val="left"/>
      <w:outlineLvl w:val="9"/>
    </w:pPr>
    <w:rPr>
      <w:rFonts w:asciiTheme="majorHAnsi" w:eastAsiaTheme="majorEastAsia" w:hAnsiTheme="majorHAnsi" w:cstheme="majorBidi"/>
      <w:bCs/>
      <w:smallCaps w:val="0"/>
      <w:color w:val="365F91" w:themeColor="accent1" w:themeShade="BF"/>
      <w:sz w:val="28"/>
      <w:szCs w:val="28"/>
      <w:lang w:val="en-US" w:eastAsia="ja-JP"/>
    </w:rPr>
  </w:style>
  <w:style w:type="paragraph" w:styleId="TOC1">
    <w:name w:val="toc 1"/>
    <w:basedOn w:val="Normal"/>
    <w:next w:val="Normal"/>
    <w:autoRedefine/>
    <w:uiPriority w:val="39"/>
    <w:qFormat/>
    <w:pPr>
      <w:spacing w:after="100"/>
    </w:pPr>
  </w:style>
  <w:style w:type="paragraph" w:styleId="TOC2">
    <w:name w:val="toc 2"/>
    <w:basedOn w:val="Normal"/>
    <w:next w:val="Normal"/>
    <w:autoRedefine/>
    <w:uiPriority w:val="39"/>
    <w:qFormat/>
    <w:pPr>
      <w:spacing w:after="100"/>
      <w:ind w:left="240"/>
    </w:pPr>
  </w:style>
  <w:style w:type="character" w:styleId="Hyperlink">
    <w:name w:val="Hyperlink"/>
    <w:basedOn w:val="DefaultParagraphFont"/>
    <w:uiPriority w:val="99"/>
    <w:unhideWhenUsed/>
    <w:rPr>
      <w:color w:val="0000FF" w:themeColor="hyperlink"/>
      <w:u w:val="single"/>
    </w:rPr>
  </w:style>
  <w:style w:type="paragraph" w:styleId="TOC3">
    <w:name w:val="toc 3"/>
    <w:basedOn w:val="Normal"/>
    <w:next w:val="Normal"/>
    <w:autoRedefine/>
    <w:uiPriority w:val="39"/>
    <w:unhideWhenUsed/>
    <w:qFormat/>
    <w:pPr>
      <w:spacing w:after="100" w:line="276" w:lineRule="auto"/>
      <w:ind w:left="440"/>
    </w:pPr>
    <w:rPr>
      <w:rFonts w:asciiTheme="minorHAnsi" w:eastAsiaTheme="minorEastAsia" w:hAnsiTheme="minorHAnsi" w:cstheme="minorBidi"/>
      <w:sz w:val="22"/>
      <w:szCs w:val="22"/>
      <w:lang w:val="en-US" w:eastAsia="ja-JP"/>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CaptionChar">
    <w:name w:val="Caption Char"/>
    <w:basedOn w:val="DefaultParagraphFont"/>
    <w:link w:val="Caption"/>
    <w:rPr>
      <w:b/>
      <w:bCs/>
      <w:color w:val="4F81BD" w:themeColor="accent1"/>
      <w:sz w:val="18"/>
      <w:szCs w:val="18"/>
    </w:rPr>
  </w:style>
  <w:style w:type="character" w:customStyle="1" w:styleId="FooterCoverPageChar">
    <w:name w:val="Footer Cover Page Char"/>
    <w:basedOn w:val="CaptionChar"/>
    <w:link w:val="FooterCoverPage"/>
    <w:rPr>
      <w:b w:val="0"/>
      <w:bCs w:val="0"/>
      <w:color w:val="4F81BD" w:themeColor="accent1"/>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CaptionChar"/>
    <w:link w:val="FooterSensitivity"/>
    <w:rPr>
      <w:b/>
      <w:bCs w:val="0"/>
      <w:color w:val="4F81BD" w:themeColor="accent1"/>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CaptionChar"/>
    <w:link w:val="HeaderCoverPage"/>
    <w:rPr>
      <w:b w:val="0"/>
      <w:bCs w:val="0"/>
      <w:color w:val="4F81BD" w:themeColor="accent1"/>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aptionChar"/>
    <w:link w:val="HeaderSensitivity"/>
    <w:rPr>
      <w:b/>
      <w:bCs w:val="0"/>
      <w:color w:val="4F81BD" w:themeColor="accent1"/>
      <w:sz w:val="32"/>
      <w:szCs w:val="24"/>
    </w:rPr>
  </w:style>
  <w:style w:type="character" w:customStyle="1" w:styleId="WW8Num4z1">
    <w:name w:val="WW8Num4z1"/>
    <w:rPr>
      <w:rFonts w:ascii="Wingdings" w:hAnsi="Wingdings" w:cs="Symbol" w:hint="default"/>
    </w:rPr>
  </w:style>
  <w:style w:type="character" w:customStyle="1" w:styleId="footnotereference0">
    <w:name w:val="footnotereference"/>
    <w:basedOn w:val="DefaultParagraphFon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6312">
      <w:bodyDiv w:val="1"/>
      <w:marLeft w:val="0"/>
      <w:marRight w:val="0"/>
      <w:marTop w:val="0"/>
      <w:marBottom w:val="0"/>
      <w:divBdr>
        <w:top w:val="none" w:sz="0" w:space="0" w:color="auto"/>
        <w:left w:val="none" w:sz="0" w:space="0" w:color="auto"/>
        <w:bottom w:val="none" w:sz="0" w:space="0" w:color="auto"/>
        <w:right w:val="none" w:sz="0" w:space="0" w:color="auto"/>
      </w:divBdr>
    </w:div>
    <w:div w:id="50464669">
      <w:bodyDiv w:val="1"/>
      <w:marLeft w:val="0"/>
      <w:marRight w:val="0"/>
      <w:marTop w:val="0"/>
      <w:marBottom w:val="0"/>
      <w:divBdr>
        <w:top w:val="none" w:sz="0" w:space="0" w:color="auto"/>
        <w:left w:val="none" w:sz="0" w:space="0" w:color="auto"/>
        <w:bottom w:val="none" w:sz="0" w:space="0" w:color="auto"/>
        <w:right w:val="none" w:sz="0" w:space="0" w:color="auto"/>
      </w:divBdr>
    </w:div>
    <w:div w:id="69893873">
      <w:bodyDiv w:val="1"/>
      <w:marLeft w:val="0"/>
      <w:marRight w:val="0"/>
      <w:marTop w:val="0"/>
      <w:marBottom w:val="0"/>
      <w:divBdr>
        <w:top w:val="none" w:sz="0" w:space="0" w:color="auto"/>
        <w:left w:val="none" w:sz="0" w:space="0" w:color="auto"/>
        <w:bottom w:val="none" w:sz="0" w:space="0" w:color="auto"/>
        <w:right w:val="none" w:sz="0" w:space="0" w:color="auto"/>
      </w:divBdr>
    </w:div>
    <w:div w:id="124977635">
      <w:bodyDiv w:val="1"/>
      <w:marLeft w:val="0"/>
      <w:marRight w:val="0"/>
      <w:marTop w:val="0"/>
      <w:marBottom w:val="0"/>
      <w:divBdr>
        <w:top w:val="none" w:sz="0" w:space="0" w:color="auto"/>
        <w:left w:val="none" w:sz="0" w:space="0" w:color="auto"/>
        <w:bottom w:val="none" w:sz="0" w:space="0" w:color="auto"/>
        <w:right w:val="none" w:sz="0" w:space="0" w:color="auto"/>
      </w:divBdr>
    </w:div>
    <w:div w:id="168714907">
      <w:bodyDiv w:val="1"/>
      <w:marLeft w:val="0"/>
      <w:marRight w:val="0"/>
      <w:marTop w:val="0"/>
      <w:marBottom w:val="0"/>
      <w:divBdr>
        <w:top w:val="none" w:sz="0" w:space="0" w:color="auto"/>
        <w:left w:val="none" w:sz="0" w:space="0" w:color="auto"/>
        <w:bottom w:val="none" w:sz="0" w:space="0" w:color="auto"/>
        <w:right w:val="none" w:sz="0" w:space="0" w:color="auto"/>
      </w:divBdr>
    </w:div>
    <w:div w:id="236675874">
      <w:bodyDiv w:val="1"/>
      <w:marLeft w:val="0"/>
      <w:marRight w:val="0"/>
      <w:marTop w:val="0"/>
      <w:marBottom w:val="0"/>
      <w:divBdr>
        <w:top w:val="none" w:sz="0" w:space="0" w:color="auto"/>
        <w:left w:val="none" w:sz="0" w:space="0" w:color="auto"/>
        <w:bottom w:val="none" w:sz="0" w:space="0" w:color="auto"/>
        <w:right w:val="none" w:sz="0" w:space="0" w:color="auto"/>
      </w:divBdr>
    </w:div>
    <w:div w:id="353387099">
      <w:bodyDiv w:val="1"/>
      <w:marLeft w:val="0"/>
      <w:marRight w:val="0"/>
      <w:marTop w:val="0"/>
      <w:marBottom w:val="0"/>
      <w:divBdr>
        <w:top w:val="none" w:sz="0" w:space="0" w:color="auto"/>
        <w:left w:val="none" w:sz="0" w:space="0" w:color="auto"/>
        <w:bottom w:val="none" w:sz="0" w:space="0" w:color="auto"/>
        <w:right w:val="none" w:sz="0" w:space="0" w:color="auto"/>
      </w:divBdr>
    </w:div>
    <w:div w:id="406146174">
      <w:bodyDiv w:val="1"/>
      <w:marLeft w:val="0"/>
      <w:marRight w:val="0"/>
      <w:marTop w:val="0"/>
      <w:marBottom w:val="0"/>
      <w:divBdr>
        <w:top w:val="none" w:sz="0" w:space="0" w:color="auto"/>
        <w:left w:val="none" w:sz="0" w:space="0" w:color="auto"/>
        <w:bottom w:val="none" w:sz="0" w:space="0" w:color="auto"/>
        <w:right w:val="none" w:sz="0" w:space="0" w:color="auto"/>
      </w:divBdr>
    </w:div>
    <w:div w:id="430708809">
      <w:bodyDiv w:val="1"/>
      <w:marLeft w:val="0"/>
      <w:marRight w:val="0"/>
      <w:marTop w:val="0"/>
      <w:marBottom w:val="0"/>
      <w:divBdr>
        <w:top w:val="none" w:sz="0" w:space="0" w:color="auto"/>
        <w:left w:val="none" w:sz="0" w:space="0" w:color="auto"/>
        <w:bottom w:val="none" w:sz="0" w:space="0" w:color="auto"/>
        <w:right w:val="none" w:sz="0" w:space="0" w:color="auto"/>
      </w:divBdr>
    </w:div>
    <w:div w:id="472019001">
      <w:bodyDiv w:val="1"/>
      <w:marLeft w:val="0"/>
      <w:marRight w:val="0"/>
      <w:marTop w:val="0"/>
      <w:marBottom w:val="0"/>
      <w:divBdr>
        <w:top w:val="none" w:sz="0" w:space="0" w:color="auto"/>
        <w:left w:val="none" w:sz="0" w:space="0" w:color="auto"/>
        <w:bottom w:val="none" w:sz="0" w:space="0" w:color="auto"/>
        <w:right w:val="none" w:sz="0" w:space="0" w:color="auto"/>
      </w:divBdr>
    </w:div>
    <w:div w:id="585460266">
      <w:bodyDiv w:val="1"/>
      <w:marLeft w:val="0"/>
      <w:marRight w:val="0"/>
      <w:marTop w:val="0"/>
      <w:marBottom w:val="0"/>
      <w:divBdr>
        <w:top w:val="none" w:sz="0" w:space="0" w:color="auto"/>
        <w:left w:val="none" w:sz="0" w:space="0" w:color="auto"/>
        <w:bottom w:val="none" w:sz="0" w:space="0" w:color="auto"/>
        <w:right w:val="none" w:sz="0" w:space="0" w:color="auto"/>
      </w:divBdr>
    </w:div>
    <w:div w:id="622687901">
      <w:bodyDiv w:val="1"/>
      <w:marLeft w:val="0"/>
      <w:marRight w:val="0"/>
      <w:marTop w:val="0"/>
      <w:marBottom w:val="0"/>
      <w:divBdr>
        <w:top w:val="none" w:sz="0" w:space="0" w:color="auto"/>
        <w:left w:val="none" w:sz="0" w:space="0" w:color="auto"/>
        <w:bottom w:val="none" w:sz="0" w:space="0" w:color="auto"/>
        <w:right w:val="none" w:sz="0" w:space="0" w:color="auto"/>
      </w:divBdr>
    </w:div>
    <w:div w:id="624040646">
      <w:bodyDiv w:val="1"/>
      <w:marLeft w:val="0"/>
      <w:marRight w:val="0"/>
      <w:marTop w:val="0"/>
      <w:marBottom w:val="0"/>
      <w:divBdr>
        <w:top w:val="none" w:sz="0" w:space="0" w:color="auto"/>
        <w:left w:val="none" w:sz="0" w:space="0" w:color="auto"/>
        <w:bottom w:val="none" w:sz="0" w:space="0" w:color="auto"/>
        <w:right w:val="none" w:sz="0" w:space="0" w:color="auto"/>
      </w:divBdr>
    </w:div>
    <w:div w:id="630672173">
      <w:bodyDiv w:val="1"/>
      <w:marLeft w:val="0"/>
      <w:marRight w:val="0"/>
      <w:marTop w:val="0"/>
      <w:marBottom w:val="0"/>
      <w:divBdr>
        <w:top w:val="none" w:sz="0" w:space="0" w:color="auto"/>
        <w:left w:val="none" w:sz="0" w:space="0" w:color="auto"/>
        <w:bottom w:val="none" w:sz="0" w:space="0" w:color="auto"/>
        <w:right w:val="none" w:sz="0" w:space="0" w:color="auto"/>
      </w:divBdr>
    </w:div>
    <w:div w:id="667103096">
      <w:bodyDiv w:val="1"/>
      <w:marLeft w:val="0"/>
      <w:marRight w:val="0"/>
      <w:marTop w:val="0"/>
      <w:marBottom w:val="0"/>
      <w:divBdr>
        <w:top w:val="none" w:sz="0" w:space="0" w:color="auto"/>
        <w:left w:val="none" w:sz="0" w:space="0" w:color="auto"/>
        <w:bottom w:val="none" w:sz="0" w:space="0" w:color="auto"/>
        <w:right w:val="none" w:sz="0" w:space="0" w:color="auto"/>
      </w:divBdr>
    </w:div>
    <w:div w:id="715662890">
      <w:bodyDiv w:val="1"/>
      <w:marLeft w:val="0"/>
      <w:marRight w:val="0"/>
      <w:marTop w:val="0"/>
      <w:marBottom w:val="0"/>
      <w:divBdr>
        <w:top w:val="none" w:sz="0" w:space="0" w:color="auto"/>
        <w:left w:val="none" w:sz="0" w:space="0" w:color="auto"/>
        <w:bottom w:val="none" w:sz="0" w:space="0" w:color="auto"/>
        <w:right w:val="none" w:sz="0" w:space="0" w:color="auto"/>
      </w:divBdr>
    </w:div>
    <w:div w:id="725570813">
      <w:bodyDiv w:val="1"/>
      <w:marLeft w:val="0"/>
      <w:marRight w:val="0"/>
      <w:marTop w:val="0"/>
      <w:marBottom w:val="0"/>
      <w:divBdr>
        <w:top w:val="none" w:sz="0" w:space="0" w:color="auto"/>
        <w:left w:val="none" w:sz="0" w:space="0" w:color="auto"/>
        <w:bottom w:val="none" w:sz="0" w:space="0" w:color="auto"/>
        <w:right w:val="none" w:sz="0" w:space="0" w:color="auto"/>
      </w:divBdr>
    </w:div>
    <w:div w:id="819732435">
      <w:bodyDiv w:val="1"/>
      <w:marLeft w:val="0"/>
      <w:marRight w:val="0"/>
      <w:marTop w:val="0"/>
      <w:marBottom w:val="0"/>
      <w:divBdr>
        <w:top w:val="none" w:sz="0" w:space="0" w:color="auto"/>
        <w:left w:val="none" w:sz="0" w:space="0" w:color="auto"/>
        <w:bottom w:val="none" w:sz="0" w:space="0" w:color="auto"/>
        <w:right w:val="none" w:sz="0" w:space="0" w:color="auto"/>
      </w:divBdr>
    </w:div>
    <w:div w:id="820000942">
      <w:bodyDiv w:val="1"/>
      <w:marLeft w:val="0"/>
      <w:marRight w:val="0"/>
      <w:marTop w:val="0"/>
      <w:marBottom w:val="0"/>
      <w:divBdr>
        <w:top w:val="none" w:sz="0" w:space="0" w:color="auto"/>
        <w:left w:val="none" w:sz="0" w:space="0" w:color="auto"/>
        <w:bottom w:val="none" w:sz="0" w:space="0" w:color="auto"/>
        <w:right w:val="none" w:sz="0" w:space="0" w:color="auto"/>
      </w:divBdr>
    </w:div>
    <w:div w:id="830294736">
      <w:bodyDiv w:val="1"/>
      <w:marLeft w:val="0"/>
      <w:marRight w:val="0"/>
      <w:marTop w:val="0"/>
      <w:marBottom w:val="0"/>
      <w:divBdr>
        <w:top w:val="none" w:sz="0" w:space="0" w:color="auto"/>
        <w:left w:val="none" w:sz="0" w:space="0" w:color="auto"/>
        <w:bottom w:val="none" w:sz="0" w:space="0" w:color="auto"/>
        <w:right w:val="none" w:sz="0" w:space="0" w:color="auto"/>
      </w:divBdr>
    </w:div>
    <w:div w:id="854731241">
      <w:bodyDiv w:val="1"/>
      <w:marLeft w:val="0"/>
      <w:marRight w:val="0"/>
      <w:marTop w:val="0"/>
      <w:marBottom w:val="0"/>
      <w:divBdr>
        <w:top w:val="none" w:sz="0" w:space="0" w:color="auto"/>
        <w:left w:val="none" w:sz="0" w:space="0" w:color="auto"/>
        <w:bottom w:val="none" w:sz="0" w:space="0" w:color="auto"/>
        <w:right w:val="none" w:sz="0" w:space="0" w:color="auto"/>
      </w:divBdr>
    </w:div>
    <w:div w:id="884566238">
      <w:bodyDiv w:val="1"/>
      <w:marLeft w:val="0"/>
      <w:marRight w:val="0"/>
      <w:marTop w:val="0"/>
      <w:marBottom w:val="0"/>
      <w:divBdr>
        <w:top w:val="none" w:sz="0" w:space="0" w:color="auto"/>
        <w:left w:val="none" w:sz="0" w:space="0" w:color="auto"/>
        <w:bottom w:val="none" w:sz="0" w:space="0" w:color="auto"/>
        <w:right w:val="none" w:sz="0" w:space="0" w:color="auto"/>
      </w:divBdr>
    </w:div>
    <w:div w:id="1009984523">
      <w:bodyDiv w:val="1"/>
      <w:marLeft w:val="0"/>
      <w:marRight w:val="0"/>
      <w:marTop w:val="0"/>
      <w:marBottom w:val="0"/>
      <w:divBdr>
        <w:top w:val="none" w:sz="0" w:space="0" w:color="auto"/>
        <w:left w:val="none" w:sz="0" w:space="0" w:color="auto"/>
        <w:bottom w:val="none" w:sz="0" w:space="0" w:color="auto"/>
        <w:right w:val="none" w:sz="0" w:space="0" w:color="auto"/>
      </w:divBdr>
    </w:div>
    <w:div w:id="1012879705">
      <w:bodyDiv w:val="1"/>
      <w:marLeft w:val="0"/>
      <w:marRight w:val="0"/>
      <w:marTop w:val="0"/>
      <w:marBottom w:val="0"/>
      <w:divBdr>
        <w:top w:val="none" w:sz="0" w:space="0" w:color="auto"/>
        <w:left w:val="none" w:sz="0" w:space="0" w:color="auto"/>
        <w:bottom w:val="none" w:sz="0" w:space="0" w:color="auto"/>
        <w:right w:val="none" w:sz="0" w:space="0" w:color="auto"/>
      </w:divBdr>
    </w:div>
    <w:div w:id="1047219610">
      <w:bodyDiv w:val="1"/>
      <w:marLeft w:val="0"/>
      <w:marRight w:val="0"/>
      <w:marTop w:val="0"/>
      <w:marBottom w:val="0"/>
      <w:divBdr>
        <w:top w:val="none" w:sz="0" w:space="0" w:color="auto"/>
        <w:left w:val="none" w:sz="0" w:space="0" w:color="auto"/>
        <w:bottom w:val="none" w:sz="0" w:space="0" w:color="auto"/>
        <w:right w:val="none" w:sz="0" w:space="0" w:color="auto"/>
      </w:divBdr>
    </w:div>
    <w:div w:id="1082143029">
      <w:bodyDiv w:val="1"/>
      <w:marLeft w:val="0"/>
      <w:marRight w:val="0"/>
      <w:marTop w:val="0"/>
      <w:marBottom w:val="0"/>
      <w:divBdr>
        <w:top w:val="none" w:sz="0" w:space="0" w:color="auto"/>
        <w:left w:val="none" w:sz="0" w:space="0" w:color="auto"/>
        <w:bottom w:val="none" w:sz="0" w:space="0" w:color="auto"/>
        <w:right w:val="none" w:sz="0" w:space="0" w:color="auto"/>
      </w:divBdr>
    </w:div>
    <w:div w:id="1172601851">
      <w:bodyDiv w:val="1"/>
      <w:marLeft w:val="0"/>
      <w:marRight w:val="0"/>
      <w:marTop w:val="0"/>
      <w:marBottom w:val="0"/>
      <w:divBdr>
        <w:top w:val="none" w:sz="0" w:space="0" w:color="auto"/>
        <w:left w:val="none" w:sz="0" w:space="0" w:color="auto"/>
        <w:bottom w:val="none" w:sz="0" w:space="0" w:color="auto"/>
        <w:right w:val="none" w:sz="0" w:space="0" w:color="auto"/>
      </w:divBdr>
    </w:div>
    <w:div w:id="1180923783">
      <w:bodyDiv w:val="1"/>
      <w:marLeft w:val="0"/>
      <w:marRight w:val="0"/>
      <w:marTop w:val="0"/>
      <w:marBottom w:val="0"/>
      <w:divBdr>
        <w:top w:val="none" w:sz="0" w:space="0" w:color="auto"/>
        <w:left w:val="none" w:sz="0" w:space="0" w:color="auto"/>
        <w:bottom w:val="none" w:sz="0" w:space="0" w:color="auto"/>
        <w:right w:val="none" w:sz="0" w:space="0" w:color="auto"/>
      </w:divBdr>
    </w:div>
    <w:div w:id="1216624823">
      <w:bodyDiv w:val="1"/>
      <w:marLeft w:val="0"/>
      <w:marRight w:val="0"/>
      <w:marTop w:val="0"/>
      <w:marBottom w:val="0"/>
      <w:divBdr>
        <w:top w:val="none" w:sz="0" w:space="0" w:color="auto"/>
        <w:left w:val="none" w:sz="0" w:space="0" w:color="auto"/>
        <w:bottom w:val="none" w:sz="0" w:space="0" w:color="auto"/>
        <w:right w:val="none" w:sz="0" w:space="0" w:color="auto"/>
      </w:divBdr>
    </w:div>
    <w:div w:id="1249847079">
      <w:bodyDiv w:val="1"/>
      <w:marLeft w:val="0"/>
      <w:marRight w:val="0"/>
      <w:marTop w:val="0"/>
      <w:marBottom w:val="0"/>
      <w:divBdr>
        <w:top w:val="none" w:sz="0" w:space="0" w:color="auto"/>
        <w:left w:val="none" w:sz="0" w:space="0" w:color="auto"/>
        <w:bottom w:val="none" w:sz="0" w:space="0" w:color="auto"/>
        <w:right w:val="none" w:sz="0" w:space="0" w:color="auto"/>
      </w:divBdr>
    </w:div>
    <w:div w:id="1279408014">
      <w:bodyDiv w:val="1"/>
      <w:marLeft w:val="0"/>
      <w:marRight w:val="0"/>
      <w:marTop w:val="0"/>
      <w:marBottom w:val="0"/>
      <w:divBdr>
        <w:top w:val="none" w:sz="0" w:space="0" w:color="auto"/>
        <w:left w:val="none" w:sz="0" w:space="0" w:color="auto"/>
        <w:bottom w:val="none" w:sz="0" w:space="0" w:color="auto"/>
        <w:right w:val="none" w:sz="0" w:space="0" w:color="auto"/>
      </w:divBdr>
    </w:div>
    <w:div w:id="1281035987">
      <w:bodyDiv w:val="1"/>
      <w:marLeft w:val="0"/>
      <w:marRight w:val="0"/>
      <w:marTop w:val="0"/>
      <w:marBottom w:val="0"/>
      <w:divBdr>
        <w:top w:val="none" w:sz="0" w:space="0" w:color="auto"/>
        <w:left w:val="none" w:sz="0" w:space="0" w:color="auto"/>
        <w:bottom w:val="none" w:sz="0" w:space="0" w:color="auto"/>
        <w:right w:val="none" w:sz="0" w:space="0" w:color="auto"/>
      </w:divBdr>
    </w:div>
    <w:div w:id="1303345598">
      <w:bodyDiv w:val="1"/>
      <w:marLeft w:val="0"/>
      <w:marRight w:val="0"/>
      <w:marTop w:val="0"/>
      <w:marBottom w:val="0"/>
      <w:divBdr>
        <w:top w:val="none" w:sz="0" w:space="0" w:color="auto"/>
        <w:left w:val="none" w:sz="0" w:space="0" w:color="auto"/>
        <w:bottom w:val="none" w:sz="0" w:space="0" w:color="auto"/>
        <w:right w:val="none" w:sz="0" w:space="0" w:color="auto"/>
      </w:divBdr>
    </w:div>
    <w:div w:id="1382484313">
      <w:bodyDiv w:val="1"/>
      <w:marLeft w:val="0"/>
      <w:marRight w:val="0"/>
      <w:marTop w:val="0"/>
      <w:marBottom w:val="0"/>
      <w:divBdr>
        <w:top w:val="none" w:sz="0" w:space="0" w:color="auto"/>
        <w:left w:val="none" w:sz="0" w:space="0" w:color="auto"/>
        <w:bottom w:val="none" w:sz="0" w:space="0" w:color="auto"/>
        <w:right w:val="none" w:sz="0" w:space="0" w:color="auto"/>
      </w:divBdr>
    </w:div>
    <w:div w:id="1390685599">
      <w:bodyDiv w:val="1"/>
      <w:marLeft w:val="0"/>
      <w:marRight w:val="0"/>
      <w:marTop w:val="0"/>
      <w:marBottom w:val="0"/>
      <w:divBdr>
        <w:top w:val="none" w:sz="0" w:space="0" w:color="auto"/>
        <w:left w:val="none" w:sz="0" w:space="0" w:color="auto"/>
        <w:bottom w:val="none" w:sz="0" w:space="0" w:color="auto"/>
        <w:right w:val="none" w:sz="0" w:space="0" w:color="auto"/>
      </w:divBdr>
    </w:div>
    <w:div w:id="1494880304">
      <w:bodyDiv w:val="1"/>
      <w:marLeft w:val="0"/>
      <w:marRight w:val="0"/>
      <w:marTop w:val="0"/>
      <w:marBottom w:val="0"/>
      <w:divBdr>
        <w:top w:val="none" w:sz="0" w:space="0" w:color="auto"/>
        <w:left w:val="none" w:sz="0" w:space="0" w:color="auto"/>
        <w:bottom w:val="none" w:sz="0" w:space="0" w:color="auto"/>
        <w:right w:val="none" w:sz="0" w:space="0" w:color="auto"/>
      </w:divBdr>
    </w:div>
    <w:div w:id="1546135416">
      <w:bodyDiv w:val="1"/>
      <w:marLeft w:val="0"/>
      <w:marRight w:val="0"/>
      <w:marTop w:val="0"/>
      <w:marBottom w:val="0"/>
      <w:divBdr>
        <w:top w:val="none" w:sz="0" w:space="0" w:color="auto"/>
        <w:left w:val="none" w:sz="0" w:space="0" w:color="auto"/>
        <w:bottom w:val="none" w:sz="0" w:space="0" w:color="auto"/>
        <w:right w:val="none" w:sz="0" w:space="0" w:color="auto"/>
      </w:divBdr>
    </w:div>
    <w:div w:id="1575428796">
      <w:bodyDiv w:val="1"/>
      <w:marLeft w:val="0"/>
      <w:marRight w:val="0"/>
      <w:marTop w:val="0"/>
      <w:marBottom w:val="0"/>
      <w:divBdr>
        <w:top w:val="none" w:sz="0" w:space="0" w:color="auto"/>
        <w:left w:val="none" w:sz="0" w:space="0" w:color="auto"/>
        <w:bottom w:val="none" w:sz="0" w:space="0" w:color="auto"/>
        <w:right w:val="none" w:sz="0" w:space="0" w:color="auto"/>
      </w:divBdr>
    </w:div>
    <w:div w:id="1581716515">
      <w:bodyDiv w:val="1"/>
      <w:marLeft w:val="0"/>
      <w:marRight w:val="0"/>
      <w:marTop w:val="0"/>
      <w:marBottom w:val="0"/>
      <w:divBdr>
        <w:top w:val="none" w:sz="0" w:space="0" w:color="auto"/>
        <w:left w:val="none" w:sz="0" w:space="0" w:color="auto"/>
        <w:bottom w:val="none" w:sz="0" w:space="0" w:color="auto"/>
        <w:right w:val="none" w:sz="0" w:space="0" w:color="auto"/>
      </w:divBdr>
    </w:div>
    <w:div w:id="1694306379">
      <w:bodyDiv w:val="1"/>
      <w:marLeft w:val="0"/>
      <w:marRight w:val="0"/>
      <w:marTop w:val="0"/>
      <w:marBottom w:val="0"/>
      <w:divBdr>
        <w:top w:val="none" w:sz="0" w:space="0" w:color="auto"/>
        <w:left w:val="none" w:sz="0" w:space="0" w:color="auto"/>
        <w:bottom w:val="none" w:sz="0" w:space="0" w:color="auto"/>
        <w:right w:val="none" w:sz="0" w:space="0" w:color="auto"/>
      </w:divBdr>
    </w:div>
    <w:div w:id="1709836315">
      <w:bodyDiv w:val="1"/>
      <w:marLeft w:val="0"/>
      <w:marRight w:val="0"/>
      <w:marTop w:val="0"/>
      <w:marBottom w:val="0"/>
      <w:divBdr>
        <w:top w:val="none" w:sz="0" w:space="0" w:color="auto"/>
        <w:left w:val="none" w:sz="0" w:space="0" w:color="auto"/>
        <w:bottom w:val="none" w:sz="0" w:space="0" w:color="auto"/>
        <w:right w:val="none" w:sz="0" w:space="0" w:color="auto"/>
      </w:divBdr>
    </w:div>
    <w:div w:id="1736581803">
      <w:bodyDiv w:val="1"/>
      <w:marLeft w:val="0"/>
      <w:marRight w:val="0"/>
      <w:marTop w:val="0"/>
      <w:marBottom w:val="0"/>
      <w:divBdr>
        <w:top w:val="none" w:sz="0" w:space="0" w:color="auto"/>
        <w:left w:val="none" w:sz="0" w:space="0" w:color="auto"/>
        <w:bottom w:val="none" w:sz="0" w:space="0" w:color="auto"/>
        <w:right w:val="none" w:sz="0" w:space="0" w:color="auto"/>
      </w:divBdr>
    </w:div>
    <w:div w:id="1750498497">
      <w:bodyDiv w:val="1"/>
      <w:marLeft w:val="0"/>
      <w:marRight w:val="0"/>
      <w:marTop w:val="0"/>
      <w:marBottom w:val="0"/>
      <w:divBdr>
        <w:top w:val="none" w:sz="0" w:space="0" w:color="auto"/>
        <w:left w:val="none" w:sz="0" w:space="0" w:color="auto"/>
        <w:bottom w:val="none" w:sz="0" w:space="0" w:color="auto"/>
        <w:right w:val="none" w:sz="0" w:space="0" w:color="auto"/>
      </w:divBdr>
    </w:div>
    <w:div w:id="1857382742">
      <w:bodyDiv w:val="1"/>
      <w:marLeft w:val="0"/>
      <w:marRight w:val="0"/>
      <w:marTop w:val="0"/>
      <w:marBottom w:val="0"/>
      <w:divBdr>
        <w:top w:val="none" w:sz="0" w:space="0" w:color="auto"/>
        <w:left w:val="none" w:sz="0" w:space="0" w:color="auto"/>
        <w:bottom w:val="none" w:sz="0" w:space="0" w:color="auto"/>
        <w:right w:val="none" w:sz="0" w:space="0" w:color="auto"/>
      </w:divBdr>
    </w:div>
    <w:div w:id="1870340211">
      <w:bodyDiv w:val="1"/>
      <w:marLeft w:val="0"/>
      <w:marRight w:val="0"/>
      <w:marTop w:val="0"/>
      <w:marBottom w:val="0"/>
      <w:divBdr>
        <w:top w:val="none" w:sz="0" w:space="0" w:color="auto"/>
        <w:left w:val="none" w:sz="0" w:space="0" w:color="auto"/>
        <w:bottom w:val="none" w:sz="0" w:space="0" w:color="auto"/>
        <w:right w:val="none" w:sz="0" w:space="0" w:color="auto"/>
      </w:divBdr>
    </w:div>
    <w:div w:id="1874733109">
      <w:bodyDiv w:val="1"/>
      <w:marLeft w:val="0"/>
      <w:marRight w:val="0"/>
      <w:marTop w:val="0"/>
      <w:marBottom w:val="0"/>
      <w:divBdr>
        <w:top w:val="none" w:sz="0" w:space="0" w:color="auto"/>
        <w:left w:val="none" w:sz="0" w:space="0" w:color="auto"/>
        <w:bottom w:val="none" w:sz="0" w:space="0" w:color="auto"/>
        <w:right w:val="none" w:sz="0" w:space="0" w:color="auto"/>
      </w:divBdr>
    </w:div>
    <w:div w:id="1879659289">
      <w:bodyDiv w:val="1"/>
      <w:marLeft w:val="0"/>
      <w:marRight w:val="0"/>
      <w:marTop w:val="0"/>
      <w:marBottom w:val="0"/>
      <w:divBdr>
        <w:top w:val="none" w:sz="0" w:space="0" w:color="auto"/>
        <w:left w:val="none" w:sz="0" w:space="0" w:color="auto"/>
        <w:bottom w:val="none" w:sz="0" w:space="0" w:color="auto"/>
        <w:right w:val="none" w:sz="0" w:space="0" w:color="auto"/>
      </w:divBdr>
    </w:div>
    <w:div w:id="1920096061">
      <w:bodyDiv w:val="1"/>
      <w:marLeft w:val="0"/>
      <w:marRight w:val="0"/>
      <w:marTop w:val="0"/>
      <w:marBottom w:val="0"/>
      <w:divBdr>
        <w:top w:val="none" w:sz="0" w:space="0" w:color="auto"/>
        <w:left w:val="none" w:sz="0" w:space="0" w:color="auto"/>
        <w:bottom w:val="none" w:sz="0" w:space="0" w:color="auto"/>
        <w:right w:val="none" w:sz="0" w:space="0" w:color="auto"/>
      </w:divBdr>
    </w:div>
    <w:div w:id="1991591538">
      <w:bodyDiv w:val="1"/>
      <w:marLeft w:val="0"/>
      <w:marRight w:val="0"/>
      <w:marTop w:val="0"/>
      <w:marBottom w:val="0"/>
      <w:divBdr>
        <w:top w:val="none" w:sz="0" w:space="0" w:color="auto"/>
        <w:left w:val="none" w:sz="0" w:space="0" w:color="auto"/>
        <w:bottom w:val="none" w:sz="0" w:space="0" w:color="auto"/>
        <w:right w:val="none" w:sz="0" w:space="0" w:color="auto"/>
      </w:divBdr>
    </w:div>
    <w:div w:id="20108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9E377D5BE2854C93CC381DB84F9DF0" ma:contentTypeVersion="0" ma:contentTypeDescription="Create a new document." ma:contentTypeScope="" ma:versionID="4e5ee0dda7aee4e869795e9e71fbdf04">
  <xsd:schema xmlns:xsd="http://www.w3.org/2001/XMLSchema" xmlns:xs="http://www.w3.org/2001/XMLSchema" xmlns:p="http://schemas.microsoft.com/office/2006/metadata/properties" targetNamespace="http://schemas.microsoft.com/office/2006/metadata/properties" ma:root="true" ma:fieldsID="929a7624b9dffaa02f4ebdecb79f49b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F7396-A041-4930-86F0-D4D37D19E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F616932-97BF-4380-AA52-EC87C9B9D092}">
  <ds:schemaRefs>
    <ds:schemaRef ds:uri="http://schemas.microsoft.com/sharepoint/v3/contenttype/forms"/>
  </ds:schemaRefs>
</ds:datastoreItem>
</file>

<file path=customXml/itemProps3.xml><?xml version="1.0" encoding="utf-8"?>
<ds:datastoreItem xmlns:ds="http://schemas.openxmlformats.org/officeDocument/2006/customXml" ds:itemID="{35F87588-63F7-4CCB-9A5E-721A7E7433A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07968D5-CB4D-4A59-AA3B-DE2CA1FFD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3274</Words>
  <Characters>17714</Characters>
  <Application>Microsoft Office Word</Application>
  <DocSecurity>0</DocSecurity>
  <Lines>536</Lines>
  <Paragraphs>349</Paragraphs>
  <ScaleCrop>false</ScaleCrop>
  <HeadingPairs>
    <vt:vector size="2" baseType="variant">
      <vt:variant>
        <vt:lpstr>Title</vt:lpstr>
      </vt:variant>
      <vt:variant>
        <vt:i4>1</vt:i4>
      </vt:variant>
    </vt:vector>
  </HeadingPairs>
  <TitlesOfParts>
    <vt:vector size="1" baseType="lpstr">
      <vt:lpstr>Oral question O-0008/05</vt:lpstr>
    </vt:vector>
  </TitlesOfParts>
  <Manager/>
  <Company/>
  <LinksUpToDate>false</LinksUpToDate>
  <CharactersWithSpaces>20639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question O-0008/05</dc:title>
  <dc:creator/>
  <cp:lastModifiedBy>WES PDFC Administrator</cp:lastModifiedBy>
  <cp:revision>16</cp:revision>
  <cp:lastPrinted>2019-06-04T11:54:00Z</cp:lastPrinted>
  <dcterms:created xsi:type="dcterms:W3CDTF">2019-06-14T13:30:00Z</dcterms:created>
  <dcterms:modified xsi:type="dcterms:W3CDTF">2019-06-20T08:11:00Z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y fmtid="{D5CDD505-2E9C-101B-9397-08002B2CF9AE}" pid="8" name="Last edited using">
    <vt:lpwstr>LW 6.0.1, Build 20180503</vt:lpwstr>
  </property>
  <property fmtid="{D5CDD505-2E9C-101B-9397-08002B2CF9AE}" pid="9" name="ContentTypeId">
    <vt:lpwstr>0x0101005C9E377D5BE2854C93CC381DB84F9DF0</vt:lpwstr>
  </property>
  <property fmtid="{D5CDD505-2E9C-101B-9397-08002B2CF9AE}" pid="10" name="IsMyDocuments">
    <vt:bool>true</vt:bool>
  </property>
</Properties>
</file>