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3.xml" ContentType="application/vnd.openxmlformats-officedocument.drawingml.chartshapes+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charts/chart5.xml" ContentType="application/vnd.openxmlformats-officedocument.drawingml.chart+xml"/>
  <Override PartName="/word/drawings/drawing4.xml" ContentType="application/vnd.openxmlformats-officedocument.drawingml.chartshapes+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CFA44843-BA1C-48C0-9E7C-B4F0AC5F06F0" style="width:450.6pt;height:379.15pt">
            <v:imagedata r:id="rId13" o:title=""/>
          </v:shape>
        </w:pict>
      </w:r>
    </w:p>
    <w:bookmarkEnd w:id="0"/>
    <w:p>
      <w:pPr>
        <w:rPr>
          <w:noProof/>
        </w:rPr>
        <w:sectPr>
          <w:headerReference w:type="even" r:id="rId14"/>
          <w:headerReference w:type="default" r:id="rId15"/>
          <w:footerReference w:type="even" r:id="rId16"/>
          <w:footerReference w:type="default" r:id="rId17"/>
          <w:headerReference w:type="first" r:id="rId18"/>
          <w:footerReference w:type="first" r:id="rId19"/>
          <w:footnotePr>
            <w:numStart w:val="413"/>
          </w:footnotePr>
          <w:pgSz w:w="11906" w:h="16838" w:code="9"/>
          <w:pgMar w:top="1134" w:right="1417" w:bottom="1134" w:left="1417" w:header="709" w:footer="709" w:gutter="0"/>
          <w:pgNumType w:start="187"/>
          <w:cols w:space="720"/>
          <w:docGrid w:linePitch="326"/>
        </w:sectPr>
      </w:pPr>
    </w:p>
    <w:p>
      <w:pPr>
        <w:rPr>
          <w:noProof/>
        </w:rPr>
      </w:pPr>
      <w:bookmarkStart w:id="1" w:name="_GoBack"/>
      <w:bookmarkEnd w:id="1"/>
      <w:r>
        <w:rPr>
          <w:noProof/>
        </w:rPr>
        <w:lastRenderedPageBreak/>
        <w:br w:type="page"/>
      </w:r>
    </w:p>
    <w:p>
      <w:pPr>
        <w:rPr>
          <w:noProof/>
        </w:rPr>
        <w:sectPr>
          <w:headerReference w:type="even" r:id="rId20"/>
          <w:headerReference w:type="default" r:id="rId21"/>
          <w:footerReference w:type="even" r:id="rId22"/>
          <w:footerReference w:type="default" r:id="rId23"/>
          <w:headerReference w:type="first" r:id="rId24"/>
          <w:footerReference w:type="first" r:id="rId25"/>
          <w:footnotePr>
            <w:numStart w:val="413"/>
          </w:footnotePr>
          <w:pgSz w:w="11906" w:h="16838" w:code="9"/>
          <w:pgMar w:top="1418" w:right="1418" w:bottom="1418" w:left="1418" w:header="635" w:footer="635" w:gutter="0"/>
          <w:pgNumType w:start="187"/>
          <w:cols w:space="720"/>
          <w:docGrid w:linePitch="326"/>
        </w:sectPr>
      </w:pPr>
    </w:p>
    <w:p>
      <w:pPr>
        <w:rPr>
          <w:noProof/>
          <w:sz w:val="24"/>
        </w:rPr>
      </w:pPr>
      <w:r>
        <w:rPr>
          <w:noProof/>
          <w:lang w:eastAsia="en-GB"/>
        </w:rPr>
        <w:lastRenderedPageBreak/>
        <w:drawing>
          <wp:anchor distT="0" distB="0" distL="114300" distR="114300" simplePos="0" relativeHeight="251658752" behindDoc="1" locked="0" layoutInCell="1" allowOverlap="1">
            <wp:simplePos x="0" y="0"/>
            <wp:positionH relativeFrom="page">
              <wp:posOffset>-13970</wp:posOffset>
            </wp:positionH>
            <wp:positionV relativeFrom="page">
              <wp:posOffset>17200</wp:posOffset>
            </wp:positionV>
            <wp:extent cx="7632000" cy="10792800"/>
            <wp:effectExtent l="0" t="0" r="762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ert - Annexes.jpg"/>
                    <pic:cNvPicPr/>
                  </pic:nvPicPr>
                  <pic:blipFill>
                    <a:blip r:embed="rId26">
                      <a:extLst>
                        <a:ext uri="{28A0092B-C50C-407E-A947-70E740481C1C}">
                          <a14:useLocalDpi xmlns:a14="http://schemas.microsoft.com/office/drawing/2010/main" val="0"/>
                        </a:ext>
                      </a:extLst>
                    </a:blip>
                    <a:stretch>
                      <a:fillRect/>
                    </a:stretch>
                  </pic:blipFill>
                  <pic:spPr>
                    <a:xfrm>
                      <a:off x="0" y="0"/>
                      <a:ext cx="7632000" cy="10792800"/>
                    </a:xfrm>
                    <a:prstGeom prst="rect">
                      <a:avLst/>
                    </a:prstGeom>
                  </pic:spPr>
                </pic:pic>
              </a:graphicData>
            </a:graphic>
            <wp14:sizeRelH relativeFrom="page">
              <wp14:pctWidth>0</wp14:pctWidth>
            </wp14:sizeRelH>
            <wp14:sizeRelV relativeFrom="page">
              <wp14:pctHeight>0</wp14:pctHeight>
            </wp14:sizeRelV>
          </wp:anchor>
        </w:drawing>
      </w:r>
      <w:r>
        <w:rPr>
          <w:b/>
          <w:i/>
          <w:noProof/>
          <w:szCs w:val="20"/>
          <w:lang w:eastAsia="en-GB"/>
        </w:rPr>
        <mc:AlternateContent>
          <mc:Choice Requires="wps">
            <w:drawing>
              <wp:anchor distT="45720" distB="45720" distL="114300" distR="114300" simplePos="0" relativeHeight="251655680" behindDoc="0" locked="0" layoutInCell="1" allowOverlap="1">
                <wp:simplePos x="0" y="0"/>
                <wp:positionH relativeFrom="column">
                  <wp:posOffset>-238125</wp:posOffset>
                </wp:positionH>
                <wp:positionV relativeFrom="paragraph">
                  <wp:posOffset>4007485</wp:posOffset>
                </wp:positionV>
                <wp:extent cx="331597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404620"/>
                        </a:xfrm>
                        <a:prstGeom prst="rect">
                          <a:avLst/>
                        </a:prstGeom>
                        <a:noFill/>
                        <a:ln w="9525">
                          <a:noFill/>
                          <a:miter lim="800000"/>
                          <a:headEnd/>
                          <a:tailEnd/>
                        </a:ln>
                      </wps:spPr>
                      <wps:txbx>
                        <w:txbxContent>
                          <w:p>
                            <w:pPr>
                              <w:pStyle w:val="TitleforSectionpagebreak"/>
                              <w:rPr>
                                <w:spacing w:val="-20"/>
                                <w:lang w:val="en-US"/>
                              </w:rPr>
                            </w:pPr>
                            <w:r>
                              <w:rPr>
                                <w:spacing w:val="-20"/>
                                <w:lang w:val="en-US"/>
                              </w:rPr>
                              <w:t>ANNEXES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75pt;margin-top:315.55pt;width:261.1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1V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" filled="f" stroked="f">
                <v:textbox style="mso-fit-shape-to-text:t">
                  <w:txbxContent>
                    <w:p>
                      <w:pPr>
                        <w:pStyle w:val="TitleforSectionpagebreak"/>
                        <w:rPr>
                          <w:spacing w:val="-20"/>
                          <w:lang w:val="en-US"/>
                        </w:rPr>
                      </w:pPr>
                      <w:r>
                        <w:rPr>
                          <w:spacing w:val="-20"/>
                          <w:lang w:val="en-US"/>
                        </w:rPr>
                        <w:t>ANNEXES</w:t>
                      </w:r>
                    </w:p>
                  </w:txbxContent>
                </v:textbox>
                <w10:wrap type="square"/>
              </v:shape>
            </w:pict>
          </mc:Fallback>
        </mc:AlternateContent>
      </w:r>
      <w:r>
        <w:rPr>
          <w:noProof/>
        </w:rPr>
        <w:br w:type="page"/>
      </w:r>
    </w:p>
    <w:p>
      <w:pPr>
        <w:pStyle w:val="Pagedecouverture"/>
        <w:rPr>
          <w:noProof/>
        </w:rPr>
      </w:pPr>
    </w:p>
    <w:p>
      <w:pPr>
        <w:rPr>
          <w:noProof/>
        </w:rPr>
        <w:sectPr>
          <w:headerReference w:type="even" r:id="rId27"/>
          <w:headerReference w:type="default" r:id="rId28"/>
          <w:footerReference w:type="even" r:id="rId29"/>
          <w:footerReference w:type="default" r:id="rId30"/>
          <w:headerReference w:type="first" r:id="rId31"/>
          <w:footerReference w:type="first" r:id="rId32"/>
          <w:footnotePr>
            <w:numStart w:val="413"/>
          </w:footnotePr>
          <w:pgSz w:w="11906" w:h="16838" w:code="9"/>
          <w:pgMar w:top="1418" w:right="1418" w:bottom="1418" w:left="1418" w:header="635" w:footer="635" w:gutter="0"/>
          <w:pgNumType w:start="187"/>
          <w:cols w:space="720"/>
          <w:docGrid w:linePitch="326"/>
        </w:sectPr>
      </w:pPr>
    </w:p>
    <w:p>
      <w:pPr>
        <w:pStyle w:val="Title1Annexes"/>
        <w:rPr>
          <w:rStyle w:val="Emphasis"/>
          <w:i w:val="0"/>
          <w:noProof/>
        </w:rPr>
      </w:pPr>
      <w:bookmarkStart w:id="2" w:name="_Toc534719868"/>
      <w:bookmarkStart w:id="3" w:name="_Toc2592142"/>
      <w:bookmarkStart w:id="4" w:name="_Toc6304454"/>
      <w:bookmarkStart w:id="5" w:name="_Toc8386177"/>
      <w:bookmarkStart w:id="6" w:name="_Toc8386715"/>
      <w:bookmarkStart w:id="7" w:name="_Toc11679087"/>
      <w:r>
        <w:rPr>
          <w:rStyle w:val="Emphasis"/>
          <w:i w:val="0"/>
          <w:noProof/>
        </w:rPr>
        <w:lastRenderedPageBreak/>
        <w:t>List of annexes</w:t>
      </w:r>
      <w:bookmarkEnd w:id="2"/>
      <w:bookmarkEnd w:id="3"/>
      <w:bookmarkEnd w:id="4"/>
      <w:bookmarkEnd w:id="5"/>
      <w:bookmarkEnd w:id="6"/>
      <w:bookmarkEnd w:id="7"/>
    </w:p>
    <w:p>
      <w:pPr>
        <w:tabs>
          <w:tab w:val="left" w:pos="2809"/>
        </w:tabs>
        <w:rPr>
          <w:rStyle w:val="Emphasis"/>
          <w:i w:val="0"/>
          <w:noProof/>
        </w:rPr>
      </w:pPr>
      <w:r>
        <w:rPr>
          <w:rStyle w:val="Emphasis"/>
          <w:i w:val="0"/>
          <w:noProof/>
        </w:rPr>
        <w:tab/>
      </w:r>
    </w:p>
    <w:p>
      <w:pPr>
        <w:tabs>
          <w:tab w:val="right" w:leader="dot" w:pos="9062"/>
        </w:tabs>
        <w:rPr>
          <w:rStyle w:val="Emphasis"/>
          <w:i w:val="0"/>
          <w:noProof/>
        </w:rPr>
      </w:pPr>
    </w:p>
    <w:p>
      <w:pPr>
        <w:pStyle w:val="TOC1"/>
        <w:rPr>
          <w:rFonts w:asciiTheme="minorHAnsi" w:eastAsiaTheme="minorEastAsia" w:hAnsiTheme="minorHAnsi" w:cstheme="minorBidi"/>
          <w:noProof/>
          <w:sz w:val="22"/>
          <w:lang w:eastAsia="en-GB"/>
        </w:rPr>
      </w:pPr>
      <w:r>
        <w:rPr>
          <w:rStyle w:val="Emphasis"/>
          <w:b/>
          <w:bCs/>
          <w:i w:val="0"/>
          <w:caps/>
          <w:noProof/>
          <w:szCs w:val="20"/>
        </w:rPr>
        <w:fldChar w:fldCharType="begin"/>
      </w:r>
      <w:r>
        <w:rPr>
          <w:rStyle w:val="Emphasis"/>
          <w:b/>
          <w:bCs/>
          <w:i w:val="0"/>
          <w:caps/>
          <w:noProof/>
          <w:szCs w:val="20"/>
        </w:rPr>
        <w:instrText xml:space="preserve"> TOC \h \z \t "Title 1 / Annexes,1,Title 2 / Annexes,2" </w:instrText>
      </w:r>
      <w:r>
        <w:rPr>
          <w:rStyle w:val="Emphasis"/>
          <w:b/>
          <w:bCs/>
          <w:i w:val="0"/>
          <w:caps/>
          <w:noProof/>
          <w:szCs w:val="20"/>
        </w:rPr>
        <w:fldChar w:fldCharType="separate"/>
      </w:r>
      <w:hyperlink w:anchor="_Toc11679087" w:history="1">
        <w:r>
          <w:rPr>
            <w:rStyle w:val="Hyperlink"/>
            <w:iCs/>
            <w:noProof/>
          </w:rPr>
          <w:t>List of annexes</w:t>
        </w:r>
        <w:r>
          <w:rPr>
            <w:noProof/>
            <w:webHidden/>
          </w:rPr>
          <w:tab/>
        </w:r>
        <w:r>
          <w:rPr>
            <w:noProof/>
            <w:webHidden/>
          </w:rPr>
          <w:fldChar w:fldCharType="begin"/>
        </w:r>
        <w:r>
          <w:rPr>
            <w:noProof/>
            <w:webHidden/>
          </w:rPr>
          <w:instrText xml:space="preserve"> PAGEREF _Toc11679087 \h </w:instrText>
        </w:r>
        <w:r>
          <w:rPr>
            <w:noProof/>
            <w:webHidden/>
          </w:rPr>
        </w:r>
        <w:r>
          <w:rPr>
            <w:noProof/>
            <w:webHidden/>
          </w:rPr>
          <w:fldChar w:fldCharType="separate"/>
        </w:r>
        <w:r>
          <w:rPr>
            <w:noProof/>
            <w:webHidden/>
          </w:rPr>
          <w:t>187</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1679088" w:history="1">
        <w:r>
          <w:rPr>
            <w:rStyle w:val="Hyperlink"/>
            <w:noProof/>
          </w:rPr>
          <w:t>Annex 1:  Snapshot of the Commission-wide impact indicators</w:t>
        </w:r>
        <w:r>
          <w:rPr>
            <w:rStyle w:val="Hyperlink"/>
            <w:rFonts w:ascii="Arial" w:hAnsi="Arial" w:cs="Arial"/>
            <w:noProof/>
          </w:rPr>
          <w:t> </w:t>
        </w:r>
        <w:r>
          <w:rPr>
            <w:rStyle w:val="Hyperlink"/>
            <w:noProof/>
          </w:rPr>
          <w:t>()</w:t>
        </w:r>
        <w:r>
          <w:rPr>
            <w:noProof/>
            <w:webHidden/>
          </w:rPr>
          <w:tab/>
        </w:r>
        <w:r>
          <w:rPr>
            <w:noProof/>
            <w:webHidden/>
          </w:rPr>
          <w:fldChar w:fldCharType="begin"/>
        </w:r>
        <w:r>
          <w:rPr>
            <w:noProof/>
            <w:webHidden/>
          </w:rPr>
          <w:instrText xml:space="preserve"> PAGEREF _Toc11679088 \h </w:instrText>
        </w:r>
        <w:r>
          <w:rPr>
            <w:noProof/>
            <w:webHidden/>
          </w:rPr>
        </w:r>
        <w:r>
          <w:rPr>
            <w:noProof/>
            <w:webHidden/>
          </w:rPr>
          <w:fldChar w:fldCharType="separate"/>
        </w:r>
        <w:r>
          <w:rPr>
            <w:noProof/>
            <w:webHidden/>
          </w:rPr>
          <w:t>189</w:t>
        </w:r>
        <w:r>
          <w:rPr>
            <w:noProof/>
            <w:webHidden/>
          </w:rPr>
          <w:fldChar w:fldCharType="end"/>
        </w:r>
      </w:hyperlink>
    </w:p>
    <w:p>
      <w:pPr>
        <w:pStyle w:val="TOC2"/>
        <w:rPr>
          <w:rFonts w:asciiTheme="minorHAnsi" w:eastAsiaTheme="minorEastAsia" w:hAnsiTheme="minorHAnsi" w:cstheme="minorBidi"/>
          <w:smallCaps w:val="0"/>
          <w:noProof/>
          <w:sz w:val="22"/>
          <w:szCs w:val="22"/>
          <w:lang w:eastAsia="en-GB"/>
        </w:rPr>
      </w:pPr>
      <w:hyperlink w:anchor="_Toc11679089" w:history="1">
        <w:r>
          <w:rPr>
            <w:rStyle w:val="Hyperlink"/>
            <w:noProof/>
          </w:rPr>
          <w:t>General objective: A new boost for jobs, growth and investment</w:t>
        </w:r>
        <w:r>
          <w:rPr>
            <w:noProof/>
            <w:webHidden/>
          </w:rPr>
          <w:tab/>
        </w:r>
        <w:r>
          <w:rPr>
            <w:noProof/>
            <w:webHidden/>
          </w:rPr>
          <w:fldChar w:fldCharType="begin"/>
        </w:r>
        <w:r>
          <w:rPr>
            <w:noProof/>
            <w:webHidden/>
          </w:rPr>
          <w:instrText xml:space="preserve"> PAGEREF _Toc11679089 \h </w:instrText>
        </w:r>
        <w:r>
          <w:rPr>
            <w:noProof/>
            <w:webHidden/>
          </w:rPr>
        </w:r>
        <w:r>
          <w:rPr>
            <w:noProof/>
            <w:webHidden/>
          </w:rPr>
          <w:fldChar w:fldCharType="separate"/>
        </w:r>
        <w:r>
          <w:rPr>
            <w:noProof/>
            <w:webHidden/>
          </w:rPr>
          <w:t>189</w:t>
        </w:r>
        <w:r>
          <w:rPr>
            <w:noProof/>
            <w:webHidden/>
          </w:rPr>
          <w:fldChar w:fldCharType="end"/>
        </w:r>
      </w:hyperlink>
    </w:p>
    <w:p>
      <w:pPr>
        <w:pStyle w:val="TOC2"/>
        <w:rPr>
          <w:rFonts w:asciiTheme="minorHAnsi" w:eastAsiaTheme="minorEastAsia" w:hAnsiTheme="minorHAnsi" w:cstheme="minorBidi"/>
          <w:smallCaps w:val="0"/>
          <w:noProof/>
          <w:sz w:val="22"/>
          <w:szCs w:val="22"/>
          <w:lang w:eastAsia="en-GB"/>
        </w:rPr>
      </w:pPr>
      <w:hyperlink w:anchor="_Toc11679090" w:history="1">
        <w:r>
          <w:rPr>
            <w:rStyle w:val="Hyperlink"/>
            <w:noProof/>
          </w:rPr>
          <w:t>General objective: A connected digital single market</w:t>
        </w:r>
        <w:r>
          <w:rPr>
            <w:noProof/>
            <w:webHidden/>
          </w:rPr>
          <w:tab/>
        </w:r>
        <w:r>
          <w:rPr>
            <w:noProof/>
            <w:webHidden/>
          </w:rPr>
          <w:fldChar w:fldCharType="begin"/>
        </w:r>
        <w:r>
          <w:rPr>
            <w:noProof/>
            <w:webHidden/>
          </w:rPr>
          <w:instrText xml:space="preserve"> PAGEREF _Toc11679090 \h </w:instrText>
        </w:r>
        <w:r>
          <w:rPr>
            <w:noProof/>
            <w:webHidden/>
          </w:rPr>
        </w:r>
        <w:r>
          <w:rPr>
            <w:noProof/>
            <w:webHidden/>
          </w:rPr>
          <w:fldChar w:fldCharType="separate"/>
        </w:r>
        <w:r>
          <w:rPr>
            <w:noProof/>
            <w:webHidden/>
          </w:rPr>
          <w:t>191</w:t>
        </w:r>
        <w:r>
          <w:rPr>
            <w:noProof/>
            <w:webHidden/>
          </w:rPr>
          <w:fldChar w:fldCharType="end"/>
        </w:r>
      </w:hyperlink>
    </w:p>
    <w:p>
      <w:pPr>
        <w:pStyle w:val="TOC2"/>
        <w:rPr>
          <w:rFonts w:asciiTheme="minorHAnsi" w:eastAsiaTheme="minorEastAsia" w:hAnsiTheme="minorHAnsi" w:cstheme="minorBidi"/>
          <w:smallCaps w:val="0"/>
          <w:noProof/>
          <w:sz w:val="22"/>
          <w:szCs w:val="22"/>
          <w:lang w:eastAsia="en-GB"/>
        </w:rPr>
      </w:pPr>
      <w:hyperlink w:anchor="_Toc11679091" w:history="1">
        <w:r>
          <w:rPr>
            <w:rStyle w:val="Hyperlink"/>
            <w:noProof/>
          </w:rPr>
          <w:t>General objective: A resilient energy union with a forward-looking climate change policy</w:t>
        </w:r>
        <w:r>
          <w:rPr>
            <w:noProof/>
            <w:webHidden/>
          </w:rPr>
          <w:tab/>
        </w:r>
        <w:r>
          <w:rPr>
            <w:noProof/>
            <w:webHidden/>
          </w:rPr>
          <w:fldChar w:fldCharType="begin"/>
        </w:r>
        <w:r>
          <w:rPr>
            <w:noProof/>
            <w:webHidden/>
          </w:rPr>
          <w:instrText xml:space="preserve"> PAGEREF _Toc11679091 \h </w:instrText>
        </w:r>
        <w:r>
          <w:rPr>
            <w:noProof/>
            <w:webHidden/>
          </w:rPr>
        </w:r>
        <w:r>
          <w:rPr>
            <w:noProof/>
            <w:webHidden/>
          </w:rPr>
          <w:fldChar w:fldCharType="separate"/>
        </w:r>
        <w:r>
          <w:rPr>
            <w:noProof/>
            <w:webHidden/>
          </w:rPr>
          <w:t>191</w:t>
        </w:r>
        <w:r>
          <w:rPr>
            <w:noProof/>
            <w:webHidden/>
          </w:rPr>
          <w:fldChar w:fldCharType="end"/>
        </w:r>
      </w:hyperlink>
    </w:p>
    <w:p>
      <w:pPr>
        <w:pStyle w:val="TOC2"/>
        <w:rPr>
          <w:rFonts w:asciiTheme="minorHAnsi" w:eastAsiaTheme="minorEastAsia" w:hAnsiTheme="minorHAnsi" w:cstheme="minorBidi"/>
          <w:smallCaps w:val="0"/>
          <w:noProof/>
          <w:sz w:val="22"/>
          <w:szCs w:val="22"/>
          <w:lang w:eastAsia="en-GB"/>
        </w:rPr>
      </w:pPr>
      <w:hyperlink w:anchor="_Toc11679092" w:history="1">
        <w:r>
          <w:rPr>
            <w:rStyle w:val="Hyperlink"/>
            <w:noProof/>
          </w:rPr>
          <w:t>General objective: A deeper and fairer internal market with a strengthened industrial base</w:t>
        </w:r>
        <w:r>
          <w:rPr>
            <w:noProof/>
            <w:webHidden/>
          </w:rPr>
          <w:tab/>
        </w:r>
        <w:r>
          <w:rPr>
            <w:noProof/>
            <w:webHidden/>
          </w:rPr>
          <w:fldChar w:fldCharType="begin"/>
        </w:r>
        <w:r>
          <w:rPr>
            <w:noProof/>
            <w:webHidden/>
          </w:rPr>
          <w:instrText xml:space="preserve"> PAGEREF _Toc11679092 \h </w:instrText>
        </w:r>
        <w:r>
          <w:rPr>
            <w:noProof/>
            <w:webHidden/>
          </w:rPr>
        </w:r>
        <w:r>
          <w:rPr>
            <w:noProof/>
            <w:webHidden/>
          </w:rPr>
          <w:fldChar w:fldCharType="separate"/>
        </w:r>
        <w:r>
          <w:rPr>
            <w:noProof/>
            <w:webHidden/>
          </w:rPr>
          <w:t>192</w:t>
        </w:r>
        <w:r>
          <w:rPr>
            <w:noProof/>
            <w:webHidden/>
          </w:rPr>
          <w:fldChar w:fldCharType="end"/>
        </w:r>
      </w:hyperlink>
    </w:p>
    <w:p>
      <w:pPr>
        <w:pStyle w:val="TOC2"/>
        <w:rPr>
          <w:rFonts w:asciiTheme="minorHAnsi" w:eastAsiaTheme="minorEastAsia" w:hAnsiTheme="minorHAnsi" w:cstheme="minorBidi"/>
          <w:smallCaps w:val="0"/>
          <w:noProof/>
          <w:sz w:val="22"/>
          <w:szCs w:val="22"/>
          <w:lang w:eastAsia="en-GB"/>
        </w:rPr>
      </w:pPr>
      <w:hyperlink w:anchor="_Toc11679093" w:history="1">
        <w:r>
          <w:rPr>
            <w:rStyle w:val="Hyperlink"/>
            <w:noProof/>
          </w:rPr>
          <w:t>General objective: A deeper and fairer economic and monetary union</w:t>
        </w:r>
        <w:r>
          <w:rPr>
            <w:noProof/>
            <w:webHidden/>
          </w:rPr>
          <w:tab/>
        </w:r>
        <w:r>
          <w:rPr>
            <w:noProof/>
            <w:webHidden/>
          </w:rPr>
          <w:fldChar w:fldCharType="begin"/>
        </w:r>
        <w:r>
          <w:rPr>
            <w:noProof/>
            <w:webHidden/>
          </w:rPr>
          <w:instrText xml:space="preserve"> PAGEREF _Toc11679093 \h </w:instrText>
        </w:r>
        <w:r>
          <w:rPr>
            <w:noProof/>
            <w:webHidden/>
          </w:rPr>
        </w:r>
        <w:r>
          <w:rPr>
            <w:noProof/>
            <w:webHidden/>
          </w:rPr>
          <w:fldChar w:fldCharType="separate"/>
        </w:r>
        <w:r>
          <w:rPr>
            <w:noProof/>
            <w:webHidden/>
          </w:rPr>
          <w:t>193</w:t>
        </w:r>
        <w:r>
          <w:rPr>
            <w:noProof/>
            <w:webHidden/>
          </w:rPr>
          <w:fldChar w:fldCharType="end"/>
        </w:r>
      </w:hyperlink>
    </w:p>
    <w:p>
      <w:pPr>
        <w:pStyle w:val="TOC2"/>
        <w:rPr>
          <w:rFonts w:asciiTheme="minorHAnsi" w:eastAsiaTheme="minorEastAsia" w:hAnsiTheme="minorHAnsi" w:cstheme="minorBidi"/>
          <w:smallCaps w:val="0"/>
          <w:noProof/>
          <w:sz w:val="22"/>
          <w:szCs w:val="22"/>
          <w:lang w:eastAsia="en-GB"/>
        </w:rPr>
      </w:pPr>
      <w:hyperlink w:anchor="_Toc11679094" w:history="1">
        <w:r>
          <w:rPr>
            <w:rStyle w:val="Hyperlink"/>
            <w:noProof/>
          </w:rPr>
          <w:t>General objective: A balanced and progressive trade policy to harness globalisation</w:t>
        </w:r>
        <w:r>
          <w:rPr>
            <w:noProof/>
            <w:webHidden/>
          </w:rPr>
          <w:tab/>
        </w:r>
        <w:r>
          <w:rPr>
            <w:noProof/>
            <w:webHidden/>
          </w:rPr>
          <w:fldChar w:fldCharType="begin"/>
        </w:r>
        <w:r>
          <w:rPr>
            <w:noProof/>
            <w:webHidden/>
          </w:rPr>
          <w:instrText xml:space="preserve"> PAGEREF _Toc11679094 \h </w:instrText>
        </w:r>
        <w:r>
          <w:rPr>
            <w:noProof/>
            <w:webHidden/>
          </w:rPr>
        </w:r>
        <w:r>
          <w:rPr>
            <w:noProof/>
            <w:webHidden/>
          </w:rPr>
          <w:fldChar w:fldCharType="separate"/>
        </w:r>
        <w:r>
          <w:rPr>
            <w:noProof/>
            <w:webHidden/>
          </w:rPr>
          <w:t>194</w:t>
        </w:r>
        <w:r>
          <w:rPr>
            <w:noProof/>
            <w:webHidden/>
          </w:rPr>
          <w:fldChar w:fldCharType="end"/>
        </w:r>
      </w:hyperlink>
    </w:p>
    <w:p>
      <w:pPr>
        <w:pStyle w:val="TOC2"/>
        <w:rPr>
          <w:rFonts w:asciiTheme="minorHAnsi" w:eastAsiaTheme="minorEastAsia" w:hAnsiTheme="minorHAnsi" w:cstheme="minorBidi"/>
          <w:smallCaps w:val="0"/>
          <w:noProof/>
          <w:sz w:val="22"/>
          <w:szCs w:val="22"/>
          <w:lang w:eastAsia="en-GB"/>
        </w:rPr>
      </w:pPr>
      <w:hyperlink w:anchor="_Toc11679095" w:history="1">
        <w:r>
          <w:rPr>
            <w:rStyle w:val="Hyperlink"/>
            <w:noProof/>
          </w:rPr>
          <w:t>General objective: An area of justice and fundamental rights based on mutual trust</w:t>
        </w:r>
        <w:r>
          <w:rPr>
            <w:noProof/>
            <w:webHidden/>
          </w:rPr>
          <w:tab/>
        </w:r>
        <w:r>
          <w:rPr>
            <w:noProof/>
            <w:webHidden/>
          </w:rPr>
          <w:fldChar w:fldCharType="begin"/>
        </w:r>
        <w:r>
          <w:rPr>
            <w:noProof/>
            <w:webHidden/>
          </w:rPr>
          <w:instrText xml:space="preserve"> PAGEREF _Toc11679095 \h </w:instrText>
        </w:r>
        <w:r>
          <w:rPr>
            <w:noProof/>
            <w:webHidden/>
          </w:rPr>
        </w:r>
        <w:r>
          <w:rPr>
            <w:noProof/>
            <w:webHidden/>
          </w:rPr>
          <w:fldChar w:fldCharType="separate"/>
        </w:r>
        <w:r>
          <w:rPr>
            <w:noProof/>
            <w:webHidden/>
          </w:rPr>
          <w:t>194</w:t>
        </w:r>
        <w:r>
          <w:rPr>
            <w:noProof/>
            <w:webHidden/>
          </w:rPr>
          <w:fldChar w:fldCharType="end"/>
        </w:r>
      </w:hyperlink>
    </w:p>
    <w:p>
      <w:pPr>
        <w:pStyle w:val="TOC2"/>
        <w:rPr>
          <w:rFonts w:asciiTheme="minorHAnsi" w:eastAsiaTheme="minorEastAsia" w:hAnsiTheme="minorHAnsi" w:cstheme="minorBidi"/>
          <w:smallCaps w:val="0"/>
          <w:noProof/>
          <w:sz w:val="22"/>
          <w:szCs w:val="22"/>
          <w:lang w:eastAsia="en-GB"/>
        </w:rPr>
      </w:pPr>
      <w:hyperlink w:anchor="_Toc11679096" w:history="1">
        <w:r>
          <w:rPr>
            <w:rStyle w:val="Hyperlink"/>
            <w:noProof/>
          </w:rPr>
          <w:t>General objective: Towards a new policy on migration</w:t>
        </w:r>
        <w:r>
          <w:rPr>
            <w:rStyle w:val="Hyperlink"/>
            <w:rFonts w:ascii="Arial" w:hAnsi="Arial" w:cs="Arial"/>
            <w:noProof/>
          </w:rPr>
          <w:t> </w:t>
        </w:r>
        <w:r>
          <w:rPr>
            <w:rStyle w:val="Hyperlink"/>
            <w:noProof/>
          </w:rPr>
          <w:t>()</w:t>
        </w:r>
        <w:r>
          <w:rPr>
            <w:noProof/>
            <w:webHidden/>
          </w:rPr>
          <w:tab/>
        </w:r>
        <w:r>
          <w:rPr>
            <w:noProof/>
            <w:webHidden/>
          </w:rPr>
          <w:fldChar w:fldCharType="begin"/>
        </w:r>
        <w:r>
          <w:rPr>
            <w:noProof/>
            <w:webHidden/>
          </w:rPr>
          <w:instrText xml:space="preserve"> PAGEREF _Toc11679096 \h </w:instrText>
        </w:r>
        <w:r>
          <w:rPr>
            <w:noProof/>
            <w:webHidden/>
          </w:rPr>
        </w:r>
        <w:r>
          <w:rPr>
            <w:noProof/>
            <w:webHidden/>
          </w:rPr>
          <w:fldChar w:fldCharType="separate"/>
        </w:r>
        <w:r>
          <w:rPr>
            <w:noProof/>
            <w:webHidden/>
          </w:rPr>
          <w:t>195</w:t>
        </w:r>
        <w:r>
          <w:rPr>
            <w:noProof/>
            <w:webHidden/>
          </w:rPr>
          <w:fldChar w:fldCharType="end"/>
        </w:r>
      </w:hyperlink>
    </w:p>
    <w:p>
      <w:pPr>
        <w:pStyle w:val="TOC2"/>
        <w:rPr>
          <w:rFonts w:asciiTheme="minorHAnsi" w:eastAsiaTheme="minorEastAsia" w:hAnsiTheme="minorHAnsi" w:cstheme="minorBidi"/>
          <w:smallCaps w:val="0"/>
          <w:noProof/>
          <w:sz w:val="22"/>
          <w:szCs w:val="22"/>
          <w:lang w:eastAsia="en-GB"/>
        </w:rPr>
      </w:pPr>
      <w:hyperlink w:anchor="_Toc11679097" w:history="1">
        <w:r>
          <w:rPr>
            <w:rStyle w:val="Hyperlink"/>
            <w:noProof/>
          </w:rPr>
          <w:t>General objective: A stronger global actor</w:t>
        </w:r>
        <w:r>
          <w:rPr>
            <w:noProof/>
            <w:webHidden/>
          </w:rPr>
          <w:tab/>
        </w:r>
        <w:r>
          <w:rPr>
            <w:noProof/>
            <w:webHidden/>
          </w:rPr>
          <w:fldChar w:fldCharType="begin"/>
        </w:r>
        <w:r>
          <w:rPr>
            <w:noProof/>
            <w:webHidden/>
          </w:rPr>
          <w:instrText xml:space="preserve"> PAGEREF _Toc11679097 \h </w:instrText>
        </w:r>
        <w:r>
          <w:rPr>
            <w:noProof/>
            <w:webHidden/>
          </w:rPr>
        </w:r>
        <w:r>
          <w:rPr>
            <w:noProof/>
            <w:webHidden/>
          </w:rPr>
          <w:fldChar w:fldCharType="separate"/>
        </w:r>
        <w:r>
          <w:rPr>
            <w:noProof/>
            <w:webHidden/>
          </w:rPr>
          <w:t>196</w:t>
        </w:r>
        <w:r>
          <w:rPr>
            <w:noProof/>
            <w:webHidden/>
          </w:rPr>
          <w:fldChar w:fldCharType="end"/>
        </w:r>
      </w:hyperlink>
    </w:p>
    <w:p>
      <w:pPr>
        <w:pStyle w:val="TOC2"/>
        <w:rPr>
          <w:rFonts w:asciiTheme="minorHAnsi" w:eastAsiaTheme="minorEastAsia" w:hAnsiTheme="minorHAnsi" w:cstheme="minorBidi"/>
          <w:smallCaps w:val="0"/>
          <w:noProof/>
          <w:sz w:val="22"/>
          <w:szCs w:val="22"/>
          <w:lang w:eastAsia="en-GB"/>
        </w:rPr>
      </w:pPr>
      <w:hyperlink w:anchor="_Toc11679098" w:history="1">
        <w:r>
          <w:rPr>
            <w:rStyle w:val="Hyperlink"/>
            <w:noProof/>
          </w:rPr>
          <w:t>General objective: A union of democratic change</w:t>
        </w:r>
        <w:r>
          <w:rPr>
            <w:noProof/>
            <w:webHidden/>
          </w:rPr>
          <w:tab/>
        </w:r>
        <w:r>
          <w:rPr>
            <w:noProof/>
            <w:webHidden/>
          </w:rPr>
          <w:fldChar w:fldCharType="begin"/>
        </w:r>
        <w:r>
          <w:rPr>
            <w:noProof/>
            <w:webHidden/>
          </w:rPr>
          <w:instrText xml:space="preserve"> PAGEREF _Toc11679098 \h </w:instrText>
        </w:r>
        <w:r>
          <w:rPr>
            <w:noProof/>
            <w:webHidden/>
          </w:rPr>
        </w:r>
        <w:r>
          <w:rPr>
            <w:noProof/>
            <w:webHidden/>
          </w:rPr>
          <w:fldChar w:fldCharType="separate"/>
        </w:r>
        <w:r>
          <w:rPr>
            <w:noProof/>
            <w:webHidden/>
          </w:rPr>
          <w:t>198</w:t>
        </w:r>
        <w:r>
          <w:rPr>
            <w:noProof/>
            <w:webHidden/>
          </w:rPr>
          <w:fldChar w:fldCharType="end"/>
        </w:r>
      </w:hyperlink>
    </w:p>
    <w:p>
      <w:pPr>
        <w:pStyle w:val="TOC2"/>
        <w:rPr>
          <w:rFonts w:asciiTheme="minorHAnsi" w:eastAsiaTheme="minorEastAsia" w:hAnsiTheme="minorHAnsi" w:cstheme="minorBidi"/>
          <w:smallCaps w:val="0"/>
          <w:noProof/>
          <w:sz w:val="22"/>
          <w:szCs w:val="22"/>
          <w:lang w:eastAsia="en-GB"/>
        </w:rPr>
      </w:pPr>
      <w:hyperlink w:anchor="_Toc11679099" w:history="1">
        <w:r>
          <w:rPr>
            <w:rStyle w:val="Hyperlink"/>
            <w:noProof/>
          </w:rPr>
          <w:t>General objective: To help achieve the overall political objectives, the Commission will effectively and efficiently manage and safeguard assets and resources, and attract and develop the best talents</w:t>
        </w:r>
        <w:r>
          <w:rPr>
            <w:noProof/>
            <w:webHidden/>
          </w:rPr>
          <w:tab/>
        </w:r>
        <w:r>
          <w:rPr>
            <w:noProof/>
            <w:webHidden/>
          </w:rPr>
          <w:fldChar w:fldCharType="begin"/>
        </w:r>
        <w:r>
          <w:rPr>
            <w:noProof/>
            <w:webHidden/>
          </w:rPr>
          <w:instrText xml:space="preserve"> PAGEREF _Toc11679099 \h </w:instrText>
        </w:r>
        <w:r>
          <w:rPr>
            <w:noProof/>
            <w:webHidden/>
          </w:rPr>
        </w:r>
        <w:r>
          <w:rPr>
            <w:noProof/>
            <w:webHidden/>
          </w:rPr>
          <w:fldChar w:fldCharType="separate"/>
        </w:r>
        <w:r>
          <w:rPr>
            <w:noProof/>
            <w:webHidden/>
          </w:rPr>
          <w:t>198</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1679100" w:history="1">
        <w:r>
          <w:rPr>
            <w:rStyle w:val="Hyperlink"/>
            <w:noProof/>
          </w:rPr>
          <w:t>Annex 2:  Risk at payment/closure reported in the 2018 annual activity reports</w:t>
        </w:r>
        <w:r>
          <w:rPr>
            <w:noProof/>
            <w:webHidden/>
          </w:rPr>
          <w:tab/>
        </w:r>
        <w:r>
          <w:rPr>
            <w:noProof/>
            <w:webHidden/>
          </w:rPr>
          <w:fldChar w:fldCharType="begin"/>
        </w:r>
        <w:r>
          <w:rPr>
            <w:noProof/>
            <w:webHidden/>
          </w:rPr>
          <w:instrText xml:space="preserve"> PAGEREF _Toc11679100 \h </w:instrText>
        </w:r>
        <w:r>
          <w:rPr>
            <w:noProof/>
            <w:webHidden/>
          </w:rPr>
        </w:r>
        <w:r>
          <w:rPr>
            <w:noProof/>
            <w:webHidden/>
          </w:rPr>
          <w:fldChar w:fldCharType="separate"/>
        </w:r>
        <w:r>
          <w:rPr>
            <w:noProof/>
            <w:webHidden/>
          </w:rPr>
          <w:t>199</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1679101" w:history="1">
        <w:r>
          <w:rPr>
            <w:rStyle w:val="Hyperlink"/>
            <w:noProof/>
          </w:rPr>
          <w:t>Annex 3:  Summary of reservations in the 2018 annual activity reports</w:t>
        </w:r>
        <w:r>
          <w:rPr>
            <w:noProof/>
            <w:webHidden/>
          </w:rPr>
          <w:tab/>
        </w:r>
        <w:r>
          <w:rPr>
            <w:noProof/>
            <w:webHidden/>
          </w:rPr>
          <w:fldChar w:fldCharType="begin"/>
        </w:r>
        <w:r>
          <w:rPr>
            <w:noProof/>
            <w:webHidden/>
          </w:rPr>
          <w:instrText xml:space="preserve"> PAGEREF _Toc11679101 \h </w:instrText>
        </w:r>
        <w:r>
          <w:rPr>
            <w:noProof/>
            <w:webHidden/>
          </w:rPr>
        </w:r>
        <w:r>
          <w:rPr>
            <w:noProof/>
            <w:webHidden/>
          </w:rPr>
          <w:fldChar w:fldCharType="separate"/>
        </w:r>
        <w:r>
          <w:rPr>
            <w:noProof/>
            <w:webHidden/>
          </w:rPr>
          <w:t>209</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1679102" w:history="1">
        <w:r>
          <w:rPr>
            <w:rStyle w:val="Hyperlink"/>
            <w:noProof/>
          </w:rPr>
          <w:t>Annex 4:  Multiannual control cycle protects the EU budget</w:t>
        </w:r>
        <w:r>
          <w:rPr>
            <w:noProof/>
            <w:webHidden/>
          </w:rPr>
          <w:tab/>
        </w:r>
        <w:r>
          <w:rPr>
            <w:noProof/>
            <w:webHidden/>
          </w:rPr>
          <w:fldChar w:fldCharType="begin"/>
        </w:r>
        <w:r>
          <w:rPr>
            <w:noProof/>
            <w:webHidden/>
          </w:rPr>
          <w:instrText xml:space="preserve"> PAGEREF _Toc11679102 \h </w:instrText>
        </w:r>
        <w:r>
          <w:rPr>
            <w:noProof/>
            <w:webHidden/>
          </w:rPr>
        </w:r>
        <w:r>
          <w:rPr>
            <w:noProof/>
            <w:webHidden/>
          </w:rPr>
          <w:fldChar w:fldCharType="separate"/>
        </w:r>
        <w:r>
          <w:rPr>
            <w:noProof/>
            <w:webHidden/>
          </w:rPr>
          <w:t>213</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1679103" w:history="1">
        <w:r>
          <w:rPr>
            <w:rStyle w:val="Hyperlink"/>
            <w:noProof/>
          </w:rPr>
          <w:t>Annex 5:  Assurance provided by the Internal Audit Service</w:t>
        </w:r>
        <w:r>
          <w:rPr>
            <w:noProof/>
            <w:webHidden/>
          </w:rPr>
          <w:tab/>
        </w:r>
        <w:r>
          <w:rPr>
            <w:noProof/>
            <w:webHidden/>
          </w:rPr>
          <w:fldChar w:fldCharType="begin"/>
        </w:r>
        <w:r>
          <w:rPr>
            <w:noProof/>
            <w:webHidden/>
          </w:rPr>
          <w:instrText xml:space="preserve"> PAGEREF _Toc11679103 \h </w:instrText>
        </w:r>
        <w:r>
          <w:rPr>
            <w:noProof/>
            <w:webHidden/>
          </w:rPr>
        </w:r>
        <w:r>
          <w:rPr>
            <w:noProof/>
            <w:webHidden/>
          </w:rPr>
          <w:fldChar w:fldCharType="separate"/>
        </w:r>
        <w:r>
          <w:rPr>
            <w:noProof/>
            <w:webHidden/>
          </w:rPr>
          <w:t>243</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1679104" w:history="1">
        <w:r>
          <w:rPr>
            <w:rStyle w:val="Hyperlink"/>
            <w:noProof/>
          </w:rPr>
          <w:t>Annex 6:  Compliance with payment time limits</w:t>
        </w:r>
        <w:r>
          <w:rPr>
            <w:noProof/>
            <w:webHidden/>
          </w:rPr>
          <w:tab/>
        </w:r>
        <w:r>
          <w:rPr>
            <w:noProof/>
            <w:webHidden/>
          </w:rPr>
          <w:fldChar w:fldCharType="begin"/>
        </w:r>
        <w:r>
          <w:rPr>
            <w:noProof/>
            <w:webHidden/>
          </w:rPr>
          <w:instrText xml:space="preserve"> PAGEREF _Toc11679104 \h </w:instrText>
        </w:r>
        <w:r>
          <w:rPr>
            <w:noProof/>
            <w:webHidden/>
          </w:rPr>
        </w:r>
        <w:r>
          <w:rPr>
            <w:noProof/>
            <w:webHidden/>
          </w:rPr>
          <w:fldChar w:fldCharType="separate"/>
        </w:r>
        <w:r>
          <w:rPr>
            <w:noProof/>
            <w:webHidden/>
          </w:rPr>
          <w:t>247</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1679105" w:history="1">
        <w:r>
          <w:rPr>
            <w:rStyle w:val="Hyperlink"/>
            <w:noProof/>
          </w:rPr>
          <w:t>Annex 7:  Summary of waivers of recoveries</w:t>
        </w:r>
        <w:r>
          <w:rPr>
            <w:noProof/>
            <w:webHidden/>
          </w:rPr>
          <w:tab/>
        </w:r>
        <w:r>
          <w:rPr>
            <w:noProof/>
            <w:webHidden/>
          </w:rPr>
          <w:fldChar w:fldCharType="begin"/>
        </w:r>
        <w:r>
          <w:rPr>
            <w:noProof/>
            <w:webHidden/>
          </w:rPr>
          <w:instrText xml:space="preserve"> PAGEREF _Toc11679105 \h </w:instrText>
        </w:r>
        <w:r>
          <w:rPr>
            <w:noProof/>
            <w:webHidden/>
          </w:rPr>
        </w:r>
        <w:r>
          <w:rPr>
            <w:noProof/>
            <w:webHidden/>
          </w:rPr>
          <w:fldChar w:fldCharType="separate"/>
        </w:r>
        <w:r>
          <w:rPr>
            <w:noProof/>
            <w:webHidden/>
          </w:rPr>
          <w:t>249</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1679106" w:history="1">
        <w:r>
          <w:rPr>
            <w:rStyle w:val="Hyperlink"/>
            <w:noProof/>
          </w:rPr>
          <w:t>Annex 8:  Report on negotiated procedures</w:t>
        </w:r>
        <w:r>
          <w:rPr>
            <w:noProof/>
            <w:webHidden/>
          </w:rPr>
          <w:tab/>
        </w:r>
        <w:r>
          <w:rPr>
            <w:noProof/>
            <w:webHidden/>
          </w:rPr>
          <w:fldChar w:fldCharType="begin"/>
        </w:r>
        <w:r>
          <w:rPr>
            <w:noProof/>
            <w:webHidden/>
          </w:rPr>
          <w:instrText xml:space="preserve"> PAGEREF _Toc11679106 \h </w:instrText>
        </w:r>
        <w:r>
          <w:rPr>
            <w:noProof/>
            <w:webHidden/>
          </w:rPr>
        </w:r>
        <w:r>
          <w:rPr>
            <w:noProof/>
            <w:webHidden/>
          </w:rPr>
          <w:fldChar w:fldCharType="separate"/>
        </w:r>
        <w:r>
          <w:rPr>
            <w:noProof/>
            <w:webHidden/>
          </w:rPr>
          <w:t>251</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1679107" w:history="1">
        <w:r>
          <w:rPr>
            <w:rStyle w:val="Hyperlink"/>
            <w:noProof/>
          </w:rPr>
          <w:t>Annex 9:  EU Trust Funds</w:t>
        </w:r>
        <w:r>
          <w:rPr>
            <w:noProof/>
            <w:webHidden/>
          </w:rPr>
          <w:tab/>
        </w:r>
        <w:r>
          <w:rPr>
            <w:noProof/>
            <w:webHidden/>
          </w:rPr>
          <w:fldChar w:fldCharType="begin"/>
        </w:r>
        <w:r>
          <w:rPr>
            <w:noProof/>
            <w:webHidden/>
          </w:rPr>
          <w:instrText xml:space="preserve"> PAGEREF _Toc11679107 \h </w:instrText>
        </w:r>
        <w:r>
          <w:rPr>
            <w:noProof/>
            <w:webHidden/>
          </w:rPr>
        </w:r>
        <w:r>
          <w:rPr>
            <w:noProof/>
            <w:webHidden/>
          </w:rPr>
          <w:fldChar w:fldCharType="separate"/>
        </w:r>
        <w:r>
          <w:rPr>
            <w:noProof/>
            <w:webHidden/>
          </w:rPr>
          <w:t>255</w:t>
        </w:r>
        <w:r>
          <w:rPr>
            <w:noProof/>
            <w:webHidden/>
          </w:rPr>
          <w:fldChar w:fldCharType="end"/>
        </w:r>
      </w:hyperlink>
    </w:p>
    <w:p>
      <w:pPr>
        <w:rPr>
          <w:rStyle w:val="Emphasis"/>
          <w:b/>
          <w:bCs/>
          <w:i w:val="0"/>
          <w:caps/>
          <w:noProof/>
          <w:szCs w:val="20"/>
        </w:rPr>
      </w:pPr>
      <w:r>
        <w:rPr>
          <w:rStyle w:val="Emphasis"/>
          <w:b/>
          <w:bCs/>
          <w:i w:val="0"/>
          <w:caps/>
          <w:noProof/>
          <w:szCs w:val="20"/>
        </w:rPr>
        <w:fldChar w:fldCharType="end"/>
      </w:r>
    </w:p>
    <w:p>
      <w:pPr>
        <w:rPr>
          <w:rStyle w:val="Emphasis"/>
          <w:i w:val="0"/>
          <w:noProof/>
        </w:rPr>
        <w:sectPr>
          <w:headerReference w:type="even" r:id="rId33"/>
          <w:headerReference w:type="default" r:id="rId34"/>
          <w:footerReference w:type="even" r:id="rId35"/>
          <w:footerReference w:type="default" r:id="rId36"/>
          <w:headerReference w:type="first" r:id="rId37"/>
          <w:footerReference w:type="first" r:id="rId38"/>
          <w:footnotePr>
            <w:numStart w:val="413"/>
          </w:footnotePr>
          <w:pgSz w:w="11906" w:h="16838" w:code="9"/>
          <w:pgMar w:top="1418" w:right="1418" w:bottom="1418" w:left="1418" w:header="635" w:footer="635" w:gutter="0"/>
          <w:pgNumType w:start="187"/>
          <w:cols w:space="720"/>
          <w:docGrid w:linePitch="360"/>
        </w:sectPr>
      </w:pPr>
    </w:p>
    <w:p>
      <w:pPr>
        <w:rPr>
          <w:rStyle w:val="Emphasis"/>
          <w:i w:val="0"/>
          <w:noProof/>
        </w:rPr>
        <w:sectPr>
          <w:headerReference w:type="even" r:id="rId39"/>
          <w:headerReference w:type="default" r:id="rId40"/>
          <w:footerReference w:type="even" r:id="rId41"/>
          <w:footerReference w:type="default" r:id="rId42"/>
          <w:headerReference w:type="first" r:id="rId43"/>
          <w:footerReference w:type="first" r:id="rId44"/>
          <w:footnotePr>
            <w:numStart w:val="413"/>
          </w:footnotePr>
          <w:pgSz w:w="11906" w:h="16838" w:code="9"/>
          <w:pgMar w:top="1418" w:right="1418" w:bottom="1418" w:left="1418" w:header="635" w:footer="635" w:gutter="0"/>
          <w:cols w:space="720"/>
          <w:docGrid w:linePitch="360"/>
        </w:sectPr>
      </w:pPr>
    </w:p>
    <w:p>
      <w:pPr>
        <w:pStyle w:val="Title1Annexes"/>
        <w:rPr>
          <w:rStyle w:val="Emphasis"/>
          <w:i w:val="0"/>
          <w:noProof/>
        </w:rPr>
      </w:pPr>
      <w:bookmarkStart w:id="8" w:name="_Toc2592143"/>
      <w:bookmarkStart w:id="9" w:name="_Toc6304455"/>
      <w:bookmarkStart w:id="10" w:name="_Toc8386178"/>
      <w:bookmarkStart w:id="11" w:name="_Toc11679088"/>
      <w:r>
        <w:rPr>
          <w:noProof/>
        </w:rPr>
        <w:t xml:space="preserve">Annex 1: </w:t>
      </w:r>
      <w:r>
        <w:rPr>
          <w:noProof/>
        </w:rPr>
        <w:br/>
        <w:t>Snapshot of the Commission-wide</w:t>
      </w:r>
      <w:r>
        <w:rPr>
          <w:noProof/>
        </w:rPr>
        <w:br/>
        <w:t>impact indicators</w:t>
      </w:r>
      <w:bookmarkEnd w:id="8"/>
      <w:r>
        <w:rPr>
          <w:rStyle w:val="fnRef"/>
          <w:rFonts w:ascii="Arial" w:hAnsi="Arial" w:cs="Arial"/>
          <w:noProof/>
        </w:rPr>
        <w:t> </w:t>
      </w:r>
      <w:r>
        <w:rPr>
          <w:rStyle w:val="fnRef"/>
          <w:noProof/>
        </w:rPr>
        <w:t>(</w:t>
      </w:r>
      <w:r>
        <w:rPr>
          <w:rStyle w:val="fnRefNo"/>
          <w:noProof/>
        </w:rPr>
        <w:footnoteReference w:id="2"/>
      </w:r>
      <w:r>
        <w:rPr>
          <w:rStyle w:val="fnRef"/>
          <w:noProof/>
        </w:rPr>
        <w:t>)</w:t>
      </w:r>
      <w:bookmarkEnd w:id="9"/>
      <w:bookmarkEnd w:id="10"/>
      <w:bookmarkEnd w:id="11"/>
    </w:p>
    <w:p>
      <w:pPr>
        <w:pStyle w:val="BodyText1spaceafter"/>
      </w:pPr>
      <w:r>
        <w:t>These statistical indicators are high-level context indicators designed to track the longer-term and indirect impacts of EU action. They were identified in the strategic plans of the Commission services. This annex presents intermediate reporting on the current trends.</w:t>
      </w:r>
    </w:p>
    <w:p>
      <w:pPr>
        <w:pStyle w:val="Title2Annexes"/>
        <w:rPr>
          <w:iCs/>
          <w:noProof/>
        </w:rPr>
      </w:pPr>
      <w:bookmarkStart w:id="12" w:name="_Toc6304456"/>
      <w:bookmarkStart w:id="13" w:name="_Toc8386179"/>
      <w:bookmarkStart w:id="14" w:name="_Toc11679089"/>
      <w:r>
        <w:rPr>
          <w:noProof/>
        </w:rPr>
        <w:t>General objective: A new boost for jobs, growth and investment</w:t>
      </w:r>
      <w:bookmarkEnd w:id="12"/>
      <w:bookmarkEnd w:id="13"/>
      <w:bookmarkEnd w:id="14"/>
    </w:p>
    <w:tbl>
      <w:tblPr>
        <w:tblW w:w="9639" w:type="dxa"/>
        <w:tblInd w:w="108" w:type="dxa"/>
        <w:tblLook w:val="00A0" w:firstRow="1" w:lastRow="0" w:firstColumn="1" w:lastColumn="0" w:noHBand="0" w:noVBand="0"/>
      </w:tblPr>
      <w:tblGrid>
        <w:gridCol w:w="3275"/>
        <w:gridCol w:w="3147"/>
        <w:gridCol w:w="3217"/>
      </w:tblGrid>
      <w:tr>
        <w:tc>
          <w:tcPr>
            <w:tcW w:w="9639" w:type="dxa"/>
            <w:gridSpan w:val="3"/>
            <w:shd w:val="clear" w:color="auto" w:fill="E48C32"/>
          </w:tcPr>
          <w:p>
            <w:pPr>
              <w:pStyle w:val="AMPRTabletext"/>
              <w:keepNext/>
              <w:spacing w:before="120" w:after="120"/>
              <w:rPr>
                <w:rFonts w:eastAsia="Calibri"/>
                <w:b/>
                <w:noProof/>
                <w:color w:val="FFFFFF"/>
                <w:sz w:val="20"/>
                <w:szCs w:val="20"/>
              </w:rPr>
            </w:pPr>
            <w:r>
              <w:rPr>
                <w:b/>
                <w:noProof/>
                <w:color w:val="FFFFFF"/>
                <w:sz w:val="20"/>
                <w:szCs w:val="20"/>
              </w:rPr>
              <w:t>1. Percentage of EU gross domestic product invested in research and development (combined public and private investment)</w:t>
            </w:r>
          </w:p>
        </w:tc>
      </w:tr>
      <w:tr>
        <w:trPr>
          <w:cantSplit/>
        </w:trPr>
        <w:tc>
          <w:tcPr>
            <w:tcW w:w="3275"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(2012)</w:t>
            </w:r>
          </w:p>
        </w:tc>
        <w:tc>
          <w:tcPr>
            <w:tcW w:w="3147"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3217"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(2020)</w:t>
            </w:r>
          </w:p>
        </w:tc>
      </w:tr>
      <w:tr>
        <w:trPr>
          <w:cantSplit/>
        </w:trPr>
        <w:tc>
          <w:tcPr>
            <w:tcW w:w="3275"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2.0%</w:t>
            </w:r>
          </w:p>
        </w:tc>
        <w:tc>
          <w:tcPr>
            <w:tcW w:w="3147"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 xml:space="preserve">2.1% (provisional) </w:t>
            </w:r>
          </w:p>
        </w:tc>
        <w:tc>
          <w:tcPr>
            <w:tcW w:w="3217"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3.0%</w:t>
            </w:r>
          </w:p>
        </w:tc>
      </w:tr>
      <w:tr>
        <w:trPr>
          <w:cantSplit/>
        </w:trPr>
        <w:tc>
          <w:tcPr>
            <w:tcW w:w="9639" w:type="dxa"/>
            <w:gridSpan w:val="3"/>
            <w:tcBorders>
              <w:top w:val="single" w:sz="8" w:space="0" w:color="E48C32"/>
              <w:bottom w:val="single" w:sz="8" w:space="0" w:color="E48C32"/>
            </w:tcBorders>
            <w:shd w:val="clear" w:color="auto" w:fill="FFFFFF" w:themeFill="background1"/>
            <w:vAlign w:val="center"/>
          </w:tcPr>
          <w:p>
            <w:pPr>
              <w:pStyle w:val="AMPRTabletext-source"/>
              <w:rPr>
                <w:rFonts w:eastAsia="Calibri"/>
                <w:noProof/>
              </w:rPr>
            </w:pPr>
            <w:r>
              <w:rPr>
                <w:rStyle w:val="italics"/>
                <w:noProof/>
              </w:rPr>
              <w:t>Source:</w:t>
            </w:r>
            <w:r>
              <w:rPr>
                <w:noProof/>
              </w:rPr>
              <w:t xml:space="preserve"> </w:t>
            </w:r>
            <w:hyperlink r:id="rId45" w:history="1">
              <w:r>
                <w:rPr>
                  <w:rFonts w:eastAsia="Calibri"/>
                  <w:noProof/>
                  <w:u w:val="single"/>
                </w:rPr>
                <w:t>Eurostat</w:t>
              </w:r>
            </w:hyperlink>
            <w:r>
              <w:rPr>
                <w:rFonts w:ascii="Calibri" w:eastAsia="Calibri" w:hAnsi="Calibri" w:cs="Calibri"/>
                <w:noProof/>
              </w:rPr>
              <w:t> (</w:t>
            </w:r>
            <w:r>
              <w:rPr>
                <w:rFonts w:eastAsia="Calibri"/>
                <w:noProof/>
              </w:rPr>
              <w:footnoteReference w:id="3"/>
            </w:r>
            <w:r>
              <w:rPr>
                <w:rFonts w:ascii="Calibri" w:eastAsia="Calibri" w:hAnsi="Calibri" w:cs="Calibri"/>
                <w:noProof/>
              </w:rPr>
              <w:t>)</w:t>
            </w:r>
            <w:r>
              <w:rPr>
                <w:rFonts w:eastAsia="Calibri"/>
                <w:noProof/>
              </w:rPr>
              <w:t>.</w:t>
            </w:r>
          </w:p>
        </w:tc>
      </w:tr>
    </w:tbl>
    <w:p>
      <w:pPr>
        <w:pStyle w:val="Annex1Tableseparator"/>
        <w:rPr>
          <w:noProof/>
        </w:rPr>
      </w:pPr>
    </w:p>
    <w:tbl>
      <w:tblPr>
        <w:tblW w:w="9639" w:type="dxa"/>
        <w:tblInd w:w="108" w:type="dxa"/>
        <w:tblLook w:val="00A0" w:firstRow="1" w:lastRow="0" w:firstColumn="1" w:lastColumn="0" w:noHBand="0" w:noVBand="0"/>
      </w:tblPr>
      <w:tblGrid>
        <w:gridCol w:w="3275"/>
        <w:gridCol w:w="3147"/>
        <w:gridCol w:w="3217"/>
      </w:tblGrid>
      <w:tr>
        <w:tc>
          <w:tcPr>
            <w:tcW w:w="9639" w:type="dxa"/>
            <w:gridSpan w:val="3"/>
            <w:shd w:val="clear" w:color="auto" w:fill="E48C32"/>
          </w:tcPr>
          <w:p>
            <w:pPr>
              <w:pStyle w:val="AMPRTabletext"/>
              <w:keepNext/>
              <w:spacing w:before="120" w:after="120"/>
              <w:rPr>
                <w:b/>
                <w:noProof/>
                <w:color w:val="FFFFFF"/>
                <w:sz w:val="20"/>
                <w:szCs w:val="20"/>
              </w:rPr>
            </w:pPr>
            <w:r>
              <w:rPr>
                <w:b/>
                <w:noProof/>
                <w:color w:val="FFFFFF"/>
                <w:sz w:val="20"/>
                <w:szCs w:val="20"/>
              </w:rPr>
              <w:t>2. Employment rate population, age group 20-64</w:t>
            </w:r>
          </w:p>
        </w:tc>
      </w:tr>
      <w:tr>
        <w:trPr>
          <w:cantSplit/>
        </w:trPr>
        <w:tc>
          <w:tcPr>
            <w:tcW w:w="3275"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(2014)</w:t>
            </w:r>
          </w:p>
        </w:tc>
        <w:tc>
          <w:tcPr>
            <w:tcW w:w="3147"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3217"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(2020)</w:t>
            </w:r>
          </w:p>
        </w:tc>
      </w:tr>
      <w:tr>
        <w:trPr>
          <w:cantSplit/>
        </w:trPr>
        <w:tc>
          <w:tcPr>
            <w:tcW w:w="3275"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69.2%</w:t>
            </w:r>
          </w:p>
        </w:tc>
        <w:tc>
          <w:tcPr>
            <w:tcW w:w="3147"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72.2%</w:t>
            </w:r>
          </w:p>
        </w:tc>
        <w:tc>
          <w:tcPr>
            <w:tcW w:w="3217"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At least 75%</w:t>
            </w:r>
          </w:p>
        </w:tc>
      </w:tr>
      <w:tr>
        <w:trPr>
          <w:cantSplit/>
        </w:trPr>
        <w:tc>
          <w:tcPr>
            <w:tcW w:w="9639" w:type="dxa"/>
            <w:gridSpan w:val="3"/>
            <w:tcBorders>
              <w:top w:val="single" w:sz="8" w:space="0" w:color="E48C32"/>
              <w:bottom w:val="single" w:sz="8" w:space="0" w:color="E48C32"/>
            </w:tcBorders>
            <w:shd w:val="clear" w:color="auto" w:fill="auto"/>
            <w:vAlign w:val="center"/>
          </w:tcPr>
          <w:p>
            <w:pPr>
              <w:pStyle w:val="AMPRTabletext-source"/>
              <w:rPr>
                <w:rFonts w:eastAsia="Calibri"/>
                <w:noProof/>
              </w:rPr>
            </w:pPr>
            <w:r>
              <w:rPr>
                <w:rStyle w:val="italics"/>
                <w:rFonts w:eastAsia="Calibri"/>
                <w:noProof/>
              </w:rPr>
              <w:t>Source:</w:t>
            </w:r>
            <w:r>
              <w:rPr>
                <w:rFonts w:eastAsia="Calibri"/>
                <w:noProof/>
              </w:rPr>
              <w:t xml:space="preserve"> </w:t>
            </w:r>
            <w:hyperlink r:id="rId46" w:history="1">
              <w:r>
                <w:rPr>
                  <w:rStyle w:val="hyperlinkunderlined"/>
                  <w:rFonts w:eastAsia="Calibri"/>
                  <w:noProof/>
                </w:rPr>
                <w:t>Eurostat</w:t>
              </w:r>
            </w:hyperlink>
            <w:r>
              <w:rPr>
                <w:rFonts w:eastAsia="Calibri"/>
                <w:noProof/>
              </w:rPr>
              <w:t>.</w:t>
            </w:r>
          </w:p>
        </w:tc>
      </w:tr>
    </w:tbl>
    <w:p>
      <w:pPr>
        <w:pStyle w:val="Annex1Tableseparator"/>
        <w:rPr>
          <w:noProof/>
        </w:rPr>
      </w:pPr>
    </w:p>
    <w:tbl>
      <w:tblPr>
        <w:tblW w:w="9639" w:type="dxa"/>
        <w:tblInd w:w="108" w:type="dxa"/>
        <w:tblLook w:val="00A0" w:firstRow="1" w:lastRow="0" w:firstColumn="1" w:lastColumn="0" w:noHBand="0" w:noVBand="0"/>
      </w:tblPr>
      <w:tblGrid>
        <w:gridCol w:w="3275"/>
        <w:gridCol w:w="3147"/>
        <w:gridCol w:w="3217"/>
      </w:tblGrid>
      <w:tr>
        <w:tc>
          <w:tcPr>
            <w:tcW w:w="9639" w:type="dxa"/>
            <w:gridSpan w:val="3"/>
            <w:shd w:val="clear" w:color="auto" w:fill="E48C32"/>
          </w:tcPr>
          <w:p>
            <w:pPr>
              <w:pStyle w:val="AMPRTabletext"/>
              <w:keepNext/>
              <w:spacing w:before="120" w:after="120"/>
              <w:rPr>
                <w:b/>
                <w:noProof/>
                <w:color w:val="FFFFFF"/>
                <w:sz w:val="20"/>
                <w:szCs w:val="20"/>
              </w:rPr>
            </w:pPr>
            <w:r>
              <w:rPr>
                <w:b/>
                <w:noProof/>
                <w:color w:val="FFFFFF"/>
                <w:sz w:val="20"/>
                <w:szCs w:val="20"/>
              </w:rPr>
              <w:t>3. Tertiary educational attainment, age group 30-34</w:t>
            </w:r>
          </w:p>
        </w:tc>
      </w:tr>
      <w:tr>
        <w:trPr>
          <w:cantSplit/>
        </w:trPr>
        <w:tc>
          <w:tcPr>
            <w:tcW w:w="3275"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(2013)</w:t>
            </w:r>
          </w:p>
        </w:tc>
        <w:tc>
          <w:tcPr>
            <w:tcW w:w="3147"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3217"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(2020)</w:t>
            </w:r>
          </w:p>
        </w:tc>
      </w:tr>
      <w:tr>
        <w:trPr>
          <w:cantSplit/>
        </w:trPr>
        <w:tc>
          <w:tcPr>
            <w:tcW w:w="3275"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37.1%</w:t>
            </w:r>
          </w:p>
        </w:tc>
        <w:tc>
          <w:tcPr>
            <w:tcW w:w="3147"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39.9%</w:t>
            </w:r>
          </w:p>
        </w:tc>
        <w:tc>
          <w:tcPr>
            <w:tcW w:w="3217"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At least 40%</w:t>
            </w:r>
          </w:p>
        </w:tc>
      </w:tr>
      <w:tr>
        <w:trPr>
          <w:cantSplit/>
        </w:trPr>
        <w:tc>
          <w:tcPr>
            <w:tcW w:w="9639" w:type="dxa"/>
            <w:gridSpan w:val="3"/>
            <w:tcBorders>
              <w:top w:val="single" w:sz="8" w:space="0" w:color="E48C32"/>
              <w:bottom w:val="single" w:sz="8" w:space="0" w:color="E48C32"/>
            </w:tcBorders>
            <w:shd w:val="clear" w:color="auto" w:fill="auto"/>
            <w:vAlign w:val="center"/>
          </w:tcPr>
          <w:p>
            <w:pPr>
              <w:pStyle w:val="AMPRTabletext-source"/>
              <w:rPr>
                <w:rFonts w:eastAsia="Calibri"/>
                <w:noProof/>
              </w:rPr>
            </w:pPr>
            <w:r>
              <w:rPr>
                <w:rStyle w:val="italics"/>
                <w:noProof/>
              </w:rPr>
              <w:t>Source:</w:t>
            </w:r>
            <w:r>
              <w:rPr>
                <w:noProof/>
              </w:rPr>
              <w:t xml:space="preserve"> </w:t>
            </w:r>
            <w:hyperlink r:id="rId47" w:history="1">
              <w:r>
                <w:rPr>
                  <w:rStyle w:val="hyperlinkunderlined"/>
                  <w:rFonts w:eastAsia="Calibri"/>
                  <w:noProof/>
                </w:rPr>
                <w:t>Eurostat</w:t>
              </w:r>
            </w:hyperlink>
            <w:r>
              <w:rPr>
                <w:rFonts w:eastAsia="Calibri"/>
                <w:noProof/>
              </w:rPr>
              <w:t>.</w:t>
            </w:r>
          </w:p>
        </w:tc>
      </w:tr>
    </w:tbl>
    <w:p>
      <w:pPr>
        <w:pStyle w:val="Annex1Tableseparator"/>
        <w:rPr>
          <w:noProof/>
        </w:rPr>
      </w:pPr>
    </w:p>
    <w:tbl>
      <w:tblPr>
        <w:tblW w:w="9639" w:type="dxa"/>
        <w:tblInd w:w="108" w:type="dxa"/>
        <w:tblLook w:val="00A0" w:firstRow="1" w:lastRow="0" w:firstColumn="1" w:lastColumn="0" w:noHBand="0" w:noVBand="0"/>
      </w:tblPr>
      <w:tblGrid>
        <w:gridCol w:w="3275"/>
        <w:gridCol w:w="3147"/>
        <w:gridCol w:w="3217"/>
      </w:tblGrid>
      <w:tr>
        <w:tc>
          <w:tcPr>
            <w:tcW w:w="9639" w:type="dxa"/>
            <w:gridSpan w:val="3"/>
            <w:shd w:val="clear" w:color="auto" w:fill="E48C32"/>
          </w:tcPr>
          <w:p>
            <w:pPr>
              <w:pStyle w:val="AMPRTabletext"/>
              <w:keepNext/>
              <w:spacing w:before="120" w:after="120"/>
              <w:rPr>
                <w:noProof/>
                <w:color w:val="FFFFFF"/>
                <w:sz w:val="20"/>
                <w:szCs w:val="20"/>
              </w:rPr>
            </w:pPr>
            <w:r>
              <w:rPr>
                <w:b/>
                <w:noProof/>
                <w:color w:val="FFFFFF"/>
                <w:sz w:val="20"/>
                <w:szCs w:val="20"/>
              </w:rPr>
              <w:t>4. Share of early leavers from education and training</w:t>
            </w:r>
            <w:r>
              <w:rPr>
                <w:rFonts w:ascii="Calibri" w:hAnsi="Calibri" w:cs="Calibri"/>
                <w:b/>
                <w:noProof/>
                <w:color w:val="FFFFFF"/>
                <w:sz w:val="20"/>
                <w:szCs w:val="20"/>
              </w:rPr>
              <w:t> </w:t>
            </w:r>
            <w:r>
              <w:rPr>
                <w:b/>
                <w:noProof/>
                <w:color w:val="FFFFFF"/>
                <w:sz w:val="20"/>
                <w:szCs w:val="20"/>
              </w:rPr>
              <w:t>(</w:t>
            </w:r>
            <w:r>
              <w:rPr>
                <w:b/>
                <w:noProof/>
                <w:color w:val="FFFFFF"/>
              </w:rPr>
              <w:footnoteReference w:id="4"/>
            </w:r>
            <w:r>
              <w:rPr>
                <w:b/>
                <w:noProof/>
                <w:color w:val="FFFFFF"/>
                <w:sz w:val="20"/>
                <w:szCs w:val="20"/>
              </w:rPr>
              <w:t>)</w:t>
            </w:r>
          </w:p>
        </w:tc>
      </w:tr>
      <w:tr>
        <w:trPr>
          <w:cantSplit/>
        </w:trPr>
        <w:tc>
          <w:tcPr>
            <w:tcW w:w="3275"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(2013)</w:t>
            </w:r>
          </w:p>
        </w:tc>
        <w:tc>
          <w:tcPr>
            <w:tcW w:w="3147"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3217"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(2020)</w:t>
            </w:r>
          </w:p>
        </w:tc>
      </w:tr>
      <w:tr>
        <w:trPr>
          <w:cantSplit/>
        </w:trPr>
        <w:tc>
          <w:tcPr>
            <w:tcW w:w="3275"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11.9%</w:t>
            </w:r>
          </w:p>
        </w:tc>
        <w:tc>
          <w:tcPr>
            <w:tcW w:w="3147"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10.6%</w:t>
            </w:r>
          </w:p>
        </w:tc>
        <w:tc>
          <w:tcPr>
            <w:tcW w:w="3217"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Less than 10%</w:t>
            </w:r>
          </w:p>
        </w:tc>
      </w:tr>
      <w:tr>
        <w:trPr>
          <w:cantSplit/>
        </w:trPr>
        <w:tc>
          <w:tcPr>
            <w:tcW w:w="9639" w:type="dxa"/>
            <w:gridSpan w:val="3"/>
            <w:tcBorders>
              <w:top w:val="single" w:sz="8" w:space="0" w:color="E48C32"/>
              <w:bottom w:val="single" w:sz="8" w:space="0" w:color="E48C32"/>
            </w:tcBorders>
            <w:shd w:val="clear" w:color="auto" w:fill="auto"/>
            <w:vAlign w:val="center"/>
          </w:tcPr>
          <w:p>
            <w:pPr>
              <w:pStyle w:val="AMPRTabletext-source"/>
              <w:rPr>
                <w:rFonts w:eastAsia="Calibri"/>
                <w:noProof/>
              </w:rPr>
            </w:pPr>
            <w:r>
              <w:rPr>
                <w:rStyle w:val="italics"/>
                <w:noProof/>
              </w:rPr>
              <w:t>Source:</w:t>
            </w:r>
            <w:r>
              <w:rPr>
                <w:noProof/>
              </w:rPr>
              <w:t xml:space="preserve"> </w:t>
            </w:r>
            <w:hyperlink r:id="rId48" w:history="1">
              <w:r>
                <w:rPr>
                  <w:rStyle w:val="hyperlinkunderlined"/>
                  <w:rFonts w:eastAsia="Calibri"/>
                  <w:noProof/>
                </w:rPr>
                <w:t>Eurostat</w:t>
              </w:r>
            </w:hyperlink>
            <w:r>
              <w:rPr>
                <w:rFonts w:eastAsia="Calibri"/>
                <w:noProof/>
                <w:u w:val="single"/>
              </w:rPr>
              <w:t>.</w:t>
            </w:r>
          </w:p>
        </w:tc>
      </w:tr>
    </w:tbl>
    <w:p>
      <w:pPr>
        <w:pStyle w:val="Annex1Tableseparator"/>
        <w:rPr>
          <w:noProof/>
        </w:rPr>
      </w:pPr>
    </w:p>
    <w:tbl>
      <w:tblPr>
        <w:tblW w:w="9639" w:type="dxa"/>
        <w:tblInd w:w="108" w:type="dxa"/>
        <w:tblLook w:val="00A0" w:firstRow="1" w:lastRow="0" w:firstColumn="1" w:lastColumn="0" w:noHBand="0" w:noVBand="0"/>
      </w:tblPr>
      <w:tblGrid>
        <w:gridCol w:w="3275"/>
        <w:gridCol w:w="3147"/>
        <w:gridCol w:w="3217"/>
      </w:tblGrid>
      <w:tr>
        <w:tc>
          <w:tcPr>
            <w:tcW w:w="9639" w:type="dxa"/>
            <w:gridSpan w:val="3"/>
            <w:shd w:val="clear" w:color="auto" w:fill="E48C32"/>
          </w:tcPr>
          <w:p>
            <w:pPr>
              <w:pStyle w:val="AMPRTabletext"/>
              <w:keepNext/>
              <w:spacing w:before="120" w:after="120"/>
              <w:rPr>
                <w:b/>
                <w:noProof/>
                <w:color w:val="FFFFFF"/>
                <w:sz w:val="20"/>
                <w:szCs w:val="20"/>
              </w:rPr>
            </w:pPr>
            <w:r>
              <w:rPr>
                <w:b/>
                <w:noProof/>
                <w:color w:val="FFFFFF"/>
                <w:sz w:val="20"/>
                <w:szCs w:val="20"/>
              </w:rPr>
              <w:t>5. People at risk of poverty or social exclusion</w:t>
            </w:r>
          </w:p>
        </w:tc>
      </w:tr>
      <w:tr>
        <w:trPr>
          <w:cantSplit/>
        </w:trPr>
        <w:tc>
          <w:tcPr>
            <w:tcW w:w="3275"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(2013)</w:t>
            </w:r>
          </w:p>
        </w:tc>
        <w:tc>
          <w:tcPr>
            <w:tcW w:w="3147"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3217"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(2020)</w:t>
            </w:r>
          </w:p>
        </w:tc>
      </w:tr>
      <w:tr>
        <w:trPr>
          <w:cantSplit/>
        </w:trPr>
        <w:tc>
          <w:tcPr>
            <w:tcW w:w="3275"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122.8</w:t>
            </w:r>
            <w:r>
              <w:rPr>
                <w:rFonts w:ascii="Calibri" w:eastAsia="Calibri" w:hAnsi="Calibri" w:cs="Calibri"/>
                <w:noProof/>
                <w:color w:val="000000" w:themeColor="text1"/>
                <w:sz w:val="18"/>
                <w:szCs w:val="18"/>
              </w:rPr>
              <w:t> </w:t>
            </w:r>
            <w:r>
              <w:rPr>
                <w:rFonts w:eastAsia="Calibri"/>
                <w:noProof/>
                <w:color w:val="000000" w:themeColor="text1"/>
                <w:sz w:val="18"/>
                <w:szCs w:val="18"/>
              </w:rPr>
              <w:t>million</w:t>
            </w:r>
          </w:p>
        </w:tc>
        <w:tc>
          <w:tcPr>
            <w:tcW w:w="3147"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112.9</w:t>
            </w:r>
            <w:r>
              <w:rPr>
                <w:rFonts w:ascii="Calibri" w:eastAsia="Calibri" w:hAnsi="Calibri" w:cs="Calibri"/>
                <w:noProof/>
                <w:color w:val="000000" w:themeColor="text1"/>
                <w:sz w:val="18"/>
                <w:szCs w:val="18"/>
              </w:rPr>
              <w:t> </w:t>
            </w:r>
            <w:r>
              <w:rPr>
                <w:rFonts w:eastAsia="Calibri"/>
                <w:noProof/>
                <w:color w:val="000000" w:themeColor="text1"/>
                <w:sz w:val="18"/>
                <w:szCs w:val="18"/>
              </w:rPr>
              <w:t>million</w:t>
            </w:r>
          </w:p>
        </w:tc>
        <w:tc>
          <w:tcPr>
            <w:tcW w:w="3217"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At least 20</w:t>
            </w:r>
            <w:r>
              <w:rPr>
                <w:rFonts w:ascii="Calibri" w:eastAsia="Calibri" w:hAnsi="Calibri" w:cs="Calibri"/>
                <w:noProof/>
                <w:color w:val="000000" w:themeColor="text1"/>
                <w:sz w:val="18"/>
                <w:szCs w:val="18"/>
              </w:rPr>
              <w:t> </w:t>
            </w:r>
            <w:r>
              <w:rPr>
                <w:rFonts w:eastAsia="Calibri"/>
                <w:noProof/>
                <w:color w:val="000000" w:themeColor="text1"/>
                <w:sz w:val="18"/>
                <w:szCs w:val="18"/>
              </w:rPr>
              <w:t>million people fewer than in 2008 (116.2</w:t>
            </w:r>
            <w:r>
              <w:rPr>
                <w:rFonts w:ascii="Calibri" w:eastAsia="Calibri" w:hAnsi="Calibri" w:cs="Calibri"/>
                <w:noProof/>
                <w:color w:val="000000" w:themeColor="text1"/>
                <w:sz w:val="18"/>
                <w:szCs w:val="18"/>
              </w:rPr>
              <w:t> </w:t>
            </w:r>
            <w:r>
              <w:rPr>
                <w:rFonts w:eastAsia="Calibri"/>
                <w:noProof/>
                <w:color w:val="000000" w:themeColor="text1"/>
                <w:sz w:val="18"/>
                <w:szCs w:val="18"/>
              </w:rPr>
              <w:t>million)</w:t>
            </w:r>
          </w:p>
        </w:tc>
      </w:tr>
      <w:tr>
        <w:trPr>
          <w:cantSplit/>
        </w:trPr>
        <w:tc>
          <w:tcPr>
            <w:tcW w:w="9639" w:type="dxa"/>
            <w:gridSpan w:val="3"/>
            <w:tcBorders>
              <w:top w:val="single" w:sz="8" w:space="0" w:color="E48C32"/>
              <w:bottom w:val="single" w:sz="8" w:space="0" w:color="E48C32"/>
            </w:tcBorders>
            <w:shd w:val="clear" w:color="auto" w:fill="auto"/>
            <w:vAlign w:val="center"/>
          </w:tcPr>
          <w:p>
            <w:pPr>
              <w:pStyle w:val="AMPRTabletext-source"/>
              <w:rPr>
                <w:rFonts w:eastAsia="Calibri"/>
                <w:noProof/>
                <w:u w:val="single"/>
              </w:rPr>
            </w:pPr>
            <w:r>
              <w:rPr>
                <w:rStyle w:val="italics"/>
                <w:rFonts w:eastAsia="Calibri"/>
                <w:noProof/>
              </w:rPr>
              <w:t>Source:</w:t>
            </w:r>
            <w:r>
              <w:rPr>
                <w:rFonts w:eastAsia="Calibri"/>
                <w:noProof/>
              </w:rPr>
              <w:t xml:space="preserve"> </w:t>
            </w:r>
            <w:hyperlink r:id="rId49" w:history="1">
              <w:r>
                <w:rPr>
                  <w:rFonts w:eastAsia="Calibri"/>
                  <w:noProof/>
                  <w:u w:val="single"/>
                </w:rPr>
                <w:t>Eurostat</w:t>
              </w:r>
            </w:hyperlink>
            <w:r>
              <w:rPr>
                <w:rFonts w:eastAsia="Calibri"/>
                <w:noProof/>
              </w:rPr>
              <w:t>.</w:t>
            </w:r>
          </w:p>
          <w:p>
            <w:pPr>
              <w:pStyle w:val="AMPRTabletext-source"/>
              <w:rPr>
                <w:rFonts w:eastAsia="Calibri"/>
                <w:noProof/>
              </w:rPr>
            </w:pPr>
            <w:r>
              <w:rPr>
                <w:rFonts w:eastAsia="Calibri"/>
                <w:noProof/>
              </w:rPr>
              <w:t>[Baseline adjusted: before: 122.7 million]</w:t>
            </w:r>
          </w:p>
        </w:tc>
      </w:tr>
    </w:tbl>
    <w:p>
      <w:pPr>
        <w:pStyle w:val="Annex1Tableseparator"/>
        <w:rPr>
          <w:noProof/>
        </w:rPr>
      </w:pPr>
    </w:p>
    <w:tbl>
      <w:tblPr>
        <w:tblW w:w="9639" w:type="dxa"/>
        <w:tblInd w:w="108" w:type="dxa"/>
        <w:tblLook w:val="00A0" w:firstRow="1" w:lastRow="0" w:firstColumn="1" w:lastColumn="0" w:noHBand="0" w:noVBand="0"/>
      </w:tblPr>
      <w:tblGrid>
        <w:gridCol w:w="3275"/>
        <w:gridCol w:w="3147"/>
        <w:gridCol w:w="3217"/>
      </w:tblGrid>
      <w:tr>
        <w:tc>
          <w:tcPr>
            <w:tcW w:w="9639" w:type="dxa"/>
            <w:gridSpan w:val="3"/>
            <w:shd w:val="clear" w:color="auto" w:fill="E48C32"/>
          </w:tcPr>
          <w:p>
            <w:pPr>
              <w:pStyle w:val="AMPRTabletext"/>
              <w:keepNext/>
              <w:spacing w:before="120" w:after="120"/>
              <w:rPr>
                <w:b/>
                <w:noProof/>
                <w:color w:val="FFFFFF"/>
                <w:sz w:val="20"/>
                <w:szCs w:val="20"/>
              </w:rPr>
            </w:pPr>
            <w:r>
              <w:rPr>
                <w:b/>
                <w:noProof/>
                <w:color w:val="FFFFFF"/>
                <w:sz w:val="20"/>
                <w:szCs w:val="20"/>
              </w:rPr>
              <w:t>6. Growth of gross domestic product</w:t>
            </w:r>
          </w:p>
        </w:tc>
      </w:tr>
      <w:tr>
        <w:trPr>
          <w:cantSplit/>
        </w:trPr>
        <w:tc>
          <w:tcPr>
            <w:tcW w:w="3275"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(2014)</w:t>
            </w:r>
          </w:p>
        </w:tc>
        <w:tc>
          <w:tcPr>
            <w:tcW w:w="3147"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3217"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(2020)</w:t>
            </w:r>
          </w:p>
        </w:tc>
      </w:tr>
      <w:tr>
        <w:trPr>
          <w:cantSplit/>
        </w:trPr>
        <w:tc>
          <w:tcPr>
            <w:tcW w:w="3275"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1.8%</w:t>
            </w:r>
          </w:p>
        </w:tc>
        <w:tc>
          <w:tcPr>
            <w:tcW w:w="3147"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2.4%</w:t>
            </w:r>
          </w:p>
        </w:tc>
        <w:tc>
          <w:tcPr>
            <w:tcW w:w="3217"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Increase</w:t>
            </w:r>
          </w:p>
        </w:tc>
      </w:tr>
      <w:tr>
        <w:trPr>
          <w:cantSplit/>
        </w:trPr>
        <w:tc>
          <w:tcPr>
            <w:tcW w:w="9639" w:type="dxa"/>
            <w:gridSpan w:val="3"/>
            <w:tcBorders>
              <w:top w:val="single" w:sz="8" w:space="0" w:color="E48C32"/>
              <w:bottom w:val="single" w:sz="8" w:space="0" w:color="E48C32"/>
            </w:tcBorders>
            <w:shd w:val="clear" w:color="auto" w:fill="auto"/>
            <w:vAlign w:val="center"/>
          </w:tcPr>
          <w:p>
            <w:pPr>
              <w:pStyle w:val="AMPRTabletext-source"/>
              <w:rPr>
                <w:rFonts w:eastAsia="Calibri"/>
                <w:noProof/>
              </w:rPr>
            </w:pPr>
            <w:r>
              <w:rPr>
                <w:rStyle w:val="italics"/>
                <w:rFonts w:eastAsia="Calibri"/>
                <w:noProof/>
              </w:rPr>
              <w:t>Source:</w:t>
            </w:r>
            <w:r>
              <w:rPr>
                <w:rFonts w:eastAsia="Calibri"/>
                <w:noProof/>
              </w:rPr>
              <w:t xml:space="preserve"> </w:t>
            </w:r>
            <w:hyperlink r:id="rId50" w:history="1">
              <w:r>
                <w:rPr>
                  <w:rStyle w:val="hyperlinkunderlined"/>
                  <w:rFonts w:eastAsia="Calibri"/>
                  <w:noProof/>
                </w:rPr>
                <w:t>Eurostat</w:t>
              </w:r>
            </w:hyperlink>
            <w:r>
              <w:rPr>
                <w:rFonts w:eastAsia="Calibri"/>
                <w:noProof/>
              </w:rPr>
              <w:t>.</w:t>
            </w:r>
          </w:p>
        </w:tc>
      </w:tr>
    </w:tbl>
    <w:p>
      <w:pPr>
        <w:pStyle w:val="Annex1Tableseparator"/>
        <w:rPr>
          <w:noProof/>
        </w:rPr>
      </w:pPr>
    </w:p>
    <w:tbl>
      <w:tblPr>
        <w:tblW w:w="9639" w:type="dxa"/>
        <w:tblInd w:w="108" w:type="dxa"/>
        <w:tblLook w:val="00A0" w:firstRow="1" w:lastRow="0" w:firstColumn="1" w:lastColumn="0" w:noHBand="0" w:noVBand="0"/>
      </w:tblPr>
      <w:tblGrid>
        <w:gridCol w:w="3275"/>
        <w:gridCol w:w="3147"/>
        <w:gridCol w:w="3217"/>
      </w:tblGrid>
      <w:tr>
        <w:tc>
          <w:tcPr>
            <w:tcW w:w="9639" w:type="dxa"/>
            <w:gridSpan w:val="3"/>
            <w:shd w:val="clear" w:color="auto" w:fill="E48C32"/>
          </w:tcPr>
          <w:p>
            <w:pPr>
              <w:pStyle w:val="AMPRTabletext"/>
              <w:keepNext/>
              <w:spacing w:before="120" w:after="120"/>
              <w:rPr>
                <w:b/>
                <w:noProof/>
                <w:color w:val="FFFFFF"/>
                <w:sz w:val="18"/>
                <w:szCs w:val="18"/>
              </w:rPr>
            </w:pPr>
            <w:r>
              <w:rPr>
                <w:b/>
                <w:noProof/>
                <w:color w:val="FFFFFF"/>
                <w:sz w:val="18"/>
                <w:szCs w:val="18"/>
              </w:rPr>
              <w:t>7. Gross fixed-capital formation (GFCF) investments to gross domestic product ratio</w:t>
            </w:r>
          </w:p>
        </w:tc>
      </w:tr>
      <w:tr>
        <w:trPr>
          <w:cantSplit/>
        </w:trPr>
        <w:tc>
          <w:tcPr>
            <w:tcW w:w="3275"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w:t>
            </w:r>
            <w:r>
              <w:rPr>
                <w:rStyle w:val="AMPRTextChar"/>
                <w:rFonts w:eastAsia="Calibri"/>
                <w:b/>
                <w:noProof/>
                <w:color w:val="E48C32"/>
                <w:sz w:val="18"/>
                <w:szCs w:val="18"/>
                <w:u w:val="single"/>
              </w:rPr>
              <w:t xml:space="preserve"> (2014)</w:t>
            </w:r>
          </w:p>
        </w:tc>
        <w:tc>
          <w:tcPr>
            <w:tcW w:w="3147"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3217"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Target </w:t>
            </w:r>
            <w:r>
              <w:rPr>
                <w:rStyle w:val="AMPRTextChar"/>
                <w:rFonts w:eastAsia="Calibri"/>
                <w:b/>
                <w:noProof/>
                <w:color w:val="E48C32"/>
                <w:sz w:val="18"/>
                <w:szCs w:val="18"/>
                <w:u w:val="single"/>
              </w:rPr>
              <w:t>(2016-2020)</w:t>
            </w:r>
          </w:p>
        </w:tc>
      </w:tr>
      <w:tr>
        <w:trPr>
          <w:cantSplit/>
        </w:trPr>
        <w:tc>
          <w:tcPr>
            <w:tcW w:w="3275" w:type="dxa"/>
            <w:tcBorders>
              <w:bottom w:val="single" w:sz="8" w:space="0" w:color="E48C32"/>
              <w:right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19.4%</w:t>
            </w:r>
          </w:p>
        </w:tc>
        <w:tc>
          <w:tcPr>
            <w:tcW w:w="3147" w:type="dxa"/>
            <w:tcBorders>
              <w:left w:val="single" w:sz="8" w:space="0" w:color="E48C32"/>
              <w:bottom w:val="single" w:sz="8" w:space="0" w:color="E48C32"/>
              <w:right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20.2%</w:t>
            </w:r>
          </w:p>
        </w:tc>
        <w:tc>
          <w:tcPr>
            <w:tcW w:w="3217" w:type="dxa"/>
            <w:tcBorders>
              <w:left w:val="single" w:sz="8" w:space="0" w:color="E48C32"/>
              <w:bottom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21-22%</w:t>
            </w:r>
          </w:p>
          <w:p>
            <w:pPr>
              <w:pStyle w:val="AMPRTabletext"/>
              <w:keepNext/>
              <w:jc w:val="center"/>
              <w:rPr>
                <w:rFonts w:eastAsia="Calibri"/>
                <w:noProof/>
                <w:color w:val="000000" w:themeColor="text1"/>
                <w:sz w:val="18"/>
                <w:szCs w:val="18"/>
              </w:rPr>
            </w:pPr>
            <w:r>
              <w:rPr>
                <w:rFonts w:eastAsia="Calibri"/>
                <w:noProof/>
                <w:color w:val="000000" w:themeColor="text1"/>
                <w:sz w:val="18"/>
                <w:szCs w:val="18"/>
              </w:rPr>
              <w:t>Mean GFCF for the period 2016-2020 having reached the range of 21-22%</w:t>
            </w:r>
          </w:p>
        </w:tc>
      </w:tr>
      <w:tr>
        <w:trPr>
          <w:cantSplit/>
        </w:trPr>
        <w:tc>
          <w:tcPr>
            <w:tcW w:w="9639" w:type="dxa"/>
            <w:gridSpan w:val="3"/>
            <w:tcBorders>
              <w:top w:val="single" w:sz="8" w:space="0" w:color="E48C32"/>
              <w:bottom w:val="single" w:sz="8" w:space="0" w:color="E48C32"/>
            </w:tcBorders>
            <w:shd w:val="clear" w:color="auto" w:fill="auto"/>
            <w:vAlign w:val="center"/>
          </w:tcPr>
          <w:p>
            <w:pPr>
              <w:pStyle w:val="AMPRTabletext-source"/>
              <w:rPr>
                <w:rFonts w:eastAsia="Calibri"/>
                <w:noProof/>
              </w:rPr>
            </w:pPr>
            <w:r>
              <w:rPr>
                <w:rStyle w:val="italics"/>
                <w:noProof/>
              </w:rPr>
              <w:t>Source:</w:t>
            </w:r>
            <w:r>
              <w:rPr>
                <w:noProof/>
              </w:rPr>
              <w:t xml:space="preserve"> </w:t>
            </w:r>
            <w:hyperlink r:id="rId51" w:history="1">
              <w:r>
                <w:rPr>
                  <w:rStyle w:val="hyperlinkunderlined"/>
                  <w:rFonts w:eastAsia="Calibri"/>
                  <w:noProof/>
                </w:rPr>
                <w:t>Eurostat</w:t>
              </w:r>
            </w:hyperlink>
            <w:r>
              <w:rPr>
                <w:rFonts w:eastAsia="Calibri"/>
                <w:noProof/>
              </w:rPr>
              <w:t>.</w:t>
            </w:r>
          </w:p>
        </w:tc>
      </w:tr>
    </w:tbl>
    <w:p>
      <w:pPr>
        <w:pStyle w:val="Annex1Tableseparator"/>
        <w:rPr>
          <w:noProof/>
        </w:rPr>
      </w:pPr>
    </w:p>
    <w:tbl>
      <w:tblPr>
        <w:tblW w:w="9639" w:type="dxa"/>
        <w:tblInd w:w="108" w:type="dxa"/>
        <w:tblLook w:val="00A0" w:firstRow="1" w:lastRow="0" w:firstColumn="1" w:lastColumn="0" w:noHBand="0" w:noVBand="0"/>
      </w:tblPr>
      <w:tblGrid>
        <w:gridCol w:w="3275"/>
        <w:gridCol w:w="3147"/>
        <w:gridCol w:w="3217"/>
      </w:tblGrid>
      <w:tr>
        <w:tc>
          <w:tcPr>
            <w:tcW w:w="9639" w:type="dxa"/>
            <w:gridSpan w:val="3"/>
            <w:shd w:val="clear" w:color="auto" w:fill="E48C32"/>
          </w:tcPr>
          <w:p>
            <w:pPr>
              <w:pStyle w:val="AMPRTabletext"/>
              <w:keepNext/>
              <w:ind w:left="178" w:hanging="178"/>
              <w:rPr>
                <w:rStyle w:val="fnRef"/>
                <w:rFonts w:eastAsiaTheme="minorHAnsi"/>
                <w:b/>
                <w:noProof/>
                <w:color w:val="FFFFFF"/>
                <w:sz w:val="20"/>
                <w:szCs w:val="22"/>
                <w:lang w:eastAsia="en-US"/>
              </w:rPr>
            </w:pPr>
            <w:r>
              <w:rPr>
                <w:b/>
                <w:noProof/>
                <w:color w:val="FFFFFF"/>
                <w:sz w:val="20"/>
                <w:szCs w:val="20"/>
              </w:rPr>
              <w:t>8.</w:t>
            </w:r>
            <w:r>
              <w:rPr>
                <w:rFonts w:eastAsia="Calibri"/>
                <w:b/>
                <w:noProof/>
                <w:color w:val="FFFFFF"/>
                <w:sz w:val="20"/>
                <w:szCs w:val="20"/>
              </w:rPr>
              <w:t xml:space="preserve"> </w:t>
            </w:r>
            <w:r>
              <w:rPr>
                <w:rFonts w:eastAsiaTheme="minorHAnsi"/>
                <w:b/>
                <w:noProof/>
                <w:color w:val="FFFFFF"/>
                <w:sz w:val="20"/>
                <w:szCs w:val="20"/>
              </w:rPr>
              <w:t>Labour productivity for the EU-28 as compared to the United States (US</w:t>
            </w:r>
            <w:r>
              <w:rPr>
                <w:rFonts w:ascii="Calibri" w:eastAsiaTheme="minorHAnsi" w:hAnsi="Calibri" w:cs="Calibri"/>
                <w:b/>
                <w:noProof/>
                <w:color w:val="FFFFFF"/>
                <w:sz w:val="20"/>
                <w:szCs w:val="20"/>
              </w:rPr>
              <w:t> </w:t>
            </w:r>
            <w:r>
              <w:rPr>
                <w:rFonts w:eastAsiaTheme="minorHAnsi"/>
                <w:b/>
                <w:noProof/>
                <w:color w:val="FFFFFF"/>
                <w:sz w:val="20"/>
                <w:szCs w:val="20"/>
              </w:rPr>
              <w:t>=</w:t>
            </w:r>
            <w:r>
              <w:rPr>
                <w:rFonts w:ascii="Calibri" w:eastAsiaTheme="minorHAnsi" w:hAnsi="Calibri" w:cs="Calibri"/>
                <w:b/>
                <w:noProof/>
                <w:color w:val="FFFFFF"/>
                <w:sz w:val="20"/>
                <w:szCs w:val="20"/>
              </w:rPr>
              <w:t> </w:t>
            </w:r>
            <w:r>
              <w:rPr>
                <w:rFonts w:eastAsiaTheme="minorHAnsi"/>
                <w:b/>
                <w:noProof/>
                <w:color w:val="FFFFFF"/>
                <w:sz w:val="20"/>
                <w:szCs w:val="20"/>
              </w:rPr>
              <w:t>100)</w:t>
            </w:r>
            <w:r>
              <w:rPr>
                <w:rStyle w:val="fnRef"/>
                <w:rFonts w:ascii="Arial" w:hAnsi="Arial" w:cs="Arial"/>
                <w:noProof/>
                <w:color w:val="FFFFFF"/>
                <w:sz w:val="20"/>
              </w:rPr>
              <w:t> </w:t>
            </w:r>
            <w:r>
              <w:rPr>
                <w:rStyle w:val="fnRef"/>
                <w:b/>
                <w:noProof/>
                <w:color w:val="FFFFFF"/>
                <w:sz w:val="20"/>
              </w:rPr>
              <w:t>(</w:t>
            </w:r>
            <w:r>
              <w:rPr>
                <w:rStyle w:val="fnRefNo"/>
                <w:b/>
                <w:noProof/>
                <w:color w:val="FFFFFF"/>
                <w:sz w:val="20"/>
              </w:rPr>
              <w:footnoteReference w:id="5"/>
            </w:r>
            <w:r>
              <w:rPr>
                <w:rStyle w:val="fnRef"/>
                <w:b/>
                <w:noProof/>
                <w:color w:val="FFFFFF"/>
                <w:sz w:val="20"/>
              </w:rPr>
              <w:t xml:space="preserve">) </w:t>
            </w:r>
          </w:p>
          <w:p>
            <w:pPr>
              <w:pStyle w:val="AMPRTabletext"/>
              <w:keepNext/>
              <w:rPr>
                <w:rFonts w:eastAsia="Calibri"/>
                <w:b/>
                <w:noProof/>
                <w:color w:val="FFFFFF"/>
                <w:sz w:val="20"/>
                <w:szCs w:val="20"/>
              </w:rPr>
            </w:pPr>
          </w:p>
        </w:tc>
      </w:tr>
      <w:tr>
        <w:tc>
          <w:tcPr>
            <w:tcW w:w="3275" w:type="dxa"/>
            <w:tcBorders>
              <w:right w:val="single" w:sz="8" w:space="0" w:color="E48C32"/>
            </w:tcBorders>
            <w:shd w:val="clear" w:color="auto" w:fill="auto"/>
            <w:vAlign w:val="center"/>
          </w:tcPr>
          <w:p>
            <w:pPr>
              <w:pStyle w:val="AMPRTabletext"/>
              <w:keepNext/>
              <w:ind w:left="178" w:hanging="178"/>
              <w:jc w:val="center"/>
              <w:rPr>
                <w:rFonts w:eastAsia="Calibri"/>
                <w:b/>
                <w:noProof/>
                <w:color w:val="E48C32"/>
                <w:sz w:val="18"/>
                <w:szCs w:val="18"/>
                <w:u w:val="single"/>
              </w:rPr>
            </w:pPr>
          </w:p>
        </w:tc>
        <w:tc>
          <w:tcPr>
            <w:tcW w:w="3147"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3217"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(2020)</w:t>
            </w:r>
          </w:p>
        </w:tc>
      </w:tr>
      <w:tr>
        <w:tc>
          <w:tcPr>
            <w:tcW w:w="3275"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75</w:t>
            </w:r>
          </w:p>
          <w:p>
            <w:pPr>
              <w:pStyle w:val="AMPRTabletext"/>
              <w:keepNext/>
              <w:jc w:val="center"/>
              <w:rPr>
                <w:rFonts w:eastAsia="Calibri"/>
                <w:noProof/>
                <w:color w:val="000000" w:themeColor="text1"/>
                <w:sz w:val="18"/>
                <w:szCs w:val="18"/>
              </w:rPr>
            </w:pPr>
            <w:r>
              <w:rPr>
                <w:rFonts w:eastAsia="Calibri"/>
                <w:noProof/>
                <w:color w:val="000000" w:themeColor="text1"/>
                <w:sz w:val="18"/>
                <w:szCs w:val="18"/>
              </w:rPr>
              <w:t>(US</w:t>
            </w:r>
            <w:r>
              <w:rPr>
                <w:rFonts w:ascii="Calibri" w:eastAsia="Calibri" w:hAnsi="Calibri" w:cs="Calibri"/>
                <w:noProof/>
                <w:color w:val="000000" w:themeColor="text1"/>
                <w:sz w:val="18"/>
                <w:szCs w:val="18"/>
              </w:rPr>
              <w:t> </w:t>
            </w:r>
            <w:r>
              <w:rPr>
                <w:rFonts w:eastAsia="Calibri"/>
                <w:noProof/>
                <w:color w:val="000000" w:themeColor="text1"/>
                <w:sz w:val="18"/>
                <w:szCs w:val="18"/>
              </w:rPr>
              <w:t>=</w:t>
            </w:r>
            <w:r>
              <w:rPr>
                <w:rFonts w:ascii="Calibri" w:eastAsia="Calibri" w:hAnsi="Calibri" w:cs="Calibri"/>
                <w:noProof/>
                <w:color w:val="000000" w:themeColor="text1"/>
                <w:sz w:val="18"/>
                <w:szCs w:val="18"/>
              </w:rPr>
              <w:t> </w:t>
            </w:r>
            <w:r>
              <w:rPr>
                <w:rFonts w:eastAsia="Calibri"/>
                <w:noProof/>
                <w:color w:val="000000" w:themeColor="text1"/>
                <w:sz w:val="18"/>
                <w:szCs w:val="18"/>
              </w:rPr>
              <w:t>100)</w:t>
            </w:r>
          </w:p>
        </w:tc>
        <w:tc>
          <w:tcPr>
            <w:tcW w:w="3147"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76</w:t>
            </w:r>
          </w:p>
          <w:p>
            <w:pPr>
              <w:pStyle w:val="AMPRTabletext"/>
              <w:keepNext/>
              <w:jc w:val="center"/>
              <w:rPr>
                <w:rFonts w:eastAsia="Calibri"/>
                <w:noProof/>
                <w:color w:val="000000" w:themeColor="text1"/>
                <w:sz w:val="18"/>
                <w:szCs w:val="18"/>
              </w:rPr>
            </w:pPr>
          </w:p>
        </w:tc>
        <w:tc>
          <w:tcPr>
            <w:tcW w:w="3217"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Increase</w:t>
            </w:r>
          </w:p>
          <w:p>
            <w:pPr>
              <w:pStyle w:val="AMPRTabletext"/>
              <w:keepNext/>
              <w:jc w:val="center"/>
              <w:rPr>
                <w:rFonts w:eastAsia="Calibri"/>
                <w:noProof/>
                <w:color w:val="000000" w:themeColor="text1"/>
                <w:sz w:val="18"/>
                <w:szCs w:val="18"/>
              </w:rPr>
            </w:pPr>
          </w:p>
        </w:tc>
      </w:tr>
      <w:tr>
        <w:tc>
          <w:tcPr>
            <w:tcW w:w="9639" w:type="dxa"/>
            <w:gridSpan w:val="3"/>
            <w:tcBorders>
              <w:top w:val="single" w:sz="8" w:space="0" w:color="E48C32"/>
              <w:bottom w:val="single" w:sz="8" w:space="0" w:color="E48C32"/>
            </w:tcBorders>
            <w:shd w:val="clear" w:color="auto" w:fill="auto"/>
            <w:vAlign w:val="center"/>
          </w:tcPr>
          <w:p>
            <w:pPr>
              <w:pStyle w:val="AMPRTabletext-source"/>
              <w:rPr>
                <w:rFonts w:eastAsia="Calibri"/>
                <w:noProof/>
              </w:rPr>
            </w:pPr>
            <w:r>
              <w:rPr>
                <w:i/>
                <w:noProof/>
              </w:rPr>
              <w:t>Source:</w:t>
            </w:r>
            <w:r>
              <w:rPr>
                <w:noProof/>
              </w:rPr>
              <w:t xml:space="preserve"> </w:t>
            </w:r>
            <w:hyperlink r:id="rId52" w:history="1">
              <w:r>
                <w:rPr>
                  <w:rStyle w:val="hyperlinkunderlined"/>
                  <w:rFonts w:eastAsia="SimSun"/>
                  <w:noProof/>
                  <w:u w:val="none"/>
                </w:rPr>
                <w:t>Annual macro-economic database</w:t>
              </w:r>
            </w:hyperlink>
            <w:r>
              <w:rPr>
                <w:rFonts w:eastAsia="SimSun"/>
                <w:noProof/>
              </w:rPr>
              <w:t xml:space="preserve"> of the European Commission’s Directorate-General for Economic and Financial Affairs.</w:t>
            </w:r>
          </w:p>
        </w:tc>
      </w:tr>
    </w:tbl>
    <w:p>
      <w:pPr>
        <w:pStyle w:val="Annex1Tableseparator"/>
        <w:rPr>
          <w:noProof/>
        </w:rPr>
      </w:pPr>
    </w:p>
    <w:p>
      <w:pPr>
        <w:rPr>
          <w:noProof/>
        </w:rPr>
      </w:pPr>
      <w:r>
        <w:rPr>
          <w:noProof/>
        </w:rPr>
        <w:br w:type="page"/>
      </w:r>
    </w:p>
    <w:p>
      <w:pPr>
        <w:pStyle w:val="Annex1Tableseparator"/>
        <w:rPr>
          <w:noProof/>
        </w:rPr>
      </w:pPr>
    </w:p>
    <w:tbl>
      <w:tblPr>
        <w:tblW w:w="9639" w:type="dxa"/>
        <w:tblInd w:w="108" w:type="dxa"/>
        <w:tblLook w:val="00A0" w:firstRow="1" w:lastRow="0" w:firstColumn="1" w:lastColumn="0" w:noHBand="0" w:noVBand="0"/>
      </w:tblPr>
      <w:tblGrid>
        <w:gridCol w:w="3275"/>
        <w:gridCol w:w="3147"/>
        <w:gridCol w:w="3217"/>
      </w:tblGrid>
      <w:tr>
        <w:tc>
          <w:tcPr>
            <w:tcW w:w="9639" w:type="dxa"/>
            <w:gridSpan w:val="3"/>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9. Resource productivity (gross domestic product in EUR) over domestic material consumption (DMC, kg)</w:t>
            </w:r>
            <w:r>
              <w:rPr>
                <w:rStyle w:val="fnRef"/>
                <w:rFonts w:ascii="Arial" w:eastAsia="Calibri" w:hAnsi="Arial" w:cs="Arial"/>
                <w:noProof/>
                <w:color w:val="FFFFFF"/>
                <w:sz w:val="20"/>
              </w:rPr>
              <w:t> </w:t>
            </w:r>
            <w:r>
              <w:rPr>
                <w:rStyle w:val="fnRef"/>
                <w:rFonts w:eastAsia="Calibri"/>
                <w:b/>
                <w:noProof/>
                <w:color w:val="FFFFFF"/>
                <w:sz w:val="20"/>
              </w:rPr>
              <w:t>(</w:t>
            </w:r>
            <w:r>
              <w:rPr>
                <w:rStyle w:val="fnRefNo"/>
                <w:rFonts w:eastAsia="Calibri"/>
                <w:b/>
                <w:noProof/>
                <w:color w:val="FFFFFF"/>
                <w:sz w:val="20"/>
              </w:rPr>
              <w:footnoteReference w:id="6"/>
            </w:r>
            <w:r>
              <w:rPr>
                <w:rStyle w:val="fnRef"/>
                <w:rFonts w:eastAsia="Calibri"/>
                <w:b/>
                <w:noProof/>
                <w:color w:val="FFFFFF"/>
                <w:sz w:val="20"/>
              </w:rPr>
              <w:t>)</w:t>
            </w:r>
          </w:p>
        </w:tc>
      </w:tr>
      <w:tr>
        <w:trPr>
          <w:cantSplit/>
        </w:trPr>
        <w:tc>
          <w:tcPr>
            <w:tcW w:w="3275"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(2010 — Eurostat estimate)</w:t>
            </w:r>
          </w:p>
        </w:tc>
        <w:tc>
          <w:tcPr>
            <w:tcW w:w="3147"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 provisional)</w:t>
            </w:r>
          </w:p>
        </w:tc>
        <w:tc>
          <w:tcPr>
            <w:tcW w:w="3217"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(2020)</w:t>
            </w:r>
          </w:p>
        </w:tc>
      </w:tr>
      <w:tr>
        <w:trPr>
          <w:cantSplit/>
        </w:trPr>
        <w:tc>
          <w:tcPr>
            <w:tcW w:w="3275"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noProof/>
                <w:color w:val="000000" w:themeColor="text1"/>
                <w:sz w:val="18"/>
                <w:szCs w:val="18"/>
              </w:rPr>
              <w:t>EUR</w:t>
            </w:r>
            <w:r>
              <w:rPr>
                <w:rFonts w:ascii="Calibri" w:hAnsi="Calibri" w:cs="Calibri"/>
                <w:noProof/>
                <w:color w:val="000000" w:themeColor="text1"/>
                <w:sz w:val="18"/>
                <w:szCs w:val="18"/>
              </w:rPr>
              <w:t> </w:t>
            </w:r>
            <w:r>
              <w:rPr>
                <w:noProof/>
                <w:color w:val="000000" w:themeColor="text1"/>
                <w:sz w:val="18"/>
                <w:szCs w:val="18"/>
              </w:rPr>
              <w:t>1.81/kg (EU-28)</w:t>
            </w:r>
          </w:p>
        </w:tc>
        <w:tc>
          <w:tcPr>
            <w:tcW w:w="3147"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EUR</w:t>
            </w:r>
            <w:r>
              <w:rPr>
                <w:rFonts w:ascii="Calibri" w:eastAsiaTheme="minorHAnsi" w:hAnsi="Calibri" w:cs="Calibri"/>
                <w:noProof/>
                <w:color w:val="000000" w:themeColor="text1"/>
                <w:sz w:val="18"/>
                <w:szCs w:val="18"/>
              </w:rPr>
              <w:t> </w:t>
            </w:r>
            <w:r>
              <w:rPr>
                <w:rFonts w:eastAsiaTheme="minorHAnsi"/>
                <w:noProof/>
                <w:color w:val="000000" w:themeColor="text1"/>
                <w:sz w:val="18"/>
                <w:szCs w:val="18"/>
              </w:rPr>
              <w:t>2.04</w:t>
            </w:r>
            <w:r>
              <w:rPr>
                <w:noProof/>
                <w:color w:val="000000" w:themeColor="text1"/>
                <w:sz w:val="18"/>
                <w:szCs w:val="18"/>
              </w:rPr>
              <w:t>/kg (EU-28)</w:t>
            </w:r>
          </w:p>
        </w:tc>
        <w:tc>
          <w:tcPr>
            <w:tcW w:w="3217"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Increase</w:t>
            </w:r>
          </w:p>
        </w:tc>
      </w:tr>
      <w:tr>
        <w:trPr>
          <w:cantSplit/>
        </w:trPr>
        <w:tc>
          <w:tcPr>
            <w:tcW w:w="9639" w:type="dxa"/>
            <w:gridSpan w:val="3"/>
            <w:tcBorders>
              <w:top w:val="single" w:sz="8" w:space="0" w:color="E48C32"/>
              <w:bottom w:val="single" w:sz="8" w:space="0" w:color="E48C32"/>
            </w:tcBorders>
            <w:shd w:val="clear" w:color="auto" w:fill="auto"/>
            <w:vAlign w:val="center"/>
          </w:tcPr>
          <w:p>
            <w:pPr>
              <w:pStyle w:val="AMPRTabletext-source"/>
              <w:rPr>
                <w:rFonts w:eastAsiaTheme="minorHAnsi"/>
                <w:noProof/>
              </w:rPr>
            </w:pPr>
            <w:r>
              <w:rPr>
                <w:rStyle w:val="italics"/>
                <w:noProof/>
              </w:rPr>
              <w:t>Source:</w:t>
            </w:r>
            <w:r>
              <w:rPr>
                <w:noProof/>
              </w:rPr>
              <w:t xml:space="preserve"> </w:t>
            </w:r>
            <w:hyperlink r:id="rId53" w:history="1">
              <w:r>
                <w:rPr>
                  <w:rStyle w:val="hyperlinkunderlined"/>
                  <w:rFonts w:eastAsiaTheme="minorHAnsi"/>
                  <w:noProof/>
                </w:rPr>
                <w:t>Eurostat</w:t>
              </w:r>
            </w:hyperlink>
            <w:r>
              <w:rPr>
                <w:rFonts w:eastAsiaTheme="minorHAnsi"/>
                <w:noProof/>
              </w:rPr>
              <w:t>.</w:t>
            </w:r>
          </w:p>
        </w:tc>
      </w:tr>
    </w:tbl>
    <w:p>
      <w:pPr>
        <w:pStyle w:val="Annex1Tableseparator"/>
        <w:rPr>
          <w:noProof/>
        </w:rPr>
      </w:pPr>
      <w:bookmarkStart w:id="15" w:name="_Toc511118093"/>
      <w:bookmarkStart w:id="16" w:name="_Toc6304457"/>
      <w:bookmarkStart w:id="17" w:name="_Toc8386180"/>
    </w:p>
    <w:p>
      <w:pPr>
        <w:pStyle w:val="Title2Annexes"/>
        <w:rPr>
          <w:noProof/>
        </w:rPr>
      </w:pPr>
      <w:bookmarkStart w:id="18" w:name="_Toc11679090"/>
      <w:r>
        <w:rPr>
          <w:noProof/>
        </w:rPr>
        <w:t>General objective: A connected digital single market</w:t>
      </w:r>
      <w:bookmarkEnd w:id="15"/>
      <w:bookmarkEnd w:id="16"/>
      <w:bookmarkEnd w:id="17"/>
      <w:bookmarkEnd w:id="18"/>
    </w:p>
    <w:tbl>
      <w:tblPr>
        <w:tblW w:w="9639" w:type="dxa"/>
        <w:tblInd w:w="108" w:type="dxa"/>
        <w:tblLook w:val="00A0" w:firstRow="1" w:lastRow="0" w:firstColumn="1" w:lastColumn="0" w:noHBand="0" w:noVBand="0"/>
      </w:tblPr>
      <w:tblGrid>
        <w:gridCol w:w="3213"/>
        <w:gridCol w:w="3214"/>
        <w:gridCol w:w="3212"/>
      </w:tblGrid>
      <w:tr>
        <w:tc>
          <w:tcPr>
            <w:tcW w:w="5000" w:type="pct"/>
            <w:gridSpan w:val="3"/>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 xml:space="preserve">10. </w:t>
            </w:r>
            <w:r>
              <w:rPr>
                <w:rFonts w:eastAsiaTheme="minorHAnsi"/>
                <w:b/>
                <w:noProof/>
                <w:color w:val="FFFFFF"/>
                <w:sz w:val="20"/>
                <w:szCs w:val="20"/>
              </w:rPr>
              <w:t>Aggregate score in the Digital Economy and Society Index (DESI) EU-28</w:t>
            </w:r>
            <w:r>
              <w:rPr>
                <w:rStyle w:val="fnRef"/>
                <w:rFonts w:ascii="Arial" w:hAnsi="Arial"/>
                <w:b/>
                <w:noProof/>
                <w:color w:val="FFFFFF"/>
                <w:sz w:val="20"/>
              </w:rPr>
              <w:t> </w:t>
            </w:r>
            <w:r>
              <w:rPr>
                <w:rStyle w:val="fnRef"/>
                <w:b/>
                <w:noProof/>
                <w:color w:val="FFFFFF"/>
                <w:sz w:val="20"/>
              </w:rPr>
              <w:t>(</w:t>
            </w:r>
            <w:r>
              <w:rPr>
                <w:rStyle w:val="fnRefNo"/>
                <w:b/>
                <w:noProof/>
                <w:color w:val="FFFFFF"/>
                <w:sz w:val="20"/>
              </w:rPr>
              <w:footnoteReference w:id="7"/>
            </w:r>
            <w:r>
              <w:rPr>
                <w:rStyle w:val="fnRef"/>
                <w:b/>
                <w:noProof/>
                <w:color w:val="FFFFFF"/>
                <w:sz w:val="20"/>
              </w:rPr>
              <w:t>)</w:t>
            </w:r>
          </w:p>
        </w:tc>
      </w:tr>
      <w:tr>
        <w:tc>
          <w:tcPr>
            <w:tcW w:w="1667" w:type="pct"/>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(DESI 2015)</w:t>
            </w:r>
          </w:p>
        </w:tc>
        <w:tc>
          <w:tcPr>
            <w:tcW w:w="1667" w:type="pct"/>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(DESI-2018)</w:t>
            </w:r>
          </w:p>
        </w:tc>
        <w:tc>
          <w:tcPr>
            <w:tcW w:w="1666" w:type="pct"/>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(2020)</w:t>
            </w:r>
          </w:p>
        </w:tc>
      </w:tr>
      <w:tr>
        <w:tc>
          <w:tcPr>
            <w:tcW w:w="1667" w:type="pct"/>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45</w:t>
            </w:r>
          </w:p>
        </w:tc>
        <w:tc>
          <w:tcPr>
            <w:tcW w:w="1667" w:type="pct"/>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54</w:t>
            </w:r>
          </w:p>
        </w:tc>
        <w:tc>
          <w:tcPr>
            <w:tcW w:w="1666" w:type="pct"/>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Increase</w:t>
            </w:r>
          </w:p>
        </w:tc>
      </w:tr>
      <w:tr>
        <w:tc>
          <w:tcPr>
            <w:tcW w:w="5000" w:type="pct"/>
            <w:gridSpan w:val="3"/>
            <w:tcBorders>
              <w:top w:val="single" w:sz="8" w:space="0" w:color="E48C32"/>
              <w:bottom w:val="single" w:sz="8" w:space="0" w:color="E48C32"/>
            </w:tcBorders>
            <w:shd w:val="clear" w:color="auto" w:fill="auto"/>
            <w:vAlign w:val="center"/>
          </w:tcPr>
          <w:p>
            <w:pPr>
              <w:pStyle w:val="AMPRTabletext-source"/>
              <w:rPr>
                <w:rFonts w:eastAsia="SimSun"/>
                <w:noProof/>
              </w:rPr>
            </w:pPr>
            <w:r>
              <w:rPr>
                <w:rStyle w:val="italics"/>
                <w:noProof/>
              </w:rPr>
              <w:t>Source</w:t>
            </w:r>
            <w:r>
              <w:rPr>
                <w:noProof/>
              </w:rPr>
              <w:t xml:space="preserve">: </w:t>
            </w:r>
            <w:hyperlink r:id="rId54" w:history="1">
              <w:r>
                <w:rPr>
                  <w:rStyle w:val="hyperlinkunderlined"/>
                  <w:rFonts w:eastAsia="SimSun"/>
                  <w:noProof/>
                  <w:u w:val="none"/>
                </w:rPr>
                <w:t>Digital Economy and Society Index</w:t>
              </w:r>
            </w:hyperlink>
            <w:r>
              <w:rPr>
                <w:rFonts w:eastAsia="SimSun"/>
                <w:noProof/>
              </w:rPr>
              <w:t>.</w:t>
            </w:r>
          </w:p>
          <w:p>
            <w:pPr>
              <w:pStyle w:val="AMPRTabletext-source"/>
              <w:rPr>
                <w:rFonts w:eastAsiaTheme="minorHAnsi"/>
                <w:noProof/>
              </w:rPr>
            </w:pPr>
            <w:r>
              <w:rPr>
                <w:rFonts w:eastAsiaTheme="minorHAnsi"/>
                <w:noProof/>
              </w:rPr>
              <w:t>[Baseline adjusted: before: 46 according to new scale as DESI has been updated, so the indicator list has slightly changed; in addition, move from 0-1 scale to 0-100 scale]</w:t>
            </w:r>
          </w:p>
        </w:tc>
      </w:tr>
    </w:tbl>
    <w:p>
      <w:pPr>
        <w:pStyle w:val="Annex1Tableseparator"/>
        <w:rPr>
          <w:noProof/>
        </w:rPr>
      </w:pPr>
      <w:bookmarkStart w:id="19" w:name="_Toc511118094"/>
      <w:bookmarkStart w:id="20" w:name="_Toc6304458"/>
      <w:bookmarkStart w:id="21" w:name="_Toc8386181"/>
    </w:p>
    <w:p>
      <w:pPr>
        <w:pStyle w:val="Title2Annexes"/>
        <w:rPr>
          <w:noProof/>
        </w:rPr>
      </w:pPr>
      <w:bookmarkStart w:id="22" w:name="_Toc11679091"/>
      <w:r>
        <w:rPr>
          <w:noProof/>
        </w:rPr>
        <w:t>General objective: A resilient energy union with a forward-looking climate change policy</w:t>
      </w:r>
      <w:bookmarkEnd w:id="19"/>
      <w:bookmarkEnd w:id="20"/>
      <w:bookmarkEnd w:id="21"/>
      <w:bookmarkEnd w:id="22"/>
    </w:p>
    <w:tbl>
      <w:tblPr>
        <w:tblW w:w="9645" w:type="dxa"/>
        <w:tblInd w:w="108" w:type="dxa"/>
        <w:tblLook w:val="00A0" w:firstRow="1" w:lastRow="0" w:firstColumn="1" w:lastColumn="0" w:noHBand="0" w:noVBand="0"/>
      </w:tblPr>
      <w:tblGrid>
        <w:gridCol w:w="3219"/>
        <w:gridCol w:w="3216"/>
        <w:gridCol w:w="3210"/>
      </w:tblGrid>
      <w:tr>
        <w:tc>
          <w:tcPr>
            <w:tcW w:w="5000" w:type="pct"/>
            <w:gridSpan w:val="3"/>
            <w:shd w:val="clear" w:color="auto" w:fill="E48C32"/>
            <w:vAlign w:val="center"/>
          </w:tcPr>
          <w:p>
            <w:pPr>
              <w:pStyle w:val="AMPRTabletext"/>
              <w:keepNext/>
              <w:spacing w:before="120" w:after="120"/>
              <w:rPr>
                <w:rFonts w:eastAsia="Calibri"/>
                <w:b/>
                <w:noProof/>
                <w:color w:val="FFFFFF"/>
                <w:sz w:val="20"/>
                <w:szCs w:val="20"/>
              </w:rPr>
            </w:pPr>
            <w:r>
              <w:rPr>
                <w:rFonts w:eastAsia="Calibri"/>
                <w:b/>
                <w:noProof/>
                <w:color w:val="FFFFFF"/>
                <w:sz w:val="20"/>
                <w:szCs w:val="20"/>
              </w:rPr>
              <w:t xml:space="preserve">11. </w:t>
            </w:r>
            <w:r>
              <w:rPr>
                <w:rFonts w:eastAsiaTheme="minorHAnsi"/>
                <w:b/>
                <w:noProof/>
                <w:color w:val="FFFFFF"/>
                <w:sz w:val="20"/>
                <w:szCs w:val="20"/>
              </w:rPr>
              <w:t>Greenhouse gas emissions (index 1990</w:t>
            </w:r>
            <w:r>
              <w:rPr>
                <w:rFonts w:ascii="Calibri" w:eastAsiaTheme="minorHAnsi" w:hAnsi="Calibri" w:cs="Calibri"/>
                <w:b/>
                <w:noProof/>
                <w:color w:val="FFFFFF"/>
                <w:sz w:val="20"/>
                <w:szCs w:val="20"/>
              </w:rPr>
              <w:t> </w:t>
            </w:r>
            <w:r>
              <w:rPr>
                <w:rFonts w:eastAsiaTheme="minorHAnsi"/>
                <w:b/>
                <w:noProof/>
                <w:color w:val="FFFFFF"/>
                <w:sz w:val="20"/>
                <w:szCs w:val="20"/>
              </w:rPr>
              <w:t>=</w:t>
            </w:r>
            <w:r>
              <w:rPr>
                <w:rFonts w:ascii="Calibri" w:eastAsiaTheme="minorHAnsi" w:hAnsi="Calibri" w:cs="Calibri"/>
                <w:b/>
                <w:noProof/>
                <w:color w:val="FFFFFF"/>
                <w:sz w:val="20"/>
                <w:szCs w:val="20"/>
              </w:rPr>
              <w:t> </w:t>
            </w:r>
            <w:r>
              <w:rPr>
                <w:rFonts w:eastAsiaTheme="minorHAnsi"/>
                <w:b/>
                <w:noProof/>
                <w:color w:val="FFFFFF"/>
                <w:sz w:val="20"/>
                <w:szCs w:val="20"/>
              </w:rPr>
              <w:t>100)</w:t>
            </w:r>
          </w:p>
        </w:tc>
      </w:tr>
      <w:tr>
        <w:trPr>
          <w:cantSplit/>
        </w:trPr>
        <w:tc>
          <w:tcPr>
            <w:tcW w:w="1669" w:type="pct"/>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w:t>
            </w:r>
            <w:r>
              <w:rPr>
                <w:rStyle w:val="AMPRTextChar"/>
                <w:rFonts w:eastAsia="Calibri"/>
                <w:b/>
                <w:noProof/>
                <w:color w:val="E48C32"/>
                <w:sz w:val="18"/>
                <w:szCs w:val="18"/>
                <w:u w:val="single"/>
              </w:rPr>
              <w:t xml:space="preserve"> (2013)</w:t>
            </w:r>
          </w:p>
        </w:tc>
        <w:tc>
          <w:tcPr>
            <w:tcW w:w="1667" w:type="pct"/>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w:t>
            </w:r>
          </w:p>
          <w:p>
            <w:pPr>
              <w:pStyle w:val="AMPRTabletext"/>
              <w:keepNext/>
              <w:jc w:val="center"/>
              <w:rPr>
                <w:rFonts w:eastAsia="Calibri"/>
                <w:b/>
                <w:noProof/>
                <w:color w:val="E48C32"/>
                <w:sz w:val="18"/>
                <w:szCs w:val="18"/>
                <w:u w:val="single"/>
              </w:rPr>
            </w:pPr>
            <w:r>
              <w:rPr>
                <w:rFonts w:eastAsia="Calibri"/>
                <w:b/>
                <w:noProof/>
                <w:color w:val="E48C32"/>
                <w:sz w:val="18"/>
                <w:szCs w:val="18"/>
                <w:u w:val="single"/>
              </w:rPr>
              <w:t>(2017 prox. estimates by the EEA)</w:t>
            </w:r>
          </w:p>
        </w:tc>
        <w:tc>
          <w:tcPr>
            <w:tcW w:w="1664" w:type="pct"/>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Target </w:t>
            </w:r>
            <w:r>
              <w:rPr>
                <w:rStyle w:val="AMPRTextChar"/>
                <w:rFonts w:eastAsia="Calibri"/>
                <w:b/>
                <w:noProof/>
                <w:color w:val="E48C32"/>
                <w:sz w:val="18"/>
                <w:szCs w:val="18"/>
                <w:u w:val="single"/>
              </w:rPr>
              <w:t>(2020)</w:t>
            </w:r>
          </w:p>
        </w:tc>
      </w:tr>
      <w:tr>
        <w:trPr>
          <w:cantSplit/>
        </w:trPr>
        <w:tc>
          <w:tcPr>
            <w:tcW w:w="1669" w:type="pct"/>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80.4%</w:t>
            </w:r>
          </w:p>
        </w:tc>
        <w:tc>
          <w:tcPr>
            <w:tcW w:w="1667" w:type="pct"/>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78.1%</w:t>
            </w:r>
          </w:p>
        </w:tc>
        <w:tc>
          <w:tcPr>
            <w:tcW w:w="1664" w:type="pct"/>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 xml:space="preserve">At least 20% reduction (index </w:t>
            </w:r>
            <w:r>
              <w:rPr>
                <w:rFonts w:eastAsia="Calibri" w:cs="EC Square Sans Pro"/>
                <w:noProof/>
                <w:color w:val="000000" w:themeColor="text1"/>
                <w:sz w:val="18"/>
                <w:szCs w:val="18"/>
              </w:rPr>
              <w:t>≤</w:t>
            </w:r>
            <w:r>
              <w:rPr>
                <w:rFonts w:ascii="Calibri" w:eastAsia="Calibri" w:hAnsi="Calibri" w:cs="Calibri"/>
                <w:noProof/>
                <w:color w:val="000000" w:themeColor="text1"/>
                <w:sz w:val="18"/>
                <w:szCs w:val="18"/>
              </w:rPr>
              <w:t> </w:t>
            </w:r>
            <w:r>
              <w:rPr>
                <w:rFonts w:eastAsia="Calibri"/>
                <w:noProof/>
                <w:color w:val="000000" w:themeColor="text1"/>
                <w:sz w:val="18"/>
                <w:szCs w:val="18"/>
              </w:rPr>
              <w:t>80)</w:t>
            </w:r>
          </w:p>
        </w:tc>
      </w:tr>
      <w:tr>
        <w:trPr>
          <w:cantSplit/>
        </w:trPr>
        <w:tc>
          <w:tcPr>
            <w:tcW w:w="5000" w:type="pct"/>
            <w:gridSpan w:val="3"/>
            <w:tcBorders>
              <w:top w:val="single" w:sz="8" w:space="0" w:color="E48C32"/>
              <w:bottom w:val="single" w:sz="8" w:space="0" w:color="E48C32"/>
            </w:tcBorders>
            <w:shd w:val="clear" w:color="auto" w:fill="auto"/>
            <w:vAlign w:val="center"/>
          </w:tcPr>
          <w:p>
            <w:pPr>
              <w:pStyle w:val="AMPRTabletext-source"/>
              <w:rPr>
                <w:rFonts w:eastAsia="Calibri"/>
                <w:noProof/>
              </w:rPr>
            </w:pPr>
            <w:r>
              <w:rPr>
                <w:rStyle w:val="italics"/>
                <w:noProof/>
              </w:rPr>
              <w:t>Source:</w:t>
            </w:r>
            <w:r>
              <w:rPr>
                <w:noProof/>
              </w:rPr>
              <w:t xml:space="preserve"> European Environmental Agency. </w:t>
            </w:r>
          </w:p>
          <w:p>
            <w:pPr>
              <w:pStyle w:val="AMPRTabletext-source"/>
              <w:rPr>
                <w:rFonts w:eastAsia="Calibri"/>
                <w:noProof/>
              </w:rPr>
            </w:pPr>
            <w:r>
              <w:rPr>
                <w:rFonts w:eastAsia="Calibri"/>
                <w:noProof/>
              </w:rPr>
              <w:t>[Baseline adjusted: before: 80.2%]</w:t>
            </w:r>
          </w:p>
        </w:tc>
      </w:tr>
    </w:tbl>
    <w:p>
      <w:pPr>
        <w:pStyle w:val="Annex1Tableseparator"/>
        <w:rPr>
          <w:noProof/>
        </w:rPr>
      </w:pPr>
    </w:p>
    <w:tbl>
      <w:tblPr>
        <w:tblW w:w="9645" w:type="dxa"/>
        <w:tblInd w:w="108" w:type="dxa"/>
        <w:tblLook w:val="00A0" w:firstRow="1" w:lastRow="0" w:firstColumn="1" w:lastColumn="0" w:noHBand="0" w:noVBand="0"/>
      </w:tblPr>
      <w:tblGrid>
        <w:gridCol w:w="1788"/>
        <w:gridCol w:w="1453"/>
        <w:gridCol w:w="1584"/>
        <w:gridCol w:w="1838"/>
        <w:gridCol w:w="2982"/>
      </w:tblGrid>
      <w:tr>
        <w:trPr>
          <w:cantSplit/>
        </w:trPr>
        <w:tc>
          <w:tcPr>
            <w:tcW w:w="5000" w:type="pct"/>
            <w:gridSpan w:val="5"/>
            <w:shd w:val="clear" w:color="auto" w:fill="E48C32"/>
            <w:vAlign w:val="center"/>
          </w:tcPr>
          <w:p>
            <w:pPr>
              <w:pStyle w:val="AMPRTabletext"/>
              <w:keepNext/>
              <w:spacing w:before="120" w:after="120"/>
              <w:rPr>
                <w:rFonts w:eastAsia="Calibri"/>
                <w:b/>
                <w:noProof/>
                <w:color w:val="FFFFFF"/>
                <w:sz w:val="20"/>
                <w:szCs w:val="20"/>
              </w:rPr>
            </w:pPr>
            <w:r>
              <w:rPr>
                <w:rFonts w:eastAsia="Calibri"/>
                <w:b/>
                <w:noProof/>
                <w:color w:val="FFFFFF"/>
                <w:sz w:val="20"/>
                <w:szCs w:val="20"/>
              </w:rPr>
              <w:t>12. Share of renewable energy in gross final energy consumption</w:t>
            </w:r>
          </w:p>
        </w:tc>
      </w:tr>
      <w:tr>
        <w:trPr>
          <w:cantSplit/>
        </w:trPr>
        <w:tc>
          <w:tcPr>
            <w:tcW w:w="927" w:type="pct"/>
            <w:vMerge w:val="restart"/>
            <w:tcBorders>
              <w:right w:val="single" w:sz="8" w:space="0" w:color="E48C32"/>
            </w:tcBorders>
            <w:shd w:val="clear" w:color="auto" w:fill="auto"/>
            <w:vAlign w:val="center"/>
          </w:tcPr>
          <w:p>
            <w:pPr>
              <w:pStyle w:val="AMPRTabletext"/>
              <w:keepNext/>
              <w:rPr>
                <w:rFonts w:eastAsia="Calibri"/>
                <w:b/>
                <w:noProof/>
                <w:color w:val="E48C32"/>
                <w:sz w:val="18"/>
                <w:szCs w:val="18"/>
                <w:u w:val="single"/>
              </w:rPr>
            </w:pPr>
          </w:p>
          <w:p>
            <w:pPr>
              <w:pStyle w:val="AMPRTabletext"/>
              <w:keepNext/>
              <w:rPr>
                <w:rFonts w:eastAsia="Calibri"/>
                <w:b/>
                <w:noProof/>
                <w:color w:val="E48C32"/>
                <w:sz w:val="18"/>
                <w:szCs w:val="18"/>
                <w:u w:val="single"/>
              </w:rPr>
            </w:pPr>
            <w:r>
              <w:rPr>
                <w:rFonts w:eastAsia="Calibri"/>
                <w:b/>
                <w:noProof/>
                <w:color w:val="E48C32"/>
                <w:sz w:val="18"/>
                <w:szCs w:val="18"/>
                <w:u w:val="single"/>
              </w:rPr>
              <w:t>Baseline</w:t>
            </w:r>
            <w:r>
              <w:rPr>
                <w:rStyle w:val="AMPRTextChar"/>
                <w:rFonts w:eastAsia="Calibri"/>
                <w:b/>
                <w:noProof/>
                <w:color w:val="E48C32"/>
                <w:sz w:val="18"/>
                <w:szCs w:val="18"/>
                <w:u w:val="single"/>
              </w:rPr>
              <w:t xml:space="preserve"> (2013)</w:t>
            </w:r>
          </w:p>
        </w:tc>
        <w:tc>
          <w:tcPr>
            <w:tcW w:w="1574" w:type="pct"/>
            <w:gridSpan w:val="2"/>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Interim milestone</w:t>
            </w:r>
          </w:p>
        </w:tc>
        <w:tc>
          <w:tcPr>
            <w:tcW w:w="953" w:type="pct"/>
            <w:vMerge w:val="restart"/>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w:t>
            </w:r>
            <w:r>
              <w:rPr>
                <w:rStyle w:val="AMPRTextChar"/>
                <w:rFonts w:eastAsia="Calibri"/>
                <w:b/>
                <w:noProof/>
                <w:color w:val="E48C32"/>
                <w:sz w:val="18"/>
                <w:szCs w:val="18"/>
                <w:u w:val="single"/>
              </w:rPr>
              <w:t>2016)</w:t>
            </w:r>
          </w:p>
        </w:tc>
        <w:tc>
          <w:tcPr>
            <w:tcW w:w="1546" w:type="pct"/>
            <w:vMerge w:val="restart"/>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p>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Target </w:t>
            </w:r>
            <w:r>
              <w:rPr>
                <w:rStyle w:val="AMPRTextChar"/>
                <w:rFonts w:eastAsia="Calibri"/>
                <w:b/>
                <w:noProof/>
                <w:color w:val="E48C32"/>
                <w:sz w:val="18"/>
                <w:szCs w:val="18"/>
                <w:u w:val="single"/>
              </w:rPr>
              <w:t>(2020)</w:t>
            </w:r>
          </w:p>
        </w:tc>
      </w:tr>
      <w:tr>
        <w:trPr>
          <w:cantSplit/>
        </w:trPr>
        <w:tc>
          <w:tcPr>
            <w:tcW w:w="927" w:type="pct"/>
            <w:vMerge/>
            <w:tcBorders>
              <w:top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rPr>
            </w:pPr>
          </w:p>
        </w:tc>
        <w:tc>
          <w:tcPr>
            <w:tcW w:w="753" w:type="pct"/>
            <w:tcBorders>
              <w:top w:val="single" w:sz="8" w:space="0" w:color="E48C32"/>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(2013/2014)</w:t>
            </w:r>
          </w:p>
        </w:tc>
        <w:tc>
          <w:tcPr>
            <w:tcW w:w="821" w:type="pct"/>
            <w:tcBorders>
              <w:top w:val="single" w:sz="8" w:space="0" w:color="E48C32"/>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(2015/2016)</w:t>
            </w:r>
          </w:p>
        </w:tc>
        <w:tc>
          <w:tcPr>
            <w:tcW w:w="953" w:type="pct"/>
            <w:vMerge/>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rPr>
            </w:pPr>
          </w:p>
        </w:tc>
        <w:tc>
          <w:tcPr>
            <w:tcW w:w="1546" w:type="pct"/>
            <w:vMerge/>
            <w:tcBorders>
              <w:left w:val="single" w:sz="8" w:space="0" w:color="E48C32"/>
            </w:tcBorders>
            <w:shd w:val="clear" w:color="auto" w:fill="auto"/>
            <w:vAlign w:val="center"/>
          </w:tcPr>
          <w:p>
            <w:pPr>
              <w:pStyle w:val="AMPRTabletext"/>
              <w:keepNext/>
              <w:jc w:val="center"/>
              <w:rPr>
                <w:rFonts w:eastAsia="Calibri"/>
                <w:b/>
                <w:noProof/>
                <w:color w:val="E48C32"/>
                <w:sz w:val="18"/>
                <w:szCs w:val="18"/>
              </w:rPr>
            </w:pPr>
          </w:p>
        </w:tc>
      </w:tr>
      <w:tr>
        <w:trPr>
          <w:cantSplit/>
        </w:trPr>
        <w:tc>
          <w:tcPr>
            <w:tcW w:w="927" w:type="pct"/>
            <w:tcBorders>
              <w:bottom w:val="single" w:sz="8" w:space="0" w:color="E48C32"/>
              <w:right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15.2%</w:t>
            </w:r>
          </w:p>
          <w:p>
            <w:pPr>
              <w:pStyle w:val="AMPRTabletext"/>
              <w:keepNext/>
              <w:jc w:val="center"/>
              <w:rPr>
                <w:rFonts w:eastAsia="Calibri"/>
                <w:noProof/>
                <w:color w:val="000000" w:themeColor="text1"/>
                <w:sz w:val="18"/>
                <w:szCs w:val="18"/>
              </w:rPr>
            </w:pPr>
            <w:r>
              <w:rPr>
                <w:rFonts w:eastAsia="Calibri"/>
                <w:noProof/>
                <w:color w:val="000000" w:themeColor="text1"/>
                <w:sz w:val="18"/>
                <w:szCs w:val="18"/>
              </w:rPr>
              <w:t>[Baseline adjusted:</w:t>
            </w:r>
          </w:p>
          <w:p>
            <w:pPr>
              <w:pStyle w:val="AMPRTabletext"/>
              <w:keepNext/>
              <w:jc w:val="center"/>
              <w:rPr>
                <w:rFonts w:eastAsia="Calibri"/>
                <w:noProof/>
                <w:color w:val="000000" w:themeColor="text1"/>
                <w:sz w:val="18"/>
                <w:szCs w:val="18"/>
              </w:rPr>
            </w:pPr>
            <w:r>
              <w:rPr>
                <w:rFonts w:eastAsia="Calibri"/>
                <w:noProof/>
                <w:color w:val="000000" w:themeColor="text1"/>
                <w:sz w:val="18"/>
                <w:szCs w:val="18"/>
              </w:rPr>
              <w:t>before: 15%]</w:t>
            </w:r>
          </w:p>
        </w:tc>
        <w:tc>
          <w:tcPr>
            <w:tcW w:w="753" w:type="pct"/>
            <w:tcBorders>
              <w:left w:val="single" w:sz="8" w:space="0" w:color="E48C32"/>
              <w:bottom w:val="single" w:sz="8" w:space="0" w:color="E48C32"/>
              <w:right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15.6%</w:t>
            </w:r>
          </w:p>
          <w:p>
            <w:pPr>
              <w:pStyle w:val="AMPRTabletext"/>
              <w:keepNext/>
              <w:jc w:val="center"/>
              <w:rPr>
                <w:rFonts w:eastAsia="Calibri"/>
                <w:noProof/>
                <w:color w:val="000000" w:themeColor="text1"/>
                <w:sz w:val="18"/>
                <w:szCs w:val="18"/>
              </w:rPr>
            </w:pPr>
            <w:r>
              <w:rPr>
                <w:rFonts w:eastAsia="Calibri"/>
                <w:noProof/>
                <w:color w:val="000000" w:themeColor="text1"/>
                <w:sz w:val="18"/>
                <w:szCs w:val="18"/>
              </w:rPr>
              <w:t xml:space="preserve">[Baseline adjusted: </w:t>
            </w:r>
            <w:r>
              <w:rPr>
                <w:rFonts w:eastAsia="Calibri"/>
                <w:noProof/>
                <w:color w:val="000000" w:themeColor="text1"/>
                <w:sz w:val="18"/>
                <w:szCs w:val="18"/>
              </w:rPr>
              <w:br/>
              <w:t>before: 13.6%]</w:t>
            </w:r>
          </w:p>
        </w:tc>
        <w:tc>
          <w:tcPr>
            <w:tcW w:w="821" w:type="pct"/>
            <w:tcBorders>
              <w:left w:val="single" w:sz="8" w:space="0" w:color="E48C32"/>
              <w:bottom w:val="single" w:sz="8" w:space="0" w:color="E48C32"/>
              <w:right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16.9%</w:t>
            </w:r>
          </w:p>
          <w:p>
            <w:pPr>
              <w:pStyle w:val="AMPRTabletext"/>
              <w:keepNext/>
              <w:jc w:val="center"/>
              <w:rPr>
                <w:rFonts w:eastAsia="Calibri"/>
                <w:noProof/>
                <w:color w:val="000000" w:themeColor="text1"/>
                <w:sz w:val="18"/>
                <w:szCs w:val="18"/>
              </w:rPr>
            </w:pPr>
            <w:r>
              <w:rPr>
                <w:rFonts w:eastAsia="Calibri"/>
                <w:noProof/>
                <w:color w:val="000000" w:themeColor="text1"/>
                <w:sz w:val="18"/>
                <w:szCs w:val="18"/>
              </w:rPr>
              <w:t xml:space="preserve">[Baseline adjusted: </w:t>
            </w:r>
            <w:r>
              <w:rPr>
                <w:rFonts w:eastAsia="Calibri"/>
                <w:noProof/>
                <w:color w:val="000000" w:themeColor="text1"/>
                <w:sz w:val="18"/>
                <w:szCs w:val="18"/>
              </w:rPr>
              <w:br/>
              <w:t>before: 15.9%]</w:t>
            </w:r>
          </w:p>
        </w:tc>
        <w:tc>
          <w:tcPr>
            <w:tcW w:w="953" w:type="pct"/>
            <w:tcBorders>
              <w:left w:val="single" w:sz="8" w:space="0" w:color="E48C32"/>
              <w:bottom w:val="single" w:sz="8" w:space="0" w:color="E48C32"/>
              <w:right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17.0%</w:t>
            </w:r>
          </w:p>
        </w:tc>
        <w:tc>
          <w:tcPr>
            <w:tcW w:w="1546" w:type="pct"/>
            <w:tcBorders>
              <w:left w:val="single" w:sz="8" w:space="0" w:color="E48C32"/>
              <w:bottom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20%</w:t>
            </w:r>
          </w:p>
        </w:tc>
      </w:tr>
      <w:tr>
        <w:trPr>
          <w:cantSplit/>
        </w:trPr>
        <w:tc>
          <w:tcPr>
            <w:tcW w:w="5000" w:type="pct"/>
            <w:gridSpan w:val="5"/>
            <w:tcBorders>
              <w:top w:val="single" w:sz="8" w:space="0" w:color="E48C32"/>
              <w:bottom w:val="single" w:sz="8" w:space="0" w:color="E48C32"/>
            </w:tcBorders>
            <w:shd w:val="clear" w:color="auto" w:fill="auto"/>
            <w:vAlign w:val="center"/>
          </w:tcPr>
          <w:p>
            <w:pPr>
              <w:pStyle w:val="AMPRTabletext-source"/>
              <w:rPr>
                <w:rFonts w:eastAsia="Calibri"/>
                <w:noProof/>
              </w:rPr>
            </w:pPr>
            <w:r>
              <w:rPr>
                <w:rStyle w:val="italics"/>
                <w:noProof/>
              </w:rPr>
              <w:t>Source</w:t>
            </w:r>
            <w:r>
              <w:rPr>
                <w:noProof/>
              </w:rPr>
              <w:t xml:space="preserve">: </w:t>
            </w:r>
            <w:hyperlink r:id="rId55" w:history="1">
              <w:r>
                <w:rPr>
                  <w:rStyle w:val="hyperlinkunderlined"/>
                  <w:rFonts w:eastAsia="Calibri"/>
                  <w:noProof/>
                </w:rPr>
                <w:t>Eurostat</w:t>
              </w:r>
            </w:hyperlink>
            <w:r>
              <w:rPr>
                <w:rFonts w:eastAsia="Calibri"/>
                <w:noProof/>
              </w:rPr>
              <w:t>.</w:t>
            </w:r>
          </w:p>
        </w:tc>
      </w:tr>
    </w:tbl>
    <w:p>
      <w:pPr>
        <w:pStyle w:val="Annex1Tableseparator"/>
        <w:rPr>
          <w:noProof/>
        </w:rPr>
      </w:pPr>
    </w:p>
    <w:tbl>
      <w:tblPr>
        <w:tblW w:w="9645" w:type="dxa"/>
        <w:tblInd w:w="108" w:type="dxa"/>
        <w:tblLook w:val="00A0" w:firstRow="1" w:lastRow="0" w:firstColumn="1" w:lastColumn="0" w:noHBand="0" w:noVBand="0"/>
      </w:tblPr>
      <w:tblGrid>
        <w:gridCol w:w="3219"/>
        <w:gridCol w:w="3216"/>
        <w:gridCol w:w="3210"/>
      </w:tblGrid>
      <w:tr>
        <w:tc>
          <w:tcPr>
            <w:tcW w:w="5000" w:type="pct"/>
            <w:gridSpan w:val="3"/>
            <w:shd w:val="clear" w:color="auto" w:fill="E48C32"/>
            <w:vAlign w:val="center"/>
          </w:tcPr>
          <w:p>
            <w:pPr>
              <w:pStyle w:val="AMPRTabletext"/>
              <w:keepNext/>
              <w:spacing w:before="120" w:after="120"/>
              <w:rPr>
                <w:rFonts w:eastAsia="Calibri"/>
                <w:b/>
                <w:noProof/>
                <w:color w:val="FFFFFF"/>
                <w:sz w:val="20"/>
                <w:szCs w:val="20"/>
              </w:rPr>
            </w:pPr>
            <w:r>
              <w:rPr>
                <w:rFonts w:eastAsia="Calibri"/>
                <w:b/>
                <w:noProof/>
                <w:color w:val="FFFFFF"/>
                <w:sz w:val="20"/>
                <w:szCs w:val="20"/>
              </w:rPr>
              <w:t>13. Increase in energy efficiency — Primary energy consumption</w:t>
            </w:r>
          </w:p>
        </w:tc>
      </w:tr>
      <w:tr>
        <w:trPr>
          <w:cantSplit/>
        </w:trPr>
        <w:tc>
          <w:tcPr>
            <w:tcW w:w="1669" w:type="pct"/>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(2013)</w:t>
            </w:r>
          </w:p>
        </w:tc>
        <w:tc>
          <w:tcPr>
            <w:tcW w:w="1667" w:type="pct"/>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(2016)</w:t>
            </w:r>
          </w:p>
        </w:tc>
        <w:tc>
          <w:tcPr>
            <w:tcW w:w="1664" w:type="pct"/>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(2020)</w:t>
            </w:r>
          </w:p>
        </w:tc>
      </w:tr>
      <w:tr>
        <w:trPr>
          <w:cantSplit/>
        </w:trPr>
        <w:tc>
          <w:tcPr>
            <w:tcW w:w="1669" w:type="pct"/>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1</w:t>
            </w:r>
            <w:r>
              <w:rPr>
                <w:rFonts w:ascii="Calibri" w:eastAsiaTheme="minorHAnsi" w:hAnsi="Calibri" w:cs="Calibri"/>
                <w:noProof/>
                <w:color w:val="000000" w:themeColor="text1"/>
                <w:sz w:val="18"/>
                <w:szCs w:val="18"/>
              </w:rPr>
              <w:t> </w:t>
            </w:r>
            <w:r>
              <w:rPr>
                <w:rFonts w:eastAsiaTheme="minorHAnsi"/>
                <w:noProof/>
                <w:color w:val="000000" w:themeColor="text1"/>
                <w:sz w:val="18"/>
                <w:szCs w:val="18"/>
              </w:rPr>
              <w:t>571</w:t>
            </w:r>
            <w:r>
              <w:rPr>
                <w:rFonts w:ascii="Calibri" w:eastAsiaTheme="minorHAnsi" w:hAnsi="Calibri" w:cs="Calibri"/>
                <w:noProof/>
                <w:color w:val="000000" w:themeColor="text1"/>
                <w:sz w:val="18"/>
                <w:szCs w:val="18"/>
              </w:rPr>
              <w:t> </w:t>
            </w:r>
            <w:r>
              <w:rPr>
                <w:rFonts w:eastAsiaTheme="minorHAnsi"/>
                <w:noProof/>
                <w:color w:val="000000" w:themeColor="text1"/>
                <w:sz w:val="18"/>
                <w:szCs w:val="18"/>
              </w:rPr>
              <w:t>million tonnes of oil equivalent (Mtoe)</w:t>
            </w:r>
          </w:p>
        </w:tc>
        <w:tc>
          <w:tcPr>
            <w:tcW w:w="1667" w:type="pct"/>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1</w:t>
            </w:r>
            <w:r>
              <w:rPr>
                <w:rFonts w:ascii="Calibri" w:eastAsia="Calibri" w:hAnsi="Calibri" w:cs="Calibri"/>
                <w:noProof/>
                <w:color w:val="000000" w:themeColor="text1"/>
                <w:sz w:val="18"/>
                <w:szCs w:val="18"/>
              </w:rPr>
              <w:t> </w:t>
            </w:r>
            <w:r>
              <w:rPr>
                <w:rFonts w:eastAsia="Calibri"/>
                <w:noProof/>
                <w:color w:val="000000" w:themeColor="text1"/>
                <w:sz w:val="18"/>
                <w:szCs w:val="18"/>
              </w:rPr>
              <w:t>543</w:t>
            </w:r>
            <w:r>
              <w:rPr>
                <w:rFonts w:ascii="Calibri" w:eastAsia="Calibri" w:hAnsi="Calibri" w:cs="Calibri"/>
                <w:noProof/>
                <w:color w:val="000000" w:themeColor="text1"/>
                <w:sz w:val="18"/>
                <w:szCs w:val="18"/>
              </w:rPr>
              <w:t> </w:t>
            </w:r>
            <w:r>
              <w:rPr>
                <w:rFonts w:eastAsiaTheme="minorHAnsi"/>
                <w:noProof/>
                <w:color w:val="000000" w:themeColor="text1"/>
                <w:sz w:val="18"/>
                <w:szCs w:val="18"/>
              </w:rPr>
              <w:t>million tonnes of oil equivalent (Mtoe)</w:t>
            </w:r>
          </w:p>
        </w:tc>
        <w:tc>
          <w:tcPr>
            <w:tcW w:w="1664" w:type="pct"/>
            <w:tcBorders>
              <w:left w:val="single" w:sz="8" w:space="0" w:color="E48C32"/>
              <w:bottom w:val="single" w:sz="8" w:space="0" w:color="E48C32"/>
            </w:tcBorders>
            <w:shd w:val="clear" w:color="auto" w:fill="auto"/>
            <w:vAlign w:val="center"/>
          </w:tcPr>
          <w:p>
            <w:pPr>
              <w:pStyle w:val="AMPRTabletext"/>
              <w:keepNext/>
              <w:jc w:val="center"/>
              <w:rPr>
                <w:rFonts w:eastAsiaTheme="minorHAnsi" w:cs="Arial"/>
                <w:noProof/>
                <w:color w:val="000000" w:themeColor="text1"/>
                <w:sz w:val="18"/>
                <w:szCs w:val="18"/>
              </w:rPr>
            </w:pPr>
            <w:r>
              <w:rPr>
                <w:rFonts w:eastAsia="Calibri" w:cs="Arial"/>
                <w:noProof/>
                <w:color w:val="000000" w:themeColor="text1"/>
                <w:sz w:val="18"/>
                <w:szCs w:val="18"/>
              </w:rPr>
              <w:t>20%</w:t>
            </w:r>
            <w:r>
              <w:rPr>
                <w:rFonts w:eastAsiaTheme="minorHAnsi" w:cs="Arial"/>
                <w:noProof/>
                <w:color w:val="000000" w:themeColor="text1"/>
                <w:sz w:val="18"/>
                <w:szCs w:val="18"/>
              </w:rPr>
              <w:t xml:space="preserve"> increase in energy efficiency</w:t>
            </w:r>
          </w:p>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(no more than 1</w:t>
            </w:r>
            <w:r>
              <w:rPr>
                <w:rFonts w:eastAsiaTheme="minorHAnsi" w:cs="Calibri"/>
                <w:noProof/>
                <w:color w:val="000000" w:themeColor="text1"/>
                <w:sz w:val="18"/>
                <w:szCs w:val="18"/>
              </w:rPr>
              <w:t> </w:t>
            </w:r>
            <w:r>
              <w:rPr>
                <w:rFonts w:eastAsiaTheme="minorHAnsi"/>
                <w:noProof/>
                <w:color w:val="000000" w:themeColor="text1"/>
                <w:sz w:val="18"/>
                <w:szCs w:val="18"/>
              </w:rPr>
              <w:t>483</w:t>
            </w:r>
            <w:r>
              <w:rPr>
                <w:rFonts w:ascii="Calibri" w:eastAsiaTheme="minorHAnsi" w:hAnsi="Calibri" w:cs="Calibri"/>
                <w:noProof/>
                <w:color w:val="000000" w:themeColor="text1"/>
                <w:sz w:val="18"/>
                <w:szCs w:val="18"/>
              </w:rPr>
              <w:t> </w:t>
            </w:r>
            <w:r>
              <w:rPr>
                <w:rFonts w:eastAsiaTheme="minorHAnsi"/>
                <w:noProof/>
                <w:color w:val="000000" w:themeColor="text1"/>
                <w:sz w:val="18"/>
                <w:szCs w:val="18"/>
              </w:rPr>
              <w:t>Mtoe of primary energy consumption)</w:t>
            </w:r>
          </w:p>
        </w:tc>
      </w:tr>
      <w:tr>
        <w:trPr>
          <w:cantSplit/>
        </w:trPr>
        <w:tc>
          <w:tcPr>
            <w:tcW w:w="5000" w:type="pct"/>
            <w:gridSpan w:val="3"/>
            <w:tcBorders>
              <w:top w:val="single" w:sz="8" w:space="0" w:color="E48C32"/>
              <w:bottom w:val="single" w:sz="8" w:space="0" w:color="E48C32"/>
            </w:tcBorders>
            <w:shd w:val="clear" w:color="auto" w:fill="auto"/>
            <w:vAlign w:val="center"/>
          </w:tcPr>
          <w:p>
            <w:pPr>
              <w:pStyle w:val="AMPRTabletext-source"/>
              <w:rPr>
                <w:rFonts w:eastAsia="Calibri"/>
                <w:noProof/>
                <w:u w:val="single"/>
              </w:rPr>
            </w:pPr>
            <w:r>
              <w:rPr>
                <w:rStyle w:val="italics"/>
                <w:noProof/>
              </w:rPr>
              <w:t>Source</w:t>
            </w:r>
            <w:r>
              <w:rPr>
                <w:i/>
                <w:noProof/>
              </w:rPr>
              <w:t>:</w:t>
            </w:r>
            <w:r>
              <w:rPr>
                <w:noProof/>
              </w:rPr>
              <w:t xml:space="preserve"> </w:t>
            </w:r>
            <w:hyperlink r:id="rId56" w:history="1">
              <w:r>
                <w:rPr>
                  <w:rFonts w:eastAsia="Calibri"/>
                  <w:noProof/>
                  <w:u w:val="single"/>
                </w:rPr>
                <w:t>Eurostat</w:t>
              </w:r>
            </w:hyperlink>
            <w:r>
              <w:rPr>
                <w:rFonts w:eastAsia="Calibri"/>
                <w:noProof/>
                <w:u w:val="single"/>
              </w:rPr>
              <w:t>.</w:t>
            </w:r>
          </w:p>
          <w:p>
            <w:pPr>
              <w:pStyle w:val="AMPRTabletext-source"/>
              <w:rPr>
                <w:rFonts w:eastAsia="Calibri"/>
                <w:noProof/>
              </w:rPr>
            </w:pPr>
            <w:r>
              <w:rPr>
                <w:rFonts w:eastAsia="Calibri"/>
                <w:noProof/>
              </w:rPr>
              <w:t>[Baseline adjusted: before: 1</w:t>
            </w:r>
            <w:r>
              <w:rPr>
                <w:rFonts w:ascii="Calibri" w:eastAsia="Calibri" w:hAnsi="Calibri" w:cs="Calibri"/>
                <w:noProof/>
              </w:rPr>
              <w:t> </w:t>
            </w:r>
            <w:r>
              <w:rPr>
                <w:rFonts w:eastAsia="Calibri"/>
                <w:noProof/>
              </w:rPr>
              <w:t>569.9 Mtoe]</w:t>
            </w:r>
          </w:p>
        </w:tc>
      </w:tr>
    </w:tbl>
    <w:p>
      <w:pPr>
        <w:pStyle w:val="Annex1Tableseparator"/>
        <w:rPr>
          <w:noProof/>
        </w:rPr>
      </w:pPr>
    </w:p>
    <w:tbl>
      <w:tblPr>
        <w:tblW w:w="9645" w:type="dxa"/>
        <w:tblInd w:w="108" w:type="dxa"/>
        <w:tblLook w:val="00A0" w:firstRow="1" w:lastRow="0" w:firstColumn="1" w:lastColumn="0" w:noHBand="0" w:noVBand="0"/>
      </w:tblPr>
      <w:tblGrid>
        <w:gridCol w:w="3219"/>
        <w:gridCol w:w="3216"/>
        <w:gridCol w:w="3210"/>
      </w:tblGrid>
      <w:tr>
        <w:tc>
          <w:tcPr>
            <w:tcW w:w="5000" w:type="pct"/>
            <w:gridSpan w:val="3"/>
            <w:shd w:val="clear" w:color="auto" w:fill="E48C32"/>
            <w:vAlign w:val="center"/>
          </w:tcPr>
          <w:p>
            <w:pPr>
              <w:pStyle w:val="AMPRTabletext"/>
              <w:keepNext/>
              <w:spacing w:before="120" w:after="120"/>
              <w:rPr>
                <w:rFonts w:eastAsia="Calibri"/>
                <w:b/>
                <w:noProof/>
                <w:color w:val="FFFFFF"/>
                <w:sz w:val="20"/>
                <w:szCs w:val="20"/>
              </w:rPr>
            </w:pPr>
            <w:r>
              <w:rPr>
                <w:rFonts w:eastAsia="Calibri"/>
                <w:b/>
                <w:noProof/>
                <w:color w:val="FFFFFF"/>
                <w:sz w:val="20"/>
                <w:szCs w:val="20"/>
              </w:rPr>
              <w:t>14. Increase in energy efficiency — Final energy consumption</w:t>
            </w:r>
          </w:p>
        </w:tc>
      </w:tr>
      <w:tr>
        <w:tc>
          <w:tcPr>
            <w:tcW w:w="1669" w:type="pct"/>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(2013)</w:t>
            </w:r>
          </w:p>
        </w:tc>
        <w:tc>
          <w:tcPr>
            <w:tcW w:w="1667" w:type="pct"/>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(2016)</w:t>
            </w:r>
          </w:p>
        </w:tc>
        <w:tc>
          <w:tcPr>
            <w:tcW w:w="1664" w:type="pct"/>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(2020)</w:t>
            </w:r>
          </w:p>
        </w:tc>
      </w:tr>
      <w:tr>
        <w:tc>
          <w:tcPr>
            <w:tcW w:w="1669" w:type="pct"/>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1</w:t>
            </w:r>
            <w:r>
              <w:rPr>
                <w:rFonts w:ascii="Calibri" w:eastAsiaTheme="minorHAnsi" w:hAnsi="Calibri" w:cs="Calibri"/>
                <w:noProof/>
                <w:color w:val="000000" w:themeColor="text1"/>
                <w:sz w:val="18"/>
                <w:szCs w:val="18"/>
              </w:rPr>
              <w:t> </w:t>
            </w:r>
            <w:r>
              <w:rPr>
                <w:rFonts w:eastAsiaTheme="minorHAnsi"/>
                <w:noProof/>
                <w:color w:val="000000" w:themeColor="text1"/>
                <w:sz w:val="18"/>
                <w:szCs w:val="18"/>
              </w:rPr>
              <w:t>108.2</w:t>
            </w:r>
            <w:r>
              <w:rPr>
                <w:rFonts w:ascii="Calibri" w:eastAsiaTheme="minorHAnsi" w:hAnsi="Calibri" w:cs="Calibri"/>
                <w:noProof/>
                <w:color w:val="000000" w:themeColor="text1"/>
                <w:sz w:val="18"/>
                <w:szCs w:val="18"/>
              </w:rPr>
              <w:t> </w:t>
            </w:r>
            <w:r>
              <w:rPr>
                <w:rFonts w:eastAsiaTheme="minorHAnsi"/>
                <w:noProof/>
                <w:color w:val="000000" w:themeColor="text1"/>
                <w:sz w:val="18"/>
                <w:szCs w:val="18"/>
              </w:rPr>
              <w:t>million tonnes of oil equivalent (Mtoe)</w:t>
            </w:r>
          </w:p>
        </w:tc>
        <w:tc>
          <w:tcPr>
            <w:tcW w:w="1667" w:type="pct"/>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1</w:t>
            </w:r>
            <w:r>
              <w:rPr>
                <w:rFonts w:ascii="Calibri" w:eastAsia="Calibri" w:hAnsi="Calibri" w:cs="Calibri"/>
                <w:noProof/>
                <w:color w:val="000000" w:themeColor="text1"/>
                <w:sz w:val="18"/>
                <w:szCs w:val="18"/>
              </w:rPr>
              <w:t> </w:t>
            </w:r>
            <w:r>
              <w:rPr>
                <w:rFonts w:eastAsia="Calibri"/>
                <w:noProof/>
                <w:color w:val="000000" w:themeColor="text1"/>
                <w:sz w:val="18"/>
                <w:szCs w:val="18"/>
              </w:rPr>
              <w:t>107.8</w:t>
            </w:r>
            <w:r>
              <w:rPr>
                <w:rFonts w:ascii="Calibri" w:eastAsia="Calibri" w:hAnsi="Calibri" w:cs="Calibri"/>
                <w:noProof/>
                <w:color w:val="000000" w:themeColor="text1"/>
                <w:sz w:val="18"/>
                <w:szCs w:val="18"/>
              </w:rPr>
              <w:t> </w:t>
            </w:r>
            <w:r>
              <w:rPr>
                <w:rFonts w:eastAsiaTheme="minorHAnsi"/>
                <w:noProof/>
                <w:color w:val="000000" w:themeColor="text1"/>
                <w:sz w:val="18"/>
                <w:szCs w:val="18"/>
              </w:rPr>
              <w:t>million tonnes of oil equivalent (Mtoe)</w:t>
            </w:r>
          </w:p>
        </w:tc>
        <w:tc>
          <w:tcPr>
            <w:tcW w:w="1664" w:type="pct"/>
            <w:tcBorders>
              <w:left w:val="single" w:sz="8" w:space="0" w:color="E48C32"/>
              <w:bottom w:val="single" w:sz="8" w:space="0" w:color="E48C32"/>
            </w:tcBorders>
            <w:shd w:val="clear" w:color="auto" w:fill="auto"/>
            <w:vAlign w:val="center"/>
          </w:tcPr>
          <w:p>
            <w:pPr>
              <w:pStyle w:val="AMPRTabletext"/>
              <w:keepNext/>
              <w:jc w:val="center"/>
              <w:rPr>
                <w:rFonts w:eastAsiaTheme="minorHAnsi"/>
                <w:noProof/>
                <w:color w:val="000000" w:themeColor="text1"/>
                <w:sz w:val="18"/>
                <w:szCs w:val="18"/>
              </w:rPr>
            </w:pPr>
            <w:r>
              <w:rPr>
                <w:rFonts w:eastAsia="Calibri"/>
                <w:noProof/>
                <w:color w:val="000000" w:themeColor="text1"/>
                <w:sz w:val="18"/>
                <w:szCs w:val="18"/>
              </w:rPr>
              <w:t>20%</w:t>
            </w:r>
            <w:r>
              <w:rPr>
                <w:rFonts w:eastAsiaTheme="minorHAnsi"/>
                <w:noProof/>
                <w:color w:val="000000" w:themeColor="text1"/>
                <w:sz w:val="18"/>
                <w:szCs w:val="18"/>
              </w:rPr>
              <w:t xml:space="preserve"> increase in energy efficiency</w:t>
            </w:r>
          </w:p>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(no more than 1</w:t>
            </w:r>
            <w:r>
              <w:rPr>
                <w:rFonts w:eastAsiaTheme="minorHAnsi" w:cs="Calibri"/>
                <w:noProof/>
                <w:color w:val="000000" w:themeColor="text1"/>
                <w:sz w:val="18"/>
                <w:szCs w:val="18"/>
              </w:rPr>
              <w:t> </w:t>
            </w:r>
            <w:r>
              <w:rPr>
                <w:rFonts w:eastAsiaTheme="minorHAnsi"/>
                <w:noProof/>
                <w:color w:val="000000" w:themeColor="text1"/>
                <w:sz w:val="18"/>
                <w:szCs w:val="18"/>
              </w:rPr>
              <w:t>086</w:t>
            </w:r>
            <w:r>
              <w:rPr>
                <w:rFonts w:ascii="Calibri" w:eastAsiaTheme="minorHAnsi" w:hAnsi="Calibri" w:cs="Calibri"/>
                <w:noProof/>
                <w:color w:val="000000" w:themeColor="text1"/>
                <w:sz w:val="18"/>
                <w:szCs w:val="18"/>
              </w:rPr>
              <w:t> </w:t>
            </w:r>
            <w:r>
              <w:rPr>
                <w:rFonts w:eastAsiaTheme="minorHAnsi"/>
                <w:noProof/>
                <w:color w:val="000000" w:themeColor="text1"/>
                <w:sz w:val="18"/>
                <w:szCs w:val="18"/>
              </w:rPr>
              <w:t>Mtoe of final energy consumption)</w:t>
            </w:r>
          </w:p>
        </w:tc>
      </w:tr>
      <w:tr>
        <w:tc>
          <w:tcPr>
            <w:tcW w:w="5000" w:type="pct"/>
            <w:gridSpan w:val="3"/>
            <w:tcBorders>
              <w:top w:val="single" w:sz="8" w:space="0" w:color="E48C32"/>
              <w:bottom w:val="single" w:sz="8" w:space="0" w:color="E48C32"/>
            </w:tcBorders>
            <w:shd w:val="clear" w:color="auto" w:fill="auto"/>
            <w:vAlign w:val="center"/>
          </w:tcPr>
          <w:p>
            <w:pPr>
              <w:pStyle w:val="AMPRTabletext-source"/>
              <w:rPr>
                <w:rFonts w:eastAsia="Calibri"/>
                <w:noProof/>
                <w:u w:val="single"/>
              </w:rPr>
            </w:pPr>
            <w:r>
              <w:rPr>
                <w:rStyle w:val="italics"/>
                <w:noProof/>
              </w:rPr>
              <w:t>Source</w:t>
            </w:r>
            <w:r>
              <w:rPr>
                <w:i/>
                <w:noProof/>
              </w:rPr>
              <w:t>:</w:t>
            </w:r>
            <w:r>
              <w:rPr>
                <w:noProof/>
              </w:rPr>
              <w:t xml:space="preserve"> </w:t>
            </w:r>
            <w:hyperlink r:id="rId57" w:history="1">
              <w:r>
                <w:rPr>
                  <w:rFonts w:eastAsia="Calibri"/>
                  <w:noProof/>
                  <w:u w:val="single"/>
                </w:rPr>
                <w:t>Eurostat</w:t>
              </w:r>
            </w:hyperlink>
            <w:r>
              <w:rPr>
                <w:rFonts w:eastAsia="Calibri"/>
                <w:noProof/>
              </w:rPr>
              <w:t>.</w:t>
            </w:r>
          </w:p>
          <w:p>
            <w:pPr>
              <w:pStyle w:val="AMPRTabletext-source"/>
              <w:rPr>
                <w:rFonts w:eastAsia="Calibri"/>
                <w:noProof/>
              </w:rPr>
            </w:pPr>
            <w:r>
              <w:rPr>
                <w:rFonts w:eastAsia="Calibri"/>
                <w:noProof/>
              </w:rPr>
              <w:t>[Baseline adjusted: before: 1 106.2 Mtoe]</w:t>
            </w:r>
          </w:p>
        </w:tc>
      </w:tr>
    </w:tbl>
    <w:p>
      <w:pPr>
        <w:pStyle w:val="Annex1Tableseparator"/>
        <w:rPr>
          <w:noProof/>
        </w:rPr>
      </w:pPr>
    </w:p>
    <w:tbl>
      <w:tblPr>
        <w:tblW w:w="9645" w:type="dxa"/>
        <w:tblInd w:w="108" w:type="dxa"/>
        <w:tblLook w:val="00A0" w:firstRow="1" w:lastRow="0" w:firstColumn="1" w:lastColumn="0" w:noHBand="0" w:noVBand="0"/>
      </w:tblPr>
      <w:tblGrid>
        <w:gridCol w:w="2412"/>
        <w:gridCol w:w="2413"/>
        <w:gridCol w:w="2411"/>
        <w:gridCol w:w="2409"/>
      </w:tblGrid>
      <w:tr>
        <w:tc>
          <w:tcPr>
            <w:tcW w:w="5000" w:type="pct"/>
            <w:gridSpan w:val="4"/>
            <w:shd w:val="clear" w:color="auto" w:fill="E48C32"/>
            <w:vAlign w:val="center"/>
          </w:tcPr>
          <w:p>
            <w:pPr>
              <w:pStyle w:val="AMPRTabletext"/>
              <w:keepNext/>
              <w:spacing w:before="120" w:after="120"/>
              <w:rPr>
                <w:rFonts w:eastAsia="Calibri"/>
                <w:b/>
                <w:noProof/>
                <w:color w:val="FFFFFF"/>
                <w:sz w:val="20"/>
                <w:szCs w:val="20"/>
              </w:rPr>
            </w:pPr>
            <w:r>
              <w:rPr>
                <w:rFonts w:eastAsia="Calibri"/>
                <w:b/>
                <w:noProof/>
                <w:color w:val="FFFFFF"/>
                <w:sz w:val="20"/>
                <w:szCs w:val="20"/>
              </w:rPr>
              <w:t>15. Number of Member States at or above the electricity interconnection target of at least 10%</w:t>
            </w:r>
          </w:p>
        </w:tc>
      </w:tr>
      <w:tr>
        <w:trPr>
          <w:cantSplit/>
        </w:trPr>
        <w:tc>
          <w:tcPr>
            <w:tcW w:w="1250" w:type="pct"/>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(2014)</w:t>
            </w:r>
          </w:p>
        </w:tc>
        <w:tc>
          <w:tcPr>
            <w:tcW w:w="1251" w:type="pct"/>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Interim milestone (2018)</w:t>
            </w:r>
          </w:p>
        </w:tc>
        <w:tc>
          <w:tcPr>
            <w:tcW w:w="1250" w:type="pct"/>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1249" w:type="pct"/>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(2020)</w:t>
            </w:r>
          </w:p>
        </w:tc>
      </w:tr>
      <w:tr>
        <w:trPr>
          <w:cantSplit/>
        </w:trPr>
        <w:tc>
          <w:tcPr>
            <w:tcW w:w="1250" w:type="pct"/>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noProof/>
                <w:color w:val="000000" w:themeColor="text1"/>
                <w:sz w:val="18"/>
                <w:szCs w:val="18"/>
              </w:rPr>
              <w:t>16 Member States at or above 10% electricity interconnection target</w:t>
            </w:r>
          </w:p>
        </w:tc>
        <w:tc>
          <w:tcPr>
            <w:tcW w:w="1251" w:type="pct"/>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noProof/>
                <w:color w:val="000000" w:themeColor="text1"/>
                <w:sz w:val="18"/>
                <w:szCs w:val="18"/>
              </w:rPr>
            </w:pPr>
            <w:r>
              <w:rPr>
                <w:noProof/>
                <w:color w:val="000000" w:themeColor="text1"/>
                <w:sz w:val="18"/>
                <w:szCs w:val="18"/>
              </w:rPr>
              <w:t>19 Member States at or above 10% electricity interconnection target</w:t>
            </w:r>
          </w:p>
        </w:tc>
        <w:tc>
          <w:tcPr>
            <w:tcW w:w="1250" w:type="pct"/>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 xml:space="preserve">17 Member States at or above 10% </w:t>
            </w:r>
            <w:r>
              <w:rPr>
                <w:noProof/>
                <w:color w:val="000000" w:themeColor="text1"/>
                <w:sz w:val="18"/>
                <w:szCs w:val="18"/>
              </w:rPr>
              <w:t>electricity interconnection target</w:t>
            </w:r>
          </w:p>
        </w:tc>
        <w:tc>
          <w:tcPr>
            <w:tcW w:w="1249" w:type="pct"/>
            <w:tcBorders>
              <w:left w:val="single" w:sz="8" w:space="0" w:color="E48C32"/>
              <w:bottom w:val="single" w:sz="8" w:space="0" w:color="E48C32"/>
            </w:tcBorders>
            <w:shd w:val="clear" w:color="auto" w:fill="auto"/>
            <w:vAlign w:val="center"/>
          </w:tcPr>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24 Member States at or above 10% electricity interconnection target</w:t>
            </w:r>
          </w:p>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(Spain and Cyprus to follow later)</w:t>
            </w:r>
          </w:p>
        </w:tc>
      </w:tr>
      <w:tr>
        <w:tc>
          <w:tcPr>
            <w:tcW w:w="5000" w:type="pct"/>
            <w:gridSpan w:val="4"/>
            <w:tcBorders>
              <w:top w:val="single" w:sz="8" w:space="0" w:color="E48C32"/>
              <w:bottom w:val="single" w:sz="8" w:space="0" w:color="E48C32"/>
            </w:tcBorders>
            <w:shd w:val="clear" w:color="auto" w:fill="auto"/>
            <w:vAlign w:val="center"/>
          </w:tcPr>
          <w:p>
            <w:pPr>
              <w:pStyle w:val="AMPRTabletext-source"/>
              <w:rPr>
                <w:rFonts w:eastAsia="Calibri"/>
                <w:noProof/>
              </w:rPr>
            </w:pPr>
            <w:r>
              <w:rPr>
                <w:rStyle w:val="italics"/>
                <w:noProof/>
              </w:rPr>
              <w:t>Source</w:t>
            </w:r>
            <w:r>
              <w:rPr>
                <w:i/>
                <w:noProof/>
              </w:rPr>
              <w:t>:</w:t>
            </w:r>
            <w:r>
              <w:rPr>
                <w:noProof/>
              </w:rPr>
              <w:t xml:space="preserve"> ENTSO-e.</w:t>
            </w:r>
          </w:p>
        </w:tc>
      </w:tr>
    </w:tbl>
    <w:p>
      <w:pPr>
        <w:pStyle w:val="Title2Annexes"/>
        <w:rPr>
          <w:noProof/>
        </w:rPr>
      </w:pPr>
      <w:bookmarkStart w:id="23" w:name="_Toc511118095"/>
      <w:bookmarkStart w:id="24" w:name="_Toc6304459"/>
      <w:bookmarkStart w:id="25" w:name="_Toc8386182"/>
      <w:bookmarkStart w:id="26" w:name="_Toc11679092"/>
      <w:r>
        <w:rPr>
          <w:noProof/>
        </w:rPr>
        <w:t>General objective: A deeper and fairer internal market with a strengthened industrial base</w:t>
      </w:r>
      <w:bookmarkEnd w:id="23"/>
      <w:bookmarkEnd w:id="24"/>
      <w:bookmarkEnd w:id="25"/>
      <w:bookmarkEnd w:id="26"/>
    </w:p>
    <w:tbl>
      <w:tblPr>
        <w:tblW w:w="9639" w:type="dxa"/>
        <w:tblInd w:w="122" w:type="dxa"/>
        <w:tblLook w:val="00A0" w:firstRow="1" w:lastRow="0" w:firstColumn="1" w:lastColumn="0" w:noHBand="0" w:noVBand="0"/>
      </w:tblPr>
      <w:tblGrid>
        <w:gridCol w:w="3213"/>
        <w:gridCol w:w="3214"/>
        <w:gridCol w:w="3212"/>
      </w:tblGrid>
      <w:tr>
        <w:tc>
          <w:tcPr>
            <w:tcW w:w="9639" w:type="dxa"/>
            <w:gridSpan w:val="3"/>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16. Gross value added of EU industry in (% of gross domestic product)</w:t>
            </w:r>
          </w:p>
        </w:tc>
      </w:tr>
      <w:tr>
        <w:trPr>
          <w:cantSplit/>
        </w:trPr>
        <w:tc>
          <w:tcPr>
            <w:tcW w:w="3213"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w:t>
            </w:r>
            <w:r>
              <w:rPr>
                <w:rStyle w:val="AMPRTextChar"/>
                <w:rFonts w:eastAsia="Calibri"/>
                <w:b/>
                <w:noProof/>
                <w:color w:val="E48C32"/>
                <w:sz w:val="18"/>
                <w:szCs w:val="18"/>
                <w:u w:val="single"/>
              </w:rPr>
              <w:t xml:space="preserve"> (2014)</w:t>
            </w:r>
          </w:p>
        </w:tc>
        <w:tc>
          <w:tcPr>
            <w:tcW w:w="3214"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3212"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Target </w:t>
            </w:r>
            <w:r>
              <w:rPr>
                <w:rStyle w:val="AMPRTextChar"/>
                <w:rFonts w:eastAsia="Calibri"/>
                <w:b/>
                <w:noProof/>
                <w:color w:val="E48C32"/>
                <w:sz w:val="18"/>
                <w:szCs w:val="18"/>
                <w:u w:val="single"/>
              </w:rPr>
              <w:t>(2020)</w:t>
            </w:r>
          </w:p>
        </w:tc>
      </w:tr>
      <w:tr>
        <w:trPr>
          <w:cantSplit/>
        </w:trPr>
        <w:tc>
          <w:tcPr>
            <w:tcW w:w="3213"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17.1</w:t>
            </w:r>
          </w:p>
        </w:tc>
        <w:tc>
          <w:tcPr>
            <w:tcW w:w="3214"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17.6</w:t>
            </w:r>
          </w:p>
        </w:tc>
        <w:tc>
          <w:tcPr>
            <w:tcW w:w="3212"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20</w:t>
            </w:r>
          </w:p>
        </w:tc>
      </w:tr>
      <w:tr>
        <w:trPr>
          <w:cantSplit/>
        </w:trPr>
        <w:tc>
          <w:tcPr>
            <w:tcW w:w="9639" w:type="dxa"/>
            <w:gridSpan w:val="3"/>
            <w:tcBorders>
              <w:top w:val="single" w:sz="8" w:space="0" w:color="E48C32"/>
              <w:bottom w:val="single" w:sz="8" w:space="0" w:color="E48C32"/>
            </w:tcBorders>
            <w:shd w:val="clear" w:color="auto" w:fill="auto"/>
            <w:vAlign w:val="center"/>
          </w:tcPr>
          <w:p>
            <w:pPr>
              <w:pStyle w:val="AMPRTabletext"/>
              <w:rPr>
                <w:rFonts w:eastAsia="Calibri"/>
                <w:noProof/>
                <w:color w:val="000000" w:themeColor="text1"/>
                <w:sz w:val="18"/>
                <w:szCs w:val="18"/>
              </w:rPr>
            </w:pPr>
            <w:r>
              <w:rPr>
                <w:i/>
                <w:noProof/>
                <w:color w:val="000000" w:themeColor="text1"/>
                <w:sz w:val="18"/>
                <w:szCs w:val="18"/>
              </w:rPr>
              <w:t>Source:</w:t>
            </w:r>
            <w:r>
              <w:rPr>
                <w:noProof/>
                <w:color w:val="000000" w:themeColor="text1"/>
                <w:sz w:val="18"/>
                <w:szCs w:val="18"/>
              </w:rPr>
              <w:t xml:space="preserve"> </w:t>
            </w:r>
            <w:hyperlink r:id="rId58" w:history="1">
              <w:r>
                <w:rPr>
                  <w:rStyle w:val="Hyperlink"/>
                  <w:rFonts w:eastAsia="Calibri"/>
                  <w:noProof/>
                  <w:color w:val="000000" w:themeColor="text1"/>
                  <w:sz w:val="18"/>
                  <w:szCs w:val="18"/>
                  <w:u w:val="single"/>
                </w:rPr>
                <w:t>Eurostat</w:t>
              </w:r>
            </w:hyperlink>
            <w:r>
              <w:rPr>
                <w:rStyle w:val="Hyperlink"/>
                <w:rFonts w:eastAsia="Calibri"/>
                <w:noProof/>
                <w:color w:val="000000" w:themeColor="text1"/>
                <w:sz w:val="18"/>
                <w:szCs w:val="18"/>
                <w:u w:val="single"/>
              </w:rPr>
              <w:t>.</w:t>
            </w:r>
          </w:p>
        </w:tc>
      </w:tr>
    </w:tbl>
    <w:p>
      <w:pPr>
        <w:pStyle w:val="Annex1Tableseparator"/>
        <w:rPr>
          <w:noProof/>
        </w:rPr>
      </w:pPr>
    </w:p>
    <w:tbl>
      <w:tblPr>
        <w:tblW w:w="9639" w:type="dxa"/>
        <w:tblInd w:w="122" w:type="dxa"/>
        <w:tblLook w:val="00A0" w:firstRow="1" w:lastRow="0" w:firstColumn="1" w:lastColumn="0" w:noHBand="0" w:noVBand="0"/>
      </w:tblPr>
      <w:tblGrid>
        <w:gridCol w:w="3213"/>
        <w:gridCol w:w="3214"/>
        <w:gridCol w:w="3212"/>
      </w:tblGrid>
      <w:tr>
        <w:tc>
          <w:tcPr>
            <w:tcW w:w="9639" w:type="dxa"/>
            <w:gridSpan w:val="3"/>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17. Intra-EU trade in goods (% of gross domestic product)</w:t>
            </w:r>
          </w:p>
        </w:tc>
      </w:tr>
      <w:tr>
        <w:trPr>
          <w:cantSplit/>
        </w:trPr>
        <w:tc>
          <w:tcPr>
            <w:tcW w:w="3213"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w:t>
            </w:r>
            <w:r>
              <w:rPr>
                <w:rStyle w:val="AMPRTextChar"/>
                <w:rFonts w:eastAsia="Calibri"/>
                <w:b/>
                <w:noProof/>
                <w:color w:val="E48C32"/>
                <w:sz w:val="18"/>
                <w:szCs w:val="18"/>
                <w:u w:val="single"/>
              </w:rPr>
              <w:t xml:space="preserve"> (2014)</w:t>
            </w:r>
          </w:p>
        </w:tc>
        <w:tc>
          <w:tcPr>
            <w:tcW w:w="3214"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3212"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Target </w:t>
            </w:r>
            <w:r>
              <w:rPr>
                <w:rStyle w:val="AMPRTextChar"/>
                <w:rFonts w:eastAsia="Calibri"/>
                <w:b/>
                <w:noProof/>
                <w:color w:val="E48C32"/>
                <w:sz w:val="18"/>
                <w:szCs w:val="18"/>
                <w:u w:val="single"/>
              </w:rPr>
              <w:t>(2020)</w:t>
            </w:r>
          </w:p>
        </w:tc>
      </w:tr>
      <w:tr>
        <w:trPr>
          <w:cantSplit/>
        </w:trPr>
        <w:tc>
          <w:tcPr>
            <w:tcW w:w="3213"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20.3</w:t>
            </w:r>
          </w:p>
        </w:tc>
        <w:tc>
          <w:tcPr>
            <w:tcW w:w="3214"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21.4</w:t>
            </w:r>
          </w:p>
        </w:tc>
        <w:tc>
          <w:tcPr>
            <w:tcW w:w="3212"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Increase</w:t>
            </w:r>
          </w:p>
        </w:tc>
      </w:tr>
      <w:tr>
        <w:tc>
          <w:tcPr>
            <w:tcW w:w="9639" w:type="dxa"/>
            <w:gridSpan w:val="3"/>
            <w:tcBorders>
              <w:top w:val="single" w:sz="8" w:space="0" w:color="E48C32"/>
              <w:bottom w:val="single" w:sz="8" w:space="0" w:color="E48C32"/>
            </w:tcBorders>
            <w:shd w:val="clear" w:color="auto" w:fill="auto"/>
            <w:vAlign w:val="center"/>
          </w:tcPr>
          <w:p>
            <w:pPr>
              <w:pStyle w:val="AMPRTabletext-source"/>
              <w:rPr>
                <w:rStyle w:val="Hyperlink"/>
                <w:rFonts w:eastAsia="Calibri"/>
                <w:noProof/>
                <w:color w:val="000000" w:themeColor="text1"/>
                <w:u w:val="single"/>
              </w:rPr>
            </w:pPr>
            <w:r>
              <w:rPr>
                <w:rStyle w:val="italics"/>
                <w:noProof/>
              </w:rPr>
              <w:t>Source</w:t>
            </w:r>
            <w:r>
              <w:rPr>
                <w:noProof/>
              </w:rPr>
              <w:t xml:space="preserve">: </w:t>
            </w:r>
            <w:hyperlink r:id="rId59" w:history="1">
              <w:r>
                <w:rPr>
                  <w:rStyle w:val="Hyperlink"/>
                  <w:rFonts w:eastAsia="Calibri"/>
                  <w:noProof/>
                  <w:color w:val="000000" w:themeColor="text1"/>
                  <w:u w:val="single"/>
                </w:rPr>
                <w:t>Eurostat.</w:t>
              </w:r>
            </w:hyperlink>
          </w:p>
          <w:p>
            <w:pPr>
              <w:pStyle w:val="AMPRTabletext-source"/>
              <w:rPr>
                <w:noProof/>
              </w:rPr>
            </w:pPr>
            <w:r>
              <w:rPr>
                <w:rFonts w:eastAsia="Calibri"/>
                <w:noProof/>
              </w:rPr>
              <w:t>[Baseline adjusted: before: 20.4%]</w:t>
            </w:r>
          </w:p>
        </w:tc>
      </w:tr>
    </w:tbl>
    <w:p>
      <w:pPr>
        <w:pStyle w:val="Annex1Tableseparator"/>
        <w:rPr>
          <w:noProof/>
        </w:rPr>
      </w:pPr>
    </w:p>
    <w:tbl>
      <w:tblPr>
        <w:tblW w:w="9639" w:type="dxa"/>
        <w:tblInd w:w="122" w:type="dxa"/>
        <w:tblLook w:val="00A0" w:firstRow="1" w:lastRow="0" w:firstColumn="1" w:lastColumn="0" w:noHBand="0" w:noVBand="0"/>
      </w:tblPr>
      <w:tblGrid>
        <w:gridCol w:w="3213"/>
        <w:gridCol w:w="3214"/>
        <w:gridCol w:w="3212"/>
      </w:tblGrid>
      <w:tr>
        <w:tc>
          <w:tcPr>
            <w:tcW w:w="9639" w:type="dxa"/>
            <w:gridSpan w:val="3"/>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18. Intra-EU trade in services (% of gross domestic product)</w:t>
            </w:r>
          </w:p>
        </w:tc>
      </w:tr>
      <w:tr>
        <w:trPr>
          <w:cantSplit/>
        </w:trPr>
        <w:tc>
          <w:tcPr>
            <w:tcW w:w="3213"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w:t>
            </w:r>
            <w:r>
              <w:rPr>
                <w:rStyle w:val="AMPRTextChar"/>
                <w:rFonts w:eastAsia="Calibri"/>
                <w:b/>
                <w:noProof/>
                <w:color w:val="E48C32"/>
                <w:sz w:val="18"/>
                <w:szCs w:val="18"/>
                <w:u w:val="single"/>
              </w:rPr>
              <w:t xml:space="preserve"> (2014)</w:t>
            </w:r>
          </w:p>
        </w:tc>
        <w:tc>
          <w:tcPr>
            <w:tcW w:w="3214"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3212"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Target </w:t>
            </w:r>
            <w:r>
              <w:rPr>
                <w:rStyle w:val="AMPRTextChar"/>
                <w:rFonts w:eastAsia="Calibri"/>
                <w:b/>
                <w:noProof/>
                <w:color w:val="E48C32"/>
                <w:sz w:val="18"/>
                <w:szCs w:val="18"/>
                <w:u w:val="single"/>
              </w:rPr>
              <w:t>(2020)</w:t>
            </w:r>
          </w:p>
        </w:tc>
      </w:tr>
      <w:tr>
        <w:trPr>
          <w:cantSplit/>
        </w:trPr>
        <w:tc>
          <w:tcPr>
            <w:tcW w:w="3213"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6.3</w:t>
            </w:r>
          </w:p>
        </w:tc>
        <w:tc>
          <w:tcPr>
            <w:tcW w:w="3214"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7.1</w:t>
            </w:r>
          </w:p>
        </w:tc>
        <w:tc>
          <w:tcPr>
            <w:tcW w:w="3212"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Increase</w:t>
            </w:r>
          </w:p>
        </w:tc>
      </w:tr>
      <w:tr>
        <w:trPr>
          <w:cantSplit/>
        </w:trPr>
        <w:tc>
          <w:tcPr>
            <w:tcW w:w="9639" w:type="dxa"/>
            <w:gridSpan w:val="3"/>
            <w:tcBorders>
              <w:top w:val="single" w:sz="8" w:space="0" w:color="E48C32"/>
              <w:bottom w:val="single" w:sz="8" w:space="0" w:color="E48C32"/>
            </w:tcBorders>
            <w:shd w:val="clear" w:color="auto" w:fill="auto"/>
            <w:vAlign w:val="center"/>
          </w:tcPr>
          <w:p>
            <w:pPr>
              <w:pStyle w:val="AMPRTabletext-source"/>
              <w:rPr>
                <w:noProof/>
              </w:rPr>
            </w:pPr>
            <w:r>
              <w:rPr>
                <w:rStyle w:val="italics"/>
                <w:noProof/>
              </w:rPr>
              <w:t>Source</w:t>
            </w:r>
            <w:r>
              <w:rPr>
                <w:noProof/>
              </w:rPr>
              <w:t xml:space="preserve">: </w:t>
            </w:r>
            <w:hyperlink r:id="rId60" w:history="1">
              <w:r>
                <w:rPr>
                  <w:rStyle w:val="Hyperlink"/>
                  <w:rFonts w:eastAsia="Calibri"/>
                  <w:noProof/>
                  <w:color w:val="000000" w:themeColor="text1"/>
                  <w:u w:val="single"/>
                </w:rPr>
                <w:t>Eurostat.</w:t>
              </w:r>
            </w:hyperlink>
          </w:p>
        </w:tc>
      </w:tr>
    </w:tbl>
    <w:p>
      <w:pPr>
        <w:pStyle w:val="Annex1Tableseparator"/>
        <w:rPr>
          <w:noProof/>
        </w:rPr>
      </w:pPr>
    </w:p>
    <w:tbl>
      <w:tblPr>
        <w:tblW w:w="9639" w:type="dxa"/>
        <w:tblInd w:w="122" w:type="dxa"/>
        <w:tblLook w:val="00A0" w:firstRow="1" w:lastRow="0" w:firstColumn="1" w:lastColumn="0" w:noHBand="0" w:noVBand="0"/>
      </w:tblPr>
      <w:tblGrid>
        <w:gridCol w:w="3213"/>
        <w:gridCol w:w="3214"/>
        <w:gridCol w:w="3212"/>
      </w:tblGrid>
      <w:tr>
        <w:tc>
          <w:tcPr>
            <w:tcW w:w="9639" w:type="dxa"/>
            <w:gridSpan w:val="3"/>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19. Share of mobile EU citizens as % of the labour force</w:t>
            </w:r>
          </w:p>
        </w:tc>
      </w:tr>
      <w:tr>
        <w:trPr>
          <w:cantSplit/>
        </w:trPr>
        <w:tc>
          <w:tcPr>
            <w:tcW w:w="3213"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w:t>
            </w:r>
            <w:r>
              <w:rPr>
                <w:rStyle w:val="AMPRTextChar"/>
                <w:rFonts w:eastAsia="Calibri"/>
                <w:b/>
                <w:noProof/>
                <w:color w:val="E48C32"/>
                <w:sz w:val="18"/>
                <w:szCs w:val="18"/>
                <w:u w:val="single"/>
              </w:rPr>
              <w:t xml:space="preserve"> (2014)</w:t>
            </w:r>
          </w:p>
        </w:tc>
        <w:tc>
          <w:tcPr>
            <w:tcW w:w="3214"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3212"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Target </w:t>
            </w:r>
            <w:r>
              <w:rPr>
                <w:rStyle w:val="AMPRTextChar"/>
                <w:rFonts w:eastAsia="Calibri"/>
                <w:b/>
                <w:noProof/>
                <w:color w:val="E48C32"/>
                <w:sz w:val="18"/>
                <w:szCs w:val="18"/>
                <w:u w:val="single"/>
              </w:rPr>
              <w:t>(2020)</w:t>
            </w:r>
          </w:p>
        </w:tc>
      </w:tr>
      <w:tr>
        <w:trPr>
          <w:cantSplit/>
        </w:trPr>
        <w:tc>
          <w:tcPr>
            <w:tcW w:w="3213"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3.4</w:t>
            </w:r>
          </w:p>
        </w:tc>
        <w:tc>
          <w:tcPr>
            <w:tcW w:w="3214"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4.0</w:t>
            </w:r>
          </w:p>
        </w:tc>
        <w:tc>
          <w:tcPr>
            <w:tcW w:w="3212"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Increase</w:t>
            </w:r>
          </w:p>
        </w:tc>
      </w:tr>
      <w:tr>
        <w:trPr>
          <w:cantSplit/>
        </w:trPr>
        <w:tc>
          <w:tcPr>
            <w:tcW w:w="9639" w:type="dxa"/>
            <w:gridSpan w:val="3"/>
            <w:tcBorders>
              <w:top w:val="single" w:sz="8" w:space="0" w:color="E48C32"/>
              <w:bottom w:val="single" w:sz="8" w:space="0" w:color="E48C32"/>
            </w:tcBorders>
            <w:shd w:val="clear" w:color="auto" w:fill="auto"/>
            <w:vAlign w:val="center"/>
          </w:tcPr>
          <w:p>
            <w:pPr>
              <w:pStyle w:val="AMPRTabletext-source"/>
              <w:rPr>
                <w:rFonts w:eastAsia="Calibri"/>
                <w:noProof/>
              </w:rPr>
            </w:pPr>
            <w:r>
              <w:rPr>
                <w:rStyle w:val="italics"/>
                <w:noProof/>
              </w:rPr>
              <w:t>Source</w:t>
            </w:r>
            <w:r>
              <w:rPr>
                <w:noProof/>
              </w:rPr>
              <w:t xml:space="preserve">: </w:t>
            </w:r>
            <w:hyperlink r:id="rId61" w:history="1">
              <w:r>
                <w:rPr>
                  <w:rStyle w:val="hyperlinkunderlined"/>
                  <w:rFonts w:eastAsia="Calibri"/>
                  <w:noProof/>
                </w:rPr>
                <w:t>Eurostat</w:t>
              </w:r>
            </w:hyperlink>
            <w:r>
              <w:rPr>
                <w:rFonts w:eastAsia="Calibri"/>
                <w:noProof/>
              </w:rPr>
              <w:t xml:space="preserve"> </w:t>
            </w:r>
            <w:r>
              <w:rPr>
                <w:noProof/>
              </w:rPr>
              <w:t>(age group 15-64).</w:t>
            </w:r>
          </w:p>
        </w:tc>
      </w:tr>
    </w:tbl>
    <w:p>
      <w:pPr>
        <w:pStyle w:val="Annex1Tableseparator"/>
        <w:rPr>
          <w:noProof/>
        </w:rPr>
      </w:pPr>
    </w:p>
    <w:tbl>
      <w:tblPr>
        <w:tblW w:w="9639" w:type="dxa"/>
        <w:tblInd w:w="122" w:type="dxa"/>
        <w:tblLook w:val="00A0" w:firstRow="1" w:lastRow="0" w:firstColumn="1" w:lastColumn="0" w:noHBand="0" w:noVBand="0"/>
      </w:tblPr>
      <w:tblGrid>
        <w:gridCol w:w="3213"/>
        <w:gridCol w:w="3214"/>
        <w:gridCol w:w="3212"/>
      </w:tblGrid>
      <w:tr>
        <w:tc>
          <w:tcPr>
            <w:tcW w:w="9639" w:type="dxa"/>
            <w:gridSpan w:val="3"/>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20. Composite indicator of financial integration in Europe (Fintec)</w:t>
            </w:r>
            <w:r>
              <w:rPr>
                <w:rStyle w:val="fnRef"/>
                <w:rFonts w:ascii="Arial" w:eastAsia="Calibri" w:hAnsi="Arial" w:cs="Arial"/>
                <w:noProof/>
                <w:color w:val="FFFFFF"/>
                <w:sz w:val="20"/>
              </w:rPr>
              <w:t> </w:t>
            </w:r>
            <w:r>
              <w:rPr>
                <w:rStyle w:val="fnRef"/>
                <w:rFonts w:eastAsia="Calibri"/>
                <w:b/>
                <w:noProof/>
                <w:color w:val="FFFFFF"/>
                <w:sz w:val="20"/>
              </w:rPr>
              <w:t>(</w:t>
            </w:r>
            <w:r>
              <w:rPr>
                <w:rStyle w:val="fnRefNo"/>
                <w:rFonts w:eastAsia="Calibri"/>
                <w:b/>
                <w:noProof/>
                <w:color w:val="FFFFFF"/>
                <w:sz w:val="20"/>
              </w:rPr>
              <w:footnoteReference w:id="8"/>
            </w:r>
            <w:r>
              <w:rPr>
                <w:rStyle w:val="fnRef"/>
                <w:rFonts w:eastAsia="Calibri"/>
                <w:b/>
                <w:noProof/>
                <w:color w:val="FFFFFF"/>
                <w:sz w:val="20"/>
              </w:rPr>
              <w:t>)</w:t>
            </w:r>
          </w:p>
        </w:tc>
      </w:tr>
      <w:tr>
        <w:tc>
          <w:tcPr>
            <w:tcW w:w="3213"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w:t>
            </w:r>
            <w:r>
              <w:rPr>
                <w:rStyle w:val="AMPRTextChar"/>
                <w:rFonts w:eastAsia="Calibri"/>
                <w:b/>
                <w:noProof/>
                <w:color w:val="E48C32"/>
                <w:sz w:val="18"/>
                <w:szCs w:val="18"/>
                <w:u w:val="single"/>
              </w:rPr>
              <w:t xml:space="preserve"> (2014)</w:t>
            </w:r>
          </w:p>
        </w:tc>
        <w:tc>
          <w:tcPr>
            <w:tcW w:w="3214"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(2018)</w:t>
            </w:r>
          </w:p>
        </w:tc>
        <w:tc>
          <w:tcPr>
            <w:tcW w:w="3212"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Target </w:t>
            </w:r>
            <w:r>
              <w:rPr>
                <w:rStyle w:val="AMPRTextChar"/>
                <w:rFonts w:eastAsia="Calibri"/>
                <w:b/>
                <w:noProof/>
                <w:color w:val="E48C32"/>
                <w:sz w:val="18"/>
                <w:szCs w:val="18"/>
                <w:u w:val="single"/>
              </w:rPr>
              <w:t>(2020)</w:t>
            </w:r>
          </w:p>
        </w:tc>
      </w:tr>
      <w:tr>
        <w:trPr>
          <w:cantSplit/>
        </w:trPr>
        <w:tc>
          <w:tcPr>
            <w:tcW w:w="3213" w:type="dxa"/>
            <w:tcBorders>
              <w:bottom w:val="single" w:sz="8" w:space="0" w:color="E48C32"/>
              <w:right w:val="single" w:sz="8" w:space="0" w:color="E48C32"/>
            </w:tcBorders>
            <w:shd w:val="clear" w:color="auto" w:fill="auto"/>
            <w:vAlign w:val="center"/>
          </w:tcPr>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0.5/0.3</w:t>
            </w:r>
          </w:p>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The first entry is the price-based indicator value, the second is the volume-based indicator value.</w:t>
            </w:r>
          </w:p>
        </w:tc>
        <w:tc>
          <w:tcPr>
            <w:tcW w:w="3214"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0.59/0.22</w:t>
            </w:r>
          </w:p>
        </w:tc>
        <w:tc>
          <w:tcPr>
            <w:tcW w:w="3212"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Increase</w:t>
            </w:r>
          </w:p>
        </w:tc>
      </w:tr>
      <w:tr>
        <w:trPr>
          <w:cantSplit/>
        </w:trPr>
        <w:tc>
          <w:tcPr>
            <w:tcW w:w="9639" w:type="dxa"/>
            <w:gridSpan w:val="3"/>
            <w:tcBorders>
              <w:top w:val="single" w:sz="8" w:space="0" w:color="E48C32"/>
              <w:bottom w:val="single" w:sz="8" w:space="0" w:color="E48C32"/>
            </w:tcBorders>
            <w:shd w:val="clear" w:color="auto" w:fill="auto"/>
            <w:vAlign w:val="center"/>
          </w:tcPr>
          <w:p>
            <w:pPr>
              <w:pStyle w:val="AMPRTabletext-source"/>
              <w:rPr>
                <w:rFonts w:eastAsia="Calibri"/>
                <w:noProof/>
              </w:rPr>
            </w:pPr>
            <w:r>
              <w:rPr>
                <w:rStyle w:val="italics"/>
                <w:noProof/>
              </w:rPr>
              <w:t>Source</w:t>
            </w:r>
            <w:r>
              <w:rPr>
                <w:i/>
                <w:noProof/>
              </w:rPr>
              <w:t>:</w:t>
            </w:r>
            <w:r>
              <w:rPr>
                <w:rFonts w:eastAsia="Calibri"/>
                <w:noProof/>
              </w:rPr>
              <w:t xml:space="preserve"> </w:t>
            </w:r>
            <w:r>
              <w:rPr>
                <w:noProof/>
              </w:rPr>
              <w:t>European Central Bank.</w:t>
            </w:r>
          </w:p>
        </w:tc>
      </w:tr>
    </w:tbl>
    <w:p>
      <w:pPr>
        <w:pStyle w:val="Annex1Tableseparator"/>
        <w:rPr>
          <w:noProof/>
        </w:rPr>
      </w:pPr>
      <w:bookmarkStart w:id="27" w:name="_Toc511118096"/>
      <w:bookmarkStart w:id="28" w:name="_Toc6304460"/>
      <w:bookmarkStart w:id="29" w:name="_Toc8386183"/>
    </w:p>
    <w:p>
      <w:pPr>
        <w:pStyle w:val="Title2Annexes"/>
        <w:rPr>
          <w:noProof/>
        </w:rPr>
      </w:pPr>
      <w:bookmarkStart w:id="30" w:name="_Toc11679093"/>
      <w:r>
        <w:rPr>
          <w:noProof/>
        </w:rPr>
        <w:t>General objective: A deeper and fairer economic and monetary union</w:t>
      </w:r>
      <w:bookmarkEnd w:id="27"/>
      <w:bookmarkEnd w:id="28"/>
      <w:bookmarkEnd w:id="29"/>
      <w:bookmarkEnd w:id="30"/>
    </w:p>
    <w:tbl>
      <w:tblPr>
        <w:tblW w:w="9639" w:type="dxa"/>
        <w:tblInd w:w="108" w:type="dxa"/>
        <w:tblLook w:val="00A0" w:firstRow="1" w:lastRow="0" w:firstColumn="1" w:lastColumn="0" w:noHBand="0" w:noVBand="0"/>
      </w:tblPr>
      <w:tblGrid>
        <w:gridCol w:w="3213"/>
        <w:gridCol w:w="3213"/>
        <w:gridCol w:w="3213"/>
      </w:tblGrid>
      <w:tr>
        <w:tc>
          <w:tcPr>
            <w:tcW w:w="9639" w:type="dxa"/>
            <w:gridSpan w:val="3"/>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21. Dispersion of gross domestic product per capita</w:t>
            </w:r>
            <w:r>
              <w:rPr>
                <w:rStyle w:val="fnRef"/>
                <w:rFonts w:ascii="Arial" w:eastAsia="Calibri" w:hAnsi="Arial" w:cs="Arial"/>
                <w:noProof/>
                <w:color w:val="FFFFFF"/>
                <w:sz w:val="20"/>
              </w:rPr>
              <w:t> </w:t>
            </w:r>
            <w:r>
              <w:rPr>
                <w:rStyle w:val="fnRef"/>
                <w:rFonts w:eastAsia="Calibri"/>
                <w:b/>
                <w:noProof/>
                <w:color w:val="FFFFFF"/>
                <w:sz w:val="20"/>
              </w:rPr>
              <w:t>(</w:t>
            </w:r>
            <w:r>
              <w:rPr>
                <w:rStyle w:val="fnRefNo"/>
                <w:rFonts w:eastAsia="Calibri"/>
                <w:b/>
                <w:noProof/>
                <w:color w:val="FFFFFF"/>
                <w:sz w:val="20"/>
              </w:rPr>
              <w:footnoteReference w:id="9"/>
            </w:r>
            <w:r>
              <w:rPr>
                <w:rStyle w:val="fnRef"/>
                <w:rFonts w:eastAsia="Calibri"/>
                <w:b/>
                <w:noProof/>
                <w:color w:val="FFFFFF"/>
                <w:sz w:val="20"/>
              </w:rPr>
              <w:t>)</w:t>
            </w:r>
            <w:r>
              <w:rPr>
                <w:rFonts w:eastAsia="Calibri"/>
                <w:b/>
                <w:noProof/>
                <w:color w:val="FFFFFF"/>
                <w:sz w:val="20"/>
                <w:szCs w:val="20"/>
              </w:rPr>
              <w:t xml:space="preserve"> </w:t>
            </w:r>
          </w:p>
        </w:tc>
      </w:tr>
      <w:tr>
        <w:trPr>
          <w:cantSplit/>
        </w:trPr>
        <w:tc>
          <w:tcPr>
            <w:tcW w:w="3213"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w:t>
            </w:r>
            <w:r>
              <w:rPr>
                <w:rStyle w:val="AMPRTextChar"/>
                <w:rFonts w:eastAsia="Calibri"/>
                <w:b/>
                <w:noProof/>
                <w:color w:val="E48C32"/>
                <w:sz w:val="18"/>
                <w:szCs w:val="18"/>
                <w:u w:val="single"/>
              </w:rPr>
              <w:t xml:space="preserve"> (2014)</w:t>
            </w:r>
          </w:p>
        </w:tc>
        <w:tc>
          <w:tcPr>
            <w:tcW w:w="3213"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3213"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Target </w:t>
            </w:r>
            <w:r>
              <w:rPr>
                <w:rStyle w:val="AMPRTextChar"/>
                <w:rFonts w:eastAsia="Calibri"/>
                <w:b/>
                <w:noProof/>
                <w:color w:val="E48C32"/>
                <w:sz w:val="18"/>
                <w:szCs w:val="18"/>
                <w:u w:val="single"/>
              </w:rPr>
              <w:t>(2020)</w:t>
            </w:r>
          </w:p>
        </w:tc>
      </w:tr>
      <w:tr>
        <w:trPr>
          <w:cantSplit/>
        </w:trPr>
        <w:tc>
          <w:tcPr>
            <w:tcW w:w="3213" w:type="dxa"/>
            <w:tcBorders>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 xml:space="preserve">Euro area: </w:t>
            </w:r>
            <w:r>
              <w:rPr>
                <w:rStyle w:val="AMPRTextChar"/>
                <w:rFonts w:eastAsia="Calibri"/>
                <w:noProof/>
                <w:color w:val="000000" w:themeColor="text1"/>
                <w:sz w:val="18"/>
                <w:szCs w:val="18"/>
              </w:rPr>
              <w:t>42.1%</w:t>
            </w:r>
          </w:p>
        </w:tc>
        <w:tc>
          <w:tcPr>
            <w:tcW w:w="3213" w:type="dxa"/>
            <w:tcBorders>
              <w:left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 xml:space="preserve">40.5% </w:t>
            </w:r>
          </w:p>
        </w:tc>
        <w:tc>
          <w:tcPr>
            <w:tcW w:w="3213" w:type="dxa"/>
            <w:tcBorders>
              <w:lef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Reduce</w:t>
            </w:r>
          </w:p>
        </w:tc>
      </w:tr>
      <w:tr>
        <w:trPr>
          <w:cantSplit/>
        </w:trPr>
        <w:tc>
          <w:tcPr>
            <w:tcW w:w="3213" w:type="dxa"/>
            <w:tcBorders>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EU-27:</w:t>
            </w:r>
            <w:r>
              <w:rPr>
                <w:rStyle w:val="AMPRTextChar"/>
                <w:rFonts w:eastAsia="Calibri"/>
                <w:noProof/>
                <w:color w:val="000000" w:themeColor="text1"/>
                <w:sz w:val="18"/>
                <w:szCs w:val="18"/>
              </w:rPr>
              <w:t xml:space="preserve"> 41.8%</w:t>
            </w:r>
          </w:p>
        </w:tc>
        <w:tc>
          <w:tcPr>
            <w:tcW w:w="3213" w:type="dxa"/>
            <w:tcBorders>
              <w:left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 xml:space="preserve">40.0% </w:t>
            </w:r>
          </w:p>
        </w:tc>
        <w:tc>
          <w:tcPr>
            <w:tcW w:w="3213" w:type="dxa"/>
            <w:tcBorders>
              <w:lef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Reduce</w:t>
            </w:r>
          </w:p>
        </w:tc>
      </w:tr>
      <w:tr>
        <w:trPr>
          <w:cantSplit/>
        </w:trPr>
        <w:tc>
          <w:tcPr>
            <w:tcW w:w="3213"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 xml:space="preserve">EU-28: </w:t>
            </w:r>
            <w:r>
              <w:rPr>
                <w:rStyle w:val="AMPRTextChar"/>
                <w:rFonts w:eastAsia="Calibri"/>
                <w:noProof/>
                <w:color w:val="000000" w:themeColor="text1"/>
                <w:sz w:val="18"/>
                <w:szCs w:val="18"/>
              </w:rPr>
              <w:t>42.3%</w:t>
            </w:r>
          </w:p>
        </w:tc>
        <w:tc>
          <w:tcPr>
            <w:tcW w:w="3213"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 xml:space="preserve">40.5% </w:t>
            </w:r>
          </w:p>
        </w:tc>
        <w:tc>
          <w:tcPr>
            <w:tcW w:w="3213"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Reduce</w:t>
            </w:r>
          </w:p>
        </w:tc>
      </w:tr>
      <w:tr>
        <w:tc>
          <w:tcPr>
            <w:tcW w:w="9639" w:type="dxa"/>
            <w:gridSpan w:val="3"/>
            <w:tcBorders>
              <w:top w:val="single" w:sz="8" w:space="0" w:color="E48C32"/>
              <w:bottom w:val="single" w:sz="8" w:space="0" w:color="E48C32"/>
            </w:tcBorders>
            <w:shd w:val="clear" w:color="auto" w:fill="auto"/>
            <w:vAlign w:val="center"/>
          </w:tcPr>
          <w:p>
            <w:pPr>
              <w:pStyle w:val="AMPRTabletext-source"/>
              <w:rPr>
                <w:rStyle w:val="Hyperlink"/>
                <w:rFonts w:eastAsia="Calibri"/>
                <w:noProof/>
                <w:color w:val="000000" w:themeColor="text1"/>
                <w:lang w:val="fr-BE"/>
              </w:rPr>
            </w:pPr>
            <w:r>
              <w:rPr>
                <w:rStyle w:val="italics"/>
                <w:noProof/>
                <w:lang w:val="fr-BE"/>
              </w:rPr>
              <w:t>Source</w:t>
            </w:r>
            <w:r>
              <w:rPr>
                <w:i/>
                <w:noProof/>
                <w:lang w:val="fr-BE"/>
              </w:rPr>
              <w:t>:</w:t>
            </w:r>
            <w:r>
              <w:rPr>
                <w:noProof/>
                <w:lang w:val="fr-BE"/>
              </w:rPr>
              <w:t xml:space="preserve"> </w:t>
            </w:r>
            <w:hyperlink r:id="rId62" w:history="1">
              <w:r>
                <w:rPr>
                  <w:rStyle w:val="hyperlinkunderlined"/>
                  <w:rFonts w:eastAsia="Calibri"/>
                  <w:noProof/>
                </w:rPr>
                <w:t>Eurostat</w:t>
              </w:r>
              <w:r>
                <w:rPr>
                  <w:rStyle w:val="Hyperlink"/>
                  <w:rFonts w:eastAsia="Calibri"/>
                  <w:noProof/>
                  <w:lang w:val="fr-BE"/>
                </w:rPr>
                <w:t>.</w:t>
              </w:r>
            </w:hyperlink>
          </w:p>
          <w:p>
            <w:pPr>
              <w:pStyle w:val="AMPRTabletext-source"/>
              <w:rPr>
                <w:rFonts w:eastAsia="Calibri"/>
                <w:noProof/>
                <w:lang w:val="fr-BE"/>
              </w:rPr>
            </w:pPr>
            <w:r>
              <w:rPr>
                <w:rFonts w:eastAsia="Calibri"/>
                <w:noProof/>
                <w:lang w:val="fr-BE"/>
              </w:rPr>
              <w:t>[EU-28 baseline</w:t>
            </w:r>
            <w:r>
              <w:rPr>
                <w:rFonts w:eastAsia="Calibri"/>
                <w:noProof/>
              </w:rPr>
              <w:t xml:space="preserve"> adjusted: before: 42.5%]</w:t>
            </w:r>
          </w:p>
        </w:tc>
      </w:tr>
      <w:tr>
        <w:tc>
          <w:tcPr>
            <w:tcW w:w="9639" w:type="dxa"/>
            <w:gridSpan w:val="3"/>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22. Composite Indicator of Systemic Stress (CISS)</w:t>
            </w:r>
            <w:r>
              <w:rPr>
                <w:rStyle w:val="fnRef"/>
                <w:rFonts w:ascii="Arial" w:eastAsia="Calibri" w:hAnsi="Arial" w:cs="Arial"/>
                <w:noProof/>
                <w:color w:val="FFFFFF"/>
                <w:sz w:val="20"/>
              </w:rPr>
              <w:t> </w:t>
            </w:r>
            <w:r>
              <w:rPr>
                <w:rStyle w:val="fnRef"/>
                <w:rFonts w:eastAsia="Calibri"/>
                <w:b/>
                <w:noProof/>
                <w:color w:val="FFFFFF"/>
                <w:sz w:val="20"/>
              </w:rPr>
              <w:t>(</w:t>
            </w:r>
            <w:r>
              <w:rPr>
                <w:rStyle w:val="fnRefNo"/>
                <w:rFonts w:eastAsia="Calibri"/>
                <w:b/>
                <w:noProof/>
                <w:color w:val="FFFFFF"/>
                <w:sz w:val="20"/>
              </w:rPr>
              <w:footnoteReference w:id="10"/>
            </w:r>
            <w:r>
              <w:rPr>
                <w:rStyle w:val="fnRef"/>
                <w:rFonts w:eastAsia="Calibri"/>
                <w:b/>
                <w:noProof/>
                <w:color w:val="FFFFFF"/>
                <w:sz w:val="20"/>
              </w:rPr>
              <w:t>)</w:t>
            </w:r>
          </w:p>
        </w:tc>
      </w:tr>
      <w:tr>
        <w:trPr>
          <w:cantSplit/>
        </w:trPr>
        <w:tc>
          <w:tcPr>
            <w:tcW w:w="3213" w:type="dxa"/>
            <w:tcBorders>
              <w:right w:val="single" w:sz="8" w:space="0" w:color="E48C32"/>
            </w:tcBorders>
            <w:shd w:val="clear" w:color="auto" w:fill="auto"/>
            <w:vAlign w:val="center"/>
          </w:tcPr>
          <w:p>
            <w:pPr>
              <w:pStyle w:val="AMPRTabletext"/>
              <w:keepNext/>
              <w:jc w:val="center"/>
              <w:rPr>
                <w:rFonts w:eastAsia="Calibri"/>
                <w:b/>
                <w:noProof/>
                <w:color w:val="E48C32"/>
                <w:spacing w:val="-6"/>
                <w:sz w:val="18"/>
                <w:szCs w:val="18"/>
                <w:u w:val="single"/>
              </w:rPr>
            </w:pPr>
            <w:r>
              <w:rPr>
                <w:rFonts w:eastAsia="Calibri"/>
                <w:b/>
                <w:noProof/>
                <w:color w:val="E48C32"/>
                <w:spacing w:val="-6"/>
                <w:sz w:val="18"/>
                <w:szCs w:val="18"/>
                <w:u w:val="single"/>
              </w:rPr>
              <w:t>Baseline</w:t>
            </w:r>
            <w:r>
              <w:rPr>
                <w:rStyle w:val="AMPRTextChar"/>
                <w:rFonts w:eastAsia="Calibri"/>
                <w:b/>
                <w:noProof/>
                <w:color w:val="E48C32"/>
                <w:spacing w:val="-6"/>
                <w:sz w:val="18"/>
                <w:szCs w:val="18"/>
                <w:u w:val="single"/>
              </w:rPr>
              <w:t xml:space="preserve"> (average range 2010-2014)</w:t>
            </w:r>
          </w:p>
        </w:tc>
        <w:tc>
          <w:tcPr>
            <w:tcW w:w="3213"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(2018)</w:t>
            </w:r>
          </w:p>
        </w:tc>
        <w:tc>
          <w:tcPr>
            <w:tcW w:w="3213"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Target </w:t>
            </w:r>
            <w:r>
              <w:rPr>
                <w:rStyle w:val="AMPRTextChar"/>
                <w:rFonts w:eastAsia="Calibri"/>
                <w:b/>
                <w:noProof/>
                <w:color w:val="E48C32"/>
                <w:sz w:val="18"/>
                <w:szCs w:val="18"/>
                <w:u w:val="single"/>
              </w:rPr>
              <w:t>(2020)</w:t>
            </w:r>
          </w:p>
        </w:tc>
      </w:tr>
      <w:tr>
        <w:trPr>
          <w:cantSplit/>
        </w:trPr>
        <w:tc>
          <w:tcPr>
            <w:tcW w:w="3213" w:type="dxa"/>
            <w:tcBorders>
              <w:bottom w:val="single" w:sz="8" w:space="0" w:color="E48C32"/>
              <w:right w:val="single" w:sz="8" w:space="0" w:color="E48C32"/>
            </w:tcBorders>
            <w:shd w:val="clear" w:color="auto" w:fill="auto"/>
            <w:vAlign w:val="center"/>
          </w:tcPr>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0.25 in normal times</w:t>
            </w:r>
          </w:p>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0.8 in crisis mode</w:t>
            </w:r>
          </w:p>
        </w:tc>
        <w:tc>
          <w:tcPr>
            <w:tcW w:w="3213"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0.0764</w:t>
            </w:r>
          </w:p>
        </w:tc>
        <w:tc>
          <w:tcPr>
            <w:tcW w:w="3213"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Stable trend</w:t>
            </w:r>
          </w:p>
        </w:tc>
      </w:tr>
      <w:tr>
        <w:tc>
          <w:tcPr>
            <w:tcW w:w="9639" w:type="dxa"/>
            <w:gridSpan w:val="3"/>
            <w:tcBorders>
              <w:top w:val="single" w:sz="8" w:space="0" w:color="E48C32"/>
              <w:bottom w:val="single" w:sz="8" w:space="0" w:color="E48C32"/>
            </w:tcBorders>
            <w:shd w:val="clear" w:color="auto" w:fill="auto"/>
            <w:vAlign w:val="center"/>
          </w:tcPr>
          <w:p>
            <w:pPr>
              <w:pStyle w:val="AMPRTabletext-source"/>
              <w:rPr>
                <w:rFonts w:eastAsia="Calibri"/>
                <w:noProof/>
              </w:rPr>
            </w:pPr>
            <w:r>
              <w:rPr>
                <w:rStyle w:val="italics"/>
                <w:noProof/>
              </w:rPr>
              <w:t>Source</w:t>
            </w:r>
            <w:r>
              <w:rPr>
                <w:i/>
                <w:noProof/>
              </w:rPr>
              <w:t>:</w:t>
            </w:r>
            <w:r>
              <w:rPr>
                <w:noProof/>
              </w:rPr>
              <w:t xml:space="preserve"> European Central Bank.</w:t>
            </w:r>
          </w:p>
        </w:tc>
      </w:tr>
    </w:tbl>
    <w:p>
      <w:pPr>
        <w:pStyle w:val="Annex1Tableseparator"/>
        <w:rPr>
          <w:noProof/>
        </w:rPr>
      </w:pPr>
    </w:p>
    <w:tbl>
      <w:tblPr>
        <w:tblW w:w="9639" w:type="dxa"/>
        <w:tblInd w:w="108" w:type="dxa"/>
        <w:tblLook w:val="00A0" w:firstRow="1" w:lastRow="0" w:firstColumn="1" w:lastColumn="0" w:noHBand="0" w:noVBand="0"/>
      </w:tblPr>
      <w:tblGrid>
        <w:gridCol w:w="3213"/>
        <w:gridCol w:w="3213"/>
        <w:gridCol w:w="3213"/>
      </w:tblGrid>
      <w:tr>
        <w:tc>
          <w:tcPr>
            <w:tcW w:w="9639" w:type="dxa"/>
            <w:gridSpan w:val="3"/>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23. Income quintile share ratio</w:t>
            </w:r>
            <w:r>
              <w:rPr>
                <w:rStyle w:val="fnRef"/>
                <w:rFonts w:ascii="Arial" w:eastAsia="Calibri" w:hAnsi="Arial" w:cs="Arial"/>
                <w:noProof/>
                <w:color w:val="FFFFFF"/>
                <w:sz w:val="20"/>
              </w:rPr>
              <w:t> </w:t>
            </w:r>
            <w:r>
              <w:rPr>
                <w:rStyle w:val="fnRef"/>
                <w:rFonts w:eastAsia="Calibri"/>
                <w:b/>
                <w:noProof/>
                <w:color w:val="FFFFFF"/>
                <w:sz w:val="20"/>
              </w:rPr>
              <w:t>(</w:t>
            </w:r>
            <w:r>
              <w:rPr>
                <w:rStyle w:val="fnRefNo"/>
                <w:rFonts w:eastAsia="Calibri"/>
                <w:b/>
                <w:noProof/>
                <w:color w:val="FFFFFF"/>
                <w:sz w:val="20"/>
              </w:rPr>
              <w:footnoteReference w:id="11"/>
            </w:r>
            <w:r>
              <w:rPr>
                <w:rStyle w:val="fnRef"/>
                <w:rFonts w:eastAsia="Calibri"/>
                <w:b/>
                <w:noProof/>
                <w:color w:val="FFFFFF"/>
                <w:sz w:val="20"/>
              </w:rPr>
              <w:t>)</w:t>
            </w:r>
            <w:r>
              <w:rPr>
                <w:rFonts w:eastAsia="Calibri"/>
                <w:b/>
                <w:noProof/>
                <w:color w:val="FFFFFF"/>
                <w:sz w:val="20"/>
                <w:szCs w:val="20"/>
              </w:rPr>
              <w:t xml:space="preserve"> </w:t>
            </w:r>
          </w:p>
        </w:tc>
      </w:tr>
      <w:tr>
        <w:tc>
          <w:tcPr>
            <w:tcW w:w="3213"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w:t>
            </w:r>
            <w:r>
              <w:rPr>
                <w:rStyle w:val="AMPRTextChar"/>
                <w:rFonts w:eastAsia="Calibri"/>
                <w:b/>
                <w:noProof/>
                <w:color w:val="E48C32"/>
                <w:sz w:val="18"/>
                <w:szCs w:val="18"/>
                <w:u w:val="single"/>
              </w:rPr>
              <w:t xml:space="preserve"> (2014)</w:t>
            </w:r>
          </w:p>
        </w:tc>
        <w:tc>
          <w:tcPr>
            <w:tcW w:w="3213"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3213"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Target </w:t>
            </w:r>
            <w:r>
              <w:rPr>
                <w:rStyle w:val="AMPRTextChar"/>
                <w:rFonts w:eastAsia="Calibri"/>
                <w:b/>
                <w:noProof/>
                <w:color w:val="E48C32"/>
                <w:sz w:val="18"/>
                <w:szCs w:val="18"/>
                <w:u w:val="single"/>
              </w:rPr>
              <w:t>(2020)</w:t>
            </w:r>
          </w:p>
        </w:tc>
      </w:tr>
      <w:tr>
        <w:tc>
          <w:tcPr>
            <w:tcW w:w="3213"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5.2</w:t>
            </w:r>
          </w:p>
        </w:tc>
        <w:tc>
          <w:tcPr>
            <w:tcW w:w="3213"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5.1</w:t>
            </w:r>
          </w:p>
        </w:tc>
        <w:tc>
          <w:tcPr>
            <w:tcW w:w="3213"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Reduce</w:t>
            </w:r>
          </w:p>
        </w:tc>
      </w:tr>
      <w:tr>
        <w:tc>
          <w:tcPr>
            <w:tcW w:w="9639" w:type="dxa"/>
            <w:gridSpan w:val="3"/>
            <w:tcBorders>
              <w:top w:val="single" w:sz="8" w:space="0" w:color="E48C32"/>
              <w:bottom w:val="single" w:sz="8" w:space="0" w:color="E48C32"/>
            </w:tcBorders>
            <w:shd w:val="clear" w:color="auto" w:fill="auto"/>
            <w:vAlign w:val="center"/>
          </w:tcPr>
          <w:p>
            <w:pPr>
              <w:pStyle w:val="AMPRTabletext-source"/>
              <w:rPr>
                <w:rFonts w:eastAsia="Calibri"/>
                <w:noProof/>
              </w:rPr>
            </w:pPr>
            <w:r>
              <w:rPr>
                <w:rStyle w:val="italics"/>
                <w:noProof/>
              </w:rPr>
              <w:t>Source</w:t>
            </w:r>
            <w:r>
              <w:rPr>
                <w:noProof/>
              </w:rPr>
              <w:t xml:space="preserve">: </w:t>
            </w:r>
            <w:hyperlink r:id="rId63" w:history="1">
              <w:r>
                <w:rPr>
                  <w:rStyle w:val="hyperlinkunderlined"/>
                  <w:rFonts w:eastAsia="Calibri"/>
                  <w:noProof/>
                </w:rPr>
                <w:t>Eurostat</w:t>
              </w:r>
            </w:hyperlink>
            <w:r>
              <w:rPr>
                <w:rFonts w:eastAsia="Calibri"/>
                <w:noProof/>
              </w:rPr>
              <w:t>.</w:t>
            </w:r>
          </w:p>
        </w:tc>
      </w:tr>
    </w:tbl>
    <w:p>
      <w:pPr>
        <w:pStyle w:val="Annex1Tableseparator"/>
        <w:rPr>
          <w:noProof/>
        </w:rPr>
      </w:pPr>
      <w:bookmarkStart w:id="31" w:name="_Toc511118097"/>
    </w:p>
    <w:p>
      <w:pPr>
        <w:pStyle w:val="Title2Annexes"/>
        <w:rPr>
          <w:noProof/>
          <w:szCs w:val="28"/>
        </w:rPr>
      </w:pPr>
      <w:bookmarkStart w:id="32" w:name="_Toc6304461"/>
      <w:bookmarkStart w:id="33" w:name="_Toc8386184"/>
      <w:bookmarkStart w:id="34" w:name="_Toc11679094"/>
      <w:r>
        <w:rPr>
          <w:noProof/>
        </w:rPr>
        <w:t xml:space="preserve">General objective: A balanced and progressive trade policy to </w:t>
      </w:r>
      <w:r>
        <w:rPr>
          <w:noProof/>
          <w:szCs w:val="28"/>
        </w:rPr>
        <w:t>harness globalisation</w:t>
      </w:r>
      <w:bookmarkEnd w:id="31"/>
      <w:bookmarkEnd w:id="32"/>
      <w:bookmarkEnd w:id="33"/>
      <w:bookmarkEnd w:id="34"/>
    </w:p>
    <w:tbl>
      <w:tblPr>
        <w:tblW w:w="9639" w:type="dxa"/>
        <w:tblInd w:w="108" w:type="dxa"/>
        <w:tblLook w:val="00A0" w:firstRow="1" w:lastRow="0" w:firstColumn="1" w:lastColumn="0" w:noHBand="0" w:noVBand="0"/>
      </w:tblPr>
      <w:tblGrid>
        <w:gridCol w:w="2409"/>
        <w:gridCol w:w="2410"/>
        <w:gridCol w:w="2410"/>
        <w:gridCol w:w="2410"/>
      </w:tblGrid>
      <w:tr>
        <w:trPr>
          <w:cantSplit/>
        </w:trPr>
        <w:tc>
          <w:tcPr>
            <w:tcW w:w="5000" w:type="pct"/>
            <w:gridSpan w:val="4"/>
            <w:shd w:val="clear" w:color="auto" w:fill="E48C32"/>
            <w:vAlign w:val="center"/>
          </w:tcPr>
          <w:p>
            <w:pPr>
              <w:pStyle w:val="AMPRTabletext"/>
              <w:keepNext/>
              <w:spacing w:before="120" w:after="120"/>
              <w:rPr>
                <w:rFonts w:eastAsia="Calibri"/>
                <w:b/>
                <w:noProof/>
                <w:color w:val="FFFFFF"/>
                <w:sz w:val="20"/>
                <w:szCs w:val="20"/>
              </w:rPr>
            </w:pPr>
            <w:r>
              <w:rPr>
                <w:rFonts w:eastAsia="Calibri"/>
                <w:b/>
                <w:noProof/>
                <w:color w:val="FFFFFF"/>
                <w:sz w:val="20"/>
                <w:szCs w:val="20"/>
              </w:rPr>
              <w:t xml:space="preserve">24. Percentage of EU trade in goods and services as well as investment covered by applied EU preferential trade and investment agreements </w:t>
            </w:r>
          </w:p>
        </w:tc>
      </w:tr>
      <w:tr>
        <w:trPr>
          <w:cantSplit/>
        </w:trPr>
        <w:tc>
          <w:tcPr>
            <w:tcW w:w="1250" w:type="pct"/>
            <w:tcBorders>
              <w:right w:val="single" w:sz="8" w:space="0" w:color="E48C32"/>
            </w:tcBorders>
            <w:shd w:val="clear" w:color="auto" w:fill="auto"/>
            <w:vAlign w:val="center"/>
          </w:tcPr>
          <w:p>
            <w:pPr>
              <w:pStyle w:val="AMPRTabletext"/>
              <w:keepNext/>
              <w:jc w:val="center"/>
              <w:rPr>
                <w:b/>
                <w:noProof/>
                <w:color w:val="E48C32"/>
                <w:sz w:val="18"/>
                <w:szCs w:val="18"/>
              </w:rPr>
            </w:pPr>
            <w:r>
              <w:rPr>
                <w:rFonts w:eastAsia="Calibri"/>
                <w:b/>
                <w:noProof/>
                <w:color w:val="E48C32"/>
                <w:sz w:val="18"/>
                <w:szCs w:val="18"/>
                <w:u w:val="single"/>
              </w:rPr>
              <w:t xml:space="preserve">Baseline </w:t>
            </w:r>
            <w:r>
              <w:rPr>
                <w:rFonts w:eastAsia="Calibri"/>
                <w:b/>
                <w:noProof/>
                <w:color w:val="E48C32"/>
                <w:sz w:val="18"/>
                <w:szCs w:val="18"/>
                <w:u w:val="single"/>
              </w:rPr>
              <w:br/>
            </w:r>
            <w:r>
              <w:rPr>
                <w:b/>
                <w:noProof/>
                <w:color w:val="E48C32"/>
                <w:sz w:val="18"/>
                <w:szCs w:val="18"/>
              </w:rPr>
              <w:t>Goods average for 2014-2016,</w:t>
            </w:r>
          </w:p>
          <w:p>
            <w:pPr>
              <w:pStyle w:val="AMPRTabletext"/>
              <w:keepNext/>
              <w:jc w:val="center"/>
              <w:rPr>
                <w:b/>
                <w:noProof/>
                <w:color w:val="E48C32"/>
                <w:sz w:val="18"/>
                <w:szCs w:val="18"/>
                <w:u w:val="single"/>
              </w:rPr>
            </w:pPr>
            <w:r>
              <w:rPr>
                <w:b/>
                <w:noProof/>
                <w:color w:val="E48C32"/>
                <w:sz w:val="18"/>
                <w:szCs w:val="18"/>
              </w:rPr>
              <w:t>services and average of foreign direct investment for 2013-2015</w:t>
            </w:r>
          </w:p>
        </w:tc>
        <w:tc>
          <w:tcPr>
            <w:tcW w:w="1250" w:type="pct"/>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Latest known value </w:t>
            </w:r>
          </w:p>
          <w:p>
            <w:pPr>
              <w:pStyle w:val="AMPRTabletext"/>
              <w:keepNext/>
              <w:jc w:val="center"/>
              <w:rPr>
                <w:rFonts w:eastAsia="Calibri"/>
                <w:b/>
                <w:noProof/>
                <w:color w:val="E48C32"/>
                <w:sz w:val="18"/>
                <w:szCs w:val="18"/>
              </w:rPr>
            </w:pPr>
            <w:r>
              <w:rPr>
                <w:b/>
                <w:noProof/>
                <w:color w:val="E48C32"/>
                <w:sz w:val="18"/>
                <w:szCs w:val="18"/>
              </w:rPr>
              <w:t>Goods average 2016-2018, services and average of foreign direct investment for 2015-2017, FTA status: 2018</w:t>
            </w:r>
          </w:p>
        </w:tc>
        <w:tc>
          <w:tcPr>
            <w:tcW w:w="1250" w:type="pct"/>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Milestone</w:t>
            </w:r>
            <w:r>
              <w:rPr>
                <w:rFonts w:ascii="Calibri" w:eastAsia="Calibri" w:hAnsi="Calibri" w:cs="Calibri"/>
                <w:b/>
                <w:noProof/>
                <w:color w:val="E48C32"/>
                <w:sz w:val="18"/>
                <w:szCs w:val="18"/>
                <w:u w:val="single"/>
              </w:rPr>
              <w:t> (</w:t>
            </w:r>
            <w:r>
              <w:rPr>
                <w:rFonts w:eastAsia="Calibri"/>
                <w:b/>
                <w:noProof/>
                <w:color w:val="E48C32"/>
                <w:sz w:val="18"/>
                <w:szCs w:val="18"/>
                <w:u w:val="single"/>
              </w:rPr>
              <w:t>*) (2018)</w:t>
            </w:r>
          </w:p>
        </w:tc>
        <w:tc>
          <w:tcPr>
            <w:tcW w:w="1250" w:type="pct"/>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w:t>
            </w:r>
            <w:r>
              <w:rPr>
                <w:rFonts w:ascii="Calibri" w:eastAsia="Calibri" w:hAnsi="Calibri" w:cs="Calibri"/>
                <w:b/>
                <w:noProof/>
                <w:color w:val="E48C32"/>
                <w:sz w:val="18"/>
                <w:szCs w:val="18"/>
                <w:u w:val="single"/>
              </w:rPr>
              <w:t> (</w:t>
            </w:r>
            <w:r>
              <w:rPr>
                <w:rFonts w:eastAsia="Calibri"/>
                <w:b/>
                <w:noProof/>
                <w:color w:val="E48C32"/>
                <w:sz w:val="18"/>
                <w:szCs w:val="18"/>
                <w:u w:val="single"/>
              </w:rPr>
              <w:t xml:space="preserve">*) </w:t>
            </w:r>
            <w:r>
              <w:rPr>
                <w:rStyle w:val="AMPRTextChar"/>
                <w:rFonts w:eastAsia="Calibri"/>
                <w:b/>
                <w:noProof/>
                <w:color w:val="E48C32"/>
                <w:sz w:val="18"/>
                <w:szCs w:val="18"/>
                <w:u w:val="single"/>
              </w:rPr>
              <w:t>(2020)</w:t>
            </w:r>
          </w:p>
        </w:tc>
      </w:tr>
      <w:tr>
        <w:trPr>
          <w:cantSplit/>
        </w:trPr>
        <w:tc>
          <w:tcPr>
            <w:tcW w:w="1250" w:type="pct"/>
            <w:tcBorders>
              <w:bottom w:val="single" w:sz="8" w:space="0" w:color="E48C32"/>
              <w:right w:val="single" w:sz="8" w:space="0" w:color="E48C32"/>
            </w:tcBorders>
            <w:shd w:val="clear" w:color="auto" w:fill="auto"/>
            <w:vAlign w:val="center"/>
          </w:tcPr>
          <w:p>
            <w:pPr>
              <w:pStyle w:val="AMPRTabletext"/>
              <w:keepNext/>
              <w:jc w:val="center"/>
              <w:rPr>
                <w:rFonts w:eastAsiaTheme="minorHAnsi" w:cstheme="minorBidi"/>
                <w:noProof/>
                <w:color w:val="E48C32"/>
                <w:sz w:val="18"/>
                <w:szCs w:val="18"/>
              </w:rPr>
            </w:pPr>
            <w:r>
              <w:rPr>
                <w:rFonts w:eastAsiaTheme="minorHAnsi"/>
                <w:noProof/>
                <w:color w:val="E48C32"/>
                <w:sz w:val="18"/>
                <w:szCs w:val="18"/>
              </w:rPr>
              <w:t>Goods:</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Imports 27%</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Exports 32%</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Total 29%</w:t>
            </w:r>
          </w:p>
          <w:p>
            <w:pPr>
              <w:pStyle w:val="AMPRTabletext"/>
              <w:keepNext/>
              <w:jc w:val="center"/>
              <w:rPr>
                <w:rFonts w:eastAsiaTheme="minorHAnsi" w:cs="Calibri"/>
                <w:noProof/>
                <w:color w:val="000000" w:themeColor="text1"/>
                <w:sz w:val="18"/>
                <w:szCs w:val="18"/>
              </w:rPr>
            </w:pPr>
          </w:p>
          <w:p>
            <w:pPr>
              <w:pStyle w:val="AMPRTabletext"/>
              <w:keepNext/>
              <w:jc w:val="center"/>
              <w:rPr>
                <w:rFonts w:eastAsia="Calibri" w:cs="Calibri"/>
                <w:noProof/>
                <w:color w:val="E48C32"/>
                <w:sz w:val="18"/>
                <w:szCs w:val="18"/>
              </w:rPr>
            </w:pPr>
            <w:r>
              <w:rPr>
                <w:rFonts w:eastAsia="Calibri" w:cs="Calibri"/>
                <w:noProof/>
                <w:color w:val="E48C32"/>
                <w:sz w:val="18"/>
                <w:szCs w:val="18"/>
              </w:rPr>
              <w:t>Services:</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Imports 10%</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Exports 9%</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Total 9%</w:t>
            </w:r>
          </w:p>
          <w:p>
            <w:pPr>
              <w:pStyle w:val="AMPRTabletext"/>
              <w:keepNext/>
              <w:jc w:val="center"/>
              <w:rPr>
                <w:rFonts w:eastAsia="Calibri" w:cs="Calibri"/>
                <w:noProof/>
                <w:color w:val="000000" w:themeColor="text1"/>
                <w:sz w:val="18"/>
                <w:szCs w:val="18"/>
              </w:rPr>
            </w:pPr>
          </w:p>
          <w:p>
            <w:pPr>
              <w:pStyle w:val="AMPRTabletext"/>
              <w:keepNext/>
              <w:jc w:val="center"/>
              <w:rPr>
                <w:rFonts w:eastAsia="Calibri" w:cs="Calibri"/>
                <w:noProof/>
                <w:color w:val="E48C32"/>
                <w:sz w:val="18"/>
                <w:szCs w:val="18"/>
              </w:rPr>
            </w:pPr>
            <w:r>
              <w:rPr>
                <w:rFonts w:eastAsia="Calibri" w:cs="Calibri"/>
                <w:noProof/>
                <w:color w:val="E48C32"/>
                <w:sz w:val="18"/>
                <w:szCs w:val="18"/>
              </w:rPr>
              <w:t>foreign direct investment</w:t>
            </w:r>
            <w:r>
              <w:rPr>
                <w:b/>
                <w:noProof/>
                <w:color w:val="E48C32"/>
                <w:sz w:val="18"/>
                <w:szCs w:val="18"/>
              </w:rPr>
              <w:t xml:space="preserve"> </w:t>
            </w:r>
            <w:r>
              <w:rPr>
                <w:rFonts w:eastAsia="Calibri" w:cs="Calibri"/>
                <w:noProof/>
                <w:color w:val="E48C32"/>
                <w:sz w:val="18"/>
                <w:szCs w:val="18"/>
              </w:rPr>
              <w:t>stocks:</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Imports 4%</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Exports 7%</w:t>
            </w:r>
          </w:p>
          <w:p>
            <w:pPr>
              <w:pStyle w:val="AMPRTabletext"/>
              <w:keepNext/>
              <w:jc w:val="center"/>
              <w:rPr>
                <w:rFonts w:eastAsia="Calibri"/>
                <w:noProof/>
                <w:color w:val="000000" w:themeColor="text1"/>
                <w:sz w:val="18"/>
                <w:szCs w:val="18"/>
              </w:rPr>
            </w:pPr>
            <w:r>
              <w:rPr>
                <w:rFonts w:eastAsiaTheme="minorHAnsi" w:cs="Calibri"/>
                <w:noProof/>
                <w:color w:val="000000" w:themeColor="text1"/>
                <w:sz w:val="18"/>
                <w:szCs w:val="18"/>
              </w:rPr>
              <w:t>Total 6%</w:t>
            </w:r>
          </w:p>
        </w:tc>
        <w:tc>
          <w:tcPr>
            <w:tcW w:w="1250" w:type="pct"/>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Theme="minorHAnsi" w:cstheme="minorBidi"/>
                <w:noProof/>
                <w:color w:val="E48C32"/>
                <w:sz w:val="18"/>
                <w:szCs w:val="18"/>
              </w:rPr>
            </w:pPr>
            <w:r>
              <w:rPr>
                <w:rFonts w:eastAsiaTheme="minorHAnsi"/>
                <w:noProof/>
                <w:color w:val="E48C32"/>
                <w:sz w:val="18"/>
                <w:szCs w:val="18"/>
              </w:rPr>
              <w:t>Goods:</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Imports 29%</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Exports 34%</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Total 32%</w:t>
            </w:r>
          </w:p>
          <w:p>
            <w:pPr>
              <w:pStyle w:val="AMPRTabletext"/>
              <w:keepNext/>
              <w:jc w:val="center"/>
              <w:rPr>
                <w:rFonts w:eastAsiaTheme="minorHAnsi" w:cs="Calibri"/>
                <w:noProof/>
                <w:color w:val="000000" w:themeColor="text1"/>
                <w:sz w:val="18"/>
                <w:szCs w:val="18"/>
              </w:rPr>
            </w:pPr>
          </w:p>
          <w:p>
            <w:pPr>
              <w:pStyle w:val="AMPRTabletext"/>
              <w:keepNext/>
              <w:jc w:val="center"/>
              <w:rPr>
                <w:rFonts w:eastAsia="Calibri" w:cs="Calibri"/>
                <w:noProof/>
                <w:color w:val="E48C32"/>
                <w:sz w:val="18"/>
                <w:szCs w:val="18"/>
              </w:rPr>
            </w:pPr>
            <w:r>
              <w:rPr>
                <w:rFonts w:eastAsia="Calibri" w:cs="Calibri"/>
                <w:noProof/>
                <w:color w:val="E48C32"/>
                <w:sz w:val="18"/>
                <w:szCs w:val="18"/>
              </w:rPr>
              <w:t>Services:</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Imports 12%</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Exports 12%</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Total 12%</w:t>
            </w:r>
          </w:p>
          <w:p>
            <w:pPr>
              <w:pStyle w:val="AMPRTabletext"/>
              <w:keepNext/>
              <w:jc w:val="center"/>
              <w:rPr>
                <w:rFonts w:eastAsia="Calibri" w:cs="Calibri"/>
                <w:noProof/>
                <w:color w:val="000000" w:themeColor="text1"/>
                <w:sz w:val="18"/>
                <w:szCs w:val="18"/>
              </w:rPr>
            </w:pPr>
          </w:p>
          <w:p>
            <w:pPr>
              <w:pStyle w:val="AMPRTabletext"/>
              <w:keepNext/>
              <w:jc w:val="center"/>
              <w:rPr>
                <w:rFonts w:eastAsia="Calibri" w:cs="Calibri"/>
                <w:noProof/>
                <w:color w:val="E48C32"/>
                <w:sz w:val="18"/>
                <w:szCs w:val="18"/>
              </w:rPr>
            </w:pPr>
            <w:r>
              <w:rPr>
                <w:rFonts w:eastAsia="Calibri" w:cs="Calibri"/>
                <w:noProof/>
                <w:color w:val="E48C32"/>
                <w:sz w:val="18"/>
                <w:szCs w:val="18"/>
              </w:rPr>
              <w:t>foreign direct investment</w:t>
            </w:r>
            <w:r>
              <w:rPr>
                <w:b/>
                <w:noProof/>
                <w:color w:val="E48C32"/>
                <w:sz w:val="18"/>
                <w:szCs w:val="18"/>
              </w:rPr>
              <w:t xml:space="preserve"> </w:t>
            </w:r>
            <w:r>
              <w:rPr>
                <w:rFonts w:eastAsia="Calibri" w:cs="Calibri"/>
                <w:noProof/>
                <w:color w:val="E48C32"/>
                <w:sz w:val="18"/>
                <w:szCs w:val="18"/>
              </w:rPr>
              <w:t>stocks:</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Imports 9%</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Exports 12%</w:t>
            </w:r>
          </w:p>
          <w:p>
            <w:pPr>
              <w:pStyle w:val="AMPRTabletext"/>
              <w:keepNext/>
              <w:jc w:val="center"/>
              <w:rPr>
                <w:rFonts w:eastAsiaTheme="minorHAnsi"/>
                <w:noProof/>
                <w:color w:val="000000" w:themeColor="text1"/>
                <w:sz w:val="18"/>
                <w:szCs w:val="18"/>
              </w:rPr>
            </w:pPr>
            <w:r>
              <w:rPr>
                <w:rFonts w:eastAsiaTheme="minorHAnsi" w:cs="Calibri"/>
                <w:noProof/>
                <w:color w:val="000000" w:themeColor="text1"/>
                <w:sz w:val="18"/>
                <w:szCs w:val="18"/>
              </w:rPr>
              <w:t>Total 11</w:t>
            </w:r>
            <w:r>
              <w:rPr>
                <w:rFonts w:eastAsiaTheme="minorHAnsi"/>
                <w:noProof/>
                <w:color w:val="000000" w:themeColor="text1"/>
                <w:sz w:val="18"/>
                <w:szCs w:val="18"/>
              </w:rPr>
              <w:t>%</w:t>
            </w:r>
          </w:p>
        </w:tc>
        <w:tc>
          <w:tcPr>
            <w:tcW w:w="1250" w:type="pct"/>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Theme="minorHAnsi" w:cs="Calibri"/>
                <w:noProof/>
                <w:color w:val="E48C32"/>
                <w:sz w:val="18"/>
                <w:szCs w:val="18"/>
              </w:rPr>
            </w:pPr>
            <w:r>
              <w:rPr>
                <w:rFonts w:eastAsiaTheme="minorHAnsi" w:cs="Calibri"/>
                <w:noProof/>
                <w:color w:val="E48C32"/>
                <w:sz w:val="18"/>
                <w:szCs w:val="18"/>
              </w:rPr>
              <w:t>Goods:</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Imports 32%</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Exports 37%</w:t>
            </w:r>
          </w:p>
          <w:p>
            <w:pPr>
              <w:pStyle w:val="AMPRTabletext"/>
              <w:keepNext/>
              <w:jc w:val="center"/>
              <w:rPr>
                <w:rFonts w:eastAsia="Calibri" w:cs="Calibri"/>
                <w:noProof/>
                <w:color w:val="000000" w:themeColor="text1"/>
                <w:sz w:val="18"/>
                <w:szCs w:val="18"/>
              </w:rPr>
            </w:pPr>
            <w:r>
              <w:rPr>
                <w:rFonts w:eastAsiaTheme="minorHAnsi" w:cs="Calibri"/>
                <w:noProof/>
                <w:color w:val="000000" w:themeColor="text1"/>
                <w:sz w:val="18"/>
                <w:szCs w:val="18"/>
              </w:rPr>
              <w:t>Total 34%</w:t>
            </w:r>
          </w:p>
          <w:p>
            <w:pPr>
              <w:pStyle w:val="AMPRTabletext"/>
              <w:keepNext/>
              <w:jc w:val="center"/>
              <w:rPr>
                <w:rFonts w:eastAsia="Calibri" w:cs="Calibri"/>
                <w:noProof/>
                <w:color w:val="000000" w:themeColor="text1"/>
                <w:sz w:val="18"/>
                <w:szCs w:val="18"/>
              </w:rPr>
            </w:pPr>
          </w:p>
          <w:p>
            <w:pPr>
              <w:pStyle w:val="AMPRTabletext"/>
              <w:keepNext/>
              <w:jc w:val="center"/>
              <w:rPr>
                <w:rFonts w:eastAsia="Calibri" w:cs="Calibri"/>
                <w:noProof/>
                <w:color w:val="E48C32"/>
                <w:sz w:val="18"/>
                <w:szCs w:val="18"/>
              </w:rPr>
            </w:pPr>
            <w:r>
              <w:rPr>
                <w:rFonts w:eastAsia="Calibri" w:cs="Calibri"/>
                <w:noProof/>
                <w:color w:val="E48C32"/>
                <w:sz w:val="18"/>
                <w:szCs w:val="18"/>
              </w:rPr>
              <w:t>Services:</w:t>
            </w:r>
          </w:p>
          <w:p>
            <w:pPr>
              <w:pStyle w:val="AMPRTabletext"/>
              <w:keepNext/>
              <w:jc w:val="center"/>
              <w:rPr>
                <w:rFonts w:eastAsia="Calibri" w:cs="Calibri"/>
                <w:noProof/>
                <w:color w:val="000000" w:themeColor="text1"/>
                <w:sz w:val="18"/>
                <w:szCs w:val="18"/>
              </w:rPr>
            </w:pPr>
            <w:r>
              <w:rPr>
                <w:rFonts w:eastAsiaTheme="minorHAnsi" w:cs="Calibri"/>
                <w:noProof/>
                <w:color w:val="000000" w:themeColor="text1"/>
                <w:sz w:val="18"/>
                <w:szCs w:val="18"/>
              </w:rPr>
              <w:t>Imports 15%</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Exports 15%</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Total 15%</w:t>
            </w:r>
          </w:p>
          <w:p>
            <w:pPr>
              <w:pStyle w:val="AMPRTabletext"/>
              <w:keepNext/>
              <w:jc w:val="center"/>
              <w:rPr>
                <w:rFonts w:eastAsia="Calibri" w:cs="Calibri"/>
                <w:noProof/>
                <w:color w:val="000000" w:themeColor="text1"/>
                <w:sz w:val="18"/>
                <w:szCs w:val="18"/>
              </w:rPr>
            </w:pPr>
          </w:p>
          <w:p>
            <w:pPr>
              <w:pStyle w:val="AMPRTabletext"/>
              <w:keepNext/>
              <w:jc w:val="center"/>
              <w:rPr>
                <w:rFonts w:eastAsia="Calibri" w:cs="Calibri"/>
                <w:noProof/>
                <w:color w:val="E48C32"/>
                <w:sz w:val="18"/>
                <w:szCs w:val="18"/>
              </w:rPr>
            </w:pPr>
            <w:r>
              <w:rPr>
                <w:rFonts w:eastAsia="Calibri" w:cs="Calibri"/>
                <w:noProof/>
                <w:color w:val="E48C32"/>
                <w:sz w:val="18"/>
                <w:szCs w:val="18"/>
              </w:rPr>
              <w:t>foreign direct investment</w:t>
            </w:r>
            <w:r>
              <w:rPr>
                <w:b/>
                <w:noProof/>
                <w:color w:val="E48C32"/>
                <w:sz w:val="18"/>
                <w:szCs w:val="18"/>
              </w:rPr>
              <w:t xml:space="preserve"> </w:t>
            </w:r>
            <w:r>
              <w:rPr>
                <w:rFonts w:eastAsia="Calibri" w:cs="Calibri"/>
                <w:noProof/>
                <w:color w:val="E48C32"/>
                <w:sz w:val="18"/>
                <w:szCs w:val="18"/>
              </w:rPr>
              <w:t>stocks:</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Imports 9%</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Exports 13%</w:t>
            </w:r>
          </w:p>
          <w:p>
            <w:pPr>
              <w:pStyle w:val="AMPRTabletext"/>
              <w:keepNext/>
              <w:jc w:val="center"/>
              <w:rPr>
                <w:rFonts w:eastAsia="Calibri" w:cs="Calibri"/>
                <w:noProof/>
                <w:color w:val="000000" w:themeColor="text1"/>
                <w:sz w:val="18"/>
                <w:szCs w:val="18"/>
              </w:rPr>
            </w:pPr>
            <w:r>
              <w:rPr>
                <w:rFonts w:eastAsiaTheme="minorHAnsi" w:cs="Calibri"/>
                <w:noProof/>
                <w:color w:val="000000" w:themeColor="text1"/>
                <w:sz w:val="18"/>
                <w:szCs w:val="18"/>
              </w:rPr>
              <w:t>Total 11%</w:t>
            </w:r>
          </w:p>
        </w:tc>
        <w:tc>
          <w:tcPr>
            <w:tcW w:w="1250" w:type="pct"/>
            <w:tcBorders>
              <w:left w:val="single" w:sz="8" w:space="0" w:color="E48C32"/>
              <w:bottom w:val="single" w:sz="8" w:space="0" w:color="E48C32"/>
            </w:tcBorders>
            <w:shd w:val="clear" w:color="auto" w:fill="auto"/>
            <w:vAlign w:val="center"/>
          </w:tcPr>
          <w:p>
            <w:pPr>
              <w:pStyle w:val="AMPRTabletext"/>
              <w:keepNext/>
              <w:jc w:val="center"/>
              <w:rPr>
                <w:rFonts w:eastAsiaTheme="minorHAnsi" w:cs="Calibri"/>
                <w:noProof/>
                <w:color w:val="E48C32"/>
                <w:sz w:val="18"/>
                <w:szCs w:val="18"/>
              </w:rPr>
            </w:pPr>
            <w:r>
              <w:rPr>
                <w:rFonts w:eastAsiaTheme="minorHAnsi" w:cs="Calibri"/>
                <w:noProof/>
                <w:color w:val="E48C32"/>
                <w:sz w:val="18"/>
                <w:szCs w:val="18"/>
              </w:rPr>
              <w:t>Goods:</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Imports 51%</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Exports 61%</w:t>
            </w:r>
          </w:p>
          <w:p>
            <w:pPr>
              <w:pStyle w:val="AMPRTabletext"/>
              <w:keepNext/>
              <w:jc w:val="center"/>
              <w:rPr>
                <w:rFonts w:eastAsia="Calibri" w:cs="Calibri"/>
                <w:noProof/>
                <w:color w:val="000000" w:themeColor="text1"/>
                <w:sz w:val="18"/>
                <w:szCs w:val="18"/>
              </w:rPr>
            </w:pPr>
            <w:r>
              <w:rPr>
                <w:rFonts w:eastAsiaTheme="minorHAnsi" w:cs="Calibri"/>
                <w:noProof/>
                <w:color w:val="000000" w:themeColor="text1"/>
                <w:sz w:val="18"/>
                <w:szCs w:val="18"/>
              </w:rPr>
              <w:t>Total 56%</w:t>
            </w:r>
          </w:p>
          <w:p>
            <w:pPr>
              <w:pStyle w:val="AMPRTabletext"/>
              <w:keepNext/>
              <w:jc w:val="center"/>
              <w:rPr>
                <w:rFonts w:eastAsia="Calibri" w:cs="Calibri"/>
                <w:noProof/>
                <w:color w:val="000000" w:themeColor="text1"/>
                <w:sz w:val="18"/>
                <w:szCs w:val="18"/>
              </w:rPr>
            </w:pPr>
          </w:p>
          <w:p>
            <w:pPr>
              <w:pStyle w:val="AMPRTabletext"/>
              <w:keepNext/>
              <w:jc w:val="center"/>
              <w:rPr>
                <w:rFonts w:eastAsia="Calibri" w:cs="Calibri"/>
                <w:noProof/>
                <w:color w:val="E48C32"/>
                <w:sz w:val="18"/>
                <w:szCs w:val="18"/>
              </w:rPr>
            </w:pPr>
            <w:r>
              <w:rPr>
                <w:rFonts w:eastAsia="Calibri" w:cs="Calibri"/>
                <w:noProof/>
                <w:color w:val="E48C32"/>
                <w:sz w:val="18"/>
                <w:szCs w:val="18"/>
              </w:rPr>
              <w:t>Services:</w:t>
            </w:r>
          </w:p>
          <w:p>
            <w:pPr>
              <w:pStyle w:val="AMPRTabletext"/>
              <w:keepNext/>
              <w:jc w:val="center"/>
              <w:rPr>
                <w:rFonts w:eastAsia="Calibri" w:cs="Calibri"/>
                <w:noProof/>
                <w:color w:val="000000" w:themeColor="text1"/>
                <w:sz w:val="18"/>
                <w:szCs w:val="18"/>
              </w:rPr>
            </w:pPr>
            <w:r>
              <w:rPr>
                <w:rFonts w:eastAsiaTheme="minorHAnsi" w:cs="Calibri"/>
                <w:noProof/>
                <w:color w:val="000000" w:themeColor="text1"/>
                <w:sz w:val="18"/>
                <w:szCs w:val="18"/>
              </w:rPr>
              <w:t>Imports 54%</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Exports 52%</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Total 53%</w:t>
            </w:r>
          </w:p>
          <w:p>
            <w:pPr>
              <w:pStyle w:val="AMPRTabletext"/>
              <w:keepNext/>
              <w:jc w:val="center"/>
              <w:rPr>
                <w:rFonts w:eastAsia="Calibri" w:cs="Calibri"/>
                <w:noProof/>
                <w:color w:val="000000" w:themeColor="text1"/>
                <w:sz w:val="18"/>
                <w:szCs w:val="18"/>
              </w:rPr>
            </w:pPr>
          </w:p>
          <w:p>
            <w:pPr>
              <w:pStyle w:val="AMPRTabletext"/>
              <w:keepNext/>
              <w:jc w:val="center"/>
              <w:rPr>
                <w:rFonts w:eastAsia="Calibri" w:cs="Calibri"/>
                <w:noProof/>
                <w:color w:val="E48C32"/>
                <w:sz w:val="18"/>
                <w:szCs w:val="18"/>
              </w:rPr>
            </w:pPr>
            <w:r>
              <w:rPr>
                <w:rFonts w:eastAsia="Calibri" w:cs="Calibri"/>
                <w:noProof/>
                <w:color w:val="E48C32"/>
                <w:sz w:val="18"/>
                <w:szCs w:val="18"/>
              </w:rPr>
              <w:t>foreign direct investment</w:t>
            </w:r>
            <w:r>
              <w:rPr>
                <w:b/>
                <w:noProof/>
                <w:color w:val="E48C32"/>
                <w:sz w:val="18"/>
                <w:szCs w:val="18"/>
              </w:rPr>
              <w:t xml:space="preserve"> </w:t>
            </w:r>
            <w:r>
              <w:rPr>
                <w:rFonts w:eastAsia="Calibri" w:cs="Calibri"/>
                <w:noProof/>
                <w:color w:val="E48C32"/>
                <w:sz w:val="18"/>
                <w:szCs w:val="18"/>
              </w:rPr>
              <w:t>stocks:</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Imports 55%</w:t>
            </w:r>
          </w:p>
          <w:p>
            <w:pPr>
              <w:pStyle w:val="AMPRTabletext"/>
              <w:keepNext/>
              <w:jc w:val="center"/>
              <w:rPr>
                <w:rFonts w:eastAsiaTheme="minorHAnsi" w:cs="Calibri"/>
                <w:noProof/>
                <w:color w:val="000000" w:themeColor="text1"/>
                <w:sz w:val="18"/>
                <w:szCs w:val="18"/>
              </w:rPr>
            </w:pPr>
            <w:r>
              <w:rPr>
                <w:rFonts w:eastAsiaTheme="minorHAnsi" w:cs="Calibri"/>
                <w:noProof/>
                <w:color w:val="000000" w:themeColor="text1"/>
                <w:sz w:val="18"/>
                <w:szCs w:val="18"/>
              </w:rPr>
              <w:t>Exports 59%</w:t>
            </w:r>
          </w:p>
          <w:p>
            <w:pPr>
              <w:pStyle w:val="AMPRTabletext"/>
              <w:keepNext/>
              <w:jc w:val="center"/>
              <w:rPr>
                <w:rFonts w:eastAsia="Calibri" w:cs="Calibri"/>
                <w:noProof/>
                <w:color w:val="000000" w:themeColor="text1"/>
                <w:sz w:val="18"/>
                <w:szCs w:val="18"/>
              </w:rPr>
            </w:pPr>
            <w:r>
              <w:rPr>
                <w:rFonts w:eastAsiaTheme="minorHAnsi" w:cs="Calibri"/>
                <w:noProof/>
                <w:color w:val="000000" w:themeColor="text1"/>
                <w:sz w:val="18"/>
                <w:szCs w:val="18"/>
              </w:rPr>
              <w:t>Total 57%</w:t>
            </w:r>
          </w:p>
        </w:tc>
      </w:tr>
      <w:tr>
        <w:trPr>
          <w:cantSplit/>
        </w:trPr>
        <w:tc>
          <w:tcPr>
            <w:tcW w:w="5000" w:type="pct"/>
            <w:gridSpan w:val="4"/>
            <w:tcBorders>
              <w:top w:val="single" w:sz="8" w:space="0" w:color="E48C32"/>
            </w:tcBorders>
            <w:shd w:val="clear" w:color="auto" w:fill="auto"/>
            <w:vAlign w:val="center"/>
          </w:tcPr>
          <w:p>
            <w:pPr>
              <w:pStyle w:val="AMPRTabletext-source"/>
              <w:keepNext/>
              <w:rPr>
                <w:noProof/>
              </w:rPr>
            </w:pPr>
            <w:r>
              <w:rPr>
                <w:rStyle w:val="italics"/>
                <w:noProof/>
              </w:rPr>
              <w:t>Source</w:t>
            </w:r>
            <w:r>
              <w:rPr>
                <w:noProof/>
              </w:rPr>
              <w:t xml:space="preserve">: Eurostat for the raw indicators (1, 2, 3) and DG Trade for the list of countries covered by </w:t>
            </w:r>
            <w:hyperlink r:id="rId64" w:history="1">
              <w:r>
                <w:rPr>
                  <w:rStyle w:val="hyperlinkunderlined"/>
                  <w:noProof/>
                  <w:u w:val="none"/>
                </w:rPr>
                <w:t>trade and investments agreements</w:t>
              </w:r>
            </w:hyperlink>
            <w:r>
              <w:rPr>
                <w:noProof/>
              </w:rPr>
              <w:t xml:space="preserve"> (4).</w:t>
            </w:r>
          </w:p>
        </w:tc>
      </w:tr>
      <w:tr>
        <w:trPr>
          <w:cantSplit/>
        </w:trPr>
        <w:tc>
          <w:tcPr>
            <w:tcW w:w="5000" w:type="pct"/>
            <w:gridSpan w:val="4"/>
            <w:shd w:val="clear" w:color="auto" w:fill="auto"/>
            <w:vAlign w:val="center"/>
          </w:tcPr>
          <w:p>
            <w:pPr>
              <w:pStyle w:val="AMPRTabletext-source"/>
              <w:keepNext/>
              <w:rPr>
                <w:rFonts w:eastAsia="Calibri"/>
                <w:noProof/>
              </w:rPr>
            </w:pPr>
            <w:r>
              <w:rPr>
                <w:rStyle w:val="italics"/>
                <w:noProof/>
              </w:rPr>
              <w:t>Source of goods</w:t>
            </w:r>
            <w:r>
              <w:rPr>
                <w:noProof/>
              </w:rPr>
              <w:t xml:space="preserve">: </w:t>
            </w:r>
            <w:hyperlink r:id="rId65" w:history="1">
              <w:r>
                <w:rPr>
                  <w:rFonts w:eastAsia="Calibri"/>
                  <w:noProof/>
                </w:rPr>
                <w:t xml:space="preserve">(1) </w:t>
              </w:r>
              <w:r>
                <w:rPr>
                  <w:rStyle w:val="hyperlinkunderlined"/>
                  <w:rFonts w:eastAsia="Calibri"/>
                  <w:noProof/>
                </w:rPr>
                <w:t xml:space="preserve">Goods bookmark </w:t>
              </w:r>
              <w:r>
                <w:rPr>
                  <w:rStyle w:val="hyperlinkunderlined"/>
                  <w:rFonts w:eastAsia="Calibri"/>
                  <w:noProof/>
                  <w:u w:val="none"/>
                </w:rPr>
                <w:t>to the denominator and goods per partner country in the nominator</w:t>
              </w:r>
              <w:r>
                <w:rPr>
                  <w:rFonts w:eastAsia="Calibri"/>
                  <w:noProof/>
                </w:rPr>
                <w:t>.</w:t>
              </w:r>
              <w:r>
                <w:rPr>
                  <w:rStyle w:val="Hyperlink"/>
                  <w:rFonts w:eastAsia="Calibri"/>
                  <w:noProof/>
                </w:rPr>
                <w:t xml:space="preserve"> </w:t>
              </w:r>
            </w:hyperlink>
          </w:p>
        </w:tc>
      </w:tr>
      <w:tr>
        <w:trPr>
          <w:cantSplit/>
        </w:trPr>
        <w:tc>
          <w:tcPr>
            <w:tcW w:w="5000" w:type="pct"/>
            <w:gridSpan w:val="4"/>
            <w:shd w:val="clear" w:color="auto" w:fill="auto"/>
            <w:vAlign w:val="center"/>
          </w:tcPr>
          <w:p>
            <w:pPr>
              <w:pStyle w:val="AMPRTabletext-source"/>
              <w:keepNext/>
              <w:rPr>
                <w:noProof/>
              </w:rPr>
            </w:pPr>
            <w:r>
              <w:rPr>
                <w:rStyle w:val="italics"/>
                <w:noProof/>
              </w:rPr>
              <w:t>Source of services</w:t>
            </w:r>
            <w:r>
              <w:rPr>
                <w:noProof/>
              </w:rPr>
              <w:t>:</w:t>
            </w:r>
            <w:r>
              <w:rPr>
                <w:rFonts w:eastAsia="SimSun"/>
                <w:noProof/>
              </w:rPr>
              <w:t xml:space="preserve"> </w:t>
            </w:r>
            <w:r>
              <w:rPr>
                <w:noProof/>
              </w:rPr>
              <w:t xml:space="preserve">(2) </w:t>
            </w:r>
            <w:hyperlink r:id="rId66" w:history="1">
              <w:r>
                <w:rPr>
                  <w:rStyle w:val="hyperlinkunderlined"/>
                  <w:noProof/>
                </w:rPr>
                <w:t>Services bookmark</w:t>
              </w:r>
              <w:r>
                <w:rPr>
                  <w:rStyle w:val="hyperlinkunderlined"/>
                  <w:noProof/>
                  <w:u w:val="none"/>
                </w:rPr>
                <w:t xml:space="preserve"> to the denominator and services per partner country in the nominator</w:t>
              </w:r>
            </w:hyperlink>
            <w:r>
              <w:rPr>
                <w:noProof/>
              </w:rPr>
              <w:t>.</w:t>
            </w:r>
          </w:p>
        </w:tc>
      </w:tr>
      <w:tr>
        <w:trPr>
          <w:cantSplit/>
        </w:trPr>
        <w:tc>
          <w:tcPr>
            <w:tcW w:w="5000" w:type="pct"/>
            <w:gridSpan w:val="4"/>
            <w:shd w:val="clear" w:color="auto" w:fill="auto"/>
            <w:vAlign w:val="center"/>
          </w:tcPr>
          <w:p>
            <w:pPr>
              <w:pStyle w:val="AMPRTabletext-source"/>
              <w:keepNext/>
              <w:rPr>
                <w:noProof/>
              </w:rPr>
            </w:pPr>
            <w:r>
              <w:rPr>
                <w:rStyle w:val="italics"/>
                <w:noProof/>
              </w:rPr>
              <w:t>Source of foreign direct investment stocks</w:t>
            </w:r>
            <w:r>
              <w:rPr>
                <w:i/>
                <w:noProof/>
              </w:rPr>
              <w:t>:</w:t>
            </w:r>
            <w:r>
              <w:rPr>
                <w:noProof/>
              </w:rPr>
              <w:t xml:space="preserve"> (</w:t>
            </w:r>
            <w:r>
              <w:rPr>
                <w:rStyle w:val="Hyperlink"/>
                <w:rFonts w:eastAsia="SimSun"/>
                <w:noProof/>
                <w:color w:val="000000" w:themeColor="text1"/>
              </w:rPr>
              <w:t xml:space="preserve">3) </w:t>
            </w:r>
            <w:hyperlink r:id="rId67" w:history="1">
              <w:r>
                <w:rPr>
                  <w:rStyle w:val="hyperlinkunderlined"/>
                  <w:i/>
                  <w:noProof/>
                  <w:u w:val="none"/>
                </w:rPr>
                <w:t xml:space="preserve"> </w:t>
              </w:r>
              <w:r>
                <w:rPr>
                  <w:rStyle w:val="hyperlinkunderlined"/>
                  <w:i/>
                  <w:noProof/>
                </w:rPr>
                <w:t xml:space="preserve">foreign direct investment </w:t>
              </w:r>
              <w:r>
                <w:rPr>
                  <w:rStyle w:val="hyperlinkunderlined"/>
                  <w:noProof/>
                </w:rPr>
                <w:t xml:space="preserve">stocks bookmark </w:t>
              </w:r>
              <w:r>
                <w:rPr>
                  <w:rStyle w:val="hyperlinkunderlined"/>
                  <w:noProof/>
                  <w:u w:val="none"/>
                </w:rPr>
                <w:t xml:space="preserve">to the denominator and </w:t>
              </w:r>
              <w:r>
                <w:rPr>
                  <w:rStyle w:val="hyperlinkunderlined"/>
                  <w:i/>
                  <w:noProof/>
                  <w:u w:val="none"/>
                </w:rPr>
                <w:t xml:space="preserve">foreign direct investment </w:t>
              </w:r>
              <w:r>
                <w:rPr>
                  <w:rStyle w:val="hyperlinkunderlined"/>
                  <w:noProof/>
                  <w:u w:val="none"/>
                </w:rPr>
                <w:t>stocks per partner country in the nominator</w:t>
              </w:r>
            </w:hyperlink>
            <w:r>
              <w:rPr>
                <w:rStyle w:val="hyperlinkunderlined"/>
                <w:noProof/>
                <w:u w:val="none"/>
              </w:rPr>
              <w:t>.</w:t>
            </w:r>
          </w:p>
          <w:p>
            <w:pPr>
              <w:pStyle w:val="AMPRTabletext-source"/>
              <w:keepNext/>
              <w:rPr>
                <w:noProof/>
              </w:rPr>
            </w:pPr>
            <w:r>
              <w:rPr>
                <w:rStyle w:val="italics"/>
                <w:rFonts w:eastAsia="SimSun"/>
                <w:noProof/>
              </w:rPr>
              <w:t>Source of trade</w:t>
            </w:r>
            <w:r>
              <w:rPr>
                <w:rFonts w:eastAsia="SimSun"/>
                <w:noProof/>
              </w:rPr>
              <w:t xml:space="preserve">: (4) DG Trade: </w:t>
            </w:r>
            <w:hyperlink r:id="rId68" w:history="1">
              <w:r>
                <w:rPr>
                  <w:rStyle w:val="hyperlinkunderlined"/>
                  <w:noProof/>
                </w:rPr>
                <w:t>trade and investments agreements</w:t>
              </w:r>
            </w:hyperlink>
            <w:r>
              <w:rPr>
                <w:noProof/>
                <w:u w:val="single"/>
              </w:rPr>
              <w:t xml:space="preserve"> </w:t>
            </w:r>
            <w:r>
              <w:rPr>
                <w:rFonts w:eastAsia="SimSun"/>
                <w:noProof/>
              </w:rPr>
              <w:t>(see agreements under ‘In place’ and ‘Agreements partly in place’).</w:t>
            </w:r>
          </w:p>
        </w:tc>
      </w:tr>
      <w:tr>
        <w:trPr>
          <w:cantSplit/>
        </w:trPr>
        <w:tc>
          <w:tcPr>
            <w:tcW w:w="5000" w:type="pct"/>
            <w:gridSpan w:val="4"/>
            <w:tcBorders>
              <w:bottom w:val="single" w:sz="8" w:space="0" w:color="E48C32"/>
            </w:tcBorders>
            <w:shd w:val="clear" w:color="auto" w:fill="auto"/>
            <w:vAlign w:val="center"/>
          </w:tcPr>
          <w:p>
            <w:pPr>
              <w:pStyle w:val="AMPRTabletext-source"/>
              <w:rPr>
                <w:noProof/>
              </w:rPr>
            </w:pPr>
          </w:p>
          <w:p>
            <w:pPr>
              <w:pStyle w:val="AMPRTabletext-source"/>
              <w:rPr>
                <w:noProof/>
              </w:rPr>
            </w:pPr>
            <w:r>
              <w:rPr>
                <w:noProof/>
              </w:rPr>
              <w:t>(*) The milestone and target figures are based on expectations of provisional application/entry into force of agreements that are currently under negotiation (see also result indicator 1.1: ‘Number of ongoing EU trade and investment negotiations and number of applied EU trade and investment agreements’ of DG Trade’s strategic plan 2016-2020).</w:t>
            </w:r>
          </w:p>
        </w:tc>
      </w:tr>
    </w:tbl>
    <w:p>
      <w:pPr>
        <w:pStyle w:val="Annex1Tableseparator"/>
        <w:rPr>
          <w:noProof/>
        </w:rPr>
      </w:pPr>
      <w:bookmarkStart w:id="35" w:name="_Toc511118098"/>
      <w:bookmarkStart w:id="36" w:name="_Toc6304462"/>
      <w:bookmarkStart w:id="37" w:name="_Toc8386185"/>
    </w:p>
    <w:p>
      <w:pPr>
        <w:pStyle w:val="Title2Annexes"/>
        <w:rPr>
          <w:noProof/>
        </w:rPr>
      </w:pPr>
      <w:bookmarkStart w:id="38" w:name="_Toc11679095"/>
      <w:r>
        <w:rPr>
          <w:noProof/>
        </w:rPr>
        <w:t>General objective: An area of justice and fundamental rights based on mutual trust</w:t>
      </w:r>
      <w:bookmarkEnd w:id="35"/>
      <w:bookmarkEnd w:id="36"/>
      <w:bookmarkEnd w:id="37"/>
      <w:bookmarkEnd w:id="38"/>
    </w:p>
    <w:tbl>
      <w:tblPr>
        <w:tblW w:w="9582" w:type="dxa"/>
        <w:tblInd w:w="108" w:type="dxa"/>
        <w:tblLook w:val="00A0" w:firstRow="1" w:lastRow="0" w:firstColumn="1" w:lastColumn="0" w:noHBand="0" w:noVBand="0"/>
      </w:tblPr>
      <w:tblGrid>
        <w:gridCol w:w="3194"/>
        <w:gridCol w:w="3194"/>
        <w:gridCol w:w="3194"/>
      </w:tblGrid>
      <w:tr>
        <w:trPr>
          <w:cantSplit/>
        </w:trPr>
        <w:tc>
          <w:tcPr>
            <w:tcW w:w="9582" w:type="dxa"/>
            <w:gridSpan w:val="3"/>
            <w:shd w:val="clear" w:color="auto" w:fill="E48C32"/>
            <w:vAlign w:val="center"/>
          </w:tcPr>
          <w:p>
            <w:pPr>
              <w:pStyle w:val="AMPRTabletext"/>
              <w:keepNext/>
              <w:spacing w:before="120" w:after="120"/>
              <w:rPr>
                <w:rFonts w:eastAsia="Calibri"/>
                <w:b/>
                <w:noProof/>
                <w:color w:val="FFFFFF"/>
                <w:sz w:val="20"/>
                <w:szCs w:val="20"/>
              </w:rPr>
            </w:pPr>
            <w:r>
              <w:rPr>
                <w:rFonts w:eastAsia="Calibri"/>
                <w:b/>
                <w:noProof/>
                <w:color w:val="FFFFFF"/>
                <w:sz w:val="20"/>
                <w:szCs w:val="20"/>
              </w:rPr>
              <w:t>25. Share of the population considering themselves as ‘well’ or ‘very well’ informed of the rights they enjoy as citizens of the European Union</w:t>
            </w:r>
          </w:p>
        </w:tc>
      </w:tr>
      <w:tr>
        <w:trPr>
          <w:cantSplit/>
        </w:trPr>
        <w:tc>
          <w:tcPr>
            <w:tcW w:w="3194" w:type="dxa"/>
            <w:tcBorders>
              <w:right w:val="single" w:sz="8" w:space="0" w:color="E48C32"/>
            </w:tcBorders>
            <w:shd w:val="clear" w:color="auto" w:fill="auto"/>
            <w:vAlign w:val="center"/>
          </w:tcPr>
          <w:p>
            <w:pPr>
              <w:pStyle w:val="AMPRTabletext"/>
              <w:jc w:val="center"/>
              <w:rPr>
                <w:rFonts w:eastAsia="Calibri"/>
                <w:b/>
                <w:noProof/>
                <w:color w:val="E48C32"/>
                <w:sz w:val="18"/>
                <w:szCs w:val="18"/>
                <w:u w:val="single"/>
              </w:rPr>
            </w:pPr>
            <w:r>
              <w:rPr>
                <w:rFonts w:eastAsia="Calibri"/>
                <w:b/>
                <w:noProof/>
                <w:color w:val="E48C32"/>
                <w:sz w:val="18"/>
                <w:szCs w:val="18"/>
                <w:u w:val="single"/>
              </w:rPr>
              <w:t>Baseline (2015)</w:t>
            </w:r>
          </w:p>
        </w:tc>
        <w:tc>
          <w:tcPr>
            <w:tcW w:w="3194" w:type="dxa"/>
            <w:tcBorders>
              <w:left w:val="single" w:sz="8" w:space="0" w:color="E48C32"/>
              <w:right w:val="single" w:sz="8" w:space="0" w:color="E48C32"/>
            </w:tcBorders>
            <w:shd w:val="clear" w:color="auto" w:fill="auto"/>
            <w:vAlign w:val="center"/>
          </w:tcPr>
          <w:p>
            <w:pPr>
              <w:pStyle w:val="AMPRTabletext"/>
              <w:jc w:val="center"/>
              <w:rPr>
                <w:rFonts w:eastAsia="Calibri"/>
                <w:b/>
                <w:noProof/>
                <w:color w:val="E48C32"/>
                <w:sz w:val="18"/>
                <w:szCs w:val="18"/>
                <w:u w:val="single"/>
              </w:rPr>
            </w:pPr>
            <w:r>
              <w:rPr>
                <w:rFonts w:eastAsia="Calibri"/>
                <w:b/>
                <w:noProof/>
                <w:color w:val="E48C32"/>
                <w:sz w:val="18"/>
                <w:szCs w:val="18"/>
                <w:u w:val="single"/>
              </w:rPr>
              <w:t>Latest known value</w:t>
            </w:r>
          </w:p>
        </w:tc>
        <w:tc>
          <w:tcPr>
            <w:tcW w:w="3194" w:type="dxa"/>
            <w:tcBorders>
              <w:left w:val="single" w:sz="8" w:space="0" w:color="E48C32"/>
            </w:tcBorders>
            <w:shd w:val="clear" w:color="auto" w:fill="auto"/>
            <w:vAlign w:val="center"/>
          </w:tcPr>
          <w:p>
            <w:pPr>
              <w:pStyle w:val="AMPRTabletext"/>
              <w:jc w:val="center"/>
              <w:rPr>
                <w:rFonts w:eastAsia="Calibri"/>
                <w:b/>
                <w:noProof/>
                <w:color w:val="E48C32"/>
                <w:sz w:val="18"/>
                <w:szCs w:val="18"/>
                <w:u w:val="single"/>
              </w:rPr>
            </w:pPr>
            <w:r>
              <w:rPr>
                <w:rFonts w:eastAsia="Calibri"/>
                <w:b/>
                <w:noProof/>
                <w:color w:val="E48C32"/>
                <w:sz w:val="18"/>
                <w:szCs w:val="18"/>
                <w:u w:val="single"/>
              </w:rPr>
              <w:t>Target (2020)</w:t>
            </w:r>
          </w:p>
        </w:tc>
      </w:tr>
      <w:tr>
        <w:trPr>
          <w:cantSplit/>
        </w:trPr>
        <w:tc>
          <w:tcPr>
            <w:tcW w:w="3194" w:type="dxa"/>
            <w:tcBorders>
              <w:bottom w:val="single" w:sz="8" w:space="0" w:color="E48C32"/>
              <w:right w:val="single" w:sz="8" w:space="0" w:color="E48C32"/>
            </w:tcBorders>
            <w:shd w:val="clear" w:color="auto" w:fill="auto"/>
            <w:vAlign w:val="center"/>
          </w:tcPr>
          <w:p>
            <w:pPr>
              <w:pStyle w:val="AMPRTabletext"/>
              <w:jc w:val="center"/>
              <w:rPr>
                <w:rFonts w:eastAsia="Calibri"/>
                <w:noProof/>
                <w:color w:val="000000" w:themeColor="text1"/>
                <w:sz w:val="18"/>
                <w:szCs w:val="18"/>
              </w:rPr>
            </w:pPr>
            <w:r>
              <w:rPr>
                <w:rFonts w:eastAsia="Calibri"/>
                <w:noProof/>
                <w:color w:val="000000" w:themeColor="text1"/>
                <w:sz w:val="18"/>
                <w:szCs w:val="18"/>
              </w:rPr>
              <w:t>50%</w:t>
            </w:r>
          </w:p>
        </w:tc>
        <w:tc>
          <w:tcPr>
            <w:tcW w:w="3194" w:type="dxa"/>
            <w:tcBorders>
              <w:left w:val="single" w:sz="8" w:space="0" w:color="E48C32"/>
              <w:bottom w:val="single" w:sz="8" w:space="0" w:color="E48C32"/>
              <w:right w:val="single" w:sz="8" w:space="0" w:color="E48C32"/>
            </w:tcBorders>
            <w:shd w:val="clear" w:color="auto" w:fill="auto"/>
            <w:vAlign w:val="center"/>
          </w:tcPr>
          <w:p>
            <w:pPr>
              <w:pStyle w:val="AMPRTabletext"/>
              <w:jc w:val="center"/>
              <w:rPr>
                <w:rFonts w:eastAsia="Calibri"/>
                <w:noProof/>
                <w:color w:val="000000" w:themeColor="text1"/>
                <w:sz w:val="18"/>
                <w:szCs w:val="18"/>
              </w:rPr>
            </w:pPr>
            <w:r>
              <w:rPr>
                <w:rFonts w:eastAsia="Calibri"/>
                <w:noProof/>
                <w:color w:val="000000" w:themeColor="text1"/>
                <w:sz w:val="18"/>
                <w:szCs w:val="18"/>
              </w:rPr>
              <w:t>(EB90 — Autumn 2018)</w:t>
            </w:r>
          </w:p>
          <w:p>
            <w:pPr>
              <w:pStyle w:val="AMPRTabletext"/>
              <w:jc w:val="center"/>
              <w:rPr>
                <w:rFonts w:eastAsia="Calibri"/>
                <w:noProof/>
                <w:color w:val="000000" w:themeColor="text1"/>
                <w:sz w:val="18"/>
                <w:szCs w:val="18"/>
              </w:rPr>
            </w:pPr>
            <w:r>
              <w:rPr>
                <w:rFonts w:eastAsia="Calibri"/>
                <w:noProof/>
                <w:color w:val="000000" w:themeColor="text1"/>
                <w:sz w:val="18"/>
                <w:szCs w:val="18"/>
              </w:rPr>
              <w:t>55%</w:t>
            </w:r>
          </w:p>
        </w:tc>
        <w:tc>
          <w:tcPr>
            <w:tcW w:w="3194" w:type="dxa"/>
            <w:tcBorders>
              <w:left w:val="single" w:sz="8" w:space="0" w:color="E48C32"/>
              <w:bottom w:val="single" w:sz="8" w:space="0" w:color="E48C32"/>
            </w:tcBorders>
            <w:shd w:val="clear" w:color="auto" w:fill="auto"/>
            <w:vAlign w:val="center"/>
          </w:tcPr>
          <w:p>
            <w:pPr>
              <w:pStyle w:val="AMPRTabletext"/>
              <w:jc w:val="center"/>
              <w:rPr>
                <w:rFonts w:eastAsia="Calibri"/>
                <w:noProof/>
                <w:color w:val="000000" w:themeColor="text1"/>
                <w:sz w:val="18"/>
                <w:szCs w:val="18"/>
              </w:rPr>
            </w:pPr>
            <w:r>
              <w:rPr>
                <w:rFonts w:eastAsia="Calibri"/>
                <w:noProof/>
                <w:color w:val="000000" w:themeColor="text1"/>
                <w:sz w:val="18"/>
                <w:szCs w:val="18"/>
              </w:rPr>
              <w:t>Increase</w:t>
            </w:r>
          </w:p>
        </w:tc>
      </w:tr>
      <w:tr>
        <w:trPr>
          <w:cantSplit/>
        </w:trPr>
        <w:tc>
          <w:tcPr>
            <w:tcW w:w="0" w:type="auto"/>
            <w:gridSpan w:val="3"/>
            <w:tcBorders>
              <w:top w:val="single" w:sz="8" w:space="0" w:color="E48C32"/>
              <w:bottom w:val="single" w:sz="8" w:space="0" w:color="E48C32"/>
            </w:tcBorders>
            <w:shd w:val="clear" w:color="auto" w:fill="auto"/>
            <w:vAlign w:val="center"/>
          </w:tcPr>
          <w:p>
            <w:pPr>
              <w:pStyle w:val="AMPRTabletext-source"/>
              <w:rPr>
                <w:rFonts w:eastAsia="Calibri"/>
                <w:noProof/>
              </w:rPr>
            </w:pPr>
            <w:r>
              <w:rPr>
                <w:rStyle w:val="italics"/>
                <w:rFonts w:eastAsia="Calibri"/>
                <w:noProof/>
              </w:rPr>
              <w:t>Source</w:t>
            </w:r>
            <w:r>
              <w:rPr>
                <w:rFonts w:eastAsia="Calibri"/>
                <w:noProof/>
              </w:rPr>
              <w:t>: Eurobarometer on citizenship.</w:t>
            </w:r>
          </w:p>
          <w:p>
            <w:pPr>
              <w:pStyle w:val="AMPRTabletext-source"/>
              <w:rPr>
                <w:rFonts w:eastAsia="Calibri"/>
                <w:noProof/>
              </w:rPr>
            </w:pPr>
            <w:r>
              <w:rPr>
                <w:rFonts w:eastAsia="Calibri"/>
                <w:noProof/>
              </w:rPr>
              <w:t>[Baseline corrected by DG Communication: before: 42%]</w:t>
            </w:r>
          </w:p>
        </w:tc>
      </w:tr>
    </w:tbl>
    <w:p>
      <w:pPr>
        <w:pStyle w:val="Annex1Tableseparator"/>
        <w:rPr>
          <w:noProof/>
        </w:rPr>
      </w:pPr>
    </w:p>
    <w:tbl>
      <w:tblPr>
        <w:tblW w:w="9582" w:type="dxa"/>
        <w:tblInd w:w="108" w:type="dxa"/>
        <w:tblLook w:val="00A0" w:firstRow="1" w:lastRow="0" w:firstColumn="1" w:lastColumn="0" w:noHBand="0" w:noVBand="0"/>
      </w:tblPr>
      <w:tblGrid>
        <w:gridCol w:w="3092"/>
        <w:gridCol w:w="3372"/>
        <w:gridCol w:w="3118"/>
      </w:tblGrid>
      <w:tr>
        <w:trPr>
          <w:cantSplit/>
        </w:trPr>
        <w:tc>
          <w:tcPr>
            <w:tcW w:w="9582" w:type="dxa"/>
            <w:gridSpan w:val="3"/>
            <w:shd w:val="clear" w:color="auto" w:fill="E48C32"/>
            <w:vAlign w:val="center"/>
          </w:tcPr>
          <w:p>
            <w:pPr>
              <w:pStyle w:val="AMPRTabletext"/>
              <w:keepNext/>
              <w:spacing w:before="120" w:after="120"/>
              <w:rPr>
                <w:rFonts w:eastAsia="Calibri"/>
                <w:b/>
                <w:noProof/>
                <w:color w:val="FFFFFF"/>
                <w:sz w:val="20"/>
                <w:szCs w:val="20"/>
              </w:rPr>
            </w:pPr>
            <w:r>
              <w:rPr>
                <w:rFonts w:eastAsia="Calibri"/>
                <w:b/>
                <w:noProof/>
                <w:color w:val="FFFFFF"/>
                <w:sz w:val="20"/>
                <w:szCs w:val="20"/>
              </w:rPr>
              <w:t>26. Citizens experiencing discrimination or harassment</w:t>
            </w:r>
          </w:p>
        </w:tc>
      </w:tr>
      <w:tr>
        <w:trPr>
          <w:cantSplit/>
        </w:trPr>
        <w:tc>
          <w:tcPr>
            <w:tcW w:w="3092"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(2015)</w:t>
            </w:r>
          </w:p>
        </w:tc>
        <w:tc>
          <w:tcPr>
            <w:tcW w:w="3372"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w:t>
            </w:r>
          </w:p>
        </w:tc>
        <w:tc>
          <w:tcPr>
            <w:tcW w:w="3118" w:type="dxa"/>
            <w:tcBorders>
              <w:left w:val="single" w:sz="8" w:space="0" w:color="E48C32"/>
            </w:tcBorders>
            <w:shd w:val="clear" w:color="auto" w:fill="auto"/>
            <w:vAlign w:val="center"/>
          </w:tcPr>
          <w:p>
            <w:pPr>
              <w:pStyle w:val="AMPRTabletext"/>
              <w:keepNext/>
              <w:jc w:val="center"/>
              <w:rPr>
                <w:rFonts w:eastAsiaTheme="minorHAnsi"/>
                <w:b/>
                <w:noProof/>
                <w:color w:val="E48C32"/>
                <w:sz w:val="18"/>
                <w:szCs w:val="18"/>
                <w:u w:val="single"/>
              </w:rPr>
            </w:pPr>
            <w:r>
              <w:rPr>
                <w:rFonts w:eastAsia="Calibri"/>
                <w:b/>
                <w:noProof/>
                <w:color w:val="E48C32"/>
                <w:sz w:val="18"/>
                <w:szCs w:val="18"/>
                <w:u w:val="single"/>
              </w:rPr>
              <w:t>Target (2021)</w:t>
            </w:r>
          </w:p>
          <w:p>
            <w:pPr>
              <w:pStyle w:val="AMPRTabletext"/>
              <w:keepNext/>
              <w:jc w:val="center"/>
              <w:rPr>
                <w:rFonts w:eastAsia="Calibri"/>
                <w:b/>
                <w:noProof/>
                <w:color w:val="E48C32"/>
                <w:sz w:val="18"/>
                <w:szCs w:val="18"/>
              </w:rPr>
            </w:pPr>
            <w:r>
              <w:rPr>
                <w:rFonts w:eastAsiaTheme="minorHAnsi"/>
                <w:b/>
                <w:noProof/>
                <w:color w:val="E48C32"/>
                <w:sz w:val="18"/>
                <w:szCs w:val="18"/>
              </w:rPr>
              <w:t>The Eurobarometer takes place every 3</w:t>
            </w:r>
            <w:r>
              <w:rPr>
                <w:rFonts w:ascii="Calibri" w:eastAsiaTheme="minorHAnsi" w:hAnsi="Calibri" w:cs="Calibri"/>
                <w:b/>
                <w:noProof/>
                <w:color w:val="E48C32"/>
                <w:sz w:val="18"/>
                <w:szCs w:val="18"/>
              </w:rPr>
              <w:t> </w:t>
            </w:r>
            <w:r>
              <w:rPr>
                <w:rFonts w:eastAsiaTheme="minorHAnsi"/>
                <w:b/>
                <w:noProof/>
                <w:color w:val="E48C32"/>
                <w:sz w:val="18"/>
                <w:szCs w:val="18"/>
              </w:rPr>
              <w:t>years.</w:t>
            </w:r>
          </w:p>
        </w:tc>
      </w:tr>
      <w:tr>
        <w:trPr>
          <w:cantSplit/>
        </w:trPr>
        <w:tc>
          <w:tcPr>
            <w:tcW w:w="3092"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21%</w:t>
            </w:r>
          </w:p>
        </w:tc>
        <w:tc>
          <w:tcPr>
            <w:tcW w:w="3372"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Theme="minorHAnsi"/>
                <w:noProof/>
                <w:color w:val="000000" w:themeColor="text1"/>
                <w:sz w:val="18"/>
                <w:szCs w:val="18"/>
              </w:rPr>
            </w:pPr>
            <w:r>
              <w:rPr>
                <w:rFonts w:eastAsia="Calibri"/>
                <w:noProof/>
                <w:color w:val="000000" w:themeColor="text1"/>
                <w:sz w:val="18"/>
                <w:szCs w:val="18"/>
              </w:rPr>
              <w:t>Next survey planned for 2019</w:t>
            </w:r>
          </w:p>
        </w:tc>
        <w:tc>
          <w:tcPr>
            <w:tcW w:w="3118"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Decrease</w:t>
            </w:r>
          </w:p>
        </w:tc>
      </w:tr>
      <w:tr>
        <w:trPr>
          <w:cantSplit/>
        </w:trPr>
        <w:tc>
          <w:tcPr>
            <w:tcW w:w="0" w:type="auto"/>
            <w:gridSpan w:val="3"/>
            <w:tcBorders>
              <w:top w:val="single" w:sz="8" w:space="0" w:color="E48C32"/>
              <w:bottom w:val="single" w:sz="8" w:space="0" w:color="E48C32"/>
            </w:tcBorders>
            <w:shd w:val="clear" w:color="auto" w:fill="auto"/>
            <w:vAlign w:val="center"/>
          </w:tcPr>
          <w:p>
            <w:pPr>
              <w:pStyle w:val="AMPRTabletext-source"/>
              <w:rPr>
                <w:rFonts w:eastAsiaTheme="minorHAnsi"/>
                <w:noProof/>
              </w:rPr>
            </w:pPr>
            <w:r>
              <w:rPr>
                <w:rStyle w:val="italics"/>
                <w:rFonts w:eastAsiaTheme="minorHAnsi"/>
                <w:noProof/>
              </w:rPr>
              <w:t>Source</w:t>
            </w:r>
            <w:r>
              <w:rPr>
                <w:rFonts w:eastAsiaTheme="minorHAnsi"/>
                <w:i/>
                <w:noProof/>
              </w:rPr>
              <w:t>:</w:t>
            </w:r>
            <w:r>
              <w:rPr>
                <w:rFonts w:eastAsiaTheme="minorHAnsi"/>
                <w:noProof/>
              </w:rPr>
              <w:t xml:space="preserve"> Eurobarometer on discrimination.</w:t>
            </w:r>
          </w:p>
        </w:tc>
      </w:tr>
    </w:tbl>
    <w:p>
      <w:pPr>
        <w:pStyle w:val="Annex1Tableseparator"/>
        <w:rPr>
          <w:noProof/>
        </w:rPr>
      </w:pPr>
    </w:p>
    <w:tbl>
      <w:tblPr>
        <w:tblW w:w="9582" w:type="dxa"/>
        <w:tblInd w:w="108" w:type="dxa"/>
        <w:tblLook w:val="00A0" w:firstRow="1" w:lastRow="0" w:firstColumn="1" w:lastColumn="0" w:noHBand="0" w:noVBand="0"/>
      </w:tblPr>
      <w:tblGrid>
        <w:gridCol w:w="2273"/>
        <w:gridCol w:w="5273"/>
        <w:gridCol w:w="2036"/>
      </w:tblGrid>
      <w:tr>
        <w:trPr>
          <w:cantSplit/>
        </w:trPr>
        <w:tc>
          <w:tcPr>
            <w:tcW w:w="9582" w:type="dxa"/>
            <w:gridSpan w:val="3"/>
            <w:shd w:val="clear" w:color="auto" w:fill="E48C32"/>
            <w:vAlign w:val="center"/>
          </w:tcPr>
          <w:p>
            <w:pPr>
              <w:pStyle w:val="AMPRTabletext"/>
              <w:keepNext/>
              <w:spacing w:before="120" w:after="120"/>
              <w:rPr>
                <w:rFonts w:eastAsia="Calibri"/>
                <w:b/>
                <w:noProof/>
                <w:color w:val="FFFFFF"/>
                <w:sz w:val="20"/>
                <w:szCs w:val="20"/>
              </w:rPr>
            </w:pPr>
            <w:r>
              <w:rPr>
                <w:rFonts w:eastAsia="Calibri"/>
                <w:b/>
                <w:noProof/>
                <w:color w:val="FFFFFF"/>
                <w:sz w:val="20"/>
                <w:szCs w:val="20"/>
              </w:rPr>
              <w:t>27. Gender pay gap (GPG) in unadjusted form, EU-28</w:t>
            </w:r>
            <w:r>
              <w:rPr>
                <w:rStyle w:val="fnRef"/>
                <w:rFonts w:ascii="Arial" w:eastAsia="Calibri" w:hAnsi="Arial" w:cs="Arial"/>
                <w:noProof/>
                <w:color w:val="FFFFFF"/>
                <w:sz w:val="20"/>
              </w:rPr>
              <w:t> </w:t>
            </w:r>
            <w:r>
              <w:rPr>
                <w:rStyle w:val="fnRef"/>
                <w:rFonts w:eastAsia="Calibri"/>
                <w:b/>
                <w:noProof/>
                <w:color w:val="FFFFFF"/>
                <w:sz w:val="20"/>
              </w:rPr>
              <w:t>(</w:t>
            </w:r>
            <w:r>
              <w:rPr>
                <w:rStyle w:val="fnRefNo"/>
                <w:rFonts w:eastAsia="Calibri"/>
                <w:b/>
                <w:noProof/>
                <w:color w:val="FFFFFF"/>
                <w:sz w:val="20"/>
              </w:rPr>
              <w:footnoteReference w:id="12"/>
            </w:r>
            <w:r>
              <w:rPr>
                <w:rStyle w:val="fnRef"/>
                <w:rFonts w:eastAsia="Calibri"/>
                <w:b/>
                <w:noProof/>
                <w:color w:val="FFFFFF"/>
                <w:sz w:val="20"/>
              </w:rPr>
              <w:t>)</w:t>
            </w:r>
          </w:p>
        </w:tc>
      </w:tr>
      <w:tr>
        <w:trPr>
          <w:cantSplit/>
        </w:trPr>
        <w:tc>
          <w:tcPr>
            <w:tcW w:w="0" w:type="auto"/>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(2013)</w:t>
            </w:r>
          </w:p>
        </w:tc>
        <w:tc>
          <w:tcPr>
            <w:tcW w:w="0" w:type="auto"/>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(2016) (provisional)</w:t>
            </w:r>
          </w:p>
        </w:tc>
        <w:tc>
          <w:tcPr>
            <w:tcW w:w="0" w:type="auto"/>
            <w:tcBorders>
              <w:left w:val="single" w:sz="8" w:space="0" w:color="E48C32"/>
            </w:tcBorders>
            <w:shd w:val="clear" w:color="auto" w:fill="auto"/>
            <w:vAlign w:val="center"/>
          </w:tcPr>
          <w:p>
            <w:pPr>
              <w:pStyle w:val="AMPRTabletext"/>
              <w:keepNext/>
              <w:jc w:val="center"/>
              <w:rPr>
                <w:rFonts w:eastAsiaTheme="minorHAnsi"/>
                <w:b/>
                <w:noProof/>
                <w:color w:val="E48C32"/>
                <w:sz w:val="18"/>
                <w:szCs w:val="18"/>
              </w:rPr>
            </w:pPr>
            <w:r>
              <w:rPr>
                <w:rFonts w:eastAsia="Calibri"/>
                <w:b/>
                <w:noProof/>
                <w:color w:val="E48C32"/>
                <w:sz w:val="18"/>
                <w:szCs w:val="18"/>
              </w:rPr>
              <w:t>Target (2020)</w:t>
            </w:r>
            <w:r>
              <w:rPr>
                <w:rFonts w:eastAsiaTheme="minorHAnsi"/>
                <w:b/>
                <w:noProof/>
                <w:color w:val="E48C32"/>
                <w:sz w:val="18"/>
                <w:szCs w:val="18"/>
              </w:rPr>
              <w:t xml:space="preserve"> </w:t>
            </w:r>
          </w:p>
        </w:tc>
      </w:tr>
      <w:tr>
        <w:trPr>
          <w:cantSplit/>
        </w:trPr>
        <w:tc>
          <w:tcPr>
            <w:tcW w:w="0" w:type="auto"/>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16.8%</w:t>
            </w:r>
          </w:p>
        </w:tc>
        <w:tc>
          <w:tcPr>
            <w:tcW w:w="0" w:type="auto"/>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16.2%</w:t>
            </w:r>
          </w:p>
        </w:tc>
        <w:tc>
          <w:tcPr>
            <w:tcW w:w="0" w:type="auto"/>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Decrease</w:t>
            </w:r>
          </w:p>
        </w:tc>
      </w:tr>
      <w:tr>
        <w:trPr>
          <w:cantSplit/>
        </w:trPr>
        <w:tc>
          <w:tcPr>
            <w:tcW w:w="9582" w:type="dxa"/>
            <w:gridSpan w:val="3"/>
            <w:tcBorders>
              <w:top w:val="single" w:sz="8" w:space="0" w:color="E48C32"/>
              <w:bottom w:val="single" w:sz="8" w:space="0" w:color="E48C32"/>
            </w:tcBorders>
            <w:shd w:val="clear" w:color="auto" w:fill="auto"/>
            <w:vAlign w:val="center"/>
          </w:tcPr>
          <w:p>
            <w:pPr>
              <w:pStyle w:val="AMPRTabletext-source"/>
              <w:rPr>
                <w:rFonts w:eastAsiaTheme="minorHAnsi"/>
                <w:noProof/>
              </w:rPr>
            </w:pPr>
            <w:r>
              <w:rPr>
                <w:rStyle w:val="italics"/>
                <w:noProof/>
              </w:rPr>
              <w:t>Source</w:t>
            </w:r>
            <w:r>
              <w:rPr>
                <w:noProof/>
              </w:rPr>
              <w:t xml:space="preserve">: </w:t>
            </w:r>
            <w:hyperlink r:id="rId69" w:history="1">
              <w:r>
                <w:rPr>
                  <w:rStyle w:val="hyperlinkunderlined"/>
                  <w:rFonts w:eastAsiaTheme="minorHAnsi"/>
                  <w:noProof/>
                </w:rPr>
                <w:t>Eurostat</w:t>
              </w:r>
            </w:hyperlink>
            <w:r>
              <w:rPr>
                <w:rFonts w:eastAsiaTheme="minorHAnsi"/>
                <w:noProof/>
              </w:rPr>
              <w:t>.</w:t>
            </w:r>
          </w:p>
        </w:tc>
      </w:tr>
    </w:tbl>
    <w:p>
      <w:pPr>
        <w:pStyle w:val="Annex1Tableseparator"/>
        <w:rPr>
          <w:noProof/>
        </w:rPr>
      </w:pPr>
      <w:bookmarkStart w:id="39" w:name="_Toc511118099"/>
      <w:bookmarkStart w:id="40" w:name="_Toc6304463"/>
      <w:bookmarkStart w:id="41" w:name="_Toc8386186"/>
    </w:p>
    <w:p>
      <w:pPr>
        <w:pStyle w:val="Title2Annexes"/>
        <w:rPr>
          <w:noProof/>
        </w:rPr>
      </w:pPr>
      <w:bookmarkStart w:id="42" w:name="_Toc11679096"/>
      <w:r>
        <w:rPr>
          <w:noProof/>
        </w:rPr>
        <w:t>General objective: Towards a new policy on migration</w:t>
      </w:r>
      <w:r>
        <w:rPr>
          <w:rStyle w:val="fnRef"/>
          <w:rFonts w:ascii="Arial" w:hAnsi="Arial" w:cs="Arial"/>
          <w:b w:val="0"/>
          <w:noProof/>
        </w:rPr>
        <w:t> </w:t>
      </w:r>
      <w:r>
        <w:rPr>
          <w:rStyle w:val="fnRef"/>
          <w:b w:val="0"/>
          <w:noProof/>
        </w:rPr>
        <w:t>(</w:t>
      </w:r>
      <w:r>
        <w:rPr>
          <w:rStyle w:val="fnRefNo"/>
          <w:b w:val="0"/>
          <w:noProof/>
        </w:rPr>
        <w:footnoteReference w:id="13"/>
      </w:r>
      <w:r>
        <w:rPr>
          <w:rStyle w:val="fnRef"/>
          <w:b w:val="0"/>
          <w:noProof/>
        </w:rPr>
        <w:t>)</w:t>
      </w:r>
      <w:bookmarkEnd w:id="39"/>
      <w:bookmarkEnd w:id="40"/>
      <w:bookmarkEnd w:id="41"/>
      <w:bookmarkEnd w:id="42"/>
    </w:p>
    <w:tbl>
      <w:tblPr>
        <w:tblW w:w="9639" w:type="dxa"/>
        <w:tblInd w:w="108" w:type="dxa"/>
        <w:tblLook w:val="00A0" w:firstRow="1" w:lastRow="0" w:firstColumn="1" w:lastColumn="0" w:noHBand="0" w:noVBand="0"/>
      </w:tblPr>
      <w:tblGrid>
        <w:gridCol w:w="3213"/>
        <w:gridCol w:w="3214"/>
        <w:gridCol w:w="3212"/>
      </w:tblGrid>
      <w:tr>
        <w:tc>
          <w:tcPr>
            <w:tcW w:w="5000" w:type="pct"/>
            <w:gridSpan w:val="3"/>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28. Rate of return of irregular migrants (</w:t>
            </w:r>
            <w:r>
              <w:rPr>
                <w:rFonts w:eastAsia="Calibri"/>
                <w:b/>
                <w:noProof/>
                <w:color w:val="FFFFFF"/>
              </w:rPr>
              <w:footnoteReference w:id="14"/>
            </w:r>
            <w:r>
              <w:rPr>
                <w:rFonts w:eastAsia="Calibri"/>
                <w:b/>
                <w:noProof/>
                <w:color w:val="FFFFFF"/>
                <w:sz w:val="20"/>
                <w:szCs w:val="20"/>
              </w:rPr>
              <w:t xml:space="preserve">) </w:t>
            </w:r>
          </w:p>
          <w:p>
            <w:pPr>
              <w:pStyle w:val="AMPRTabletext"/>
              <w:keepNext/>
              <w:spacing w:before="120" w:after="120"/>
              <w:rPr>
                <w:rFonts w:eastAsia="Calibri"/>
                <w:b/>
                <w:noProof/>
                <w:color w:val="FFFFFF"/>
                <w:sz w:val="20"/>
                <w:szCs w:val="20"/>
              </w:rPr>
            </w:pPr>
            <w:r>
              <w:rPr>
                <w:rFonts w:eastAsia="Calibri"/>
                <w:b/>
                <w:noProof/>
                <w:color w:val="FFFFFF"/>
                <w:sz w:val="20"/>
                <w:szCs w:val="20"/>
              </w:rPr>
              <w:t xml:space="preserve">28.1. Explanation: The indicator measures the total return rate (number of persons returned divided by return decisions issued by the Member States) </w:t>
            </w:r>
          </w:p>
        </w:tc>
      </w:tr>
      <w:tr>
        <w:trPr>
          <w:cantSplit/>
        </w:trPr>
        <w:tc>
          <w:tcPr>
            <w:tcW w:w="1667" w:type="pct"/>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w:t>
            </w:r>
            <w:r>
              <w:rPr>
                <w:rStyle w:val="AMPRTextChar"/>
                <w:rFonts w:eastAsia="Calibri"/>
                <w:b/>
                <w:noProof/>
                <w:color w:val="E48C32"/>
                <w:sz w:val="18"/>
                <w:szCs w:val="18"/>
                <w:u w:val="single"/>
              </w:rPr>
              <w:t xml:space="preserve"> (2014)</w:t>
            </w:r>
          </w:p>
        </w:tc>
        <w:tc>
          <w:tcPr>
            <w:tcW w:w="1667" w:type="pct"/>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(2018)</w:t>
            </w:r>
          </w:p>
        </w:tc>
        <w:tc>
          <w:tcPr>
            <w:tcW w:w="1666" w:type="pct"/>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Target </w:t>
            </w:r>
            <w:r>
              <w:rPr>
                <w:rStyle w:val="AMPRTextChar"/>
                <w:rFonts w:eastAsia="Calibri"/>
                <w:b/>
                <w:noProof/>
                <w:color w:val="E48C32"/>
                <w:sz w:val="18"/>
                <w:szCs w:val="18"/>
                <w:u w:val="single"/>
              </w:rPr>
              <w:t>(2020)</w:t>
            </w:r>
          </w:p>
        </w:tc>
      </w:tr>
      <w:tr>
        <w:tc>
          <w:tcPr>
            <w:tcW w:w="1667" w:type="pct"/>
            <w:tcBorders>
              <w:bottom w:val="single" w:sz="8" w:space="0" w:color="E48C32"/>
              <w:right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41.8%</w:t>
            </w:r>
          </w:p>
        </w:tc>
        <w:tc>
          <w:tcPr>
            <w:tcW w:w="1667" w:type="pct"/>
            <w:tcBorders>
              <w:left w:val="single" w:sz="8" w:space="0" w:color="E48C32"/>
              <w:bottom w:val="single" w:sz="8" w:space="0" w:color="E48C32"/>
              <w:right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41.5%</w:t>
            </w:r>
          </w:p>
        </w:tc>
        <w:tc>
          <w:tcPr>
            <w:tcW w:w="1666" w:type="pct"/>
            <w:tcBorders>
              <w:left w:val="single" w:sz="8" w:space="0" w:color="E48C32"/>
              <w:bottom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Increase</w:t>
            </w:r>
          </w:p>
        </w:tc>
      </w:tr>
      <w:tr>
        <w:trPr>
          <w:cantSplit/>
        </w:trPr>
        <w:tc>
          <w:tcPr>
            <w:tcW w:w="0" w:type="auto"/>
            <w:gridSpan w:val="3"/>
            <w:tcBorders>
              <w:top w:val="single" w:sz="8" w:space="0" w:color="E48C32"/>
              <w:bottom w:val="single" w:sz="8" w:space="0" w:color="E48C32"/>
            </w:tcBorders>
            <w:shd w:val="clear" w:color="auto" w:fill="auto"/>
            <w:vAlign w:val="center"/>
          </w:tcPr>
          <w:p>
            <w:pPr>
              <w:pStyle w:val="AMPRTabletext-source"/>
              <w:rPr>
                <w:noProof/>
              </w:rPr>
            </w:pPr>
            <w:r>
              <w:rPr>
                <w:rStyle w:val="italics"/>
                <w:noProof/>
              </w:rPr>
              <w:t>Source</w:t>
            </w:r>
            <w:r>
              <w:rPr>
                <w:noProof/>
              </w:rPr>
              <w:t xml:space="preserve">: </w:t>
            </w:r>
            <w:hyperlink r:id="rId70" w:history="1">
              <w:r>
                <w:rPr>
                  <w:rStyle w:val="hyperlinkunderlined"/>
                  <w:rFonts w:eastAsiaTheme="minorHAnsi"/>
                  <w:noProof/>
                </w:rPr>
                <w:t>Eurostat</w:t>
              </w:r>
            </w:hyperlink>
            <w:r>
              <w:rPr>
                <w:rStyle w:val="hyperlinkunderlined"/>
                <w:rFonts w:eastAsiaTheme="minorHAnsi"/>
                <w:noProof/>
                <w:u w:val="none"/>
              </w:rPr>
              <w:t> (</w:t>
            </w:r>
            <w:r>
              <w:rPr>
                <w:rStyle w:val="fnRefNo"/>
                <w:rFonts w:eastAsia="Calibri"/>
                <w:noProof/>
              </w:rPr>
              <w:footnoteReference w:id="15"/>
            </w:r>
            <w:r>
              <w:rPr>
                <w:rStyle w:val="fnRef"/>
                <w:rFonts w:eastAsia="Calibri"/>
                <w:noProof/>
              </w:rPr>
              <w:t>)</w:t>
            </w:r>
            <w:r>
              <w:rPr>
                <w:rFonts w:eastAsia="Calibri"/>
                <w:noProof/>
              </w:rPr>
              <w:t xml:space="preserve">: Return decisions; </w:t>
            </w:r>
            <w:hyperlink r:id="rId71" w:history="1">
              <w:r>
                <w:rPr>
                  <w:rStyle w:val="hyperlinkunderlined"/>
                  <w:rFonts w:eastAsia="SimSun"/>
                  <w:noProof/>
                  <w:u w:val="none"/>
                </w:rPr>
                <w:t>Eurostat</w:t>
              </w:r>
            </w:hyperlink>
            <w:r>
              <w:rPr>
                <w:rFonts w:eastAsia="SimSun"/>
                <w:noProof/>
              </w:rPr>
              <w:t>:</w:t>
            </w:r>
            <w:r>
              <w:rPr>
                <w:noProof/>
              </w:rPr>
              <w:t xml:space="preserve"> Total number of persons returned. </w:t>
            </w:r>
          </w:p>
        </w:tc>
      </w:tr>
    </w:tbl>
    <w:p>
      <w:pPr>
        <w:pStyle w:val="Annex1Tableseparator"/>
        <w:rPr>
          <w:noProof/>
        </w:rPr>
      </w:pPr>
    </w:p>
    <w:tbl>
      <w:tblPr>
        <w:tblW w:w="9639" w:type="dxa"/>
        <w:tblInd w:w="108" w:type="dxa"/>
        <w:tblLook w:val="00A0" w:firstRow="1" w:lastRow="0" w:firstColumn="1" w:lastColumn="0" w:noHBand="0" w:noVBand="0"/>
      </w:tblPr>
      <w:tblGrid>
        <w:gridCol w:w="3213"/>
        <w:gridCol w:w="3214"/>
        <w:gridCol w:w="3212"/>
      </w:tblGrid>
      <w:tr>
        <w:tc>
          <w:tcPr>
            <w:tcW w:w="5000" w:type="pct"/>
            <w:gridSpan w:val="3"/>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28.2. Explanation: The indicator measures the % of effective returns to non-EU countries (returns to non-EU countries divided by return decisions issued by the Member States)</w:t>
            </w:r>
          </w:p>
        </w:tc>
      </w:tr>
      <w:tr>
        <w:tc>
          <w:tcPr>
            <w:tcW w:w="1667" w:type="pct"/>
            <w:tcBorders>
              <w:right w:val="single" w:sz="8" w:space="0" w:color="E48C32"/>
            </w:tcBorders>
            <w:shd w:val="clear" w:color="auto" w:fill="auto"/>
          </w:tcPr>
          <w:p>
            <w:pPr>
              <w:pStyle w:val="AMPRTabletext"/>
              <w:keepNext/>
              <w:jc w:val="center"/>
              <w:rPr>
                <w:b/>
                <w:noProof/>
                <w:color w:val="E48C32"/>
                <w:sz w:val="18"/>
                <w:szCs w:val="18"/>
                <w:u w:val="single"/>
              </w:rPr>
            </w:pPr>
            <w:r>
              <w:rPr>
                <w:rFonts w:eastAsia="Calibri"/>
                <w:b/>
                <w:noProof/>
                <w:color w:val="E48C32"/>
                <w:sz w:val="18"/>
                <w:szCs w:val="18"/>
                <w:u w:val="single"/>
              </w:rPr>
              <w:t>Baseline</w:t>
            </w:r>
            <w:r>
              <w:rPr>
                <w:rStyle w:val="AMPRTextChar"/>
                <w:rFonts w:eastAsia="Calibri"/>
                <w:b/>
                <w:noProof/>
                <w:color w:val="E48C32"/>
                <w:sz w:val="18"/>
                <w:szCs w:val="18"/>
                <w:u w:val="single"/>
              </w:rPr>
              <w:t xml:space="preserve"> (2014)</w:t>
            </w:r>
          </w:p>
        </w:tc>
        <w:tc>
          <w:tcPr>
            <w:tcW w:w="1667" w:type="pct"/>
            <w:tcBorders>
              <w:left w:val="single" w:sz="8" w:space="0" w:color="E48C32"/>
              <w:right w:val="single" w:sz="8" w:space="0" w:color="E48C32"/>
            </w:tcBorders>
            <w:shd w:val="clear" w:color="auto" w:fill="auto"/>
          </w:tcPr>
          <w:p>
            <w:pPr>
              <w:pStyle w:val="AMPRTabletext"/>
              <w:keepNext/>
              <w:jc w:val="center"/>
              <w:rPr>
                <w:b/>
                <w:noProof/>
                <w:color w:val="E48C32"/>
                <w:sz w:val="18"/>
                <w:szCs w:val="18"/>
                <w:u w:val="single"/>
              </w:rPr>
            </w:pPr>
            <w:r>
              <w:rPr>
                <w:rFonts w:eastAsia="Calibri"/>
                <w:b/>
                <w:noProof/>
                <w:color w:val="E48C32"/>
                <w:sz w:val="18"/>
                <w:szCs w:val="18"/>
                <w:u w:val="single"/>
              </w:rPr>
              <w:t>Latest known value (2018)</w:t>
            </w:r>
          </w:p>
        </w:tc>
        <w:tc>
          <w:tcPr>
            <w:tcW w:w="1666" w:type="pct"/>
            <w:tcBorders>
              <w:left w:val="single" w:sz="8" w:space="0" w:color="E48C32"/>
            </w:tcBorders>
            <w:shd w:val="clear" w:color="auto" w:fill="auto"/>
          </w:tcPr>
          <w:p>
            <w:pPr>
              <w:pStyle w:val="AMPRTabletext"/>
              <w:keepNext/>
              <w:jc w:val="center"/>
              <w:rPr>
                <w:b/>
                <w:noProof/>
                <w:color w:val="E48C32"/>
                <w:sz w:val="18"/>
                <w:szCs w:val="18"/>
                <w:u w:val="single"/>
              </w:rPr>
            </w:pPr>
            <w:r>
              <w:rPr>
                <w:rFonts w:eastAsia="Calibri"/>
                <w:b/>
                <w:noProof/>
                <w:color w:val="E48C32"/>
                <w:sz w:val="18"/>
                <w:szCs w:val="18"/>
                <w:u w:val="single"/>
              </w:rPr>
              <w:t>Target</w:t>
            </w:r>
            <w:r>
              <w:rPr>
                <w:rStyle w:val="AMPRTextChar"/>
                <w:rFonts w:eastAsia="Calibri"/>
                <w:b/>
                <w:noProof/>
                <w:color w:val="E48C32"/>
                <w:sz w:val="18"/>
                <w:szCs w:val="18"/>
                <w:u w:val="single"/>
              </w:rPr>
              <w:t>(2020)</w:t>
            </w:r>
          </w:p>
        </w:tc>
      </w:tr>
      <w:tr>
        <w:tc>
          <w:tcPr>
            <w:tcW w:w="1667" w:type="pct"/>
            <w:tcBorders>
              <w:bottom w:val="single" w:sz="8" w:space="0" w:color="E48C32"/>
              <w:right w:val="single" w:sz="8" w:space="0" w:color="E48C32"/>
            </w:tcBorders>
            <w:shd w:val="clear" w:color="auto" w:fill="auto"/>
          </w:tcPr>
          <w:p>
            <w:pPr>
              <w:pStyle w:val="AMPRTabletext"/>
              <w:keepNext/>
              <w:jc w:val="center"/>
              <w:rPr>
                <w:noProof/>
                <w:color w:val="000000" w:themeColor="text1"/>
                <w:sz w:val="18"/>
                <w:szCs w:val="18"/>
              </w:rPr>
            </w:pPr>
            <w:r>
              <w:rPr>
                <w:noProof/>
                <w:color w:val="000000" w:themeColor="text1"/>
                <w:sz w:val="18"/>
                <w:szCs w:val="18"/>
              </w:rPr>
              <w:t>36.2%</w:t>
            </w:r>
          </w:p>
        </w:tc>
        <w:tc>
          <w:tcPr>
            <w:tcW w:w="1667" w:type="pct"/>
            <w:tcBorders>
              <w:left w:val="single" w:sz="8" w:space="0" w:color="E48C32"/>
              <w:bottom w:val="single" w:sz="8" w:space="0" w:color="E48C32"/>
              <w:right w:val="single" w:sz="8" w:space="0" w:color="E48C32"/>
            </w:tcBorders>
            <w:shd w:val="clear" w:color="auto" w:fill="auto"/>
          </w:tcPr>
          <w:p>
            <w:pPr>
              <w:pStyle w:val="AMPRTabletext"/>
              <w:keepNext/>
              <w:jc w:val="center"/>
              <w:rPr>
                <w:noProof/>
                <w:color w:val="000000" w:themeColor="text1"/>
                <w:sz w:val="18"/>
                <w:szCs w:val="18"/>
              </w:rPr>
            </w:pPr>
            <w:r>
              <w:rPr>
                <w:noProof/>
                <w:color w:val="000000" w:themeColor="text1"/>
                <w:sz w:val="18"/>
                <w:szCs w:val="18"/>
              </w:rPr>
              <w:t>35.6%</w:t>
            </w:r>
          </w:p>
        </w:tc>
        <w:tc>
          <w:tcPr>
            <w:tcW w:w="1666" w:type="pct"/>
            <w:tcBorders>
              <w:left w:val="single" w:sz="8" w:space="0" w:color="E48C32"/>
              <w:bottom w:val="single" w:sz="8" w:space="0" w:color="E48C32"/>
            </w:tcBorders>
            <w:shd w:val="clear" w:color="auto" w:fill="auto"/>
          </w:tcPr>
          <w:p>
            <w:pPr>
              <w:pStyle w:val="AMPRTabletext"/>
              <w:keepNext/>
              <w:jc w:val="center"/>
              <w:rPr>
                <w:noProof/>
                <w:color w:val="000000" w:themeColor="text1"/>
                <w:sz w:val="18"/>
                <w:szCs w:val="18"/>
              </w:rPr>
            </w:pPr>
            <w:r>
              <w:rPr>
                <w:noProof/>
                <w:color w:val="000000" w:themeColor="text1"/>
                <w:sz w:val="18"/>
                <w:szCs w:val="18"/>
              </w:rPr>
              <w:t>Increase</w:t>
            </w:r>
          </w:p>
        </w:tc>
      </w:tr>
      <w:tr>
        <w:trPr>
          <w:cantSplit/>
        </w:trPr>
        <w:tc>
          <w:tcPr>
            <w:tcW w:w="0" w:type="auto"/>
            <w:gridSpan w:val="3"/>
            <w:tcBorders>
              <w:top w:val="single" w:sz="8" w:space="0" w:color="E48C32"/>
              <w:bottom w:val="single" w:sz="8" w:space="0" w:color="E48C32"/>
            </w:tcBorders>
            <w:shd w:val="clear" w:color="auto" w:fill="auto"/>
            <w:vAlign w:val="center"/>
          </w:tcPr>
          <w:p>
            <w:pPr>
              <w:pStyle w:val="AMPRTabletext-source"/>
              <w:rPr>
                <w:rFonts w:eastAsia="Calibri"/>
                <w:noProof/>
              </w:rPr>
            </w:pPr>
            <w:r>
              <w:rPr>
                <w:rStyle w:val="italics"/>
                <w:noProof/>
              </w:rPr>
              <w:t>Source</w:t>
            </w:r>
            <w:r>
              <w:rPr>
                <w:noProof/>
              </w:rPr>
              <w:t xml:space="preserve">: </w:t>
            </w:r>
            <w:hyperlink r:id="rId72" w:history="1">
              <w:r>
                <w:rPr>
                  <w:rStyle w:val="hyperlinkunderlined"/>
                  <w:rFonts w:eastAsiaTheme="minorHAnsi"/>
                  <w:noProof/>
                </w:rPr>
                <w:t>Eurostat</w:t>
              </w:r>
            </w:hyperlink>
            <w:r>
              <w:rPr>
                <w:rFonts w:eastAsia="Calibri"/>
                <w:noProof/>
              </w:rPr>
              <w:t xml:space="preserve">: Return decisions; </w:t>
            </w:r>
            <w:hyperlink r:id="rId73" w:history="1">
              <w:r>
                <w:rPr>
                  <w:rStyle w:val="hyperlinkunderlined"/>
                  <w:rFonts w:eastAsia="Calibri"/>
                  <w:noProof/>
                  <w:u w:val="none"/>
                </w:rPr>
                <w:t>Eurostat</w:t>
              </w:r>
            </w:hyperlink>
            <w:r>
              <w:rPr>
                <w:rFonts w:eastAsia="Calibri"/>
                <w:noProof/>
              </w:rPr>
              <w:t xml:space="preserve">: Returns to non-EU countries. </w:t>
            </w:r>
          </w:p>
        </w:tc>
      </w:tr>
    </w:tbl>
    <w:p>
      <w:pPr>
        <w:pStyle w:val="Annex1Tableseparator"/>
        <w:rPr>
          <w:noProof/>
        </w:rPr>
      </w:pPr>
    </w:p>
    <w:tbl>
      <w:tblPr>
        <w:tblW w:w="9639" w:type="dxa"/>
        <w:tblInd w:w="108" w:type="dxa"/>
        <w:tblLook w:val="00A0" w:firstRow="1" w:lastRow="0" w:firstColumn="1" w:lastColumn="0" w:noHBand="0" w:noVBand="0"/>
      </w:tblPr>
      <w:tblGrid>
        <w:gridCol w:w="3213"/>
        <w:gridCol w:w="3214"/>
        <w:gridCol w:w="3212"/>
      </w:tblGrid>
      <w:tr>
        <w:tc>
          <w:tcPr>
            <w:tcW w:w="5000" w:type="pct"/>
            <w:gridSpan w:val="3"/>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29. Gap between the employment rates of third-country nationals compared to EU nationals</w:t>
            </w:r>
            <w:r>
              <w:rPr>
                <w:rStyle w:val="fnRef"/>
                <w:rFonts w:ascii="Arial" w:eastAsia="Calibri" w:hAnsi="Arial" w:cs="Arial"/>
                <w:noProof/>
                <w:color w:val="FFFFFF"/>
                <w:sz w:val="20"/>
              </w:rPr>
              <w:t> </w:t>
            </w:r>
            <w:r>
              <w:rPr>
                <w:rStyle w:val="fnRef"/>
                <w:rFonts w:eastAsia="Calibri"/>
                <w:b/>
                <w:noProof/>
                <w:color w:val="FFFFFF"/>
                <w:sz w:val="20"/>
              </w:rPr>
              <w:t>(</w:t>
            </w:r>
            <w:r>
              <w:rPr>
                <w:rStyle w:val="fnRefNo"/>
                <w:rFonts w:eastAsia="Calibri"/>
                <w:b/>
                <w:noProof/>
                <w:color w:val="FFFFFF"/>
                <w:sz w:val="20"/>
              </w:rPr>
              <w:footnoteReference w:id="16"/>
            </w:r>
            <w:r>
              <w:rPr>
                <w:rStyle w:val="fnRef"/>
                <w:rFonts w:eastAsia="Calibri"/>
                <w:b/>
                <w:noProof/>
                <w:color w:val="FFFFFF"/>
                <w:sz w:val="20"/>
              </w:rPr>
              <w:t>)</w:t>
            </w:r>
            <w:r>
              <w:rPr>
                <w:rFonts w:eastAsia="Calibri"/>
                <w:b/>
                <w:noProof/>
                <w:color w:val="FFFFFF"/>
                <w:sz w:val="20"/>
                <w:szCs w:val="20"/>
              </w:rPr>
              <w:t>, age group 20-64</w:t>
            </w:r>
          </w:p>
        </w:tc>
      </w:tr>
      <w:tr>
        <w:trPr>
          <w:cantSplit/>
        </w:trPr>
        <w:tc>
          <w:tcPr>
            <w:tcW w:w="1667" w:type="pct"/>
            <w:tcBorders>
              <w:righ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w:t>
            </w:r>
            <w:r>
              <w:rPr>
                <w:rStyle w:val="AMPRTextChar"/>
                <w:rFonts w:eastAsia="Calibri"/>
                <w:b/>
                <w:noProof/>
                <w:color w:val="E48C32"/>
                <w:sz w:val="18"/>
                <w:szCs w:val="18"/>
                <w:u w:val="single"/>
              </w:rPr>
              <w:t xml:space="preserve"> (2014)</w:t>
            </w:r>
          </w:p>
        </w:tc>
        <w:tc>
          <w:tcPr>
            <w:tcW w:w="1667" w:type="pct"/>
            <w:tcBorders>
              <w:left w:val="single" w:sz="8" w:space="0" w:color="E48C32"/>
              <w:righ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(2018)</w:t>
            </w:r>
          </w:p>
        </w:tc>
        <w:tc>
          <w:tcPr>
            <w:tcW w:w="1666" w:type="pct"/>
            <w:tcBorders>
              <w:lef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Target </w:t>
            </w:r>
            <w:r>
              <w:rPr>
                <w:rStyle w:val="AMPRTextChar"/>
                <w:rFonts w:eastAsia="Calibri"/>
                <w:b/>
                <w:noProof/>
                <w:color w:val="E48C32"/>
                <w:sz w:val="18"/>
                <w:szCs w:val="18"/>
                <w:u w:val="single"/>
              </w:rPr>
              <w:t>(2020)</w:t>
            </w:r>
          </w:p>
        </w:tc>
      </w:tr>
      <w:tr>
        <w:trPr>
          <w:cantSplit/>
        </w:trPr>
        <w:tc>
          <w:tcPr>
            <w:tcW w:w="1667" w:type="pct"/>
            <w:tcBorders>
              <w:bottom w:val="single" w:sz="8" w:space="0" w:color="E48C32"/>
              <w:right w:val="single" w:sz="8" w:space="0" w:color="E48C32"/>
            </w:tcBorders>
            <w:shd w:val="clear" w:color="auto" w:fill="auto"/>
          </w:tcPr>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Gap: 13.4</w:t>
            </w:r>
            <w:r>
              <w:rPr>
                <w:rFonts w:ascii="Calibri" w:eastAsiaTheme="minorHAnsi" w:hAnsi="Calibri" w:cs="Calibri"/>
                <w:noProof/>
                <w:color w:val="000000" w:themeColor="text1"/>
                <w:sz w:val="18"/>
                <w:szCs w:val="18"/>
              </w:rPr>
              <w:t> </w:t>
            </w:r>
            <w:r>
              <w:rPr>
                <w:rFonts w:eastAsiaTheme="minorHAnsi"/>
                <w:noProof/>
                <w:color w:val="000000" w:themeColor="text1"/>
                <w:sz w:val="18"/>
                <w:szCs w:val="18"/>
              </w:rPr>
              <w:t>points</w:t>
            </w:r>
          </w:p>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EU nationals: 69.8%</w:t>
            </w:r>
          </w:p>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Third-country nationals: 56.4%</w:t>
            </w:r>
          </w:p>
        </w:tc>
        <w:tc>
          <w:tcPr>
            <w:tcW w:w="1667" w:type="pct"/>
            <w:tcBorders>
              <w:left w:val="single" w:sz="8" w:space="0" w:color="E48C32"/>
              <w:bottom w:val="single" w:sz="8" w:space="0" w:color="E48C32"/>
              <w:right w:val="single" w:sz="8" w:space="0" w:color="E48C32"/>
            </w:tcBorders>
            <w:shd w:val="clear" w:color="auto" w:fill="auto"/>
          </w:tcPr>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Gap: 14.6</w:t>
            </w:r>
            <w:r>
              <w:rPr>
                <w:rFonts w:ascii="Calibri" w:eastAsiaTheme="minorHAnsi" w:hAnsi="Calibri" w:cs="Calibri"/>
                <w:noProof/>
                <w:color w:val="000000" w:themeColor="text1"/>
                <w:sz w:val="18"/>
                <w:szCs w:val="18"/>
              </w:rPr>
              <w:t> </w:t>
            </w:r>
            <w:r>
              <w:rPr>
                <w:rFonts w:eastAsiaTheme="minorHAnsi"/>
                <w:noProof/>
                <w:color w:val="000000" w:themeColor="text1"/>
                <w:sz w:val="18"/>
                <w:szCs w:val="18"/>
              </w:rPr>
              <w:t>points</w:t>
            </w:r>
          </w:p>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EU nationals: 73.9%</w:t>
            </w:r>
          </w:p>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Third-country nationals: 59.3%</w:t>
            </w:r>
          </w:p>
        </w:tc>
        <w:tc>
          <w:tcPr>
            <w:tcW w:w="1666" w:type="pct"/>
            <w:tcBorders>
              <w:left w:val="single" w:sz="8" w:space="0" w:color="E48C32"/>
              <w:bottom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Decrease</w:t>
            </w:r>
          </w:p>
        </w:tc>
      </w:tr>
      <w:tr>
        <w:trPr>
          <w:cantSplit/>
        </w:trPr>
        <w:tc>
          <w:tcPr>
            <w:tcW w:w="5000" w:type="pct"/>
            <w:gridSpan w:val="3"/>
            <w:tcBorders>
              <w:top w:val="single" w:sz="8" w:space="0" w:color="E48C32"/>
              <w:bottom w:val="single" w:sz="8" w:space="0" w:color="E48C32"/>
            </w:tcBorders>
            <w:shd w:val="clear" w:color="auto" w:fill="auto"/>
            <w:vAlign w:val="center"/>
          </w:tcPr>
          <w:p>
            <w:pPr>
              <w:pStyle w:val="AMPRTabletext-source"/>
              <w:rPr>
                <w:noProof/>
              </w:rPr>
            </w:pPr>
            <w:r>
              <w:rPr>
                <w:i/>
                <w:noProof/>
              </w:rPr>
              <w:t>Source</w:t>
            </w:r>
            <w:r>
              <w:rPr>
                <w:noProof/>
              </w:rPr>
              <w:t xml:space="preserve">: </w:t>
            </w:r>
            <w:hyperlink r:id="rId74" w:history="1">
              <w:r>
                <w:rPr>
                  <w:noProof/>
                  <w:u w:val="single"/>
                </w:rPr>
                <w:t>Eurostat</w:t>
              </w:r>
            </w:hyperlink>
            <w:r>
              <w:rPr>
                <w:rStyle w:val="hyperlinkunderlined"/>
                <w:rFonts w:eastAsiaTheme="minorHAnsi"/>
                <w:noProof/>
              </w:rPr>
              <w:t>.</w:t>
            </w:r>
          </w:p>
        </w:tc>
      </w:tr>
    </w:tbl>
    <w:p>
      <w:pPr>
        <w:pStyle w:val="Annex1Tableseparator"/>
        <w:rPr>
          <w:noProof/>
        </w:rPr>
      </w:pPr>
      <w:bookmarkStart w:id="43" w:name="_Toc511118100"/>
    </w:p>
    <w:p>
      <w:pPr>
        <w:pStyle w:val="Title2Annexes"/>
        <w:rPr>
          <w:noProof/>
        </w:rPr>
      </w:pPr>
      <w:bookmarkStart w:id="44" w:name="_Toc6304464"/>
      <w:bookmarkStart w:id="45" w:name="_Toc8386187"/>
      <w:bookmarkStart w:id="46" w:name="_Toc11679097"/>
      <w:r>
        <w:rPr>
          <w:noProof/>
        </w:rPr>
        <w:t>General objective: A stronger global actor</w:t>
      </w:r>
      <w:bookmarkEnd w:id="43"/>
      <w:bookmarkEnd w:id="44"/>
      <w:bookmarkEnd w:id="45"/>
      <w:bookmarkEnd w:id="46"/>
    </w:p>
    <w:tbl>
      <w:tblPr>
        <w:tblW w:w="9639" w:type="dxa"/>
        <w:tblInd w:w="108" w:type="dxa"/>
        <w:tblLook w:val="00A0" w:firstRow="1" w:lastRow="0" w:firstColumn="1" w:lastColumn="0" w:noHBand="0" w:noVBand="0"/>
      </w:tblPr>
      <w:tblGrid>
        <w:gridCol w:w="3462"/>
        <w:gridCol w:w="3906"/>
        <w:gridCol w:w="2271"/>
      </w:tblGrid>
      <w:tr>
        <w:tc>
          <w:tcPr>
            <w:tcW w:w="0" w:type="auto"/>
            <w:gridSpan w:val="3"/>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30. Gross domestic product per capita (current prices, purchasing power standard) as % of EU level in countries that are candidates or potential candidates for EU accession</w:t>
            </w:r>
          </w:p>
        </w:tc>
      </w:tr>
      <w:tr>
        <w:trPr>
          <w:cantSplit/>
        </w:trPr>
        <w:tc>
          <w:tcPr>
            <w:tcW w:w="0" w:type="auto"/>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(2014)</w:t>
            </w:r>
          </w:p>
        </w:tc>
        <w:tc>
          <w:tcPr>
            <w:tcW w:w="0" w:type="auto"/>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0" w:type="auto"/>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(2020)</w:t>
            </w:r>
          </w:p>
        </w:tc>
      </w:tr>
      <w:tr>
        <w:trPr>
          <w:cantSplit/>
        </w:trPr>
        <w:tc>
          <w:tcPr>
            <w:tcW w:w="0" w:type="auto"/>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 xml:space="preserve">34% for Western Balkans </w:t>
            </w:r>
          </w:p>
          <w:p>
            <w:pPr>
              <w:pStyle w:val="AMPRTabletext"/>
              <w:keepNext/>
              <w:jc w:val="center"/>
              <w:rPr>
                <w:rFonts w:eastAsia="Calibri"/>
                <w:noProof/>
                <w:color w:val="000000" w:themeColor="text1"/>
                <w:sz w:val="18"/>
                <w:szCs w:val="18"/>
              </w:rPr>
            </w:pPr>
            <w:r>
              <w:rPr>
                <w:rFonts w:eastAsia="Calibri"/>
                <w:noProof/>
                <w:color w:val="000000" w:themeColor="text1"/>
                <w:sz w:val="18"/>
                <w:szCs w:val="18"/>
              </w:rPr>
              <w:t xml:space="preserve">(excluding </w:t>
            </w:r>
            <w:r>
              <w:rPr>
                <w:rFonts w:eastAsia="Calibri"/>
                <w:noProof/>
                <w:color w:val="auto"/>
                <w:sz w:val="18"/>
                <w:szCs w:val="18"/>
              </w:rPr>
              <w:t>Kosovo</w:t>
            </w:r>
            <w:r>
              <w:rPr>
                <w:rStyle w:val="fnRef"/>
                <w:rFonts w:ascii="Arial" w:eastAsia="Calibri" w:hAnsi="Arial" w:cs="Arial"/>
                <w:noProof/>
                <w:color w:val="auto"/>
                <w:sz w:val="20"/>
              </w:rPr>
              <w:t> </w:t>
            </w:r>
            <w:r>
              <w:rPr>
                <w:rStyle w:val="fnRef"/>
                <w:rFonts w:eastAsia="Calibri"/>
                <w:noProof/>
                <w:color w:val="auto"/>
                <w:sz w:val="20"/>
              </w:rPr>
              <w:t>(</w:t>
            </w:r>
            <w:bookmarkStart w:id="47" w:name="_Ref471809544"/>
            <w:r>
              <w:rPr>
                <w:rStyle w:val="fnRefNo"/>
                <w:rFonts w:eastAsia="Calibri"/>
                <w:noProof/>
                <w:color w:val="auto"/>
                <w:sz w:val="20"/>
              </w:rPr>
              <w:footnoteReference w:id="17"/>
            </w:r>
            <w:bookmarkEnd w:id="47"/>
            <w:r>
              <w:rPr>
                <w:rStyle w:val="fnRef"/>
                <w:rFonts w:eastAsia="Calibri"/>
                <w:noProof/>
                <w:color w:val="auto"/>
                <w:sz w:val="20"/>
              </w:rPr>
              <w:t>))</w:t>
            </w:r>
          </w:p>
          <w:p>
            <w:pPr>
              <w:pStyle w:val="AMPRTabletext"/>
              <w:keepNext/>
              <w:jc w:val="center"/>
              <w:rPr>
                <w:rFonts w:eastAsia="Calibri"/>
                <w:noProof/>
                <w:color w:val="000000" w:themeColor="text1"/>
                <w:sz w:val="18"/>
                <w:szCs w:val="18"/>
              </w:rPr>
            </w:pPr>
            <w:r>
              <w:rPr>
                <w:rFonts w:eastAsia="Calibri"/>
                <w:noProof/>
                <w:color w:val="000000" w:themeColor="text1"/>
                <w:sz w:val="18"/>
                <w:szCs w:val="18"/>
              </w:rPr>
              <w:t>64% for Turkey</w:t>
            </w:r>
          </w:p>
        </w:tc>
        <w:tc>
          <w:tcPr>
            <w:tcW w:w="0" w:type="auto"/>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35% for Western Balkans</w:t>
            </w:r>
          </w:p>
          <w:p>
            <w:pPr>
              <w:pStyle w:val="AMPRTabletext"/>
              <w:keepNext/>
              <w:jc w:val="center"/>
              <w:rPr>
                <w:rFonts w:eastAsia="Calibri"/>
                <w:noProof/>
                <w:color w:val="000000" w:themeColor="text1"/>
                <w:sz w:val="18"/>
                <w:szCs w:val="18"/>
              </w:rPr>
            </w:pPr>
            <w:r>
              <w:rPr>
                <w:rFonts w:eastAsia="Calibri"/>
                <w:noProof/>
                <w:color w:val="000000" w:themeColor="text1"/>
                <w:sz w:val="18"/>
                <w:szCs w:val="18"/>
              </w:rPr>
              <w:t xml:space="preserve">(excluding </w:t>
            </w:r>
            <w:r>
              <w:rPr>
                <w:rFonts w:eastAsia="Calibri"/>
                <w:noProof/>
                <w:color w:val="auto"/>
                <w:sz w:val="18"/>
                <w:szCs w:val="18"/>
              </w:rPr>
              <w:t>Kosovo</w:t>
            </w:r>
            <w:r>
              <w:rPr>
                <w:rStyle w:val="fnRef"/>
                <w:rFonts w:ascii="Arial" w:eastAsia="Calibri" w:hAnsi="Arial" w:cs="Arial"/>
                <w:noProof/>
                <w:color w:val="auto"/>
                <w:sz w:val="20"/>
              </w:rPr>
              <w:t> </w:t>
            </w:r>
            <w:r>
              <w:rPr>
                <w:rStyle w:val="fnRef"/>
                <w:rFonts w:eastAsia="Calibri"/>
                <w:noProof/>
                <w:color w:val="auto"/>
                <w:sz w:val="20"/>
              </w:rPr>
              <w:t>(</w:t>
            </w:r>
            <w:r>
              <w:rPr>
                <w:rStyle w:val="fnRefNo"/>
                <w:rFonts w:eastAsia="Calibri"/>
                <w:noProof/>
                <w:color w:val="auto"/>
                <w:sz w:val="20"/>
              </w:rPr>
              <w:footnoteReference w:id="18"/>
            </w:r>
            <w:r>
              <w:rPr>
                <w:rStyle w:val="fnRef"/>
                <w:rFonts w:eastAsia="Calibri"/>
                <w:noProof/>
                <w:color w:val="auto"/>
                <w:sz w:val="20"/>
              </w:rPr>
              <w:t>))</w:t>
            </w:r>
          </w:p>
          <w:p>
            <w:pPr>
              <w:pStyle w:val="AMPRTabletext"/>
              <w:keepNext/>
              <w:jc w:val="center"/>
              <w:rPr>
                <w:noProof/>
                <w:color w:val="000000" w:themeColor="text1"/>
                <w:sz w:val="18"/>
                <w:szCs w:val="18"/>
              </w:rPr>
            </w:pPr>
            <w:r>
              <w:rPr>
                <w:rFonts w:eastAsia="Calibri"/>
                <w:noProof/>
                <w:color w:val="000000" w:themeColor="text1"/>
                <w:sz w:val="18"/>
                <w:szCs w:val="18"/>
              </w:rPr>
              <w:t>67% for Turkey</w:t>
            </w:r>
          </w:p>
        </w:tc>
        <w:tc>
          <w:tcPr>
            <w:tcW w:w="0" w:type="auto"/>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noProof/>
                <w:color w:val="000000" w:themeColor="text1"/>
                <w:sz w:val="18"/>
                <w:szCs w:val="18"/>
              </w:rPr>
              <w:t>Increase</w:t>
            </w:r>
          </w:p>
        </w:tc>
      </w:tr>
      <w:tr>
        <w:trPr>
          <w:cantSplit/>
        </w:trPr>
        <w:tc>
          <w:tcPr>
            <w:tcW w:w="0" w:type="auto"/>
            <w:gridSpan w:val="3"/>
            <w:tcBorders>
              <w:top w:val="single" w:sz="8" w:space="0" w:color="E48C32"/>
              <w:bottom w:val="single" w:sz="8" w:space="0" w:color="E48C32"/>
            </w:tcBorders>
            <w:shd w:val="clear" w:color="auto" w:fill="auto"/>
            <w:vAlign w:val="center"/>
          </w:tcPr>
          <w:p>
            <w:pPr>
              <w:pStyle w:val="AMPRTabletext-source"/>
              <w:rPr>
                <w:noProof/>
              </w:rPr>
            </w:pPr>
            <w:r>
              <w:rPr>
                <w:rStyle w:val="italics"/>
                <w:noProof/>
              </w:rPr>
              <w:t>Source</w:t>
            </w:r>
            <w:r>
              <w:rPr>
                <w:noProof/>
              </w:rPr>
              <w:t xml:space="preserve">: </w:t>
            </w:r>
            <w:hyperlink r:id="rId75" w:history="1">
              <w:r>
                <w:rPr>
                  <w:noProof/>
                  <w:u w:val="single"/>
                </w:rPr>
                <w:t>Eurostat</w:t>
              </w:r>
            </w:hyperlink>
            <w:r>
              <w:rPr>
                <w:noProof/>
                <w:u w:val="single"/>
              </w:rPr>
              <w:t>.</w:t>
            </w:r>
          </w:p>
        </w:tc>
      </w:tr>
    </w:tbl>
    <w:p>
      <w:pPr>
        <w:pStyle w:val="Annex1Tableseparator"/>
        <w:rPr>
          <w:noProof/>
        </w:rPr>
      </w:pPr>
    </w:p>
    <w:tbl>
      <w:tblPr>
        <w:tblW w:w="9639" w:type="dxa"/>
        <w:tblInd w:w="108" w:type="dxa"/>
        <w:tblLook w:val="00A0" w:firstRow="1" w:lastRow="0" w:firstColumn="1" w:lastColumn="0" w:noHBand="0" w:noVBand="0"/>
      </w:tblPr>
      <w:tblGrid>
        <w:gridCol w:w="3230"/>
        <w:gridCol w:w="3199"/>
        <w:gridCol w:w="3210"/>
      </w:tblGrid>
      <w:tr>
        <w:tc>
          <w:tcPr>
            <w:tcW w:w="0" w:type="auto"/>
            <w:gridSpan w:val="3"/>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31. Ranking to measure political stability and absence of violence in countries part of the European neighbourhood policy (ENP)</w:t>
            </w:r>
            <w:r>
              <w:rPr>
                <w:rStyle w:val="fnRef"/>
                <w:rFonts w:ascii="Arial" w:eastAsia="Calibri" w:hAnsi="Arial" w:cs="Arial"/>
                <w:noProof/>
                <w:color w:val="FFFFFF"/>
                <w:sz w:val="20"/>
              </w:rPr>
              <w:t> </w:t>
            </w:r>
            <w:r>
              <w:rPr>
                <w:rStyle w:val="fnRef"/>
                <w:rFonts w:eastAsia="Calibri"/>
                <w:b/>
                <w:noProof/>
                <w:color w:val="FFFFFF"/>
                <w:sz w:val="20"/>
              </w:rPr>
              <w:t>(</w:t>
            </w:r>
            <w:r>
              <w:rPr>
                <w:rStyle w:val="fnRefNo"/>
                <w:rFonts w:eastAsia="Calibri"/>
                <w:b/>
                <w:noProof/>
                <w:color w:val="FFFFFF"/>
                <w:sz w:val="20"/>
              </w:rPr>
              <w:footnoteReference w:id="19"/>
            </w:r>
            <w:r>
              <w:rPr>
                <w:rStyle w:val="fnRef"/>
                <w:rFonts w:eastAsia="Calibri"/>
                <w:b/>
                <w:noProof/>
                <w:color w:val="FFFFFF"/>
                <w:sz w:val="20"/>
              </w:rPr>
              <w:t>)</w:t>
            </w:r>
          </w:p>
        </w:tc>
      </w:tr>
      <w:tr>
        <w:trPr>
          <w:cantSplit/>
        </w:trPr>
        <w:tc>
          <w:tcPr>
            <w:tcW w:w="3226"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(2014)</w:t>
            </w:r>
          </w:p>
        </w:tc>
        <w:tc>
          <w:tcPr>
            <w:tcW w:w="3200"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3213"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(2020)</w:t>
            </w:r>
          </w:p>
        </w:tc>
      </w:tr>
      <w:tr>
        <w:trPr>
          <w:cantSplit/>
        </w:trPr>
        <w:tc>
          <w:tcPr>
            <w:tcW w:w="3226" w:type="dxa"/>
            <w:tcBorders>
              <w:bottom w:val="single" w:sz="8" w:space="0" w:color="E48C32"/>
              <w:right w:val="single" w:sz="8" w:space="0" w:color="E48C32"/>
            </w:tcBorders>
            <w:shd w:val="clear" w:color="auto" w:fill="auto"/>
            <w:vAlign w:val="center"/>
          </w:tcPr>
          <w:p>
            <w:pPr>
              <w:pStyle w:val="AMPRTabletext"/>
              <w:keepNext/>
              <w:rPr>
                <w:rFonts w:eastAsiaTheme="minorHAnsi"/>
                <w:noProof/>
                <w:color w:val="000000" w:themeColor="text1"/>
                <w:sz w:val="18"/>
                <w:szCs w:val="18"/>
              </w:rPr>
            </w:pPr>
            <w:r>
              <w:rPr>
                <w:rFonts w:eastAsiaTheme="minorHAnsi"/>
                <w:noProof/>
                <w:color w:val="000000" w:themeColor="text1"/>
                <w:sz w:val="18"/>
                <w:szCs w:val="18"/>
              </w:rPr>
              <w:t xml:space="preserve">  NE</w:t>
            </w:r>
            <w:r>
              <w:rPr>
                <w:rFonts w:ascii="Calibri" w:eastAsiaTheme="minorHAnsi" w:hAnsi="Calibri" w:cs="Calibri"/>
                <w:noProof/>
                <w:color w:val="000000" w:themeColor="text1"/>
                <w:sz w:val="18"/>
                <w:szCs w:val="18"/>
              </w:rPr>
              <w:t> (</w:t>
            </w:r>
            <w:r>
              <w:rPr>
                <w:rFonts w:eastAsiaTheme="minorHAnsi"/>
                <w:noProof/>
                <w:color w:val="000000" w:themeColor="text1"/>
                <w:sz w:val="18"/>
                <w:szCs w:val="18"/>
              </w:rPr>
              <w:t>*): 33.89 — 4 countries above 30</w:t>
            </w:r>
          </w:p>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NS</w:t>
            </w:r>
            <w:r>
              <w:rPr>
                <w:rFonts w:ascii="Calibri" w:eastAsiaTheme="minorHAnsi" w:hAnsi="Calibri" w:cs="Calibri"/>
                <w:noProof/>
                <w:color w:val="000000" w:themeColor="text1"/>
                <w:sz w:val="18"/>
                <w:szCs w:val="18"/>
              </w:rPr>
              <w:t> (</w:t>
            </w:r>
            <w:r>
              <w:rPr>
                <w:rFonts w:eastAsiaTheme="minorHAnsi"/>
                <w:noProof/>
                <w:color w:val="000000" w:themeColor="text1"/>
                <w:sz w:val="18"/>
                <w:szCs w:val="18"/>
              </w:rPr>
              <w:t>**): 11.99 — 4 countries above 10</w:t>
            </w:r>
          </w:p>
        </w:tc>
        <w:tc>
          <w:tcPr>
            <w:tcW w:w="3200"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NE: 27.06 — 3 countries above 30</w:t>
            </w:r>
          </w:p>
          <w:p>
            <w:pPr>
              <w:pStyle w:val="AMPRTabletext"/>
              <w:keepNext/>
              <w:rPr>
                <w:rFonts w:eastAsiaTheme="minorHAnsi"/>
                <w:noProof/>
                <w:color w:val="000000" w:themeColor="text1"/>
                <w:sz w:val="18"/>
                <w:szCs w:val="18"/>
              </w:rPr>
            </w:pPr>
            <w:r>
              <w:rPr>
                <w:rFonts w:eastAsiaTheme="minorHAnsi"/>
                <w:noProof/>
                <w:color w:val="000000" w:themeColor="text1"/>
                <w:sz w:val="18"/>
                <w:szCs w:val="18"/>
              </w:rPr>
              <w:t xml:space="preserve">  NS: 13.43 — 5 countries above 10</w:t>
            </w:r>
          </w:p>
        </w:tc>
        <w:tc>
          <w:tcPr>
            <w:tcW w:w="3213" w:type="dxa"/>
            <w:tcBorders>
              <w:left w:val="single" w:sz="8" w:space="0" w:color="E48C32"/>
              <w:bottom w:val="single" w:sz="8" w:space="0" w:color="E48C32"/>
            </w:tcBorders>
            <w:shd w:val="clear" w:color="auto" w:fill="auto"/>
            <w:vAlign w:val="center"/>
          </w:tcPr>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NE: decrease in the number of countries above 30 by 1</w:t>
            </w:r>
          </w:p>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NS: increase in the number of countries above 10 by 1</w:t>
            </w:r>
          </w:p>
        </w:tc>
      </w:tr>
      <w:tr>
        <w:tc>
          <w:tcPr>
            <w:tcW w:w="9639" w:type="dxa"/>
            <w:gridSpan w:val="3"/>
            <w:tcBorders>
              <w:top w:val="single" w:sz="8" w:space="0" w:color="E48C32"/>
              <w:bottom w:val="single" w:sz="8" w:space="0" w:color="E48C32"/>
            </w:tcBorders>
            <w:shd w:val="clear" w:color="auto" w:fill="auto"/>
          </w:tcPr>
          <w:p>
            <w:pPr>
              <w:pStyle w:val="AMPRTabletext-source"/>
              <w:rPr>
                <w:rFonts w:eastAsia="Calibri"/>
                <w:noProof/>
              </w:rPr>
            </w:pPr>
            <w:r>
              <w:rPr>
                <w:rFonts w:eastAsia="Calibri"/>
                <w:noProof/>
              </w:rPr>
              <w:t xml:space="preserve">(*) NE: Neighbourhood east, i.e. the number of countries in a percentile rank above 30. </w:t>
            </w:r>
          </w:p>
          <w:p>
            <w:pPr>
              <w:pStyle w:val="AMPRTabletext-source"/>
              <w:rPr>
                <w:rFonts w:eastAsia="Calibri"/>
                <w:noProof/>
              </w:rPr>
            </w:pPr>
            <w:r>
              <w:rPr>
                <w:rFonts w:eastAsia="Calibri"/>
                <w:noProof/>
              </w:rPr>
              <w:t>(**) NS: Neighbourhood south, i.e. the number of countries in a percentile rank above 10.</w:t>
            </w:r>
          </w:p>
          <w:p>
            <w:pPr>
              <w:pStyle w:val="AMPRTabletext-source"/>
              <w:rPr>
                <w:rFonts w:eastAsiaTheme="minorHAnsi"/>
                <w:noProof/>
              </w:rPr>
            </w:pPr>
            <w:r>
              <w:rPr>
                <w:rStyle w:val="italics"/>
                <w:rFonts w:eastAsia="Calibri"/>
                <w:noProof/>
              </w:rPr>
              <w:t>Source</w:t>
            </w:r>
            <w:r>
              <w:rPr>
                <w:rFonts w:eastAsia="Calibri"/>
                <w:i/>
                <w:noProof/>
              </w:rPr>
              <w:t xml:space="preserve">: </w:t>
            </w:r>
            <w:r>
              <w:rPr>
                <w:rFonts w:eastAsia="Calibri"/>
                <w:noProof/>
              </w:rPr>
              <w:t>Worldwide Governance Indicators (WGI) project (World Bank group).</w:t>
            </w:r>
          </w:p>
        </w:tc>
      </w:tr>
    </w:tbl>
    <w:p>
      <w:pPr>
        <w:pStyle w:val="Annex1Tableseparator"/>
        <w:rPr>
          <w:noProof/>
        </w:rPr>
      </w:pPr>
    </w:p>
    <w:tbl>
      <w:tblPr>
        <w:tblW w:w="9639" w:type="dxa"/>
        <w:tblInd w:w="108" w:type="dxa"/>
        <w:tblLook w:val="00A0" w:firstRow="1" w:lastRow="0" w:firstColumn="1" w:lastColumn="0" w:noHBand="0" w:noVBand="0"/>
      </w:tblPr>
      <w:tblGrid>
        <w:gridCol w:w="2409"/>
        <w:gridCol w:w="2385"/>
        <w:gridCol w:w="2411"/>
        <w:gridCol w:w="2434"/>
      </w:tblGrid>
      <w:tr>
        <w:tc>
          <w:tcPr>
            <w:tcW w:w="9639" w:type="dxa"/>
            <w:gridSpan w:val="4"/>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32. Sustainable development goal 1.1.1: Proportion of population below international poverty line</w:t>
            </w:r>
          </w:p>
        </w:tc>
      </w:tr>
      <w:tr>
        <w:tc>
          <w:tcPr>
            <w:tcW w:w="2409" w:type="dxa"/>
            <w:tcBorders>
              <w:right w:val="single" w:sz="8" w:space="0" w:color="E48C32"/>
            </w:tcBorders>
            <w:shd w:val="clear" w:color="auto" w:fill="auto"/>
          </w:tcPr>
          <w:p>
            <w:pPr>
              <w:pStyle w:val="AMPRTabletext"/>
              <w:keepNext/>
              <w:jc w:val="center"/>
              <w:rPr>
                <w:rFonts w:eastAsia="Calibri"/>
                <w:b/>
                <w:noProof/>
                <w:color w:val="E48C32"/>
                <w:sz w:val="18"/>
                <w:szCs w:val="18"/>
              </w:rPr>
            </w:pPr>
            <w:r>
              <w:rPr>
                <w:rFonts w:eastAsia="Calibri"/>
                <w:b/>
                <w:noProof/>
                <w:color w:val="E48C32"/>
                <w:sz w:val="18"/>
                <w:szCs w:val="18"/>
                <w:u w:val="single"/>
              </w:rPr>
              <w:t>Baseline</w:t>
            </w:r>
            <w:r>
              <w:rPr>
                <w:rStyle w:val="fnRef"/>
                <w:rFonts w:ascii="Arial" w:eastAsia="Calibri" w:hAnsi="Arial" w:cs="Arial"/>
                <w:b/>
                <w:noProof/>
                <w:color w:val="E48C32"/>
                <w:sz w:val="20"/>
              </w:rPr>
              <w:t> </w:t>
            </w:r>
            <w:r>
              <w:rPr>
                <w:rStyle w:val="fnRef"/>
                <w:rFonts w:eastAsia="Calibri"/>
                <w:noProof/>
                <w:color w:val="E48C32"/>
                <w:sz w:val="20"/>
              </w:rPr>
              <w:t>(</w:t>
            </w:r>
            <w:r>
              <w:rPr>
                <w:rStyle w:val="fnRefNo"/>
                <w:rFonts w:eastAsia="Calibri"/>
                <w:noProof/>
                <w:color w:val="E48C32"/>
                <w:sz w:val="20"/>
              </w:rPr>
              <w:footnoteReference w:id="20"/>
            </w:r>
            <w:r>
              <w:rPr>
                <w:rStyle w:val="fnRef"/>
                <w:rFonts w:eastAsia="Calibri"/>
                <w:noProof/>
                <w:color w:val="E48C32"/>
                <w:sz w:val="20"/>
              </w:rPr>
              <w:t>)</w:t>
            </w:r>
            <w:r>
              <w:rPr>
                <w:rFonts w:eastAsia="Calibri"/>
                <w:b/>
                <w:noProof/>
                <w:color w:val="E48C32"/>
                <w:sz w:val="18"/>
                <w:szCs w:val="18"/>
              </w:rPr>
              <w:t xml:space="preserve"> </w:t>
            </w:r>
            <w:r>
              <w:rPr>
                <w:rFonts w:eastAsia="Calibri"/>
                <w:b/>
                <w:noProof/>
                <w:color w:val="E48C32"/>
                <w:sz w:val="18"/>
                <w:szCs w:val="18"/>
              </w:rPr>
              <w:br/>
              <w:t>Computed on country-level data from 2012 or before, drawing on World Bank data for the poverty rates and UN population division data for the weights; extracted in January 2019 [November 2017] to take data revisions into account]</w:t>
            </w:r>
          </w:p>
          <w:p>
            <w:pPr>
              <w:pStyle w:val="AMPRTabletext"/>
              <w:keepNext/>
              <w:jc w:val="center"/>
              <w:rPr>
                <w:rFonts w:eastAsia="Calibri"/>
                <w:b/>
                <w:noProof/>
                <w:color w:val="E48C32"/>
                <w:sz w:val="18"/>
                <w:szCs w:val="18"/>
              </w:rPr>
            </w:pPr>
          </w:p>
        </w:tc>
        <w:tc>
          <w:tcPr>
            <w:tcW w:w="2385" w:type="dxa"/>
            <w:tcBorders>
              <w:left w:val="single" w:sz="8" w:space="0" w:color="E48C32"/>
              <w:righ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Interim milestone</w:t>
            </w:r>
          </w:p>
        </w:tc>
        <w:tc>
          <w:tcPr>
            <w:tcW w:w="2411" w:type="dxa"/>
            <w:tcBorders>
              <w:left w:val="single" w:sz="8" w:space="0" w:color="E48C32"/>
              <w:righ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w:t>
            </w:r>
          </w:p>
          <w:p>
            <w:pPr>
              <w:pStyle w:val="AMPRTabletext"/>
              <w:keepNext/>
              <w:jc w:val="center"/>
              <w:rPr>
                <w:rFonts w:eastAsia="Calibri"/>
                <w:b/>
                <w:noProof/>
                <w:color w:val="E48C32"/>
                <w:sz w:val="18"/>
                <w:szCs w:val="18"/>
              </w:rPr>
            </w:pPr>
            <w:r>
              <w:rPr>
                <w:b/>
                <w:noProof/>
                <w:color w:val="E48C32"/>
                <w:sz w:val="18"/>
                <w:szCs w:val="18"/>
              </w:rPr>
              <w:t>(Computed on country-level data from 2017 or before, drawing on World Bank data for the poverty rates and UN population division data for the weights; extracted in January 2019)</w:t>
            </w:r>
          </w:p>
        </w:tc>
        <w:tc>
          <w:tcPr>
            <w:tcW w:w="2434" w:type="dxa"/>
            <w:tcBorders>
              <w:lef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Target </w:t>
            </w:r>
          </w:p>
          <w:p>
            <w:pPr>
              <w:pStyle w:val="AMPRTabletext"/>
              <w:keepNext/>
              <w:jc w:val="center"/>
              <w:rPr>
                <w:rFonts w:eastAsia="Calibri"/>
                <w:b/>
                <w:noProof/>
                <w:color w:val="E48C32"/>
                <w:sz w:val="18"/>
                <w:szCs w:val="18"/>
              </w:rPr>
            </w:pPr>
            <w:r>
              <w:rPr>
                <w:rFonts w:eastAsia="Calibri"/>
                <w:b/>
                <w:noProof/>
                <w:color w:val="E48C32"/>
                <w:sz w:val="18"/>
                <w:szCs w:val="18"/>
              </w:rPr>
              <w:t>(2030)</w:t>
            </w:r>
          </w:p>
          <w:p>
            <w:pPr>
              <w:pStyle w:val="AMPRTabletext"/>
              <w:keepNext/>
              <w:jc w:val="center"/>
              <w:rPr>
                <w:rFonts w:eastAsia="Calibri"/>
                <w:b/>
                <w:noProof/>
                <w:color w:val="E48C32"/>
                <w:sz w:val="18"/>
                <w:szCs w:val="18"/>
              </w:rPr>
            </w:pPr>
            <w:r>
              <w:rPr>
                <w:rFonts w:eastAsia="Calibri"/>
                <w:b/>
                <w:noProof/>
                <w:color w:val="E48C32"/>
                <w:sz w:val="18"/>
                <w:szCs w:val="18"/>
              </w:rPr>
              <w:t xml:space="preserve">UN </w:t>
            </w:r>
            <w:r>
              <w:rPr>
                <w:b/>
                <w:noProof/>
                <w:color w:val="E48C32"/>
                <w:sz w:val="18"/>
                <w:szCs w:val="18"/>
              </w:rPr>
              <w:t>sustainable development goals</w:t>
            </w:r>
          </w:p>
        </w:tc>
      </w:tr>
      <w:tr>
        <w:tc>
          <w:tcPr>
            <w:tcW w:w="2409" w:type="dxa"/>
            <w:tcBorders>
              <w:bottom w:val="single" w:sz="8" w:space="0" w:color="E48C32"/>
              <w:right w:val="single" w:sz="8" w:space="0" w:color="E48C32"/>
            </w:tcBorders>
            <w:shd w:val="clear" w:color="auto" w:fill="auto"/>
          </w:tcPr>
          <w:p>
            <w:pPr>
              <w:pStyle w:val="AMPRTabletext"/>
              <w:keepNext/>
              <w:jc w:val="center"/>
              <w:rPr>
                <w:noProof/>
                <w:color w:val="000000" w:themeColor="text1"/>
                <w:sz w:val="18"/>
                <w:szCs w:val="18"/>
              </w:rPr>
            </w:pPr>
            <w:r>
              <w:rPr>
                <w:noProof/>
                <w:color w:val="000000" w:themeColor="text1"/>
                <w:sz w:val="18"/>
                <w:szCs w:val="18"/>
              </w:rPr>
              <w:t xml:space="preserve">17.1% </w:t>
            </w:r>
            <w:r>
              <w:rPr>
                <w:noProof/>
                <w:color w:val="000000"/>
                <w:sz w:val="18"/>
                <w:szCs w:val="18"/>
              </w:rPr>
              <w:t>[before: 17.0%]</w:t>
            </w:r>
          </w:p>
          <w:p>
            <w:pPr>
              <w:pStyle w:val="AMPRTabletext"/>
              <w:keepNext/>
              <w:jc w:val="center"/>
              <w:rPr>
                <w:noProof/>
                <w:color w:val="000000" w:themeColor="text1"/>
                <w:sz w:val="18"/>
                <w:szCs w:val="18"/>
              </w:rPr>
            </w:pPr>
            <w:r>
              <w:rPr>
                <w:noProof/>
                <w:color w:val="000000" w:themeColor="text1"/>
                <w:sz w:val="18"/>
                <w:szCs w:val="18"/>
              </w:rPr>
              <w:t>(including the graduated countries — partnership countries for which bilateral assistance is phased out)</w:t>
            </w:r>
          </w:p>
          <w:p>
            <w:pPr>
              <w:pStyle w:val="AMPRTabletext"/>
              <w:keepNext/>
              <w:jc w:val="center"/>
              <w:rPr>
                <w:noProof/>
                <w:color w:val="000000" w:themeColor="text1"/>
                <w:sz w:val="18"/>
                <w:szCs w:val="18"/>
              </w:rPr>
            </w:pPr>
          </w:p>
          <w:p>
            <w:pPr>
              <w:pStyle w:val="AMPRTabletext"/>
              <w:keepNext/>
              <w:jc w:val="center"/>
              <w:rPr>
                <w:noProof/>
                <w:color w:val="000000" w:themeColor="text1"/>
                <w:sz w:val="18"/>
                <w:szCs w:val="18"/>
              </w:rPr>
            </w:pPr>
            <w:r>
              <w:rPr>
                <w:noProof/>
                <w:color w:val="000000" w:themeColor="text1"/>
                <w:sz w:val="18"/>
                <w:szCs w:val="18"/>
              </w:rPr>
              <w:t xml:space="preserve">29.5% </w:t>
            </w:r>
            <w:r>
              <w:rPr>
                <w:noProof/>
                <w:color w:val="000000"/>
                <w:sz w:val="18"/>
                <w:szCs w:val="18"/>
              </w:rPr>
              <w:t xml:space="preserve">[before: 28.4%] </w:t>
            </w:r>
          </w:p>
          <w:p>
            <w:pPr>
              <w:pStyle w:val="AMPRTabletext"/>
              <w:keepNext/>
              <w:jc w:val="center"/>
              <w:rPr>
                <w:noProof/>
                <w:color w:val="000000" w:themeColor="text1"/>
                <w:sz w:val="18"/>
                <w:szCs w:val="18"/>
              </w:rPr>
            </w:pPr>
            <w:r>
              <w:rPr>
                <w:noProof/>
                <w:color w:val="000000" w:themeColor="text1"/>
                <w:sz w:val="18"/>
                <w:szCs w:val="18"/>
              </w:rPr>
              <w:t>(excluding the graduated countries)</w:t>
            </w:r>
          </w:p>
          <w:p>
            <w:pPr>
              <w:pStyle w:val="AMPRTabletext"/>
              <w:keepNext/>
              <w:jc w:val="center"/>
              <w:rPr>
                <w:rFonts w:eastAsiaTheme="minorHAnsi"/>
                <w:noProof/>
                <w:color w:val="000000" w:themeColor="text1"/>
                <w:sz w:val="18"/>
                <w:szCs w:val="18"/>
              </w:rPr>
            </w:pPr>
          </w:p>
        </w:tc>
        <w:tc>
          <w:tcPr>
            <w:tcW w:w="2385" w:type="dxa"/>
            <w:tcBorders>
              <w:left w:val="single" w:sz="8" w:space="0" w:color="E48C32"/>
              <w:bottom w:val="single" w:sz="8" w:space="0" w:color="E48C32"/>
              <w:right w:val="single" w:sz="8" w:space="0" w:color="E48C32"/>
            </w:tcBorders>
            <w:shd w:val="clear" w:color="auto" w:fill="auto"/>
          </w:tcPr>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Rolling</w:t>
            </w:r>
          </w:p>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On course for 2030 based on annual progress report prepared by</w:t>
            </w:r>
            <w:r>
              <w:rPr>
                <w:rFonts w:eastAsiaTheme="minorHAnsi" w:cs="Calibri"/>
                <w:noProof/>
                <w:color w:val="000000" w:themeColor="text1"/>
                <w:sz w:val="18"/>
                <w:szCs w:val="18"/>
              </w:rPr>
              <w:t xml:space="preserve"> the </w:t>
            </w:r>
            <w:r>
              <w:rPr>
                <w:rFonts w:eastAsiaTheme="minorHAnsi"/>
                <w:noProof/>
                <w:color w:val="000000" w:themeColor="text1"/>
                <w:sz w:val="18"/>
                <w:szCs w:val="18"/>
              </w:rPr>
              <w:t>UN Secretary General</w:t>
            </w:r>
          </w:p>
        </w:tc>
        <w:tc>
          <w:tcPr>
            <w:tcW w:w="2411" w:type="dxa"/>
            <w:tcBorders>
              <w:left w:val="single" w:sz="8" w:space="0" w:color="E48C32"/>
              <w:bottom w:val="single" w:sz="8" w:space="0" w:color="E48C32"/>
              <w:right w:val="single" w:sz="8" w:space="0" w:color="E48C32"/>
            </w:tcBorders>
            <w:shd w:val="clear" w:color="auto" w:fill="auto"/>
          </w:tcPr>
          <w:p>
            <w:pPr>
              <w:pStyle w:val="AMPRTabletext"/>
              <w:keepNext/>
              <w:jc w:val="center"/>
              <w:rPr>
                <w:noProof/>
                <w:color w:val="000000" w:themeColor="text1"/>
                <w:sz w:val="18"/>
                <w:szCs w:val="18"/>
              </w:rPr>
            </w:pPr>
            <w:r>
              <w:rPr>
                <w:noProof/>
                <w:color w:val="000000" w:themeColor="text1"/>
                <w:sz w:val="18"/>
                <w:szCs w:val="18"/>
              </w:rPr>
              <w:t>14.6%</w:t>
            </w:r>
          </w:p>
          <w:p>
            <w:pPr>
              <w:pStyle w:val="AMPRTabletext"/>
              <w:keepNext/>
              <w:jc w:val="center"/>
              <w:rPr>
                <w:noProof/>
                <w:color w:val="000000" w:themeColor="text1"/>
                <w:sz w:val="18"/>
                <w:szCs w:val="18"/>
              </w:rPr>
            </w:pPr>
            <w:r>
              <w:rPr>
                <w:noProof/>
                <w:color w:val="000000" w:themeColor="text1"/>
                <w:sz w:val="18"/>
                <w:szCs w:val="18"/>
              </w:rPr>
              <w:t xml:space="preserve"> (including the graduated countries — Partnership countries for which bilateral assistance is phased out)</w:t>
            </w:r>
          </w:p>
          <w:p>
            <w:pPr>
              <w:pStyle w:val="AMPRTabletext"/>
              <w:keepNext/>
              <w:jc w:val="center"/>
              <w:rPr>
                <w:noProof/>
                <w:color w:val="000000" w:themeColor="text1"/>
                <w:sz w:val="18"/>
                <w:szCs w:val="18"/>
              </w:rPr>
            </w:pPr>
          </w:p>
          <w:p>
            <w:pPr>
              <w:pStyle w:val="AMPRTabletext"/>
              <w:keepNext/>
              <w:jc w:val="center"/>
              <w:rPr>
                <w:noProof/>
                <w:color w:val="000000" w:themeColor="text1"/>
                <w:sz w:val="18"/>
                <w:szCs w:val="18"/>
              </w:rPr>
            </w:pPr>
            <w:r>
              <w:rPr>
                <w:noProof/>
                <w:color w:val="000000" w:themeColor="text1"/>
                <w:sz w:val="18"/>
                <w:szCs w:val="18"/>
              </w:rPr>
              <w:t xml:space="preserve">26.8% </w:t>
            </w:r>
          </w:p>
          <w:p>
            <w:pPr>
              <w:pStyle w:val="AMPRTabletext"/>
              <w:keepNext/>
              <w:jc w:val="center"/>
              <w:rPr>
                <w:rFonts w:eastAsia="Calibri"/>
                <w:noProof/>
                <w:color w:val="000000" w:themeColor="text1"/>
                <w:sz w:val="18"/>
                <w:szCs w:val="18"/>
              </w:rPr>
            </w:pPr>
            <w:r>
              <w:rPr>
                <w:noProof/>
                <w:color w:val="000000" w:themeColor="text1"/>
                <w:sz w:val="18"/>
                <w:szCs w:val="18"/>
              </w:rPr>
              <w:t>(excluding the graduated countries)</w:t>
            </w:r>
          </w:p>
        </w:tc>
        <w:tc>
          <w:tcPr>
            <w:tcW w:w="2434" w:type="dxa"/>
            <w:tcBorders>
              <w:left w:val="single" w:sz="8" w:space="0" w:color="E48C32"/>
              <w:bottom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0%</w:t>
            </w:r>
          </w:p>
        </w:tc>
      </w:tr>
      <w:tr>
        <w:trPr>
          <w:cantSplit/>
        </w:trPr>
        <w:tc>
          <w:tcPr>
            <w:tcW w:w="9639" w:type="dxa"/>
            <w:gridSpan w:val="4"/>
            <w:tcBorders>
              <w:top w:val="single" w:sz="8" w:space="0" w:color="E48C32"/>
              <w:bottom w:val="single" w:sz="8" w:space="0" w:color="E48C32"/>
            </w:tcBorders>
            <w:shd w:val="clear" w:color="auto" w:fill="auto"/>
            <w:vAlign w:val="center"/>
          </w:tcPr>
          <w:p>
            <w:pPr>
              <w:pStyle w:val="AMPRTabletext-source"/>
              <w:rPr>
                <w:noProof/>
              </w:rPr>
            </w:pPr>
            <w:r>
              <w:rPr>
                <w:rStyle w:val="italics"/>
                <w:rFonts w:eastAsia="Calibri"/>
                <w:noProof/>
              </w:rPr>
              <w:t>Source</w:t>
            </w:r>
            <w:r>
              <w:rPr>
                <w:rFonts w:eastAsia="Calibri"/>
                <w:i/>
                <w:noProof/>
              </w:rPr>
              <w:t>:</w:t>
            </w:r>
            <w:r>
              <w:rPr>
                <w:rFonts w:eastAsia="Calibri"/>
                <w:noProof/>
              </w:rPr>
              <w:t xml:space="preserve"> </w:t>
            </w:r>
            <w:r>
              <w:rPr>
                <w:noProof/>
              </w:rPr>
              <w:t>World Bank (poverty rate); UN population division (population weights).</w:t>
            </w:r>
          </w:p>
          <w:p>
            <w:pPr>
              <w:pStyle w:val="AMPRTabletext-source"/>
              <w:rPr>
                <w:noProof/>
                <w:color w:val="7F7F7F" w:themeColor="text1" w:themeTint="80"/>
              </w:rPr>
            </w:pPr>
            <w:r>
              <w:rPr>
                <w:noProof/>
              </w:rPr>
              <w:t>[Baseline adjusted]</w:t>
            </w:r>
          </w:p>
        </w:tc>
      </w:tr>
    </w:tbl>
    <w:p>
      <w:pPr>
        <w:pStyle w:val="Annex1Tableseparator"/>
        <w:rPr>
          <w:noProof/>
        </w:rPr>
      </w:pPr>
    </w:p>
    <w:tbl>
      <w:tblPr>
        <w:tblW w:w="9746" w:type="dxa"/>
        <w:tblInd w:w="108" w:type="dxa"/>
        <w:tblLook w:val="00A0" w:firstRow="1" w:lastRow="0" w:firstColumn="1" w:lastColumn="0" w:noHBand="0" w:noVBand="0"/>
      </w:tblPr>
      <w:tblGrid>
        <w:gridCol w:w="2436"/>
        <w:gridCol w:w="2436"/>
        <w:gridCol w:w="2437"/>
        <w:gridCol w:w="2437"/>
      </w:tblGrid>
      <w:tr>
        <w:tc>
          <w:tcPr>
            <w:tcW w:w="9746" w:type="dxa"/>
            <w:gridSpan w:val="4"/>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33. EU collective net official development assistance (ODA) as a percentage of EU GNI: (a) in total, (b) to least-developed countries (LDCs)</w:t>
            </w:r>
          </w:p>
        </w:tc>
      </w:tr>
      <w:tr>
        <w:trPr>
          <w:cantSplit/>
        </w:trPr>
        <w:tc>
          <w:tcPr>
            <w:tcW w:w="2436" w:type="dxa"/>
            <w:tcBorders>
              <w:righ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(2014)</w:t>
            </w:r>
          </w:p>
        </w:tc>
        <w:tc>
          <w:tcPr>
            <w:tcW w:w="2436" w:type="dxa"/>
            <w:tcBorders>
              <w:left w:val="single" w:sz="8" w:space="0" w:color="E48C32"/>
              <w:righ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Interim milestone (2020)</w:t>
            </w:r>
          </w:p>
        </w:tc>
        <w:tc>
          <w:tcPr>
            <w:tcW w:w="2437" w:type="dxa"/>
            <w:tcBorders>
              <w:left w:val="single" w:sz="8" w:space="0" w:color="E48C32"/>
              <w:righ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(2017)</w:t>
            </w:r>
          </w:p>
        </w:tc>
        <w:tc>
          <w:tcPr>
            <w:tcW w:w="2437" w:type="dxa"/>
            <w:tcBorders>
              <w:lef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(2030)</w:t>
            </w:r>
          </w:p>
          <w:p>
            <w:pPr>
              <w:pStyle w:val="AMPRTabletext"/>
              <w:keepNext/>
              <w:jc w:val="center"/>
              <w:rPr>
                <w:b/>
                <w:noProof/>
                <w:color w:val="E48C32"/>
                <w:sz w:val="18"/>
                <w:szCs w:val="18"/>
              </w:rPr>
            </w:pPr>
            <w:r>
              <w:rPr>
                <w:b/>
                <w:noProof/>
                <w:color w:val="E48C32"/>
                <w:sz w:val="18"/>
                <w:szCs w:val="18"/>
              </w:rPr>
              <w:t>Council conclusions of 26</w:t>
            </w:r>
            <w:r>
              <w:rPr>
                <w:rFonts w:cs="Calibri"/>
                <w:b/>
                <w:noProof/>
                <w:color w:val="E48C32"/>
                <w:sz w:val="18"/>
                <w:szCs w:val="18"/>
              </w:rPr>
              <w:t> </w:t>
            </w:r>
            <w:r>
              <w:rPr>
                <w:b/>
                <w:noProof/>
                <w:color w:val="E48C32"/>
                <w:sz w:val="18"/>
                <w:szCs w:val="18"/>
              </w:rPr>
              <w:t>May 2015, in the framework of the 2030 agenda for sustainable development</w:t>
            </w:r>
          </w:p>
          <w:p>
            <w:pPr>
              <w:pStyle w:val="AMPRTabletext"/>
              <w:keepNext/>
              <w:jc w:val="center"/>
              <w:rPr>
                <w:rFonts w:eastAsia="Calibri"/>
                <w:b/>
                <w:noProof/>
                <w:color w:val="E48C32"/>
                <w:sz w:val="18"/>
                <w:szCs w:val="18"/>
              </w:rPr>
            </w:pPr>
          </w:p>
        </w:tc>
      </w:tr>
      <w:tr>
        <w:trPr>
          <w:cantSplit/>
        </w:trPr>
        <w:tc>
          <w:tcPr>
            <w:tcW w:w="2436" w:type="dxa"/>
            <w:tcBorders>
              <w:bottom w:val="single" w:sz="8" w:space="0" w:color="E48C32"/>
              <w:right w:val="single" w:sz="8" w:space="0" w:color="E48C32"/>
            </w:tcBorders>
            <w:shd w:val="clear" w:color="auto" w:fill="auto"/>
          </w:tcPr>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In total: 0.43%</w:t>
            </w:r>
          </w:p>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To LDCs: 0.11%</w:t>
            </w:r>
          </w:p>
          <w:p>
            <w:pPr>
              <w:pStyle w:val="AMPRTabletext"/>
              <w:keepNext/>
              <w:jc w:val="center"/>
              <w:rPr>
                <w:noProof/>
                <w:color w:val="000000" w:themeColor="text1"/>
                <w:sz w:val="18"/>
                <w:szCs w:val="18"/>
              </w:rPr>
            </w:pPr>
          </w:p>
          <w:p>
            <w:pPr>
              <w:pStyle w:val="AMPRTabletext"/>
              <w:keepNext/>
              <w:jc w:val="center"/>
              <w:rPr>
                <w:rFonts w:eastAsia="Calibri"/>
                <w:noProof/>
                <w:color w:val="000000" w:themeColor="text1"/>
                <w:sz w:val="18"/>
                <w:szCs w:val="18"/>
              </w:rPr>
            </w:pPr>
            <w:r>
              <w:rPr>
                <w:noProof/>
                <w:color w:val="000000" w:themeColor="text1"/>
                <w:sz w:val="18"/>
                <w:szCs w:val="18"/>
              </w:rPr>
              <w:t>Based on the analysis of final 2014 ODA spending by EU Member States and non-imputed spending by the EU institutions as reported by the Organisation for Economic Co-operation and Development’s Development Assistance Committee (DAC). Final data for two EU Member States was not available so earlier data were extrapolated.</w:t>
            </w:r>
          </w:p>
        </w:tc>
        <w:tc>
          <w:tcPr>
            <w:tcW w:w="2436" w:type="dxa"/>
            <w:tcBorders>
              <w:left w:val="single" w:sz="8" w:space="0" w:color="E48C32"/>
              <w:bottom w:val="single" w:sz="8" w:space="0" w:color="E48C32"/>
              <w:right w:val="single" w:sz="8" w:space="0" w:color="E48C32"/>
            </w:tcBorders>
            <w:shd w:val="clear" w:color="auto" w:fill="auto"/>
          </w:tcPr>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In total: n/a</w:t>
            </w:r>
          </w:p>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To LDCs: 0.15%</w:t>
            </w:r>
          </w:p>
        </w:tc>
        <w:tc>
          <w:tcPr>
            <w:tcW w:w="2437" w:type="dxa"/>
            <w:tcBorders>
              <w:left w:val="single" w:sz="8" w:space="0" w:color="E48C32"/>
              <w:bottom w:val="single" w:sz="8" w:space="0" w:color="E48C32"/>
              <w:right w:val="single" w:sz="8" w:space="0" w:color="E48C32"/>
            </w:tcBorders>
            <w:shd w:val="clear" w:color="auto" w:fill="auto"/>
          </w:tcPr>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In total: 0.5%</w:t>
            </w:r>
          </w:p>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To LDCs: 0.12%</w:t>
            </w:r>
          </w:p>
        </w:tc>
        <w:tc>
          <w:tcPr>
            <w:tcW w:w="2437" w:type="dxa"/>
            <w:tcBorders>
              <w:left w:val="single" w:sz="8" w:space="0" w:color="E48C32"/>
              <w:bottom w:val="single" w:sz="8" w:space="0" w:color="E48C32"/>
            </w:tcBorders>
            <w:shd w:val="clear" w:color="auto" w:fill="auto"/>
          </w:tcPr>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In total: 0.70%</w:t>
            </w:r>
          </w:p>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To LDCs: 0.20%</w:t>
            </w:r>
          </w:p>
        </w:tc>
      </w:tr>
      <w:tr>
        <w:trPr>
          <w:cantSplit/>
        </w:trPr>
        <w:tc>
          <w:tcPr>
            <w:tcW w:w="9746" w:type="dxa"/>
            <w:gridSpan w:val="4"/>
            <w:tcBorders>
              <w:top w:val="single" w:sz="8" w:space="0" w:color="E48C32"/>
              <w:bottom w:val="single" w:sz="8" w:space="0" w:color="E48C32"/>
            </w:tcBorders>
            <w:shd w:val="clear" w:color="auto" w:fill="auto"/>
            <w:vAlign w:val="center"/>
          </w:tcPr>
          <w:p>
            <w:pPr>
              <w:pStyle w:val="AMPRTabletext-source"/>
              <w:rPr>
                <w:rFonts w:eastAsiaTheme="minorHAnsi"/>
                <w:noProof/>
              </w:rPr>
            </w:pPr>
            <w:r>
              <w:rPr>
                <w:rStyle w:val="italics"/>
                <w:rFonts w:eastAsia="Calibri"/>
                <w:noProof/>
              </w:rPr>
              <w:t>Source</w:t>
            </w:r>
            <w:r>
              <w:rPr>
                <w:rFonts w:eastAsia="Calibri"/>
                <w:i/>
                <w:noProof/>
              </w:rPr>
              <w:t>:</w:t>
            </w:r>
            <w:r>
              <w:rPr>
                <w:rFonts w:eastAsia="Calibri"/>
                <w:noProof/>
              </w:rPr>
              <w:t xml:space="preserve"> Organisation for Economic Co-operation and Development’s Development Assistance Committee (DAC).</w:t>
            </w:r>
          </w:p>
        </w:tc>
      </w:tr>
    </w:tbl>
    <w:p>
      <w:pPr>
        <w:pStyle w:val="Annex1Tableseparator"/>
        <w:rPr>
          <w:noProof/>
        </w:rPr>
      </w:pPr>
      <w:bookmarkStart w:id="48" w:name="_Toc511118102"/>
    </w:p>
    <w:p>
      <w:pPr>
        <w:pStyle w:val="Title2Annexes"/>
        <w:rPr>
          <w:noProof/>
        </w:rPr>
      </w:pPr>
      <w:bookmarkStart w:id="49" w:name="_Toc6304466"/>
      <w:bookmarkStart w:id="50" w:name="_Toc8386189"/>
      <w:bookmarkStart w:id="51" w:name="_Toc11679098"/>
      <w:r>
        <w:rPr>
          <w:noProof/>
        </w:rPr>
        <w:t>General objective: A union of democratic change</w:t>
      </w:r>
      <w:bookmarkEnd w:id="48"/>
      <w:bookmarkEnd w:id="49"/>
      <w:bookmarkEnd w:id="50"/>
      <w:bookmarkEnd w:id="51"/>
    </w:p>
    <w:tbl>
      <w:tblPr>
        <w:tblW w:w="9531" w:type="dxa"/>
        <w:tblInd w:w="108" w:type="dxa"/>
        <w:tblLook w:val="00A0" w:firstRow="1" w:lastRow="0" w:firstColumn="1" w:lastColumn="0" w:noHBand="0" w:noVBand="0"/>
      </w:tblPr>
      <w:tblGrid>
        <w:gridCol w:w="3177"/>
        <w:gridCol w:w="3178"/>
        <w:gridCol w:w="3176"/>
      </w:tblGrid>
      <w:tr>
        <w:tc>
          <w:tcPr>
            <w:tcW w:w="5000" w:type="pct"/>
            <w:gridSpan w:val="3"/>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34. Voter turnout at European elections</w:t>
            </w:r>
          </w:p>
        </w:tc>
      </w:tr>
      <w:tr>
        <w:trPr>
          <w:cantSplit/>
        </w:trPr>
        <w:tc>
          <w:tcPr>
            <w:tcW w:w="1667" w:type="pct"/>
            <w:tcBorders>
              <w:righ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w:t>
            </w:r>
            <w:r>
              <w:rPr>
                <w:rStyle w:val="AMPRTextChar"/>
                <w:rFonts w:eastAsia="Calibri"/>
                <w:b/>
                <w:noProof/>
                <w:color w:val="E48C32"/>
                <w:sz w:val="18"/>
                <w:szCs w:val="18"/>
                <w:u w:val="single"/>
              </w:rPr>
              <w:t xml:space="preserve"> (2014)</w:t>
            </w:r>
          </w:p>
        </w:tc>
        <w:tc>
          <w:tcPr>
            <w:tcW w:w="1667" w:type="pct"/>
            <w:tcBorders>
              <w:left w:val="single" w:sz="8" w:space="0" w:color="E48C32"/>
              <w:righ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(insert date)</w:t>
            </w:r>
          </w:p>
        </w:tc>
        <w:tc>
          <w:tcPr>
            <w:tcW w:w="1666" w:type="pct"/>
            <w:tcBorders>
              <w:lef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Target </w:t>
            </w:r>
            <w:r>
              <w:rPr>
                <w:rStyle w:val="AMPRTextChar"/>
                <w:rFonts w:eastAsia="Calibri"/>
                <w:b/>
                <w:noProof/>
                <w:color w:val="E48C32"/>
                <w:sz w:val="18"/>
                <w:szCs w:val="18"/>
                <w:u w:val="single"/>
              </w:rPr>
              <w:t>(2019)</w:t>
            </w:r>
          </w:p>
        </w:tc>
      </w:tr>
      <w:tr>
        <w:tc>
          <w:tcPr>
            <w:tcW w:w="1667" w:type="pct"/>
            <w:tcBorders>
              <w:bottom w:val="single" w:sz="8" w:space="0" w:color="E48C32"/>
              <w:right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42.6</w:t>
            </w:r>
            <w:r>
              <w:rPr>
                <w:rFonts w:eastAsiaTheme="minorHAnsi" w:cstheme="minorBidi"/>
                <w:noProof/>
                <w:color w:val="000000" w:themeColor="text1"/>
                <w:sz w:val="18"/>
                <w:szCs w:val="18"/>
              </w:rPr>
              <w:t>1%</w:t>
            </w:r>
          </w:p>
        </w:tc>
        <w:tc>
          <w:tcPr>
            <w:tcW w:w="1667" w:type="pct"/>
            <w:tcBorders>
              <w:left w:val="single" w:sz="8" w:space="0" w:color="E48C32"/>
              <w:bottom w:val="single" w:sz="8" w:space="0" w:color="E48C32"/>
              <w:right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No new value</w:t>
            </w:r>
          </w:p>
        </w:tc>
        <w:tc>
          <w:tcPr>
            <w:tcW w:w="1666" w:type="pct"/>
            <w:tcBorders>
              <w:left w:val="single" w:sz="8" w:space="0" w:color="E48C32"/>
              <w:bottom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Increase</w:t>
            </w:r>
          </w:p>
        </w:tc>
      </w:tr>
      <w:tr>
        <w:trPr>
          <w:cantSplit/>
        </w:trPr>
        <w:tc>
          <w:tcPr>
            <w:tcW w:w="0" w:type="auto"/>
            <w:gridSpan w:val="3"/>
            <w:tcBorders>
              <w:top w:val="single" w:sz="8" w:space="0" w:color="E48C32"/>
              <w:bottom w:val="single" w:sz="8" w:space="0" w:color="E48C32"/>
            </w:tcBorders>
            <w:shd w:val="clear" w:color="auto" w:fill="auto"/>
            <w:vAlign w:val="center"/>
          </w:tcPr>
          <w:p>
            <w:pPr>
              <w:pStyle w:val="AMPRTabletext-source"/>
              <w:rPr>
                <w:rFonts w:eastAsia="Calibri"/>
                <w:noProof/>
              </w:rPr>
            </w:pPr>
            <w:r>
              <w:rPr>
                <w:rStyle w:val="italics"/>
                <w:rFonts w:eastAsia="Calibri"/>
                <w:noProof/>
              </w:rPr>
              <w:t>Source</w:t>
            </w:r>
            <w:r>
              <w:rPr>
                <w:rFonts w:eastAsia="Calibri"/>
                <w:i/>
                <w:noProof/>
              </w:rPr>
              <w:t>:</w:t>
            </w:r>
            <w:r>
              <w:rPr>
                <w:rFonts w:eastAsia="Calibri"/>
                <w:noProof/>
              </w:rPr>
              <w:t xml:space="preserve"> European Parliament.</w:t>
            </w:r>
          </w:p>
        </w:tc>
      </w:tr>
    </w:tbl>
    <w:p>
      <w:pPr>
        <w:pStyle w:val="Annex1Tableseparator"/>
        <w:rPr>
          <w:noProof/>
        </w:rPr>
      </w:pPr>
    </w:p>
    <w:tbl>
      <w:tblPr>
        <w:tblW w:w="9531" w:type="dxa"/>
        <w:tblInd w:w="108" w:type="dxa"/>
        <w:tblLook w:val="00A0" w:firstRow="1" w:lastRow="0" w:firstColumn="1" w:lastColumn="0" w:noHBand="0" w:noVBand="0"/>
      </w:tblPr>
      <w:tblGrid>
        <w:gridCol w:w="2386"/>
        <w:gridCol w:w="2383"/>
        <w:gridCol w:w="2320"/>
        <w:gridCol w:w="2442"/>
      </w:tblGrid>
      <w:tr>
        <w:tc>
          <w:tcPr>
            <w:tcW w:w="5000" w:type="pct"/>
            <w:gridSpan w:val="4"/>
            <w:shd w:val="clear" w:color="auto" w:fill="E48C32"/>
          </w:tcPr>
          <w:p>
            <w:pPr>
              <w:pStyle w:val="AMPRTabletext"/>
              <w:keepNext/>
              <w:spacing w:before="120" w:after="120"/>
              <w:rPr>
                <w:rFonts w:eastAsia="Calibri"/>
                <w:b/>
                <w:noProof/>
                <w:color w:val="FFFFFF"/>
                <w:sz w:val="20"/>
                <w:szCs w:val="20"/>
              </w:rPr>
            </w:pPr>
            <w:r>
              <w:rPr>
                <w:rFonts w:eastAsia="Calibri"/>
                <w:b/>
                <w:noProof/>
                <w:color w:val="FFFFFF"/>
                <w:sz w:val="20"/>
                <w:szCs w:val="20"/>
              </w:rPr>
              <w:t>35. Number of opinions received from national parliaments</w:t>
            </w:r>
            <w:r>
              <w:rPr>
                <w:rStyle w:val="fnRef"/>
                <w:rFonts w:ascii="Arial" w:eastAsia="Calibri" w:hAnsi="Arial" w:cs="Arial"/>
                <w:noProof/>
                <w:color w:val="FFFFFF"/>
                <w:sz w:val="20"/>
              </w:rPr>
              <w:t> </w:t>
            </w:r>
            <w:r>
              <w:rPr>
                <w:rStyle w:val="fnRef"/>
                <w:rFonts w:eastAsia="Calibri"/>
                <w:b/>
                <w:noProof/>
                <w:color w:val="FFFFFF"/>
                <w:sz w:val="20"/>
              </w:rPr>
              <w:t>(</w:t>
            </w:r>
            <w:r>
              <w:rPr>
                <w:rStyle w:val="fnRefNo"/>
                <w:rFonts w:eastAsia="Calibri"/>
                <w:b/>
                <w:noProof/>
                <w:color w:val="FFFFFF"/>
                <w:sz w:val="20"/>
              </w:rPr>
              <w:footnoteReference w:id="21"/>
            </w:r>
            <w:r>
              <w:rPr>
                <w:rStyle w:val="fnRef"/>
                <w:rFonts w:eastAsia="Calibri"/>
                <w:b/>
                <w:noProof/>
                <w:color w:val="FFFFFF"/>
                <w:sz w:val="20"/>
              </w:rPr>
              <w:t>)</w:t>
            </w:r>
          </w:p>
        </w:tc>
      </w:tr>
      <w:tr>
        <w:trPr>
          <w:cantSplit/>
        </w:trPr>
        <w:tc>
          <w:tcPr>
            <w:tcW w:w="1252" w:type="pct"/>
            <w:vMerge w:val="restart"/>
            <w:tcBorders>
              <w:righ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w:t>
            </w:r>
            <w:r>
              <w:rPr>
                <w:rStyle w:val="AMPRTextChar"/>
                <w:rFonts w:eastAsia="Calibri"/>
                <w:b/>
                <w:noProof/>
                <w:color w:val="E48C32"/>
                <w:sz w:val="18"/>
                <w:szCs w:val="18"/>
                <w:u w:val="single"/>
              </w:rPr>
              <w:t xml:space="preserve"> (2014)</w:t>
            </w:r>
          </w:p>
        </w:tc>
        <w:tc>
          <w:tcPr>
            <w:tcW w:w="2467" w:type="pct"/>
            <w:gridSpan w:val="2"/>
            <w:tcBorders>
              <w:left w:val="single" w:sz="8" w:space="0" w:color="E48C32"/>
              <w:bottom w:val="single" w:sz="8" w:space="0" w:color="E48C32"/>
              <w:righ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w:t>
            </w:r>
          </w:p>
        </w:tc>
        <w:tc>
          <w:tcPr>
            <w:tcW w:w="1281" w:type="pct"/>
            <w:vMerge w:val="restart"/>
            <w:tcBorders>
              <w:lef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 xml:space="preserve">Target </w:t>
            </w:r>
            <w:r>
              <w:rPr>
                <w:rStyle w:val="AMPRTextChar"/>
                <w:rFonts w:eastAsia="Calibri"/>
                <w:b/>
                <w:noProof/>
                <w:color w:val="E48C32"/>
                <w:sz w:val="18"/>
                <w:szCs w:val="18"/>
                <w:u w:val="single"/>
              </w:rPr>
              <w:t>(2020)</w:t>
            </w:r>
          </w:p>
        </w:tc>
      </w:tr>
      <w:tr>
        <w:trPr>
          <w:cantSplit/>
        </w:trPr>
        <w:tc>
          <w:tcPr>
            <w:tcW w:w="1252" w:type="pct"/>
            <w:vMerge/>
            <w:tcBorders>
              <w:top w:val="single" w:sz="8" w:space="0" w:color="E48C32"/>
              <w:right w:val="single" w:sz="8" w:space="0" w:color="E48C32"/>
            </w:tcBorders>
            <w:shd w:val="clear" w:color="auto" w:fill="auto"/>
          </w:tcPr>
          <w:p>
            <w:pPr>
              <w:pStyle w:val="AMPRTabletext"/>
              <w:keepNext/>
              <w:jc w:val="center"/>
              <w:rPr>
                <w:rFonts w:eastAsia="Calibri"/>
                <w:b/>
                <w:noProof/>
                <w:color w:val="E48C32"/>
                <w:sz w:val="18"/>
                <w:szCs w:val="18"/>
                <w:u w:val="single"/>
              </w:rPr>
            </w:pPr>
          </w:p>
        </w:tc>
        <w:tc>
          <w:tcPr>
            <w:tcW w:w="1250" w:type="pct"/>
            <w:tcBorders>
              <w:top w:val="single" w:sz="8" w:space="0" w:color="E48C32"/>
              <w:left w:val="single" w:sz="8" w:space="0" w:color="E48C32"/>
              <w:righ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(2017)</w:t>
            </w:r>
          </w:p>
        </w:tc>
        <w:tc>
          <w:tcPr>
            <w:tcW w:w="1217" w:type="pct"/>
            <w:tcBorders>
              <w:top w:val="single" w:sz="8" w:space="0" w:color="E48C32"/>
              <w:left w:val="single" w:sz="8" w:space="0" w:color="E48C32"/>
              <w:right w:val="single" w:sz="8" w:space="0" w:color="E48C32"/>
            </w:tcBorders>
            <w:shd w:val="clear" w:color="auto" w:fill="auto"/>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(31.12.2018)</w:t>
            </w:r>
          </w:p>
        </w:tc>
        <w:tc>
          <w:tcPr>
            <w:tcW w:w="1281" w:type="pct"/>
            <w:vMerge/>
            <w:tcBorders>
              <w:left w:val="single" w:sz="8" w:space="0" w:color="E48C32"/>
            </w:tcBorders>
            <w:shd w:val="clear" w:color="auto" w:fill="auto"/>
          </w:tcPr>
          <w:p>
            <w:pPr>
              <w:pStyle w:val="AMPRTabletext"/>
              <w:keepNext/>
              <w:jc w:val="center"/>
              <w:rPr>
                <w:rFonts w:eastAsia="Calibri"/>
                <w:b/>
                <w:noProof/>
                <w:color w:val="E48C32"/>
                <w:sz w:val="18"/>
                <w:szCs w:val="18"/>
                <w:u w:val="single"/>
              </w:rPr>
            </w:pPr>
          </w:p>
        </w:tc>
      </w:tr>
      <w:tr>
        <w:trPr>
          <w:cantSplit/>
        </w:trPr>
        <w:tc>
          <w:tcPr>
            <w:tcW w:w="1252" w:type="pct"/>
            <w:tcBorders>
              <w:bottom w:val="single" w:sz="8" w:space="0" w:color="E48C32"/>
              <w:right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506</w:t>
            </w:r>
          </w:p>
        </w:tc>
        <w:tc>
          <w:tcPr>
            <w:tcW w:w="1250" w:type="pct"/>
            <w:tcBorders>
              <w:left w:val="single" w:sz="8" w:space="0" w:color="E48C32"/>
              <w:bottom w:val="single" w:sz="8" w:space="0" w:color="E48C32"/>
              <w:right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576</w:t>
            </w:r>
          </w:p>
        </w:tc>
        <w:tc>
          <w:tcPr>
            <w:tcW w:w="1217" w:type="pct"/>
            <w:tcBorders>
              <w:left w:val="single" w:sz="8" w:space="0" w:color="E48C32"/>
              <w:bottom w:val="single" w:sz="8" w:space="0" w:color="E48C32"/>
              <w:right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570</w:t>
            </w:r>
          </w:p>
        </w:tc>
        <w:tc>
          <w:tcPr>
            <w:tcW w:w="1281" w:type="pct"/>
            <w:tcBorders>
              <w:left w:val="single" w:sz="8" w:space="0" w:color="E48C32"/>
              <w:bottom w:val="single" w:sz="8" w:space="0" w:color="E48C32"/>
            </w:tcBorders>
            <w:shd w:val="clear" w:color="auto" w:fill="auto"/>
          </w:tcPr>
          <w:p>
            <w:pPr>
              <w:pStyle w:val="AMPRTabletext"/>
              <w:keepNext/>
              <w:jc w:val="center"/>
              <w:rPr>
                <w:rFonts w:eastAsia="Calibri"/>
                <w:noProof/>
                <w:color w:val="000000" w:themeColor="text1"/>
                <w:sz w:val="18"/>
                <w:szCs w:val="18"/>
              </w:rPr>
            </w:pPr>
            <w:r>
              <w:rPr>
                <w:rFonts w:eastAsia="Calibri"/>
                <w:noProof/>
                <w:color w:val="000000" w:themeColor="text1"/>
                <w:sz w:val="18"/>
                <w:szCs w:val="18"/>
              </w:rPr>
              <w:t>Increase</w:t>
            </w:r>
          </w:p>
        </w:tc>
      </w:tr>
      <w:tr>
        <w:trPr>
          <w:cantSplit/>
        </w:trPr>
        <w:tc>
          <w:tcPr>
            <w:tcW w:w="0" w:type="auto"/>
            <w:gridSpan w:val="4"/>
            <w:tcBorders>
              <w:top w:val="single" w:sz="8" w:space="0" w:color="E48C32"/>
              <w:bottom w:val="single" w:sz="8" w:space="0" w:color="E48C32"/>
            </w:tcBorders>
            <w:shd w:val="clear" w:color="auto" w:fill="auto"/>
            <w:vAlign w:val="center"/>
          </w:tcPr>
          <w:p>
            <w:pPr>
              <w:pStyle w:val="AMPRTabletext-source"/>
              <w:rPr>
                <w:rFonts w:eastAsia="Calibri"/>
                <w:noProof/>
              </w:rPr>
            </w:pPr>
            <w:r>
              <w:rPr>
                <w:rStyle w:val="italics"/>
                <w:rFonts w:eastAsiaTheme="minorHAnsi"/>
                <w:noProof/>
              </w:rPr>
              <w:t>Source</w:t>
            </w:r>
            <w:r>
              <w:rPr>
                <w:rFonts w:eastAsiaTheme="minorHAnsi"/>
                <w:i/>
                <w:noProof/>
              </w:rPr>
              <w:t>:</w:t>
            </w:r>
            <w:r>
              <w:rPr>
                <w:rFonts w:eastAsiaTheme="minorHAnsi"/>
                <w:noProof/>
              </w:rPr>
              <w:t xml:space="preserve"> </w:t>
            </w:r>
            <w:r>
              <w:rPr>
                <w:rFonts w:eastAsia="Calibri"/>
                <w:noProof/>
              </w:rPr>
              <w:t>European Commission annual report on relations between the European Commission and national parliaments.</w:t>
            </w:r>
          </w:p>
        </w:tc>
      </w:tr>
    </w:tbl>
    <w:p>
      <w:pPr>
        <w:pStyle w:val="Annex1Tableseparator"/>
        <w:rPr>
          <w:noProof/>
          <w:lang w:eastAsia="en-GB"/>
        </w:rPr>
      </w:pPr>
      <w:bookmarkStart w:id="52" w:name="_Toc511118103"/>
    </w:p>
    <w:p>
      <w:pPr>
        <w:pStyle w:val="Title2Annexes"/>
        <w:rPr>
          <w:noProof/>
        </w:rPr>
      </w:pPr>
      <w:bookmarkStart w:id="53" w:name="_Toc6304467"/>
      <w:bookmarkStart w:id="54" w:name="_Toc8386190"/>
      <w:bookmarkStart w:id="55" w:name="_Toc11679099"/>
      <w:r>
        <w:rPr>
          <w:noProof/>
        </w:rPr>
        <w:t>General objective: To help achieve the overall political objectives, the Commission will effectively and efficiently manage and safeguard assets and resources, and attract and develop the best talents</w:t>
      </w:r>
      <w:bookmarkEnd w:id="52"/>
      <w:bookmarkEnd w:id="53"/>
      <w:bookmarkEnd w:id="54"/>
      <w:bookmarkEnd w:id="55"/>
    </w:p>
    <w:tbl>
      <w:tblPr>
        <w:tblW w:w="9639" w:type="dxa"/>
        <w:tblInd w:w="108" w:type="dxa"/>
        <w:tblLook w:val="00A0" w:firstRow="1" w:lastRow="0" w:firstColumn="1" w:lastColumn="0" w:noHBand="0" w:noVBand="0"/>
      </w:tblPr>
      <w:tblGrid>
        <w:gridCol w:w="3213"/>
        <w:gridCol w:w="3213"/>
        <w:gridCol w:w="3213"/>
      </w:tblGrid>
      <w:tr>
        <w:trPr>
          <w:cantSplit/>
        </w:trPr>
        <w:tc>
          <w:tcPr>
            <w:tcW w:w="9639" w:type="dxa"/>
            <w:gridSpan w:val="3"/>
            <w:shd w:val="clear" w:color="auto" w:fill="E48C32"/>
            <w:vAlign w:val="center"/>
          </w:tcPr>
          <w:p>
            <w:pPr>
              <w:pStyle w:val="AMPRTabletext"/>
              <w:keepNext/>
              <w:spacing w:before="120" w:after="120"/>
              <w:rPr>
                <w:rFonts w:eastAsia="Calibri"/>
                <w:b/>
                <w:noProof/>
                <w:color w:val="FFFFFF"/>
                <w:sz w:val="20"/>
                <w:szCs w:val="20"/>
              </w:rPr>
            </w:pPr>
            <w:r>
              <w:rPr>
                <w:rFonts w:eastAsia="Calibri"/>
                <w:b/>
                <w:noProof/>
                <w:color w:val="FFFFFF"/>
                <w:sz w:val="20"/>
                <w:szCs w:val="20"/>
              </w:rPr>
              <w:t>36. Trust in the European Commission</w:t>
            </w:r>
          </w:p>
        </w:tc>
      </w:tr>
      <w:tr>
        <w:trPr>
          <w:cantSplit/>
        </w:trPr>
        <w:tc>
          <w:tcPr>
            <w:tcW w:w="3213"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w:t>
            </w:r>
            <w:r>
              <w:rPr>
                <w:b/>
                <w:noProof/>
                <w:color w:val="E48C32"/>
                <w:sz w:val="18"/>
                <w:szCs w:val="18"/>
                <w:u w:val="single"/>
              </w:rPr>
              <w:t>EB83 — Spring 2015</w:t>
            </w:r>
            <w:r>
              <w:rPr>
                <w:rFonts w:eastAsia="Calibri"/>
                <w:b/>
                <w:noProof/>
                <w:color w:val="E48C32"/>
                <w:sz w:val="18"/>
                <w:szCs w:val="18"/>
                <w:u w:val="single"/>
              </w:rPr>
              <w:t>)</w:t>
            </w:r>
          </w:p>
        </w:tc>
        <w:tc>
          <w:tcPr>
            <w:tcW w:w="3213"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w:t>
            </w:r>
          </w:p>
          <w:p>
            <w:pPr>
              <w:pStyle w:val="AMPRTabletext"/>
              <w:keepNext/>
              <w:jc w:val="center"/>
              <w:rPr>
                <w:rFonts w:eastAsia="Calibri"/>
                <w:b/>
                <w:noProof/>
                <w:color w:val="E48C32"/>
                <w:sz w:val="18"/>
                <w:szCs w:val="18"/>
                <w:u w:val="single"/>
              </w:rPr>
            </w:pPr>
            <w:r>
              <w:rPr>
                <w:b/>
                <w:noProof/>
                <w:color w:val="E48C32"/>
                <w:sz w:val="18"/>
                <w:szCs w:val="18"/>
                <w:u w:val="single"/>
              </w:rPr>
              <w:t>(EB90 — Autumn 2018)</w:t>
            </w:r>
          </w:p>
        </w:tc>
        <w:tc>
          <w:tcPr>
            <w:tcW w:w="3213"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(2020)</w:t>
            </w:r>
          </w:p>
        </w:tc>
      </w:tr>
      <w:tr>
        <w:trPr>
          <w:cantSplit/>
        </w:trPr>
        <w:tc>
          <w:tcPr>
            <w:tcW w:w="3213"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40% tend to trust</w:t>
            </w:r>
          </w:p>
        </w:tc>
        <w:tc>
          <w:tcPr>
            <w:tcW w:w="3213"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Theme="minorHAnsi"/>
                <w:noProof/>
                <w:color w:val="000000" w:themeColor="text1"/>
                <w:sz w:val="18"/>
                <w:szCs w:val="18"/>
              </w:rPr>
            </w:pPr>
            <w:r>
              <w:rPr>
                <w:noProof/>
                <w:color w:val="000000" w:themeColor="text1"/>
                <w:sz w:val="18"/>
                <w:szCs w:val="18"/>
              </w:rPr>
              <w:t>43% tend to trust</w:t>
            </w:r>
          </w:p>
        </w:tc>
        <w:tc>
          <w:tcPr>
            <w:tcW w:w="3213"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Increase</w:t>
            </w:r>
          </w:p>
        </w:tc>
      </w:tr>
      <w:tr>
        <w:trPr>
          <w:cantSplit/>
        </w:trPr>
        <w:tc>
          <w:tcPr>
            <w:tcW w:w="9639" w:type="dxa"/>
            <w:gridSpan w:val="3"/>
            <w:tcBorders>
              <w:top w:val="single" w:sz="8" w:space="0" w:color="E48C32"/>
              <w:bottom w:val="single" w:sz="8" w:space="0" w:color="E48C32"/>
            </w:tcBorders>
            <w:shd w:val="clear" w:color="auto" w:fill="auto"/>
            <w:vAlign w:val="center"/>
          </w:tcPr>
          <w:p>
            <w:pPr>
              <w:pStyle w:val="AMPRTabletext-source"/>
              <w:rPr>
                <w:rFonts w:eastAsiaTheme="minorHAnsi"/>
                <w:noProof/>
              </w:rPr>
            </w:pPr>
            <w:r>
              <w:rPr>
                <w:rStyle w:val="italics"/>
                <w:rFonts w:eastAsiaTheme="minorHAnsi"/>
                <w:noProof/>
              </w:rPr>
              <w:t>Source</w:t>
            </w:r>
            <w:r>
              <w:rPr>
                <w:rFonts w:eastAsiaTheme="minorHAnsi"/>
                <w:i/>
                <w:noProof/>
              </w:rPr>
              <w:t>:</w:t>
            </w:r>
            <w:r>
              <w:rPr>
                <w:rFonts w:eastAsiaTheme="minorHAnsi"/>
                <w:noProof/>
              </w:rPr>
              <w:t xml:space="preserve"> </w:t>
            </w:r>
            <w:r>
              <w:rPr>
                <w:rFonts w:eastAsia="Calibri"/>
                <w:noProof/>
              </w:rPr>
              <w:t xml:space="preserve">Standard Eurobarometer on </w:t>
            </w:r>
            <w:r>
              <w:rPr>
                <w:rFonts w:eastAsiaTheme="minorHAnsi"/>
                <w:noProof/>
              </w:rPr>
              <w:t>public opinion in the European Union.</w:t>
            </w:r>
          </w:p>
        </w:tc>
      </w:tr>
    </w:tbl>
    <w:p>
      <w:pPr>
        <w:pStyle w:val="Annex1Tableseparator"/>
        <w:rPr>
          <w:noProof/>
        </w:rPr>
      </w:pPr>
    </w:p>
    <w:tbl>
      <w:tblPr>
        <w:tblW w:w="9639" w:type="dxa"/>
        <w:tblInd w:w="108" w:type="dxa"/>
        <w:tblLook w:val="00A0" w:firstRow="1" w:lastRow="0" w:firstColumn="1" w:lastColumn="0" w:noHBand="0" w:noVBand="0"/>
      </w:tblPr>
      <w:tblGrid>
        <w:gridCol w:w="3213"/>
        <w:gridCol w:w="3213"/>
        <w:gridCol w:w="3213"/>
      </w:tblGrid>
      <w:tr>
        <w:trPr>
          <w:cantSplit/>
        </w:trPr>
        <w:tc>
          <w:tcPr>
            <w:tcW w:w="9639" w:type="dxa"/>
            <w:gridSpan w:val="3"/>
            <w:shd w:val="clear" w:color="auto" w:fill="E48C32"/>
            <w:vAlign w:val="center"/>
          </w:tcPr>
          <w:p>
            <w:pPr>
              <w:pStyle w:val="AMPRTabletext"/>
              <w:keepNext/>
              <w:spacing w:before="120" w:after="120"/>
              <w:rPr>
                <w:rFonts w:eastAsia="Calibri"/>
                <w:b/>
                <w:noProof/>
                <w:color w:val="FFFFFF"/>
                <w:sz w:val="20"/>
                <w:szCs w:val="20"/>
              </w:rPr>
            </w:pPr>
            <w:r>
              <w:rPr>
                <w:rFonts w:eastAsia="Calibri"/>
                <w:b/>
                <w:noProof/>
                <w:color w:val="FFFFFF"/>
                <w:sz w:val="20"/>
                <w:szCs w:val="20"/>
              </w:rPr>
              <w:t>37. Staff engagement index in the Commission</w:t>
            </w:r>
          </w:p>
        </w:tc>
      </w:tr>
      <w:tr>
        <w:trPr>
          <w:cantSplit/>
        </w:trPr>
        <w:tc>
          <w:tcPr>
            <w:tcW w:w="3213" w:type="dxa"/>
            <w:tcBorders>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Baseline (2014)</w:t>
            </w:r>
          </w:p>
        </w:tc>
        <w:tc>
          <w:tcPr>
            <w:tcW w:w="3213" w:type="dxa"/>
            <w:tcBorders>
              <w:left w:val="single" w:sz="8" w:space="0" w:color="E48C32"/>
              <w:righ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Latest known value (2018)</w:t>
            </w:r>
          </w:p>
        </w:tc>
        <w:tc>
          <w:tcPr>
            <w:tcW w:w="3213" w:type="dxa"/>
            <w:tcBorders>
              <w:left w:val="single" w:sz="8" w:space="0" w:color="E48C32"/>
            </w:tcBorders>
            <w:shd w:val="clear" w:color="auto" w:fill="auto"/>
            <w:vAlign w:val="center"/>
          </w:tcPr>
          <w:p>
            <w:pPr>
              <w:pStyle w:val="AMPRTabletext"/>
              <w:keepNext/>
              <w:jc w:val="center"/>
              <w:rPr>
                <w:rFonts w:eastAsia="Calibri"/>
                <w:b/>
                <w:noProof/>
                <w:color w:val="E48C32"/>
                <w:sz w:val="18"/>
                <w:szCs w:val="18"/>
                <w:u w:val="single"/>
              </w:rPr>
            </w:pPr>
            <w:r>
              <w:rPr>
                <w:rFonts w:eastAsia="Calibri"/>
                <w:b/>
                <w:noProof/>
                <w:color w:val="E48C32"/>
                <w:sz w:val="18"/>
                <w:szCs w:val="18"/>
                <w:u w:val="single"/>
              </w:rPr>
              <w:t>Target (2020)</w:t>
            </w:r>
          </w:p>
        </w:tc>
      </w:tr>
      <w:tr>
        <w:trPr>
          <w:cantSplit/>
        </w:trPr>
        <w:tc>
          <w:tcPr>
            <w:tcW w:w="3213" w:type="dxa"/>
            <w:tcBorders>
              <w:bottom w:val="single" w:sz="8" w:space="0" w:color="E48C32"/>
              <w:right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65.3%</w:t>
            </w:r>
          </w:p>
        </w:tc>
        <w:tc>
          <w:tcPr>
            <w:tcW w:w="3213" w:type="dxa"/>
            <w:tcBorders>
              <w:left w:val="single" w:sz="8" w:space="0" w:color="E48C32"/>
              <w:bottom w:val="single" w:sz="8" w:space="0" w:color="E48C32"/>
              <w:right w:val="single" w:sz="8" w:space="0" w:color="E48C32"/>
            </w:tcBorders>
            <w:shd w:val="clear" w:color="auto" w:fill="auto"/>
            <w:vAlign w:val="center"/>
          </w:tcPr>
          <w:p>
            <w:pPr>
              <w:pStyle w:val="AMPRTabletext"/>
              <w:keepNext/>
              <w:jc w:val="center"/>
              <w:rPr>
                <w:rFonts w:eastAsiaTheme="minorHAnsi"/>
                <w:noProof/>
                <w:color w:val="000000" w:themeColor="text1"/>
                <w:sz w:val="18"/>
                <w:szCs w:val="18"/>
              </w:rPr>
            </w:pPr>
            <w:r>
              <w:rPr>
                <w:rFonts w:eastAsiaTheme="minorHAnsi"/>
                <w:noProof/>
                <w:color w:val="000000" w:themeColor="text1"/>
                <w:sz w:val="18"/>
                <w:szCs w:val="18"/>
              </w:rPr>
              <w:t>69%</w:t>
            </w:r>
          </w:p>
        </w:tc>
        <w:tc>
          <w:tcPr>
            <w:tcW w:w="3213" w:type="dxa"/>
            <w:tcBorders>
              <w:left w:val="single" w:sz="8" w:space="0" w:color="E48C32"/>
              <w:bottom w:val="single" w:sz="8" w:space="0" w:color="E48C32"/>
            </w:tcBorders>
            <w:shd w:val="clear" w:color="auto" w:fill="auto"/>
            <w:vAlign w:val="center"/>
          </w:tcPr>
          <w:p>
            <w:pPr>
              <w:pStyle w:val="AMPRTabletext"/>
              <w:keepNext/>
              <w:jc w:val="center"/>
              <w:rPr>
                <w:rFonts w:eastAsia="Calibri"/>
                <w:noProof/>
                <w:color w:val="000000" w:themeColor="text1"/>
                <w:sz w:val="18"/>
                <w:szCs w:val="18"/>
              </w:rPr>
            </w:pPr>
            <w:r>
              <w:rPr>
                <w:rFonts w:eastAsiaTheme="minorHAnsi"/>
                <w:noProof/>
                <w:color w:val="000000" w:themeColor="text1"/>
                <w:sz w:val="18"/>
                <w:szCs w:val="18"/>
              </w:rPr>
              <w:t>Increase</w:t>
            </w:r>
          </w:p>
        </w:tc>
      </w:tr>
      <w:tr>
        <w:trPr>
          <w:cantSplit/>
        </w:trPr>
        <w:tc>
          <w:tcPr>
            <w:tcW w:w="0" w:type="auto"/>
            <w:gridSpan w:val="3"/>
            <w:tcBorders>
              <w:top w:val="single" w:sz="8" w:space="0" w:color="E48C32"/>
              <w:bottom w:val="single" w:sz="8" w:space="0" w:color="E48C32"/>
            </w:tcBorders>
            <w:shd w:val="clear" w:color="auto" w:fill="auto"/>
            <w:vAlign w:val="center"/>
          </w:tcPr>
          <w:p>
            <w:pPr>
              <w:pStyle w:val="AMPRTabletext-source"/>
              <w:rPr>
                <w:rFonts w:eastAsiaTheme="minorHAnsi"/>
                <w:noProof/>
              </w:rPr>
            </w:pPr>
            <w:r>
              <w:rPr>
                <w:rStyle w:val="italics"/>
                <w:rFonts w:eastAsiaTheme="minorHAnsi"/>
                <w:noProof/>
              </w:rPr>
              <w:t>Source</w:t>
            </w:r>
            <w:r>
              <w:rPr>
                <w:rFonts w:eastAsiaTheme="minorHAnsi"/>
                <w:i/>
                <w:noProof/>
              </w:rPr>
              <w:t>:</w:t>
            </w:r>
            <w:r>
              <w:rPr>
                <w:rFonts w:eastAsiaTheme="minorHAnsi"/>
                <w:noProof/>
              </w:rPr>
              <w:t xml:space="preserve"> European Commission.</w:t>
            </w:r>
          </w:p>
        </w:tc>
      </w:tr>
    </w:tbl>
    <w:p>
      <w:pPr>
        <w:pStyle w:val="Annex1Tableseparator"/>
        <w:rPr>
          <w:noProof/>
        </w:rPr>
        <w:sectPr>
          <w:headerReference w:type="even" r:id="rId76"/>
          <w:headerReference w:type="default" r:id="rId77"/>
          <w:footerReference w:type="even" r:id="rId78"/>
          <w:footerReference w:type="default" r:id="rId79"/>
          <w:headerReference w:type="first" r:id="rId80"/>
          <w:footerReference w:type="first" r:id="rId81"/>
          <w:footnotePr>
            <w:numStart w:val="411"/>
          </w:footnotePr>
          <w:type w:val="continuous"/>
          <w:pgSz w:w="11906" w:h="16838" w:code="9"/>
          <w:pgMar w:top="1418" w:right="1418" w:bottom="1418" w:left="1418" w:header="635" w:footer="635" w:gutter="0"/>
          <w:cols w:space="720"/>
          <w:docGrid w:linePitch="360"/>
        </w:sectPr>
      </w:pPr>
    </w:p>
    <w:p>
      <w:pPr>
        <w:pStyle w:val="Title1Annexes"/>
        <w:rPr>
          <w:noProof/>
        </w:rPr>
      </w:pPr>
      <w:bookmarkStart w:id="56" w:name="_Toc2592144"/>
      <w:bookmarkStart w:id="57" w:name="_Toc6304468"/>
      <w:bookmarkStart w:id="58" w:name="_Toc8386191"/>
      <w:bookmarkStart w:id="59" w:name="_Toc11679100"/>
      <w:r>
        <w:rPr>
          <w:noProof/>
        </w:rPr>
        <w:t xml:space="preserve">Annex 2: </w:t>
      </w:r>
      <w:r>
        <w:rPr>
          <w:noProof/>
        </w:rPr>
        <w:br/>
        <w:t>Risk at payment/closure reported in the 2018 annual activity reports</w:t>
      </w:r>
      <w:bookmarkEnd w:id="56"/>
      <w:bookmarkEnd w:id="57"/>
      <w:bookmarkEnd w:id="58"/>
      <w:bookmarkEnd w:id="59"/>
    </w:p>
    <w:p>
      <w:pPr>
        <w:pStyle w:val="Annex4-subheading1"/>
        <w:rPr>
          <w:noProof/>
        </w:rPr>
      </w:pPr>
      <w:bookmarkStart w:id="60" w:name="_Toc511118105"/>
      <w:bookmarkEnd w:id="60"/>
      <w:r>
        <w:rPr>
          <w:noProof/>
        </w:rPr>
        <w:t>Main concepts</w:t>
      </w:r>
    </w:p>
    <w:p>
      <w:pPr>
        <w:pStyle w:val="Annex4-subheading2"/>
        <w:rPr>
          <w:noProof/>
        </w:rPr>
      </w:pPr>
      <w:r>
        <w:rPr>
          <w:noProof/>
        </w:rPr>
        <w:t>Relevant expenditure</w:t>
      </w:r>
    </w:p>
    <w:p>
      <w:pPr>
        <w:pStyle w:val="BodyText1spaceafter"/>
      </w:pPr>
      <w:r>
        <w:t>The amount of relevant expenditure is determined to be in line with the Court of Auditors’ scope of transactions reviewed (see the European Court of Auditors’ 2017 annual report methodological Annex</w:t>
      </w:r>
      <w:r>
        <w:rPr>
          <w:rFonts w:ascii="Calibri" w:hAnsi="Calibri" w:cs="Calibri"/>
        </w:rPr>
        <w:t> </w:t>
      </w:r>
      <w:r>
        <w:t>1.1, paragraph</w:t>
      </w:r>
      <w:r>
        <w:rPr>
          <w:rFonts w:ascii="Calibri" w:hAnsi="Calibri" w:cs="Calibri"/>
        </w:rPr>
        <w:t> </w:t>
      </w:r>
      <w:r>
        <w:t>15). In this approach, pre-financing and retentions are only taken into account when the final recipient of EU funds has provided evidence of their use and the Commission (or another institution or body managing EU funds) has accepted the final use of the funds (by clearing the pre-financing or releasing the amount retained), because this is when errors of legality or regularity may occur. Therefore, the risks at payment and at closure are determined against this amount.</w:t>
      </w:r>
    </w:p>
    <w:p>
      <w:pPr>
        <w:pStyle w:val="BodyText1spaceafter"/>
      </w:pPr>
      <w:r>
        <w:t>In order to show a complete picture of the funds for which the Commission is responsible, we are adding the payments made under the</w:t>
      </w:r>
      <w:r>
        <w:rPr>
          <w:rStyle w:val="BOLDORANGEAnnexes"/>
          <w:color w:val="auto"/>
        </w:rPr>
        <w:t xml:space="preserve"> </w:t>
      </w:r>
      <w:r>
        <w:rPr>
          <w:rStyle w:val="BOLDORANGEAnnexes"/>
        </w:rPr>
        <w:t>European Development Fund</w:t>
      </w:r>
      <w:r>
        <w:t xml:space="preserve">. This is a budget separate from the EU budget, managed by the development department. In </w:t>
      </w:r>
      <w:r>
        <w:rPr>
          <w:b/>
          <w:color w:val="E48C32"/>
        </w:rPr>
        <w:t>Table</w:t>
      </w:r>
      <w:r>
        <w:rPr>
          <w:rFonts w:ascii="Calibri" w:hAnsi="Calibri" w:cs="Calibri"/>
          <w:b/>
          <w:color w:val="E48C32"/>
        </w:rPr>
        <w:t> B</w:t>
      </w:r>
      <w:r>
        <w:t xml:space="preserve">, the corresponding expenditure is included in the external relations policy area; in </w:t>
      </w:r>
      <w:r>
        <w:rPr>
          <w:b/>
          <w:color w:val="E48C32"/>
        </w:rPr>
        <w:t>Table</w:t>
      </w:r>
      <w:r>
        <w:rPr>
          <w:rFonts w:ascii="Calibri" w:hAnsi="Calibri" w:cs="Calibri"/>
          <w:b/>
          <w:color w:val="E48C32"/>
        </w:rPr>
        <w:t> C</w:t>
      </w:r>
      <w:r>
        <w:t>, it is included in the development department’s expenditure.</w:t>
      </w:r>
    </w:p>
    <w:p>
      <w:pPr>
        <w:pStyle w:val="BodyText1spaceafter"/>
      </w:pPr>
      <w:r>
        <w:t xml:space="preserve">These tables also show the expenditure related to the </w:t>
      </w:r>
      <w:r>
        <w:rPr>
          <w:rStyle w:val="BOLDORANGEAnnexes"/>
        </w:rPr>
        <w:t>four EU Trust Funds</w:t>
      </w:r>
      <w:r>
        <w:t>: the EU Trust Fund for the Central African Republic; the EU Regional Trust Fund in Response to the Syrian Crisis; the EU Emergency Trust Fund for Africa; and the EU Trust Fund for Colombia (see also Annex</w:t>
      </w:r>
      <w:r>
        <w:rPr>
          <w:rFonts w:ascii="Calibri" w:hAnsi="Calibri" w:cs="Calibri"/>
        </w:rPr>
        <w:t> </w:t>
      </w:r>
      <w:r>
        <w:t>9). In Table</w:t>
      </w:r>
      <w:r>
        <w:rPr>
          <w:rFonts w:ascii="Calibri" w:hAnsi="Calibri" w:cs="Calibri"/>
        </w:rPr>
        <w:t> B</w:t>
      </w:r>
      <w:r>
        <w:t>, the corresponding expenditure is included in the external relations policy area; in Table</w:t>
      </w:r>
      <w:r>
        <w:rPr>
          <w:rFonts w:ascii="Calibri" w:hAnsi="Calibri" w:cs="Calibri"/>
        </w:rPr>
        <w:t> C</w:t>
      </w:r>
      <w:r>
        <w:t xml:space="preserve">, it is included in the development, neighbourhood and humanitarian departments. </w:t>
      </w:r>
    </w:p>
    <w:p>
      <w:pPr>
        <w:pStyle w:val="BodyText1spaceafter"/>
      </w:pPr>
      <w:r>
        <w:t>The three departments ensure the transparent and complete coverage of the relevant trust fund(s) in their annual activity reports, based on the reports from the trust fund managers. They make a distinction between their accountability for the contributions, from the EU budget and/or the European Development Fund, paid into the trust funds, on the one hand and for the transactions made out of the trust funds, i.e. with the funds collected from the EU budget, the European Development Fund and other donors, as a trust fund manager, on the other hand.</w:t>
      </w:r>
    </w:p>
    <w:p>
      <w:pPr>
        <w:pStyle w:val="Annex4-subheading2"/>
        <w:rPr>
          <w:noProof/>
        </w:rPr>
      </w:pPr>
      <w:r>
        <w:rPr>
          <w:noProof/>
        </w:rPr>
        <w:t>Preventive and corrective measures</w:t>
      </w:r>
    </w:p>
    <w:p>
      <w:pPr>
        <w:pStyle w:val="BodyText1spaceafter"/>
        <w:keepNext/>
      </w:pPr>
      <w:r>
        <w:t xml:space="preserve">The Commission’s control strategies involve both preventive and corrective measures (see </w:t>
      </w:r>
      <w:r>
        <w:rPr>
          <w:rStyle w:val="BOLDORANGEAnnexes"/>
        </w:rPr>
        <w:t>chart</w:t>
      </w:r>
      <w:r>
        <w:rPr>
          <w:rFonts w:ascii="Calibri" w:hAnsi="Calibri" w:cs="Calibri"/>
          <w:b/>
          <w:i/>
        </w:rPr>
        <w:t> </w:t>
      </w:r>
      <w:r>
        <w:t>below).</w:t>
      </w:r>
    </w:p>
    <w:p>
      <w:pPr>
        <w:jc w:val="both"/>
        <w:rPr>
          <w:b/>
          <w:noProof/>
        </w:rPr>
      </w:pPr>
      <w:r>
        <w:rPr>
          <w:noProof/>
          <w:lang w:eastAsia="en-GB"/>
        </w:rPr>
        <w:drawing>
          <wp:inline distT="0" distB="0" distL="0" distR="0">
            <wp:extent cx="6118860" cy="492992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visuals"/>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6118860" cy="4929926"/>
                    </a:xfrm>
                    <a:prstGeom prst="rect">
                      <a:avLst/>
                    </a:prstGeom>
                    <a:noFill/>
                    <a:ln>
                      <a:noFill/>
                    </a:ln>
                  </pic:spPr>
                </pic:pic>
              </a:graphicData>
            </a:graphic>
          </wp:inline>
        </w:drawing>
      </w:r>
    </w:p>
    <w:p>
      <w:pPr>
        <w:jc w:val="both"/>
        <w:rPr>
          <w:b/>
          <w:noProof/>
        </w:rPr>
      </w:pPr>
    </w:p>
    <w:p>
      <w:pPr>
        <w:pStyle w:val="Source-Table-Chart-PhotoCaption"/>
        <w:rPr>
          <w:i/>
          <w:noProof/>
        </w:rPr>
      </w:pPr>
      <w:r>
        <w:rPr>
          <w:rStyle w:val="italics"/>
          <w:noProof/>
        </w:rPr>
        <w:t xml:space="preserve">Chart: </w:t>
      </w:r>
      <w:r>
        <w:rPr>
          <w:noProof/>
        </w:rPr>
        <w:t>Main features of the Commission’s control strategies</w:t>
      </w:r>
    </w:p>
    <w:p>
      <w:pPr>
        <w:pStyle w:val="Source"/>
        <w:rPr>
          <w:i w:val="0"/>
        </w:rPr>
      </w:pPr>
      <w:r>
        <w:t xml:space="preserve">Source: </w:t>
      </w:r>
      <w:r>
        <w:rPr>
          <w:i w:val="0"/>
        </w:rPr>
        <w:t>European Commission.</w:t>
      </w:r>
    </w:p>
    <w:p>
      <w:pPr>
        <w:pStyle w:val="BodyText1spaceafter"/>
      </w:pPr>
      <w:r>
        <w:rPr>
          <w:rStyle w:val="BOLDORANGEAnnexes"/>
        </w:rPr>
        <w:t>Preventive measures</w:t>
      </w:r>
      <w:r>
        <w:t xml:space="preserve"> take place before the Commission makes the payment. They result mostly from controls (named </w:t>
      </w:r>
      <w:r>
        <w:rPr>
          <w:i/>
        </w:rPr>
        <w:t>ex ante</w:t>
      </w:r>
      <w:r>
        <w:t xml:space="preserve"> controls) carried out by the Commission before accepting and reimbursing the expenditure, clearing the pre-financing (i.e. transferring its ownership to the beneficiary) and making the interim/final payment. As required by Article</w:t>
      </w:r>
      <w:r>
        <w:rPr>
          <w:rFonts w:ascii="Calibri" w:hAnsi="Calibri" w:cs="Calibri"/>
        </w:rPr>
        <w:t> </w:t>
      </w:r>
      <w:r>
        <w:t>74(5) of the financial regulation, all financial operations are subject to controls before payment under all management modes.</w:t>
      </w:r>
    </w:p>
    <w:p>
      <w:pPr>
        <w:pStyle w:val="BodyText1spaceafter"/>
      </w:pPr>
      <w:r>
        <w:t>Examples of such preventive measures are the recovery of unused pre-financing, the (partial) rejection of costs claimed, and the financial corrections made by Member States before declaring the expenditure to the Commission.</w:t>
      </w:r>
    </w:p>
    <w:p>
      <w:pPr>
        <w:pStyle w:val="BodyText1spaceafter"/>
      </w:pPr>
      <w:r>
        <w:t xml:space="preserve">The intensity in terms of frequency and/or depth of these controls depends on the risks and costs involved. Consequently, for low-risk transactions </w:t>
      </w:r>
      <w:r>
        <w:rPr>
          <w:i/>
        </w:rPr>
        <w:t>ex ante</w:t>
      </w:r>
      <w:r>
        <w:t xml:space="preserve"> controls usually take the form of desk reviews rather than on-the-spot controls at the premises of the beneficiary. Indeed, for such transactions, on-the-spot controls would imply a prohibitive cost in view of the expected benefit. </w:t>
      </w:r>
    </w:p>
    <w:p>
      <w:pPr>
        <w:pStyle w:val="BodyText1spaceafter"/>
      </w:pPr>
      <w:r>
        <w:rPr>
          <w:rFonts w:eastAsia="EC Square Sans Pro"/>
        </w:rPr>
        <w:t>In shared management,</w:t>
      </w:r>
      <w:r>
        <w:t xml:space="preserve"> the possible interruptions/suspensions of payments to Member States in the event of serious deficiencies in the management and control systems have a preventive character. In addition, the Commission provides training and guidance to Member State authorities to grant beneficiaries on the eligibility aspects of grants and procurement. </w:t>
      </w:r>
    </w:p>
    <w:p>
      <w:pPr>
        <w:pStyle w:val="BodyText1spaceafter"/>
      </w:pPr>
      <w:r>
        <w:rPr>
          <w:rStyle w:val="BOLDORANGEAnnexes"/>
        </w:rPr>
        <w:t>Corrective measures</w:t>
      </w:r>
      <w:r>
        <w:t xml:space="preserve"> take place after the Commission has made the payment or accepted the expenditure. In line with Article</w:t>
      </w:r>
      <w:r>
        <w:rPr>
          <w:rFonts w:ascii="Calibri" w:hAnsi="Calibri" w:cs="Calibri"/>
        </w:rPr>
        <w:t> </w:t>
      </w:r>
      <w:r>
        <w:t xml:space="preserve">74(6) of the financial regulation, they result from controls (named </w:t>
      </w:r>
      <w:r>
        <w:rPr>
          <w:i/>
        </w:rPr>
        <w:t>ex post</w:t>
      </w:r>
      <w:r>
        <w:t xml:space="preserve"> controls) that are typically performed on the spot, on a sample basis, either representative or based on a risk assessment. They consist of financial audits that lead to financial corrections and recoveries of irregular expenditure</w:t>
      </w:r>
      <w:r>
        <w:rPr>
          <w:rStyle w:val="fnRef"/>
          <w:rFonts w:ascii="Calibri" w:hAnsi="Calibri" w:cs="Calibri"/>
        </w:rPr>
        <w:t> </w:t>
      </w:r>
      <w:r>
        <w:rPr>
          <w:rStyle w:val="fnRef"/>
        </w:rPr>
        <w:t>(</w:t>
      </w:r>
      <w:r>
        <w:rPr>
          <w:rStyle w:val="fnRefNo"/>
        </w:rPr>
        <w:footnoteReference w:id="22"/>
      </w:r>
      <w:r>
        <w:rPr>
          <w:rStyle w:val="fnRef"/>
        </w:rPr>
        <w:t>)</w:t>
      </w:r>
      <w:r>
        <w:t>. For an analysis of the actual financial corrections and recoveries made during the 2018 reporting year itself, see Section</w:t>
      </w:r>
      <w:r>
        <w:rPr>
          <w:rFonts w:ascii="Calibri" w:hAnsi="Calibri" w:cs="Calibri"/>
        </w:rPr>
        <w:t> </w:t>
      </w:r>
      <w:r>
        <w:t>2’s subsection 3 on the protection of the EU budget.</w:t>
      </w:r>
    </w:p>
    <w:p>
      <w:pPr>
        <w:pStyle w:val="BodyText1spaceafter"/>
      </w:pPr>
      <w:r>
        <w:t>Sources and root causes of errors detected by the Commission or by the Member States are also taken into account when preparing future (simplified) legislation and when (re)designing controls in order to further reduce the level of error in the next generation of funding programmes.</w:t>
      </w:r>
    </w:p>
    <w:p>
      <w:pPr>
        <w:pStyle w:val="Annex4-subheading2"/>
        <w:rPr>
          <w:noProof/>
        </w:rPr>
      </w:pPr>
      <w:r>
        <w:rPr>
          <w:noProof/>
        </w:rPr>
        <w:t>Risk at payment</w:t>
      </w:r>
    </w:p>
    <w:p>
      <w:pPr>
        <w:pStyle w:val="BodyText1spaceafter"/>
      </w:pPr>
      <w:r>
        <w:t xml:space="preserve">This risk is estimated after preventive controls haven taken place but before corrective measures have been applied. Each department estimates its </w:t>
      </w:r>
      <w:r>
        <w:rPr>
          <w:rStyle w:val="BOLDORANGEAnnexes"/>
        </w:rPr>
        <w:t>error</w:t>
      </w:r>
      <w:r>
        <w:rPr>
          <w:rStyle w:val="BOLDORANGEAnnexes"/>
          <w:color w:val="auto"/>
        </w:rPr>
        <w:t xml:space="preserve"> </w:t>
      </w:r>
      <w:r>
        <w:rPr>
          <w:rStyle w:val="BOLDORANGEAnnexes"/>
        </w:rPr>
        <w:t>rate</w:t>
      </w:r>
      <w:r>
        <w:rPr>
          <w:color w:val="auto"/>
        </w:rPr>
        <w:t xml:space="preserve"> </w:t>
      </w:r>
      <w:r>
        <w:t xml:space="preserve">per programme or other segment of payments. Some departments may use a different terminology in their annual activity reports: ‘adjusted error rates’ by the agriculture department or ‘residual total error rates’ by the regional, employment and maritime departments. The departments use a consistent methodology to assess the </w:t>
      </w:r>
      <w:r>
        <w:rPr>
          <w:rStyle w:val="BOLDORANGEAnnexes"/>
        </w:rPr>
        <w:t xml:space="preserve">risk of error </w:t>
      </w:r>
      <w:r>
        <w:rPr>
          <w:color w:val="auto"/>
        </w:rPr>
        <w:t>in t</w:t>
      </w:r>
      <w:r>
        <w:t xml:space="preserve">heir financial operations. This is typically done through surveys or audits, of samples of financial transactions, taking place after the payments. They reveal the errors that may have remained after the </w:t>
      </w:r>
      <w:r>
        <w:rPr>
          <w:i/>
        </w:rPr>
        <w:t>ex ante</w:t>
      </w:r>
      <w:r>
        <w:t xml:space="preserve"> controls have been applied and make it possible to </w:t>
      </w:r>
      <w:r>
        <w:rPr>
          <w:rStyle w:val="BOLDORANGEAnnexes"/>
        </w:rPr>
        <w:t xml:space="preserve">estimate </w:t>
      </w:r>
      <w:r>
        <w:rPr>
          <w:color w:val="auto"/>
        </w:rPr>
        <w:t xml:space="preserve">those </w:t>
      </w:r>
      <w:r>
        <w:t>parts of expenditure or revenue likely to be in breach of applicable regulatory and contractual provisions before any correction has taken place. This corresponds to the risk at payment for an individual programme or segment, in percentage.</w:t>
      </w:r>
    </w:p>
    <w:p>
      <w:pPr>
        <w:pStyle w:val="BOX2Orange-new"/>
        <w:rPr>
          <w:rFonts w:ascii="Calibri" w:hAnsi="Calibri"/>
          <w:lang w:val="en-US"/>
        </w:rPr>
      </w:pPr>
      <w:r>
        <w:t>All types of error, either formal or material, are duly considered and may lead to further enhancements of the control systems in place. Furthermore, in terms of consequences for the EU budget, the Commission calculates their actual financial impact. This is not necessarily equal to the total value of the EU funding involved, e.g. only the overpayment when the grant beneficiary has declared an amount above the reimbursement ceiling; pro rata of the EU funding when the</w:t>
      </w:r>
      <w:r>
        <w:rPr>
          <w:rFonts w:ascii="Calibri" w:hAnsi="Calibri" w:cs="Calibri"/>
        </w:rPr>
        <w:t> </w:t>
      </w:r>
      <w:r>
        <w:t>EU only co-funds a grant; or even zero in case of merely formal errors without any financial impact. A special case of the latter are formal errors in procurement procedures, which do not necessarily preclude that the best offer has been selected, that the output has been delivered in accordance with the contract and that the payments have been regular.</w:t>
      </w:r>
    </w:p>
    <w:p>
      <w:pPr>
        <w:pStyle w:val="BodyText1spacebeforeandafter"/>
      </w:pPr>
      <w:r>
        <w:t>On the other hand, two departments (development and neighbourhood) carry out specific studies to determine their error rate, including all corrections until the end of the programmes. This is called the ‘residual error rate’ and corresponds in this case to a risk at closure. They obtain the error rate at payment by adding the estimated future corrections to the estimated risk at closure.</w:t>
      </w:r>
    </w:p>
    <w:p>
      <w:pPr>
        <w:pStyle w:val="BodyText1spaceafter"/>
      </w:pPr>
      <w:r>
        <w:t xml:space="preserve">The risk at payment in value is obtained by multiplying </w:t>
      </w:r>
      <w:r>
        <w:rPr>
          <w:iCs/>
        </w:rPr>
        <w:t>the relevant expenditure</w:t>
      </w:r>
      <w:r>
        <w:t xml:space="preserve"> per programme or segment with the corresponding error rate.</w:t>
      </w:r>
    </w:p>
    <w:p>
      <w:pPr>
        <w:pStyle w:val="BodyText1spaceafter"/>
      </w:pPr>
      <w:r>
        <w:t>For low-risk expenditure, where there are indications that the error rate might be close to zero (e.g. administrative expenditure, operating subsidies to agencies), it is nevertheless recommended to use an error rate of 0.5% as a conservative estimate.</w:t>
      </w:r>
    </w:p>
    <w:p>
      <w:pPr>
        <w:pStyle w:val="BodyText1spaceafter"/>
        <w:rPr>
          <w:color w:val="auto"/>
        </w:rPr>
      </w:pPr>
      <w:r>
        <w:t xml:space="preserve">The results per programme or segment are aggregated to provide, at department, policy area and Commission level, </w:t>
      </w:r>
      <w:r>
        <w:rPr>
          <w:color w:val="auto"/>
        </w:rPr>
        <w:t xml:space="preserve">the </w:t>
      </w:r>
      <w:r>
        <w:rPr>
          <w:rStyle w:val="BOLDORANGEAnnexes"/>
          <w:color w:val="E48C32" w:themeColor="accent5"/>
        </w:rPr>
        <w:t>overall risk at payment in value</w:t>
      </w:r>
      <w:r>
        <w:rPr>
          <w:rStyle w:val="BOLDORANGEAnnexes"/>
          <w:b w:val="0"/>
          <w:color w:val="auto"/>
        </w:rPr>
        <w:t xml:space="preserve">, which is the sum of all the amounts of risk at payment, and in </w:t>
      </w:r>
      <w:r>
        <w:rPr>
          <w:rStyle w:val="BOLDORANGEAnnexes"/>
          <w:color w:val="E48C32" w:themeColor="accent5"/>
        </w:rPr>
        <w:t>percentage</w:t>
      </w:r>
      <w:r>
        <w:rPr>
          <w:rStyle w:val="BOLDORANGEAnnexes"/>
          <w:b w:val="0"/>
          <w:color w:val="auto"/>
        </w:rPr>
        <w:t>, which is</w:t>
      </w:r>
      <w:r>
        <w:rPr>
          <w:color w:val="auto"/>
        </w:rPr>
        <w:t xml:space="preserve"> the overall weighted </w:t>
      </w:r>
      <w:r>
        <w:rPr>
          <w:rStyle w:val="BOLDORANGEAnnexes"/>
          <w:b w:val="0"/>
          <w:color w:val="auto"/>
        </w:rPr>
        <w:t>average of the risk at payment in percentage</w:t>
      </w:r>
      <w:r>
        <w:rPr>
          <w:color w:val="auto"/>
        </w:rPr>
        <w:t>.</w:t>
      </w:r>
    </w:p>
    <w:p>
      <w:pPr>
        <w:pStyle w:val="Annex4-subheading2"/>
        <w:rPr>
          <w:noProof/>
        </w:rPr>
      </w:pPr>
      <w:r>
        <w:rPr>
          <w:noProof/>
        </w:rPr>
        <w:t>Estimated future corrections</w:t>
      </w:r>
    </w:p>
    <w:p>
      <w:pPr>
        <w:pStyle w:val="BodyText1spaceafter"/>
        <w:rPr>
          <w:szCs w:val="20"/>
        </w:rPr>
      </w:pPr>
      <w:r>
        <w:t xml:space="preserve">Because the majority of the programmes as well as the control strategies are multiannual, the risk at payment determined in first instance may provide an incomplete picture, as errors may still be corrected during a number of years after the payments have taken place, until the closure of the programme. In addition, corrections resulting from </w:t>
      </w:r>
      <w:r>
        <w:rPr>
          <w:i/>
        </w:rPr>
        <w:t>ex post</w:t>
      </w:r>
      <w:r>
        <w:t xml:space="preserve"> controls rarely take place within the same financial year as the payment</w:t>
      </w:r>
      <w:r>
        <w:rPr>
          <w:szCs w:val="20"/>
        </w:rPr>
        <w:t>.</w:t>
      </w:r>
    </w:p>
    <w:p>
      <w:pPr>
        <w:pStyle w:val="BodyText1spaceafter"/>
      </w:pPr>
      <w:r>
        <w:t>Therefore, in a second stage, departments estimate the percentage of future corrections they may still apply. This percentage is deducted from the risk at payment to obtain the risk expected at the time of the closure of the programmes. This percentage is applied to the relevant expenditure to obtain the amount of estimated future corrections.</w:t>
      </w:r>
    </w:p>
    <w:p>
      <w:pPr>
        <w:pStyle w:val="BodyText1spaceafter"/>
      </w:pPr>
      <w:r>
        <w:t>For programmes with no set closure point (e.g. the European Agricultural Guarantee Fund) and for some multiannual programmes for which corrections are still possible after the end of the programmes (e.g. the European Agricultural Fund for Rural Development and the European Structural and Investment Funds), all the corrections that remain possible are considered for this estimate.</w:t>
      </w:r>
    </w:p>
    <w:p>
      <w:pPr>
        <w:pStyle w:val="BodyText1spaceafter"/>
      </w:pPr>
      <w:r>
        <w:t xml:space="preserve">This estimate is based on the 7-year historic average of recoveries and financial corrections. Where the departments are of the opinion that this is not the best available estimate of their </w:t>
      </w:r>
      <w:r>
        <w:rPr>
          <w:i/>
        </w:rPr>
        <w:t>ex post</w:t>
      </w:r>
      <w:r>
        <w:t xml:space="preserve"> corrective capacity for their current activities, they adjust or replace their historic average. Any </w:t>
      </w:r>
      <w:r>
        <w:rPr>
          <w:i/>
        </w:rPr>
        <w:t>ex ante</w:t>
      </w:r>
      <w:r>
        <w:t xml:space="preserve"> elements, one-off events, (partially) cancelled or waived recovery orders, other factors from the past years that would no longer be relevant for current programmes (e.g. higher </w:t>
      </w:r>
      <w:r>
        <w:rPr>
          <w:i/>
        </w:rPr>
        <w:t>ex post</w:t>
      </w:r>
      <w:r>
        <w:t xml:space="preserve"> corrections of previously higher errors in earlier generations of grant programmes, current programmes with entirely </w:t>
      </w:r>
      <w:r>
        <w:rPr>
          <w:i/>
        </w:rPr>
        <w:t>ex ante</w:t>
      </w:r>
      <w:r>
        <w:t xml:space="preserve"> control systems) may be taken into account in order to come to the best and most conservative estimate of future corrections to be applied for the expenditure of the current programmes. This may include considering less than 7 recent years (e.g. agriculture, maritime, development, neighbourhood), using an alternative estimation basis (e.g. agriculture, regional and employment, plus the research group) or even assuming that the </w:t>
      </w:r>
      <w:r>
        <w:rPr>
          <w:i/>
        </w:rPr>
        <w:t>ex post</w:t>
      </w:r>
      <w:r>
        <w:t xml:space="preserve"> future corrections would be 0.0% (e.g. departments with entirely </w:t>
      </w:r>
      <w:r>
        <w:rPr>
          <w:i/>
        </w:rPr>
        <w:t>ex ante</w:t>
      </w:r>
      <w:r>
        <w:t xml:space="preserve"> control systems which cannot have systematic future </w:t>
      </w:r>
      <w:r>
        <w:rPr>
          <w:i/>
        </w:rPr>
        <w:t>ex post</w:t>
      </w:r>
      <w:r>
        <w:t xml:space="preserve"> corrections).</w:t>
      </w:r>
    </w:p>
    <w:p>
      <w:pPr>
        <w:pStyle w:val="BOX3BluedashedborderOrangetext"/>
      </w:pPr>
      <w:r>
        <w:t>In 2018, most departments adjusted or replaced their historical average of corrections in order to arrive at their best conservative estimate of the future corrections to be applied to their relevant expenditure for the reporting year. The adjustments made include reducing the 7-year period (e.g. agriculture, maritime, development and neighbourhood departments); using an alternative basis (e.g. agriculture department, the regional and employment departments</w:t>
      </w:r>
      <w:r>
        <w:rPr>
          <w:rStyle w:val="fnRef"/>
          <w:rFonts w:ascii="Calibri" w:hAnsi="Calibri" w:cs="Calibri"/>
        </w:rPr>
        <w:t> </w:t>
      </w:r>
      <w:r>
        <w:rPr>
          <w:rStyle w:val="fnRef"/>
        </w:rPr>
        <w:t>(</w:t>
      </w:r>
      <w:r>
        <w:rPr>
          <w:rStyle w:val="fnRefNo"/>
        </w:rPr>
        <w:footnoteReference w:id="23"/>
      </w:r>
      <w:r>
        <w:rPr>
          <w:rStyle w:val="fnRef"/>
        </w:rPr>
        <w:t>)</w:t>
      </w:r>
      <w:r>
        <w:t xml:space="preserve">, plus the research group of departments); or assuming that future </w:t>
      </w:r>
      <w:r>
        <w:rPr>
          <w:rStyle w:val="italics"/>
        </w:rPr>
        <w:t>ex post</w:t>
      </w:r>
      <w:r>
        <w:t xml:space="preserve"> corrections will be zero (departments whose control systems consist of predominantly </w:t>
      </w:r>
      <w:r>
        <w:rPr>
          <w:rStyle w:val="italics"/>
        </w:rPr>
        <w:t>ex ante</w:t>
      </w:r>
      <w:r>
        <w:t xml:space="preserve"> controls). </w:t>
      </w:r>
    </w:p>
    <w:p>
      <w:pPr>
        <w:pStyle w:val="BodyText1spaceafter"/>
      </w:pPr>
      <w:r>
        <w:t>These future corrections can never be fully equal to the risk at payment. This is due to the fact that part of the errors may be of a formal nature, which, although important to address, does not always result in undue payments and therefore does not always give rise to financial corrections or recovery orders.</w:t>
      </w:r>
    </w:p>
    <w:p>
      <w:pPr>
        <w:pStyle w:val="Annex4-subheading2"/>
        <w:rPr>
          <w:noProof/>
        </w:rPr>
      </w:pPr>
      <w:r>
        <w:rPr>
          <w:noProof/>
        </w:rPr>
        <w:t>Risk at closure</w:t>
      </w:r>
    </w:p>
    <w:p>
      <w:pPr>
        <w:pStyle w:val="BodyText1spaceafter"/>
      </w:pPr>
      <w:r>
        <w:t xml:space="preserve">This risk is estimated at </w:t>
      </w:r>
      <w:r>
        <w:rPr>
          <w:rStyle w:val="BOLDORANGEAnnexes"/>
          <w:color w:val="E48C32" w:themeColor="accent5"/>
        </w:rPr>
        <w:t>programme closure</w:t>
      </w:r>
      <w:r>
        <w:t xml:space="preserve">, meaning when all </w:t>
      </w:r>
      <w:r>
        <w:rPr>
          <w:i/>
        </w:rPr>
        <w:t>ex post</w:t>
      </w:r>
      <w:r>
        <w:t xml:space="preserve"> controls are completed and corrections are applied, legally no further action may be taken.</w:t>
      </w:r>
    </w:p>
    <w:p>
      <w:pPr>
        <w:pStyle w:val="BodyText1spaceafter"/>
      </w:pPr>
      <w:r>
        <w:t>The risk</w:t>
      </w:r>
      <w:r>
        <w:rPr>
          <w:rStyle w:val="BOLDORANGEAnnexes"/>
          <w:b w:val="0"/>
        </w:rPr>
        <w:t xml:space="preserve"> </w:t>
      </w:r>
      <w:r>
        <w:t>is obtained by deducting the estimated future corrections from the risk at payment, in value and in percentage. These amounts and percentages represent the most up-to-date estimation of the outcome to be expected by the closure of each programme. It is forward-looking to the point when all future corrections will have been made. This risk at closure is more representative of the multiannual corrective capacity of the Commission and of the real risk to the expenditure.</w:t>
      </w:r>
    </w:p>
    <w:p>
      <w:pPr>
        <w:pStyle w:val="BodyText1spaceafter"/>
      </w:pPr>
      <w:r>
        <w:t xml:space="preserve">Similarly to the risk at payment, the results per programme or segment are aggregated to provide, at department, policy area and Commission level, the </w:t>
      </w:r>
      <w:r>
        <w:rPr>
          <w:rStyle w:val="BOLDORANGEAnnexes"/>
          <w:color w:val="E48C32" w:themeColor="accent5"/>
        </w:rPr>
        <w:t>overall risk at closure in value</w:t>
      </w:r>
      <w:r>
        <w:rPr>
          <w:rStyle w:val="BOLDORANGEAnnexes"/>
          <w:b w:val="0"/>
          <w:color w:val="auto"/>
        </w:rPr>
        <w:t xml:space="preserve">, which is the sum of all the amounts of risk at closure, and in </w:t>
      </w:r>
      <w:r>
        <w:rPr>
          <w:rStyle w:val="BOLDORANGEAnnexes"/>
          <w:color w:val="E48C32" w:themeColor="accent5"/>
        </w:rPr>
        <w:t>percentage</w:t>
      </w:r>
      <w:r>
        <w:rPr>
          <w:rStyle w:val="BOLDORANGEAnnexes"/>
          <w:b w:val="0"/>
          <w:color w:val="auto"/>
        </w:rPr>
        <w:t>, which is</w:t>
      </w:r>
      <w:r>
        <w:rPr>
          <w:b/>
        </w:rPr>
        <w:t xml:space="preserve"> </w:t>
      </w:r>
      <w:r>
        <w:t xml:space="preserve">the overall weighted </w:t>
      </w:r>
      <w:r>
        <w:rPr>
          <w:rStyle w:val="BOLDORANGEAnnexes"/>
          <w:b w:val="0"/>
          <w:color w:val="auto"/>
        </w:rPr>
        <w:t>average of the risk at closure in percentage</w:t>
      </w:r>
      <w:r>
        <w:t>.</w:t>
      </w:r>
    </w:p>
    <w:p>
      <w:pPr>
        <w:pStyle w:val="BodyText1spaceafter"/>
        <w:keepNext/>
      </w:pPr>
      <w:r>
        <w:t>The following tables show:</w:t>
      </w:r>
    </w:p>
    <w:p>
      <w:pPr>
        <w:pStyle w:val="bulletsorange"/>
      </w:pPr>
      <w:r>
        <w:t xml:space="preserve">the amount of </w:t>
      </w:r>
      <w:r>
        <w:rPr>
          <w:rStyle w:val="BOLDORANGEAnnexes"/>
        </w:rPr>
        <w:t>relevant expenditure</w:t>
      </w:r>
      <w:r>
        <w:t xml:space="preserve"> for the whole Commission (see </w:t>
      </w:r>
      <w:r>
        <w:rPr>
          <w:rStyle w:val="BOLDORANGEAnnexes"/>
        </w:rPr>
        <w:t>Table</w:t>
      </w:r>
      <w:r>
        <w:rPr>
          <w:rStyle w:val="BOLDORANGEAnnexes"/>
          <w:rFonts w:ascii="Calibri" w:hAnsi="Calibri" w:cs="Calibri"/>
        </w:rPr>
        <w:t> </w:t>
      </w:r>
      <w:r>
        <w:rPr>
          <w:rStyle w:val="BOLDORANGEAnnexes"/>
        </w:rPr>
        <w:t>A</w:t>
      </w:r>
      <w:r>
        <w:t xml:space="preserve">) — this is the basis against which the risk at payment and at closure are determined to be in line with the Court of Auditor’s approach; </w:t>
      </w:r>
    </w:p>
    <w:p>
      <w:pPr>
        <w:pStyle w:val="bulletsorange"/>
        <w:rPr>
          <w:color w:val="auto"/>
        </w:rPr>
      </w:pPr>
      <w:r>
        <w:t xml:space="preserve">a consolidated overview of the Commission’s </w:t>
      </w:r>
      <w:r>
        <w:rPr>
          <w:rStyle w:val="BOLDORANGEAnnexes"/>
        </w:rPr>
        <w:t>risk at payment/closure per policy area</w:t>
      </w:r>
      <w:r>
        <w:rPr>
          <w:rStyle w:val="BOLDORANGEAnnexes"/>
          <w:b w:val="0"/>
          <w:color w:val="auto"/>
        </w:rPr>
        <w:t xml:space="preserve"> (see </w:t>
      </w:r>
      <w:r>
        <w:rPr>
          <w:rStyle w:val="BOLDORANGEAnnexes"/>
        </w:rPr>
        <w:t>Table</w:t>
      </w:r>
      <w:r>
        <w:rPr>
          <w:rStyle w:val="BOLDORANGEAnnexes"/>
          <w:rFonts w:ascii="Calibri" w:hAnsi="Calibri" w:cs="Calibri"/>
        </w:rPr>
        <w:t> </w:t>
      </w:r>
      <w:r>
        <w:rPr>
          <w:rStyle w:val="BOLDORANGEAnnexes"/>
        </w:rPr>
        <w:t>B</w:t>
      </w:r>
      <w:r>
        <w:rPr>
          <w:rStyle w:val="BOLDORANGEAnnexes"/>
          <w:b w:val="0"/>
          <w:color w:val="auto"/>
        </w:rPr>
        <w:t xml:space="preserve">) and </w:t>
      </w:r>
      <w:r>
        <w:rPr>
          <w:rStyle w:val="BOLDORANGEAnnexes"/>
        </w:rPr>
        <w:t>per department</w:t>
      </w:r>
      <w:r>
        <w:rPr>
          <w:color w:val="auto"/>
        </w:rPr>
        <w:t xml:space="preserve"> (see </w:t>
      </w:r>
      <w:r>
        <w:rPr>
          <w:rStyle w:val="BOLDORANGEAnnexes"/>
        </w:rPr>
        <w:t>Table</w:t>
      </w:r>
      <w:r>
        <w:rPr>
          <w:rStyle w:val="BOLDORANGEAnnexes"/>
          <w:rFonts w:ascii="Calibri" w:hAnsi="Calibri" w:cs="Calibri"/>
        </w:rPr>
        <w:t> </w:t>
      </w:r>
      <w:r>
        <w:rPr>
          <w:rStyle w:val="BOLDORANGEAnnexes"/>
        </w:rPr>
        <w:t>C</w:t>
      </w:r>
      <w:r>
        <w:rPr>
          <w:color w:val="auto"/>
        </w:rPr>
        <w:t xml:space="preserve">). </w:t>
      </w:r>
    </w:p>
    <w:p>
      <w:pPr>
        <w:pStyle w:val="AnnexTabletitle"/>
        <w:keepNext/>
        <w:rPr>
          <w:noProof/>
        </w:rPr>
      </w:pPr>
      <w:r>
        <w:rPr>
          <w:noProof/>
        </w:rPr>
        <w:t>Table A: Amount of ‘relevant expenditure’ for the whole Commission (EUR millions)</w:t>
      </w:r>
    </w:p>
    <w:tbl>
      <w:tblPr>
        <w:tblStyle w:val="TableGrid"/>
        <w:tblW w:w="9070" w:type="dxa"/>
        <w:jc w:val="center"/>
        <w:tblLayout w:type="fixed"/>
        <w:tblLook w:val="04A0" w:firstRow="1" w:lastRow="0" w:firstColumn="1" w:lastColumn="0" w:noHBand="0" w:noVBand="1"/>
      </w:tblPr>
      <w:tblGrid>
        <w:gridCol w:w="1755"/>
        <w:gridCol w:w="1193"/>
        <w:gridCol w:w="1245"/>
        <w:gridCol w:w="1141"/>
        <w:gridCol w:w="1298"/>
        <w:gridCol w:w="1156"/>
        <w:gridCol w:w="1282"/>
      </w:tblGrid>
      <w:tr>
        <w:trPr>
          <w:trHeight w:val="511"/>
          <w:jc w:val="center"/>
        </w:trPr>
        <w:tc>
          <w:tcPr>
            <w:tcW w:w="1951" w:type="dxa"/>
            <w:shd w:val="clear" w:color="auto" w:fill="E48C32"/>
            <w:noWrap/>
            <w:tcMar>
              <w:left w:w="57" w:type="dxa"/>
              <w:right w:w="57" w:type="dxa"/>
            </w:tcMar>
            <w:vAlign w:val="center"/>
          </w:tcPr>
          <w:p>
            <w:pPr>
              <w:keepNext/>
              <w:spacing w:line="276" w:lineRule="auto"/>
              <w:jc w:val="center"/>
              <w:rPr>
                <w:b/>
                <w:noProof/>
                <w:color w:val="FFFFFF"/>
                <w:sz w:val="18"/>
                <w:szCs w:val="18"/>
              </w:rPr>
            </w:pPr>
            <w:r>
              <w:rPr>
                <w:b/>
                <w:noProof/>
                <w:color w:val="FFFFFF"/>
                <w:sz w:val="18"/>
                <w:szCs w:val="18"/>
              </w:rPr>
              <w:t>2018 (provisional) annual accounts</w:t>
            </w:r>
          </w:p>
        </w:tc>
        <w:tc>
          <w:tcPr>
            <w:tcW w:w="1317" w:type="dxa"/>
            <w:shd w:val="clear" w:color="auto" w:fill="E48C32"/>
            <w:noWrap/>
            <w:tcMar>
              <w:left w:w="57" w:type="dxa"/>
              <w:right w:w="57" w:type="dxa"/>
            </w:tcMar>
            <w:vAlign w:val="center"/>
          </w:tcPr>
          <w:p>
            <w:pPr>
              <w:keepNext/>
              <w:spacing w:line="276" w:lineRule="auto"/>
              <w:jc w:val="center"/>
              <w:rPr>
                <w:b/>
                <w:noProof/>
                <w:color w:val="FFFFFF"/>
                <w:sz w:val="18"/>
                <w:szCs w:val="18"/>
              </w:rPr>
            </w:pPr>
            <w:r>
              <w:rPr>
                <w:b/>
                <w:noProof/>
                <w:color w:val="FFFFFF"/>
                <w:sz w:val="18"/>
                <w:szCs w:val="18"/>
              </w:rPr>
              <w:br/>
              <w:t>Payments made</w:t>
            </w:r>
          </w:p>
          <w:p>
            <w:pPr>
              <w:keepNext/>
              <w:spacing w:line="276" w:lineRule="auto"/>
              <w:jc w:val="center"/>
              <w:rPr>
                <w:b/>
                <w:noProof/>
                <w:color w:val="FFFFFF"/>
                <w:sz w:val="18"/>
                <w:szCs w:val="18"/>
              </w:rPr>
            </w:pPr>
            <w:r>
              <w:rPr>
                <w:b/>
                <w:noProof/>
                <w:color w:val="FFFFFF"/>
                <w:sz w:val="18"/>
                <w:szCs w:val="18"/>
              </w:rPr>
              <w:t>(a)</w:t>
            </w:r>
          </w:p>
        </w:tc>
        <w:tc>
          <w:tcPr>
            <w:tcW w:w="1376" w:type="dxa"/>
            <w:shd w:val="clear" w:color="auto" w:fill="E48C32"/>
            <w:noWrap/>
            <w:tcMar>
              <w:left w:w="57" w:type="dxa"/>
              <w:right w:w="57" w:type="dxa"/>
            </w:tcMar>
            <w:vAlign w:val="center"/>
          </w:tcPr>
          <w:p>
            <w:pPr>
              <w:keepNext/>
              <w:spacing w:line="276" w:lineRule="auto"/>
              <w:jc w:val="center"/>
              <w:rPr>
                <w:b/>
                <w:noProof/>
                <w:color w:val="FFFFFF"/>
                <w:sz w:val="18"/>
                <w:szCs w:val="18"/>
              </w:rPr>
            </w:pPr>
            <w:r>
              <w:rPr>
                <w:b/>
                <w:noProof/>
                <w:color w:val="FFFFFF"/>
                <w:sz w:val="18"/>
                <w:szCs w:val="18"/>
              </w:rPr>
              <w:t xml:space="preserve">- </w:t>
            </w:r>
            <w:r>
              <w:rPr>
                <w:b/>
                <w:noProof/>
                <w:color w:val="FFFFFF"/>
                <w:sz w:val="18"/>
                <w:szCs w:val="18"/>
              </w:rPr>
              <w:br/>
              <w:t>New pre-financing</w:t>
            </w:r>
          </w:p>
          <w:p>
            <w:pPr>
              <w:keepNext/>
              <w:spacing w:line="276" w:lineRule="auto"/>
              <w:jc w:val="center"/>
              <w:rPr>
                <w:b/>
                <w:noProof/>
                <w:color w:val="FFFFFF"/>
                <w:sz w:val="18"/>
                <w:szCs w:val="18"/>
              </w:rPr>
            </w:pPr>
            <w:r>
              <w:rPr>
                <w:b/>
                <w:noProof/>
                <w:color w:val="FFFFFF"/>
                <w:sz w:val="18"/>
                <w:szCs w:val="18"/>
              </w:rPr>
              <w:t>(b)</w:t>
            </w:r>
          </w:p>
        </w:tc>
        <w:tc>
          <w:tcPr>
            <w:tcW w:w="1258" w:type="dxa"/>
            <w:shd w:val="clear" w:color="auto" w:fill="E48C32"/>
            <w:tcMar>
              <w:left w:w="57" w:type="dxa"/>
              <w:right w:w="57" w:type="dxa"/>
            </w:tcMar>
            <w:vAlign w:val="center"/>
          </w:tcPr>
          <w:p>
            <w:pPr>
              <w:keepNext/>
              <w:spacing w:line="276" w:lineRule="auto"/>
              <w:jc w:val="center"/>
              <w:rPr>
                <w:b/>
                <w:noProof/>
                <w:color w:val="FFFFFF"/>
                <w:sz w:val="18"/>
                <w:szCs w:val="18"/>
              </w:rPr>
            </w:pPr>
            <w:r>
              <w:rPr>
                <w:b/>
                <w:noProof/>
                <w:color w:val="FFFFFF"/>
                <w:sz w:val="18"/>
                <w:szCs w:val="18"/>
              </w:rPr>
              <w:t xml:space="preserve">+ </w:t>
            </w:r>
            <w:r>
              <w:rPr>
                <w:b/>
                <w:noProof/>
                <w:color w:val="FFFFFF"/>
                <w:sz w:val="18"/>
                <w:szCs w:val="18"/>
              </w:rPr>
              <w:br/>
              <w:t>Retentions made</w:t>
            </w:r>
          </w:p>
          <w:p>
            <w:pPr>
              <w:keepNext/>
              <w:spacing w:line="276" w:lineRule="auto"/>
              <w:jc w:val="center"/>
              <w:rPr>
                <w:b/>
                <w:noProof/>
                <w:color w:val="FFFFFF"/>
                <w:sz w:val="18"/>
                <w:szCs w:val="18"/>
              </w:rPr>
            </w:pPr>
            <w:r>
              <w:rPr>
                <w:b/>
                <w:noProof/>
                <w:color w:val="FFFFFF"/>
                <w:sz w:val="18"/>
                <w:szCs w:val="18"/>
              </w:rPr>
              <w:t>(c)</w:t>
            </w:r>
          </w:p>
        </w:tc>
        <w:tc>
          <w:tcPr>
            <w:tcW w:w="1436" w:type="dxa"/>
            <w:shd w:val="clear" w:color="auto" w:fill="E48C32"/>
            <w:noWrap/>
            <w:tcMar>
              <w:left w:w="57" w:type="dxa"/>
              <w:right w:w="57" w:type="dxa"/>
            </w:tcMar>
            <w:vAlign w:val="center"/>
          </w:tcPr>
          <w:p>
            <w:pPr>
              <w:keepNext/>
              <w:spacing w:line="276" w:lineRule="auto"/>
              <w:jc w:val="center"/>
              <w:rPr>
                <w:b/>
                <w:noProof/>
                <w:color w:val="FFFFFF"/>
                <w:sz w:val="18"/>
                <w:szCs w:val="18"/>
              </w:rPr>
            </w:pPr>
            <w:r>
              <w:rPr>
                <w:b/>
                <w:noProof/>
                <w:color w:val="FFFFFF"/>
                <w:sz w:val="18"/>
                <w:szCs w:val="18"/>
              </w:rPr>
              <w:t xml:space="preserve">+ </w:t>
            </w:r>
            <w:r>
              <w:rPr>
                <w:b/>
                <w:noProof/>
                <w:color w:val="FFFFFF"/>
                <w:sz w:val="18"/>
                <w:szCs w:val="18"/>
              </w:rPr>
              <w:br/>
              <w:t>Cleared pre-financing</w:t>
            </w:r>
          </w:p>
          <w:p>
            <w:pPr>
              <w:keepNext/>
              <w:spacing w:line="276" w:lineRule="auto"/>
              <w:jc w:val="center"/>
              <w:rPr>
                <w:b/>
                <w:noProof/>
                <w:color w:val="FFFFFF"/>
                <w:sz w:val="18"/>
                <w:szCs w:val="18"/>
              </w:rPr>
            </w:pPr>
            <w:r>
              <w:rPr>
                <w:b/>
                <w:noProof/>
                <w:color w:val="FFFFFF"/>
                <w:sz w:val="18"/>
                <w:szCs w:val="18"/>
              </w:rPr>
              <w:t>(d)</w:t>
            </w:r>
          </w:p>
        </w:tc>
        <w:tc>
          <w:tcPr>
            <w:tcW w:w="1275" w:type="dxa"/>
            <w:shd w:val="clear" w:color="auto" w:fill="E48C32"/>
            <w:tcMar>
              <w:left w:w="57" w:type="dxa"/>
              <w:right w:w="57" w:type="dxa"/>
            </w:tcMar>
            <w:vAlign w:val="center"/>
          </w:tcPr>
          <w:p>
            <w:pPr>
              <w:keepNext/>
              <w:spacing w:line="276" w:lineRule="auto"/>
              <w:jc w:val="center"/>
              <w:rPr>
                <w:b/>
                <w:noProof/>
                <w:color w:val="FFFFFF"/>
                <w:sz w:val="18"/>
                <w:szCs w:val="18"/>
              </w:rPr>
            </w:pPr>
            <w:r>
              <w:rPr>
                <w:b/>
                <w:noProof/>
                <w:color w:val="FFFFFF"/>
                <w:sz w:val="18"/>
                <w:szCs w:val="18"/>
              </w:rPr>
              <w:t xml:space="preserve">- </w:t>
            </w:r>
            <w:r>
              <w:rPr>
                <w:b/>
                <w:noProof/>
                <w:color w:val="FFFFFF"/>
                <w:sz w:val="18"/>
                <w:szCs w:val="18"/>
              </w:rPr>
              <w:br/>
              <w:t>Retentions released</w:t>
            </w:r>
          </w:p>
          <w:p>
            <w:pPr>
              <w:keepNext/>
              <w:spacing w:line="276" w:lineRule="auto"/>
              <w:jc w:val="center"/>
              <w:rPr>
                <w:b/>
                <w:noProof/>
                <w:color w:val="FFFFFF"/>
                <w:sz w:val="18"/>
                <w:szCs w:val="18"/>
              </w:rPr>
            </w:pPr>
            <w:r>
              <w:rPr>
                <w:b/>
                <w:noProof/>
                <w:color w:val="FFFFFF"/>
                <w:sz w:val="18"/>
                <w:szCs w:val="18"/>
              </w:rPr>
              <w:t>(e)</w:t>
            </w:r>
          </w:p>
        </w:tc>
        <w:tc>
          <w:tcPr>
            <w:tcW w:w="1418" w:type="dxa"/>
            <w:shd w:val="clear" w:color="auto" w:fill="E48C32"/>
            <w:noWrap/>
            <w:tcMar>
              <w:left w:w="57" w:type="dxa"/>
              <w:right w:w="57" w:type="dxa"/>
            </w:tcMar>
            <w:vAlign w:val="center"/>
          </w:tcPr>
          <w:p>
            <w:pPr>
              <w:keepNext/>
              <w:spacing w:line="276" w:lineRule="auto"/>
              <w:jc w:val="center"/>
              <w:rPr>
                <w:b/>
                <w:noProof/>
                <w:color w:val="FFFFFF"/>
                <w:sz w:val="18"/>
                <w:szCs w:val="18"/>
              </w:rPr>
            </w:pPr>
            <w:r>
              <w:rPr>
                <w:b/>
                <w:noProof/>
                <w:color w:val="FFFFFF"/>
                <w:sz w:val="18"/>
                <w:szCs w:val="18"/>
              </w:rPr>
              <w:br/>
              <w:t xml:space="preserve">= </w:t>
            </w:r>
            <w:r>
              <w:rPr>
                <w:b/>
                <w:noProof/>
                <w:color w:val="FFFFFF"/>
                <w:sz w:val="18"/>
                <w:szCs w:val="18"/>
              </w:rPr>
              <w:br/>
              <w:t>Relevant expenditure</w:t>
            </w:r>
          </w:p>
          <w:p>
            <w:pPr>
              <w:keepNext/>
              <w:spacing w:line="276" w:lineRule="auto"/>
              <w:jc w:val="center"/>
              <w:rPr>
                <w:b/>
                <w:noProof/>
                <w:color w:val="FFFFFF"/>
                <w:sz w:val="18"/>
                <w:szCs w:val="18"/>
              </w:rPr>
            </w:pPr>
            <w:r>
              <w:rPr>
                <w:b/>
                <w:noProof/>
                <w:color w:val="FFFFFF"/>
                <w:sz w:val="18"/>
                <w:szCs w:val="18"/>
              </w:rPr>
              <w:t>(f)=(a)-(b)+(c)+(d)-(e)</w:t>
            </w:r>
          </w:p>
        </w:tc>
      </w:tr>
      <w:tr>
        <w:trPr>
          <w:trHeight w:val="344"/>
          <w:jc w:val="center"/>
        </w:trPr>
        <w:tc>
          <w:tcPr>
            <w:tcW w:w="1951" w:type="dxa"/>
            <w:noWrap/>
            <w:vAlign w:val="center"/>
            <w:hideMark/>
          </w:tcPr>
          <w:p>
            <w:pPr>
              <w:keepNext/>
              <w:spacing w:line="276" w:lineRule="auto"/>
              <w:rPr>
                <w:b/>
                <w:noProof/>
                <w:sz w:val="18"/>
                <w:szCs w:val="18"/>
              </w:rPr>
            </w:pPr>
            <w:r>
              <w:rPr>
                <w:b/>
                <w:noProof/>
                <w:sz w:val="18"/>
                <w:szCs w:val="18"/>
              </w:rPr>
              <w:t>EU budget</w:t>
            </w:r>
          </w:p>
        </w:tc>
        <w:tc>
          <w:tcPr>
            <w:tcW w:w="1317" w:type="dxa"/>
            <w:noWrap/>
            <w:vAlign w:val="center"/>
            <w:hideMark/>
          </w:tcPr>
          <w:p>
            <w:pPr>
              <w:keepNext/>
              <w:spacing w:line="276" w:lineRule="auto"/>
              <w:jc w:val="right"/>
              <w:rPr>
                <w:noProof/>
                <w:sz w:val="18"/>
                <w:szCs w:val="18"/>
              </w:rPr>
            </w:pPr>
            <w:r>
              <w:rPr>
                <w:noProof/>
                <w:sz w:val="18"/>
                <w:szCs w:val="18"/>
              </w:rPr>
              <w:t>152 533</w:t>
            </w:r>
          </w:p>
        </w:tc>
        <w:tc>
          <w:tcPr>
            <w:tcW w:w="1376" w:type="dxa"/>
            <w:noWrap/>
            <w:vAlign w:val="center"/>
            <w:hideMark/>
          </w:tcPr>
          <w:p>
            <w:pPr>
              <w:keepNext/>
              <w:spacing w:line="276" w:lineRule="auto"/>
              <w:jc w:val="right"/>
              <w:rPr>
                <w:noProof/>
                <w:sz w:val="18"/>
                <w:szCs w:val="18"/>
              </w:rPr>
            </w:pPr>
            <w:r>
              <w:rPr>
                <w:noProof/>
                <w:sz w:val="18"/>
                <w:szCs w:val="18"/>
              </w:rPr>
              <w:t>–</w:t>
            </w:r>
            <w:r>
              <w:rPr>
                <w:rFonts w:cs="Calibri"/>
                <w:noProof/>
                <w:sz w:val="18"/>
                <w:szCs w:val="18"/>
              </w:rPr>
              <w:t> </w:t>
            </w:r>
            <w:r>
              <w:rPr>
                <w:noProof/>
                <w:sz w:val="18"/>
                <w:szCs w:val="18"/>
              </w:rPr>
              <w:t>29</w:t>
            </w:r>
            <w:r>
              <w:rPr>
                <w:rFonts w:cs="Calibri"/>
                <w:noProof/>
                <w:sz w:val="18"/>
                <w:szCs w:val="18"/>
              </w:rPr>
              <w:t> </w:t>
            </w:r>
            <w:r>
              <w:rPr>
                <w:noProof/>
                <w:sz w:val="18"/>
                <w:szCs w:val="18"/>
              </w:rPr>
              <w:t>810</w:t>
            </w:r>
          </w:p>
        </w:tc>
        <w:tc>
          <w:tcPr>
            <w:tcW w:w="1258" w:type="dxa"/>
            <w:vAlign w:val="center"/>
          </w:tcPr>
          <w:p>
            <w:pPr>
              <w:keepNext/>
              <w:spacing w:line="276" w:lineRule="auto"/>
              <w:jc w:val="right"/>
              <w:rPr>
                <w:noProof/>
                <w:sz w:val="18"/>
                <w:szCs w:val="18"/>
              </w:rPr>
            </w:pPr>
            <w:r>
              <w:rPr>
                <w:noProof/>
                <w:sz w:val="18"/>
                <w:szCs w:val="18"/>
              </w:rPr>
              <w:t>4</w:t>
            </w:r>
            <w:r>
              <w:rPr>
                <w:rFonts w:cs="Calibri"/>
                <w:noProof/>
                <w:sz w:val="18"/>
                <w:szCs w:val="18"/>
              </w:rPr>
              <w:t> </w:t>
            </w:r>
            <w:r>
              <w:rPr>
                <w:noProof/>
                <w:sz w:val="18"/>
                <w:szCs w:val="18"/>
              </w:rPr>
              <w:t>202</w:t>
            </w:r>
          </w:p>
        </w:tc>
        <w:tc>
          <w:tcPr>
            <w:tcW w:w="1436" w:type="dxa"/>
            <w:noWrap/>
            <w:vAlign w:val="center"/>
            <w:hideMark/>
          </w:tcPr>
          <w:p>
            <w:pPr>
              <w:keepNext/>
              <w:spacing w:line="276" w:lineRule="auto"/>
              <w:jc w:val="right"/>
              <w:rPr>
                <w:noProof/>
                <w:sz w:val="18"/>
                <w:szCs w:val="18"/>
              </w:rPr>
            </w:pPr>
            <w:r>
              <w:rPr>
                <w:noProof/>
                <w:sz w:val="18"/>
                <w:szCs w:val="18"/>
              </w:rPr>
              <w:t>23</w:t>
            </w:r>
            <w:r>
              <w:rPr>
                <w:rFonts w:cs="Calibri"/>
                <w:noProof/>
                <w:sz w:val="18"/>
                <w:szCs w:val="18"/>
              </w:rPr>
              <w:t> </w:t>
            </w:r>
            <w:r>
              <w:rPr>
                <w:noProof/>
                <w:sz w:val="18"/>
                <w:szCs w:val="18"/>
              </w:rPr>
              <w:t>082</w:t>
            </w:r>
          </w:p>
        </w:tc>
        <w:tc>
          <w:tcPr>
            <w:tcW w:w="1275" w:type="dxa"/>
            <w:vAlign w:val="center"/>
          </w:tcPr>
          <w:p>
            <w:pPr>
              <w:keepNext/>
              <w:spacing w:line="276" w:lineRule="auto"/>
              <w:jc w:val="right"/>
              <w:rPr>
                <w:noProof/>
                <w:sz w:val="18"/>
                <w:szCs w:val="18"/>
              </w:rPr>
            </w:pPr>
            <w:r>
              <w:rPr>
                <w:noProof/>
                <w:sz w:val="18"/>
                <w:szCs w:val="18"/>
              </w:rPr>
              <w:t>–</w:t>
            </w:r>
            <w:r>
              <w:rPr>
                <w:rFonts w:cs="Calibri"/>
                <w:noProof/>
                <w:sz w:val="18"/>
                <w:szCs w:val="18"/>
              </w:rPr>
              <w:t> </w:t>
            </w:r>
            <w:r>
              <w:rPr>
                <w:noProof/>
                <w:sz w:val="18"/>
                <w:szCs w:val="18"/>
              </w:rPr>
              <w:t>3</w:t>
            </w:r>
            <w:r>
              <w:rPr>
                <w:rFonts w:cs="Calibri"/>
                <w:noProof/>
                <w:sz w:val="18"/>
                <w:szCs w:val="18"/>
              </w:rPr>
              <w:t> </w:t>
            </w:r>
            <w:r>
              <w:rPr>
                <w:noProof/>
                <w:sz w:val="18"/>
                <w:szCs w:val="18"/>
              </w:rPr>
              <w:t>188</w:t>
            </w:r>
          </w:p>
        </w:tc>
        <w:tc>
          <w:tcPr>
            <w:tcW w:w="1418" w:type="dxa"/>
            <w:noWrap/>
            <w:vAlign w:val="center"/>
            <w:hideMark/>
          </w:tcPr>
          <w:p>
            <w:pPr>
              <w:keepNext/>
              <w:spacing w:line="276" w:lineRule="auto"/>
              <w:jc w:val="right"/>
              <w:rPr>
                <w:noProof/>
                <w:sz w:val="18"/>
                <w:szCs w:val="18"/>
              </w:rPr>
            </w:pPr>
            <w:r>
              <w:rPr>
                <w:noProof/>
                <w:sz w:val="18"/>
                <w:szCs w:val="18"/>
              </w:rPr>
              <w:t>146</w:t>
            </w:r>
            <w:r>
              <w:rPr>
                <w:rFonts w:cs="Calibri"/>
                <w:noProof/>
                <w:sz w:val="18"/>
                <w:szCs w:val="18"/>
              </w:rPr>
              <w:t> </w:t>
            </w:r>
            <w:r>
              <w:rPr>
                <w:noProof/>
                <w:sz w:val="18"/>
                <w:szCs w:val="18"/>
              </w:rPr>
              <w:t>819</w:t>
            </w:r>
          </w:p>
        </w:tc>
      </w:tr>
      <w:tr>
        <w:trPr>
          <w:trHeight w:val="819"/>
          <w:jc w:val="center"/>
        </w:trPr>
        <w:tc>
          <w:tcPr>
            <w:tcW w:w="1951" w:type="dxa"/>
            <w:noWrap/>
            <w:vAlign w:val="center"/>
            <w:hideMark/>
          </w:tcPr>
          <w:p>
            <w:pPr>
              <w:keepNext/>
              <w:spacing w:line="276" w:lineRule="auto"/>
              <w:rPr>
                <w:b/>
                <w:i/>
                <w:noProof/>
                <w:sz w:val="18"/>
                <w:szCs w:val="18"/>
              </w:rPr>
            </w:pPr>
            <w:r>
              <w:rPr>
                <w:b/>
                <w:i/>
                <w:noProof/>
                <w:sz w:val="18"/>
                <w:szCs w:val="18"/>
              </w:rPr>
              <w:t>of which: contributions to the EU Trust Funds</w:t>
            </w:r>
          </w:p>
        </w:tc>
        <w:tc>
          <w:tcPr>
            <w:tcW w:w="1317" w:type="dxa"/>
            <w:noWrap/>
            <w:vAlign w:val="center"/>
            <w:hideMark/>
          </w:tcPr>
          <w:p>
            <w:pPr>
              <w:keepNext/>
              <w:spacing w:line="276" w:lineRule="auto"/>
              <w:jc w:val="right"/>
              <w:rPr>
                <w:i/>
                <w:noProof/>
                <w:sz w:val="18"/>
                <w:szCs w:val="18"/>
              </w:rPr>
            </w:pPr>
            <w:r>
              <w:rPr>
                <w:i/>
                <w:noProof/>
                <w:sz w:val="18"/>
                <w:szCs w:val="18"/>
              </w:rPr>
              <w:t>–</w:t>
            </w:r>
            <w:r>
              <w:rPr>
                <w:rFonts w:cs="Calibri"/>
                <w:i/>
                <w:noProof/>
                <w:sz w:val="18"/>
                <w:szCs w:val="18"/>
              </w:rPr>
              <w:t> </w:t>
            </w:r>
            <w:r>
              <w:rPr>
                <w:i/>
                <w:noProof/>
                <w:sz w:val="18"/>
                <w:szCs w:val="18"/>
              </w:rPr>
              <w:t>383</w:t>
            </w:r>
          </w:p>
        </w:tc>
        <w:tc>
          <w:tcPr>
            <w:tcW w:w="1376" w:type="dxa"/>
            <w:noWrap/>
            <w:vAlign w:val="center"/>
            <w:hideMark/>
          </w:tcPr>
          <w:p>
            <w:pPr>
              <w:keepNext/>
              <w:spacing w:line="276" w:lineRule="auto"/>
              <w:jc w:val="right"/>
              <w:rPr>
                <w:i/>
                <w:noProof/>
                <w:sz w:val="18"/>
                <w:szCs w:val="18"/>
              </w:rPr>
            </w:pPr>
          </w:p>
        </w:tc>
        <w:tc>
          <w:tcPr>
            <w:tcW w:w="1258" w:type="dxa"/>
            <w:vAlign w:val="center"/>
          </w:tcPr>
          <w:p>
            <w:pPr>
              <w:keepNext/>
              <w:spacing w:line="276" w:lineRule="auto"/>
              <w:jc w:val="right"/>
              <w:rPr>
                <w:i/>
                <w:noProof/>
                <w:sz w:val="18"/>
                <w:szCs w:val="18"/>
              </w:rPr>
            </w:pPr>
          </w:p>
        </w:tc>
        <w:tc>
          <w:tcPr>
            <w:tcW w:w="1436" w:type="dxa"/>
            <w:noWrap/>
            <w:vAlign w:val="center"/>
            <w:hideMark/>
          </w:tcPr>
          <w:p>
            <w:pPr>
              <w:keepNext/>
              <w:spacing w:line="276" w:lineRule="auto"/>
              <w:jc w:val="right"/>
              <w:rPr>
                <w:i/>
                <w:noProof/>
                <w:sz w:val="18"/>
                <w:szCs w:val="18"/>
              </w:rPr>
            </w:pPr>
            <w:r>
              <w:rPr>
                <w:i/>
                <w:noProof/>
                <w:sz w:val="18"/>
                <w:szCs w:val="18"/>
              </w:rPr>
              <w:t>–</w:t>
            </w:r>
            <w:r>
              <w:rPr>
                <w:rFonts w:cs="Calibri"/>
                <w:i/>
                <w:noProof/>
                <w:sz w:val="18"/>
                <w:szCs w:val="18"/>
              </w:rPr>
              <w:t> </w:t>
            </w:r>
            <w:r>
              <w:rPr>
                <w:i/>
                <w:noProof/>
                <w:sz w:val="18"/>
                <w:szCs w:val="18"/>
              </w:rPr>
              <w:t>18</w:t>
            </w:r>
          </w:p>
        </w:tc>
        <w:tc>
          <w:tcPr>
            <w:tcW w:w="1275" w:type="dxa"/>
            <w:vAlign w:val="center"/>
          </w:tcPr>
          <w:p>
            <w:pPr>
              <w:keepNext/>
              <w:spacing w:line="276" w:lineRule="auto"/>
              <w:jc w:val="right"/>
              <w:rPr>
                <w:i/>
                <w:noProof/>
                <w:sz w:val="18"/>
                <w:szCs w:val="18"/>
              </w:rPr>
            </w:pPr>
          </w:p>
        </w:tc>
        <w:tc>
          <w:tcPr>
            <w:tcW w:w="1418" w:type="dxa"/>
            <w:noWrap/>
            <w:vAlign w:val="center"/>
            <w:hideMark/>
          </w:tcPr>
          <w:p>
            <w:pPr>
              <w:keepNext/>
              <w:spacing w:line="276" w:lineRule="auto"/>
              <w:jc w:val="right"/>
              <w:rPr>
                <w:i/>
                <w:noProof/>
                <w:sz w:val="18"/>
                <w:szCs w:val="18"/>
              </w:rPr>
            </w:pPr>
            <w:r>
              <w:rPr>
                <w:i/>
                <w:noProof/>
                <w:sz w:val="18"/>
                <w:szCs w:val="18"/>
              </w:rPr>
              <w:t>–</w:t>
            </w:r>
            <w:r>
              <w:rPr>
                <w:rFonts w:cs="Calibri"/>
                <w:i/>
                <w:noProof/>
                <w:sz w:val="18"/>
                <w:szCs w:val="18"/>
              </w:rPr>
              <w:t> </w:t>
            </w:r>
            <w:r>
              <w:rPr>
                <w:i/>
                <w:noProof/>
                <w:sz w:val="18"/>
                <w:szCs w:val="18"/>
              </w:rPr>
              <w:t>400</w:t>
            </w:r>
          </w:p>
        </w:tc>
      </w:tr>
      <w:tr>
        <w:trPr>
          <w:trHeight w:val="511"/>
          <w:jc w:val="center"/>
        </w:trPr>
        <w:tc>
          <w:tcPr>
            <w:tcW w:w="1951" w:type="dxa"/>
            <w:noWrap/>
            <w:vAlign w:val="center"/>
            <w:hideMark/>
          </w:tcPr>
          <w:p>
            <w:pPr>
              <w:keepNext/>
              <w:spacing w:line="276" w:lineRule="auto"/>
              <w:rPr>
                <w:b/>
                <w:noProof/>
                <w:sz w:val="18"/>
                <w:szCs w:val="18"/>
              </w:rPr>
            </w:pPr>
            <w:r>
              <w:rPr>
                <w:b/>
                <w:noProof/>
                <w:sz w:val="18"/>
                <w:szCs w:val="18"/>
              </w:rPr>
              <w:t>European Development Fund</w:t>
            </w:r>
          </w:p>
        </w:tc>
        <w:tc>
          <w:tcPr>
            <w:tcW w:w="1317" w:type="dxa"/>
            <w:noWrap/>
            <w:vAlign w:val="center"/>
            <w:hideMark/>
          </w:tcPr>
          <w:p>
            <w:pPr>
              <w:keepNext/>
              <w:spacing w:line="276" w:lineRule="auto"/>
              <w:jc w:val="right"/>
              <w:rPr>
                <w:noProof/>
                <w:sz w:val="18"/>
                <w:szCs w:val="18"/>
              </w:rPr>
            </w:pPr>
            <w:r>
              <w:rPr>
                <w:noProof/>
                <w:sz w:val="18"/>
                <w:szCs w:val="18"/>
              </w:rPr>
              <w:t>4 069</w:t>
            </w:r>
          </w:p>
        </w:tc>
        <w:tc>
          <w:tcPr>
            <w:tcW w:w="1376" w:type="dxa"/>
            <w:noWrap/>
            <w:vAlign w:val="center"/>
            <w:hideMark/>
          </w:tcPr>
          <w:p>
            <w:pPr>
              <w:keepNext/>
              <w:spacing w:line="276" w:lineRule="auto"/>
              <w:jc w:val="right"/>
              <w:rPr>
                <w:noProof/>
                <w:sz w:val="18"/>
                <w:szCs w:val="18"/>
              </w:rPr>
            </w:pPr>
            <w:r>
              <w:rPr>
                <w:noProof/>
                <w:sz w:val="18"/>
                <w:szCs w:val="18"/>
              </w:rPr>
              <w:t xml:space="preserve"> –</w:t>
            </w:r>
            <w:r>
              <w:rPr>
                <w:rFonts w:cs="Calibri"/>
                <w:noProof/>
                <w:sz w:val="18"/>
                <w:szCs w:val="18"/>
              </w:rPr>
              <w:t> </w:t>
            </w:r>
            <w:r>
              <w:rPr>
                <w:noProof/>
                <w:sz w:val="18"/>
                <w:szCs w:val="18"/>
              </w:rPr>
              <w:t>2</w:t>
            </w:r>
            <w:r>
              <w:rPr>
                <w:rFonts w:cs="Calibri"/>
                <w:noProof/>
                <w:sz w:val="18"/>
                <w:szCs w:val="18"/>
              </w:rPr>
              <w:t> </w:t>
            </w:r>
            <w:r>
              <w:rPr>
                <w:noProof/>
                <w:sz w:val="18"/>
                <w:szCs w:val="18"/>
              </w:rPr>
              <w:t>251</w:t>
            </w:r>
          </w:p>
        </w:tc>
        <w:tc>
          <w:tcPr>
            <w:tcW w:w="1258" w:type="dxa"/>
            <w:vAlign w:val="center"/>
          </w:tcPr>
          <w:p>
            <w:pPr>
              <w:keepNext/>
              <w:spacing w:line="276" w:lineRule="auto"/>
              <w:jc w:val="right"/>
              <w:rPr>
                <w:noProof/>
                <w:sz w:val="18"/>
                <w:szCs w:val="18"/>
              </w:rPr>
            </w:pPr>
          </w:p>
        </w:tc>
        <w:tc>
          <w:tcPr>
            <w:tcW w:w="1436" w:type="dxa"/>
            <w:noWrap/>
            <w:vAlign w:val="center"/>
            <w:hideMark/>
          </w:tcPr>
          <w:p>
            <w:pPr>
              <w:keepNext/>
              <w:spacing w:line="276" w:lineRule="auto"/>
              <w:jc w:val="right"/>
              <w:rPr>
                <w:noProof/>
                <w:sz w:val="18"/>
                <w:szCs w:val="18"/>
              </w:rPr>
            </w:pPr>
            <w:r>
              <w:rPr>
                <w:noProof/>
                <w:sz w:val="18"/>
                <w:szCs w:val="18"/>
              </w:rPr>
              <w:t>2</w:t>
            </w:r>
            <w:r>
              <w:rPr>
                <w:rFonts w:cs="Calibri"/>
                <w:noProof/>
                <w:sz w:val="18"/>
                <w:szCs w:val="18"/>
              </w:rPr>
              <w:t> </w:t>
            </w:r>
            <w:r>
              <w:rPr>
                <w:noProof/>
                <w:sz w:val="18"/>
                <w:szCs w:val="18"/>
              </w:rPr>
              <w:t>067</w:t>
            </w:r>
          </w:p>
        </w:tc>
        <w:tc>
          <w:tcPr>
            <w:tcW w:w="1275" w:type="dxa"/>
            <w:vAlign w:val="center"/>
          </w:tcPr>
          <w:p>
            <w:pPr>
              <w:keepNext/>
              <w:spacing w:line="276" w:lineRule="auto"/>
              <w:jc w:val="right"/>
              <w:rPr>
                <w:noProof/>
                <w:sz w:val="18"/>
                <w:szCs w:val="18"/>
              </w:rPr>
            </w:pPr>
          </w:p>
        </w:tc>
        <w:tc>
          <w:tcPr>
            <w:tcW w:w="1418" w:type="dxa"/>
            <w:noWrap/>
            <w:vAlign w:val="center"/>
            <w:hideMark/>
          </w:tcPr>
          <w:p>
            <w:pPr>
              <w:keepNext/>
              <w:spacing w:line="276" w:lineRule="auto"/>
              <w:jc w:val="right"/>
              <w:rPr>
                <w:noProof/>
                <w:sz w:val="18"/>
                <w:szCs w:val="18"/>
              </w:rPr>
            </w:pPr>
            <w:r>
              <w:rPr>
                <w:noProof/>
                <w:sz w:val="18"/>
                <w:szCs w:val="18"/>
              </w:rPr>
              <w:t>3 885</w:t>
            </w:r>
          </w:p>
        </w:tc>
      </w:tr>
      <w:tr>
        <w:trPr>
          <w:trHeight w:val="511"/>
          <w:jc w:val="center"/>
        </w:trPr>
        <w:tc>
          <w:tcPr>
            <w:tcW w:w="1951" w:type="dxa"/>
            <w:noWrap/>
            <w:vAlign w:val="center"/>
            <w:hideMark/>
          </w:tcPr>
          <w:p>
            <w:pPr>
              <w:keepNext/>
              <w:spacing w:line="276" w:lineRule="auto"/>
              <w:rPr>
                <w:b/>
                <w:i/>
                <w:noProof/>
                <w:sz w:val="18"/>
                <w:szCs w:val="18"/>
              </w:rPr>
            </w:pPr>
            <w:r>
              <w:rPr>
                <w:b/>
                <w:i/>
                <w:noProof/>
                <w:sz w:val="18"/>
                <w:szCs w:val="18"/>
              </w:rPr>
              <w:t>of which: contributions to the EU Trust Funds</w:t>
            </w:r>
          </w:p>
        </w:tc>
        <w:tc>
          <w:tcPr>
            <w:tcW w:w="1317" w:type="dxa"/>
            <w:noWrap/>
            <w:vAlign w:val="center"/>
            <w:hideMark/>
          </w:tcPr>
          <w:p>
            <w:pPr>
              <w:keepNext/>
              <w:spacing w:line="276" w:lineRule="auto"/>
              <w:jc w:val="right"/>
              <w:rPr>
                <w:i/>
                <w:noProof/>
                <w:sz w:val="18"/>
                <w:szCs w:val="18"/>
              </w:rPr>
            </w:pPr>
            <w:r>
              <w:rPr>
                <w:i/>
                <w:noProof/>
                <w:sz w:val="18"/>
                <w:szCs w:val="18"/>
              </w:rPr>
              <w:t>–</w:t>
            </w:r>
            <w:r>
              <w:rPr>
                <w:rFonts w:cs="Calibri"/>
                <w:i/>
                <w:noProof/>
                <w:sz w:val="18"/>
                <w:szCs w:val="18"/>
              </w:rPr>
              <w:t> </w:t>
            </w:r>
            <w:r>
              <w:rPr>
                <w:i/>
                <w:noProof/>
                <w:sz w:val="18"/>
                <w:szCs w:val="18"/>
              </w:rPr>
              <w:t>345</w:t>
            </w:r>
          </w:p>
        </w:tc>
        <w:tc>
          <w:tcPr>
            <w:tcW w:w="1376" w:type="dxa"/>
            <w:noWrap/>
            <w:vAlign w:val="center"/>
          </w:tcPr>
          <w:p>
            <w:pPr>
              <w:keepNext/>
              <w:spacing w:line="276" w:lineRule="auto"/>
              <w:jc w:val="right"/>
              <w:rPr>
                <w:i/>
                <w:noProof/>
                <w:sz w:val="18"/>
                <w:szCs w:val="18"/>
              </w:rPr>
            </w:pPr>
          </w:p>
        </w:tc>
        <w:tc>
          <w:tcPr>
            <w:tcW w:w="1258" w:type="dxa"/>
            <w:vAlign w:val="center"/>
          </w:tcPr>
          <w:p>
            <w:pPr>
              <w:keepNext/>
              <w:spacing w:line="276" w:lineRule="auto"/>
              <w:jc w:val="right"/>
              <w:rPr>
                <w:i/>
                <w:noProof/>
                <w:sz w:val="18"/>
                <w:szCs w:val="18"/>
              </w:rPr>
            </w:pPr>
          </w:p>
        </w:tc>
        <w:tc>
          <w:tcPr>
            <w:tcW w:w="1436" w:type="dxa"/>
            <w:noWrap/>
            <w:vAlign w:val="center"/>
          </w:tcPr>
          <w:p>
            <w:pPr>
              <w:keepNext/>
              <w:spacing w:line="276" w:lineRule="auto"/>
              <w:jc w:val="right"/>
              <w:rPr>
                <w:i/>
                <w:noProof/>
                <w:sz w:val="18"/>
                <w:szCs w:val="18"/>
              </w:rPr>
            </w:pPr>
          </w:p>
        </w:tc>
        <w:tc>
          <w:tcPr>
            <w:tcW w:w="1275" w:type="dxa"/>
            <w:vAlign w:val="center"/>
          </w:tcPr>
          <w:p>
            <w:pPr>
              <w:keepNext/>
              <w:spacing w:line="276" w:lineRule="auto"/>
              <w:jc w:val="right"/>
              <w:rPr>
                <w:i/>
                <w:noProof/>
                <w:sz w:val="18"/>
                <w:szCs w:val="18"/>
              </w:rPr>
            </w:pPr>
          </w:p>
        </w:tc>
        <w:tc>
          <w:tcPr>
            <w:tcW w:w="1418" w:type="dxa"/>
            <w:noWrap/>
            <w:vAlign w:val="center"/>
            <w:hideMark/>
          </w:tcPr>
          <w:p>
            <w:pPr>
              <w:keepNext/>
              <w:spacing w:line="276" w:lineRule="auto"/>
              <w:jc w:val="right"/>
              <w:rPr>
                <w:i/>
                <w:noProof/>
                <w:sz w:val="18"/>
                <w:szCs w:val="18"/>
              </w:rPr>
            </w:pPr>
            <w:r>
              <w:rPr>
                <w:i/>
                <w:noProof/>
                <w:sz w:val="18"/>
                <w:szCs w:val="18"/>
              </w:rPr>
              <w:t>–</w:t>
            </w:r>
            <w:r>
              <w:rPr>
                <w:rFonts w:cs="Calibri"/>
                <w:i/>
                <w:noProof/>
                <w:sz w:val="18"/>
                <w:szCs w:val="18"/>
              </w:rPr>
              <w:t> </w:t>
            </w:r>
            <w:r>
              <w:rPr>
                <w:i/>
                <w:noProof/>
                <w:sz w:val="18"/>
                <w:szCs w:val="18"/>
              </w:rPr>
              <w:t>345</w:t>
            </w:r>
          </w:p>
        </w:tc>
      </w:tr>
      <w:tr>
        <w:trPr>
          <w:trHeight w:val="511"/>
          <w:jc w:val="center"/>
        </w:trPr>
        <w:tc>
          <w:tcPr>
            <w:tcW w:w="1951" w:type="dxa"/>
            <w:tcBorders>
              <w:bottom w:val="single" w:sz="4" w:space="0" w:color="auto"/>
            </w:tcBorders>
            <w:noWrap/>
            <w:vAlign w:val="center"/>
            <w:hideMark/>
          </w:tcPr>
          <w:p>
            <w:pPr>
              <w:keepNext/>
              <w:spacing w:line="276" w:lineRule="auto"/>
              <w:rPr>
                <w:b/>
                <w:noProof/>
                <w:sz w:val="18"/>
                <w:szCs w:val="18"/>
              </w:rPr>
            </w:pPr>
            <w:r>
              <w:rPr>
                <w:b/>
                <w:noProof/>
                <w:sz w:val="18"/>
                <w:szCs w:val="18"/>
              </w:rPr>
              <w:t>EU Trust Funds</w:t>
            </w:r>
          </w:p>
        </w:tc>
        <w:tc>
          <w:tcPr>
            <w:tcW w:w="1317" w:type="dxa"/>
            <w:tcBorders>
              <w:bottom w:val="single" w:sz="4" w:space="0" w:color="auto"/>
            </w:tcBorders>
            <w:noWrap/>
            <w:vAlign w:val="center"/>
            <w:hideMark/>
          </w:tcPr>
          <w:p>
            <w:pPr>
              <w:keepNext/>
              <w:spacing w:line="276" w:lineRule="auto"/>
              <w:jc w:val="right"/>
              <w:rPr>
                <w:noProof/>
                <w:sz w:val="18"/>
                <w:szCs w:val="18"/>
              </w:rPr>
            </w:pPr>
            <w:r>
              <w:rPr>
                <w:noProof/>
                <w:sz w:val="18"/>
                <w:szCs w:val="18"/>
              </w:rPr>
              <w:t>874</w:t>
            </w:r>
          </w:p>
        </w:tc>
        <w:tc>
          <w:tcPr>
            <w:tcW w:w="1376" w:type="dxa"/>
            <w:tcBorders>
              <w:bottom w:val="single" w:sz="4" w:space="0" w:color="auto"/>
            </w:tcBorders>
            <w:noWrap/>
            <w:vAlign w:val="center"/>
            <w:hideMark/>
          </w:tcPr>
          <w:p>
            <w:pPr>
              <w:keepNext/>
              <w:spacing w:line="276" w:lineRule="auto"/>
              <w:jc w:val="right"/>
              <w:rPr>
                <w:noProof/>
                <w:sz w:val="18"/>
                <w:szCs w:val="18"/>
              </w:rPr>
            </w:pPr>
            <w:r>
              <w:rPr>
                <w:noProof/>
                <w:sz w:val="18"/>
                <w:szCs w:val="18"/>
              </w:rPr>
              <w:t>–</w:t>
            </w:r>
            <w:r>
              <w:rPr>
                <w:rFonts w:cs="Calibri"/>
                <w:noProof/>
                <w:sz w:val="18"/>
                <w:szCs w:val="18"/>
              </w:rPr>
              <w:t> </w:t>
            </w:r>
            <w:r>
              <w:rPr>
                <w:noProof/>
                <w:sz w:val="18"/>
                <w:szCs w:val="18"/>
              </w:rPr>
              <w:t>748</w:t>
            </w:r>
          </w:p>
        </w:tc>
        <w:tc>
          <w:tcPr>
            <w:tcW w:w="1258" w:type="dxa"/>
            <w:tcBorders>
              <w:bottom w:val="single" w:sz="4" w:space="0" w:color="auto"/>
            </w:tcBorders>
            <w:vAlign w:val="center"/>
          </w:tcPr>
          <w:p>
            <w:pPr>
              <w:keepNext/>
              <w:spacing w:line="276" w:lineRule="auto"/>
              <w:jc w:val="right"/>
              <w:rPr>
                <w:noProof/>
                <w:sz w:val="18"/>
                <w:szCs w:val="18"/>
              </w:rPr>
            </w:pPr>
          </w:p>
        </w:tc>
        <w:tc>
          <w:tcPr>
            <w:tcW w:w="1436" w:type="dxa"/>
            <w:tcBorders>
              <w:bottom w:val="single" w:sz="4" w:space="0" w:color="auto"/>
            </w:tcBorders>
            <w:noWrap/>
            <w:vAlign w:val="center"/>
            <w:hideMark/>
          </w:tcPr>
          <w:p>
            <w:pPr>
              <w:keepNext/>
              <w:spacing w:line="276" w:lineRule="auto"/>
              <w:jc w:val="right"/>
              <w:rPr>
                <w:noProof/>
                <w:sz w:val="18"/>
                <w:szCs w:val="18"/>
              </w:rPr>
            </w:pPr>
            <w:r>
              <w:rPr>
                <w:noProof/>
                <w:sz w:val="18"/>
                <w:szCs w:val="18"/>
              </w:rPr>
              <w:t>169</w:t>
            </w:r>
          </w:p>
        </w:tc>
        <w:tc>
          <w:tcPr>
            <w:tcW w:w="1275" w:type="dxa"/>
            <w:tcBorders>
              <w:bottom w:val="single" w:sz="4" w:space="0" w:color="auto"/>
            </w:tcBorders>
            <w:vAlign w:val="center"/>
          </w:tcPr>
          <w:p>
            <w:pPr>
              <w:keepNext/>
              <w:spacing w:line="276" w:lineRule="auto"/>
              <w:jc w:val="right"/>
              <w:rPr>
                <w:noProof/>
                <w:sz w:val="18"/>
                <w:szCs w:val="18"/>
              </w:rPr>
            </w:pPr>
          </w:p>
        </w:tc>
        <w:tc>
          <w:tcPr>
            <w:tcW w:w="1418" w:type="dxa"/>
            <w:tcBorders>
              <w:bottom w:val="single" w:sz="4" w:space="0" w:color="auto"/>
            </w:tcBorders>
            <w:noWrap/>
            <w:vAlign w:val="center"/>
            <w:hideMark/>
          </w:tcPr>
          <w:p>
            <w:pPr>
              <w:keepNext/>
              <w:spacing w:line="276" w:lineRule="auto"/>
              <w:jc w:val="right"/>
              <w:rPr>
                <w:noProof/>
                <w:sz w:val="18"/>
                <w:szCs w:val="18"/>
              </w:rPr>
            </w:pPr>
            <w:r>
              <w:rPr>
                <w:noProof/>
                <w:sz w:val="18"/>
                <w:szCs w:val="18"/>
              </w:rPr>
              <w:t>294</w:t>
            </w:r>
          </w:p>
        </w:tc>
      </w:tr>
      <w:tr>
        <w:trPr>
          <w:trHeight w:val="404"/>
          <w:jc w:val="center"/>
        </w:trPr>
        <w:tc>
          <w:tcPr>
            <w:tcW w:w="1951" w:type="dxa"/>
            <w:shd w:val="clear" w:color="auto" w:fill="D9D9D9"/>
            <w:noWrap/>
            <w:vAlign w:val="center"/>
            <w:hideMark/>
          </w:tcPr>
          <w:p>
            <w:pPr>
              <w:keepNext/>
              <w:spacing w:line="276" w:lineRule="auto"/>
              <w:rPr>
                <w:b/>
                <w:noProof/>
                <w:sz w:val="18"/>
                <w:szCs w:val="18"/>
              </w:rPr>
            </w:pPr>
            <w:r>
              <w:rPr>
                <w:b/>
                <w:noProof/>
                <w:sz w:val="18"/>
                <w:szCs w:val="18"/>
              </w:rPr>
              <w:t>Commission total</w:t>
            </w:r>
          </w:p>
        </w:tc>
        <w:tc>
          <w:tcPr>
            <w:tcW w:w="1317" w:type="dxa"/>
            <w:shd w:val="clear" w:color="auto" w:fill="D9D9D9"/>
            <w:noWrap/>
            <w:vAlign w:val="center"/>
            <w:hideMark/>
          </w:tcPr>
          <w:p>
            <w:pPr>
              <w:keepNext/>
              <w:spacing w:line="276" w:lineRule="auto"/>
              <w:jc w:val="right"/>
              <w:rPr>
                <w:b/>
                <w:noProof/>
                <w:sz w:val="18"/>
                <w:szCs w:val="18"/>
              </w:rPr>
            </w:pPr>
            <w:r>
              <w:rPr>
                <w:b/>
                <w:noProof/>
                <w:sz w:val="18"/>
                <w:szCs w:val="18"/>
              </w:rPr>
              <w:t>156</w:t>
            </w:r>
            <w:r>
              <w:rPr>
                <w:rFonts w:cs="Calibri"/>
                <w:b/>
                <w:noProof/>
                <w:sz w:val="18"/>
                <w:szCs w:val="18"/>
              </w:rPr>
              <w:t> </w:t>
            </w:r>
            <w:r>
              <w:rPr>
                <w:b/>
                <w:noProof/>
                <w:sz w:val="18"/>
                <w:szCs w:val="18"/>
              </w:rPr>
              <w:t>749</w:t>
            </w:r>
          </w:p>
        </w:tc>
        <w:tc>
          <w:tcPr>
            <w:tcW w:w="1376" w:type="dxa"/>
            <w:shd w:val="clear" w:color="auto" w:fill="D9D9D9"/>
            <w:noWrap/>
            <w:vAlign w:val="center"/>
            <w:hideMark/>
          </w:tcPr>
          <w:p>
            <w:pPr>
              <w:keepNext/>
              <w:spacing w:line="276" w:lineRule="auto"/>
              <w:jc w:val="right"/>
              <w:rPr>
                <w:b/>
                <w:noProof/>
                <w:sz w:val="18"/>
                <w:szCs w:val="18"/>
              </w:rPr>
            </w:pPr>
            <w:r>
              <w:rPr>
                <w:b/>
                <w:noProof/>
                <w:sz w:val="18"/>
                <w:szCs w:val="18"/>
              </w:rPr>
              <w:t>–</w:t>
            </w:r>
            <w:r>
              <w:rPr>
                <w:rFonts w:cs="Calibri"/>
                <w:b/>
                <w:noProof/>
                <w:sz w:val="18"/>
                <w:szCs w:val="18"/>
              </w:rPr>
              <w:t> </w:t>
            </w:r>
            <w:r>
              <w:rPr>
                <w:b/>
                <w:noProof/>
                <w:sz w:val="18"/>
                <w:szCs w:val="18"/>
              </w:rPr>
              <w:t>32</w:t>
            </w:r>
            <w:r>
              <w:rPr>
                <w:rFonts w:cs="Calibri"/>
                <w:b/>
                <w:noProof/>
                <w:sz w:val="18"/>
                <w:szCs w:val="18"/>
              </w:rPr>
              <w:t> </w:t>
            </w:r>
            <w:r>
              <w:rPr>
                <w:b/>
                <w:noProof/>
                <w:sz w:val="18"/>
                <w:szCs w:val="18"/>
              </w:rPr>
              <w:t>810</w:t>
            </w:r>
          </w:p>
        </w:tc>
        <w:tc>
          <w:tcPr>
            <w:tcW w:w="1258" w:type="dxa"/>
            <w:shd w:val="clear" w:color="auto" w:fill="D9D9D9"/>
            <w:vAlign w:val="center"/>
          </w:tcPr>
          <w:p>
            <w:pPr>
              <w:keepNext/>
              <w:spacing w:line="276" w:lineRule="auto"/>
              <w:jc w:val="right"/>
              <w:rPr>
                <w:b/>
                <w:noProof/>
                <w:sz w:val="18"/>
                <w:szCs w:val="18"/>
              </w:rPr>
            </w:pPr>
            <w:r>
              <w:rPr>
                <w:b/>
                <w:noProof/>
                <w:sz w:val="18"/>
                <w:szCs w:val="18"/>
              </w:rPr>
              <w:t>4</w:t>
            </w:r>
            <w:r>
              <w:rPr>
                <w:rFonts w:cs="Calibri"/>
                <w:b/>
                <w:noProof/>
                <w:sz w:val="18"/>
                <w:szCs w:val="18"/>
              </w:rPr>
              <w:t> </w:t>
            </w:r>
            <w:r>
              <w:rPr>
                <w:b/>
                <w:noProof/>
                <w:sz w:val="18"/>
                <w:szCs w:val="18"/>
              </w:rPr>
              <w:t>202</w:t>
            </w:r>
          </w:p>
        </w:tc>
        <w:tc>
          <w:tcPr>
            <w:tcW w:w="1436" w:type="dxa"/>
            <w:shd w:val="clear" w:color="auto" w:fill="D9D9D9"/>
            <w:noWrap/>
            <w:vAlign w:val="center"/>
            <w:hideMark/>
          </w:tcPr>
          <w:p>
            <w:pPr>
              <w:keepNext/>
              <w:spacing w:line="276" w:lineRule="auto"/>
              <w:jc w:val="right"/>
              <w:rPr>
                <w:b/>
                <w:noProof/>
                <w:sz w:val="18"/>
                <w:szCs w:val="18"/>
              </w:rPr>
            </w:pPr>
            <w:r>
              <w:rPr>
                <w:b/>
                <w:noProof/>
                <w:sz w:val="18"/>
                <w:szCs w:val="18"/>
              </w:rPr>
              <w:t>25</w:t>
            </w:r>
            <w:r>
              <w:rPr>
                <w:rFonts w:cs="Calibri"/>
                <w:b/>
                <w:noProof/>
                <w:sz w:val="18"/>
                <w:szCs w:val="18"/>
              </w:rPr>
              <w:t> </w:t>
            </w:r>
            <w:r>
              <w:rPr>
                <w:b/>
                <w:noProof/>
                <w:sz w:val="18"/>
                <w:szCs w:val="18"/>
              </w:rPr>
              <w:t>300</w:t>
            </w:r>
          </w:p>
        </w:tc>
        <w:tc>
          <w:tcPr>
            <w:tcW w:w="1275" w:type="dxa"/>
            <w:shd w:val="clear" w:color="auto" w:fill="D9D9D9"/>
            <w:vAlign w:val="center"/>
          </w:tcPr>
          <w:p>
            <w:pPr>
              <w:keepNext/>
              <w:spacing w:line="276" w:lineRule="auto"/>
              <w:jc w:val="right"/>
              <w:rPr>
                <w:b/>
                <w:noProof/>
                <w:sz w:val="18"/>
                <w:szCs w:val="18"/>
              </w:rPr>
            </w:pPr>
            <w:r>
              <w:rPr>
                <w:b/>
                <w:noProof/>
                <w:sz w:val="18"/>
                <w:szCs w:val="18"/>
              </w:rPr>
              <w:t>–</w:t>
            </w:r>
            <w:r>
              <w:rPr>
                <w:rFonts w:cs="Calibri"/>
                <w:b/>
                <w:noProof/>
                <w:sz w:val="18"/>
                <w:szCs w:val="18"/>
              </w:rPr>
              <w:t> </w:t>
            </w:r>
            <w:r>
              <w:rPr>
                <w:b/>
                <w:noProof/>
                <w:sz w:val="18"/>
                <w:szCs w:val="18"/>
              </w:rPr>
              <w:t>3</w:t>
            </w:r>
            <w:r>
              <w:rPr>
                <w:rFonts w:cs="Calibri"/>
                <w:b/>
                <w:noProof/>
                <w:sz w:val="18"/>
                <w:szCs w:val="18"/>
              </w:rPr>
              <w:t> </w:t>
            </w:r>
            <w:r>
              <w:rPr>
                <w:b/>
                <w:noProof/>
                <w:sz w:val="18"/>
                <w:szCs w:val="18"/>
              </w:rPr>
              <w:t>188</w:t>
            </w:r>
          </w:p>
        </w:tc>
        <w:tc>
          <w:tcPr>
            <w:tcW w:w="1418" w:type="dxa"/>
            <w:shd w:val="clear" w:color="auto" w:fill="D9D9D9"/>
            <w:noWrap/>
            <w:vAlign w:val="center"/>
            <w:hideMark/>
          </w:tcPr>
          <w:p>
            <w:pPr>
              <w:keepNext/>
              <w:spacing w:line="276" w:lineRule="auto"/>
              <w:jc w:val="right"/>
              <w:rPr>
                <w:b/>
                <w:noProof/>
                <w:sz w:val="18"/>
                <w:szCs w:val="18"/>
              </w:rPr>
            </w:pPr>
            <w:r>
              <w:rPr>
                <w:b/>
                <w:noProof/>
                <w:sz w:val="18"/>
                <w:szCs w:val="18"/>
              </w:rPr>
              <w:t>150</w:t>
            </w:r>
            <w:r>
              <w:rPr>
                <w:rFonts w:cs="Calibri"/>
                <w:b/>
                <w:noProof/>
                <w:sz w:val="18"/>
                <w:szCs w:val="18"/>
              </w:rPr>
              <w:t> </w:t>
            </w:r>
            <w:r>
              <w:rPr>
                <w:b/>
                <w:noProof/>
                <w:sz w:val="18"/>
                <w:szCs w:val="18"/>
              </w:rPr>
              <w:t>253</w:t>
            </w:r>
          </w:p>
        </w:tc>
      </w:tr>
    </w:tbl>
    <w:p>
      <w:pPr>
        <w:pStyle w:val="Source-Table-Chart-PhotoCaption"/>
        <w:rPr>
          <w:noProof/>
        </w:rPr>
      </w:pPr>
      <w:r>
        <w:rPr>
          <w:i/>
          <w:noProof/>
        </w:rPr>
        <w:t xml:space="preserve">Source: </w:t>
      </w:r>
      <w:r>
        <w:rPr>
          <w:noProof/>
        </w:rPr>
        <w:t>Commission annual activity reports.</w:t>
      </w:r>
    </w:p>
    <w:p>
      <w:pPr>
        <w:pStyle w:val="BodyText1spaceafter"/>
        <w:keepNext/>
        <w:spacing w:before="600"/>
        <w:rPr>
          <w:u w:val="single"/>
        </w:rPr>
      </w:pPr>
      <w:r>
        <w:rPr>
          <w:u w:val="single"/>
        </w:rPr>
        <w:t>Specifications of columns (a) to (f)</w:t>
      </w:r>
    </w:p>
    <w:p>
      <w:pPr>
        <w:pStyle w:val="BulletsletteringAnnexes"/>
        <w:keepNext/>
        <w:spacing w:after="120"/>
        <w:ind w:left="403" w:hanging="403"/>
        <w:contextualSpacing w:val="0"/>
        <w:rPr>
          <w:noProof/>
        </w:rPr>
      </w:pPr>
      <w:r>
        <w:rPr>
          <w:noProof/>
        </w:rPr>
        <w:t>This column contains all the payments made in 2018, including pre-financing, as they are registered in the Commission’s accounting system.</w:t>
      </w:r>
    </w:p>
    <w:p>
      <w:pPr>
        <w:pStyle w:val="BulletsletteringAnnexes"/>
        <w:keepNext/>
        <w:spacing w:after="120"/>
        <w:ind w:left="403" w:hanging="403"/>
        <w:contextualSpacing w:val="0"/>
        <w:rPr>
          <w:noProof/>
        </w:rPr>
      </w:pPr>
      <w:r>
        <w:rPr>
          <w:noProof/>
        </w:rPr>
        <w:t>Pre-financing</w:t>
      </w:r>
      <w:r>
        <w:rPr>
          <w:rStyle w:val="fnRef"/>
          <w:rFonts w:ascii="Arial" w:hAnsi="Arial"/>
          <w:noProof/>
        </w:rPr>
        <w:t> </w:t>
      </w:r>
      <w:r>
        <w:rPr>
          <w:rStyle w:val="fnRef"/>
          <w:noProof/>
        </w:rPr>
        <w:t>(</w:t>
      </w:r>
      <w:r>
        <w:rPr>
          <w:rStyle w:val="fnRefNo"/>
          <w:noProof/>
        </w:rPr>
        <w:footnoteReference w:id="24"/>
      </w:r>
      <w:r>
        <w:rPr>
          <w:rStyle w:val="fnRef"/>
          <w:noProof/>
        </w:rPr>
        <w:t>)</w:t>
      </w:r>
      <w:r>
        <w:rPr>
          <w:noProof/>
        </w:rPr>
        <w:t xml:space="preserve"> paid by the Commission in 2018.</w:t>
      </w:r>
    </w:p>
    <w:p>
      <w:pPr>
        <w:pStyle w:val="BulletsletteringAnnexes"/>
        <w:keepNext/>
        <w:numPr>
          <w:ilvl w:val="0"/>
          <w:numId w:val="21"/>
        </w:numPr>
        <w:spacing w:after="120"/>
        <w:ind w:left="405"/>
        <w:contextualSpacing w:val="0"/>
        <w:rPr>
          <w:noProof/>
        </w:rPr>
      </w:pPr>
      <w:r>
        <w:rPr>
          <w:noProof/>
        </w:rPr>
        <w:t>In cohesion, a 10% retention is made for all interim payments to the Member States. This is released once the Member States’ accounts have been accepted by the Commission.</w:t>
      </w:r>
    </w:p>
    <w:p>
      <w:pPr>
        <w:pStyle w:val="BulletsletteringAnnexes"/>
        <w:keepNext/>
        <w:spacing w:after="200"/>
        <w:ind w:left="403" w:hanging="403"/>
        <w:contextualSpacing w:val="0"/>
        <w:rPr>
          <w:noProof/>
        </w:rPr>
      </w:pPr>
      <w:r>
        <w:rPr>
          <w:noProof/>
        </w:rPr>
        <w:t>Pre-financings that have been cleared during the financial year. This means that the Commission has accepted the final use of the funds by clearing the advance.</w:t>
      </w:r>
    </w:p>
    <w:p>
      <w:pPr>
        <w:pStyle w:val="BulletsletteringAnnexes"/>
        <w:keepNext/>
        <w:spacing w:after="120"/>
        <w:ind w:left="403" w:hanging="403"/>
        <w:contextualSpacing w:val="0"/>
        <w:rPr>
          <w:noProof/>
        </w:rPr>
      </w:pPr>
      <w:r>
        <w:rPr>
          <w:noProof/>
        </w:rPr>
        <w:t>Amount of the retention released in 2018 (see (b)) and, also in cohesion, the deductions of expenditure made by the Member States.</w:t>
      </w:r>
    </w:p>
    <w:p>
      <w:pPr>
        <w:pStyle w:val="BulletsletteringAnnexes"/>
        <w:spacing w:after="600"/>
        <w:ind w:left="403" w:hanging="403"/>
        <w:contextualSpacing w:val="0"/>
        <w:rPr>
          <w:noProof/>
        </w:rPr>
      </w:pPr>
      <w:r>
        <w:rPr>
          <w:noProof/>
        </w:rPr>
        <w:t>Relevant expenditure = (a)-(b)+(c)+(d)-(e).</w:t>
      </w:r>
    </w:p>
    <w:p>
      <w:pPr>
        <w:pStyle w:val="AnnexTabletitle"/>
        <w:keepNext/>
        <w:rPr>
          <w:noProof/>
        </w:rPr>
      </w:pPr>
      <w:r>
        <w:rPr>
          <w:noProof/>
        </w:rPr>
        <w:t>Tables</w:t>
      </w:r>
      <w:r>
        <w:rPr>
          <w:rFonts w:ascii="Calibri" w:hAnsi="Calibri" w:cs="Calibri"/>
          <w:noProof/>
        </w:rPr>
        <w:t> B</w:t>
      </w:r>
      <w:r>
        <w:rPr>
          <w:noProof/>
        </w:rPr>
        <w:t xml:space="preserve"> and C: Risk at payment/closure per policy area and per department</w:t>
      </w:r>
    </w:p>
    <w:p>
      <w:pPr>
        <w:pStyle w:val="BodyText1spaceafter"/>
      </w:pPr>
      <w:r>
        <w:t>To allow the comparison with previous annual management and performance reports, the same groupings of Commission departments are kept. They do not necessarily correspond to those used by the European Court of Auditors in its annual report (which have changed in 4</w:t>
      </w:r>
      <w:r>
        <w:rPr>
          <w:rFonts w:ascii="Calibri" w:hAnsi="Calibri" w:cs="Calibri"/>
        </w:rPr>
        <w:t> years</w:t>
      </w:r>
      <w:r>
        <w:t xml:space="preserve"> out of the last 5</w:t>
      </w:r>
      <w:r>
        <w:rPr>
          <w:rFonts w:ascii="Calibri" w:hAnsi="Calibri" w:cs="Calibri"/>
        </w:rPr>
        <w:t> </w:t>
      </w:r>
      <w:r>
        <w:t xml:space="preserve">years). </w:t>
      </w:r>
    </w:p>
    <w:p>
      <w:pPr>
        <w:pStyle w:val="BodyText1spaceafter"/>
      </w:pPr>
      <w:r>
        <w:t xml:space="preserve">For instance, in this table, the cohesion, migration and fisheries policy area includes all the departments which execute the largest share of their budget in shared management mode — except for the agriculture department. It thus entails the regional, employment, maritime and home affairs departments. </w:t>
      </w:r>
    </w:p>
    <w:p>
      <w:pPr>
        <w:pStyle w:val="BodyText1spaceafter"/>
      </w:pPr>
      <w:r>
        <w:t xml:space="preserve">As suggested by the European Court of Auditors, from 2018 we also show a subtotal for </w:t>
      </w:r>
      <w:r>
        <w:rPr>
          <w:rStyle w:val="BOLDORANGEAnnexes"/>
        </w:rPr>
        <w:t>economic, social and territorial cohesion</w:t>
      </w:r>
      <w:r>
        <w:rPr>
          <w:i/>
        </w:rPr>
        <w:t xml:space="preserve"> </w:t>
      </w:r>
      <w:r>
        <w:t>in the sense of budget heading</w:t>
      </w:r>
      <w:r>
        <w:rPr>
          <w:rFonts w:ascii="Calibri" w:hAnsi="Calibri" w:cs="Calibri"/>
        </w:rPr>
        <w:t> </w:t>
      </w:r>
      <w:r>
        <w:t>1b and equivalent to the Court’s presentation</w:t>
      </w:r>
      <w:r>
        <w:rPr>
          <w:rFonts w:ascii="Calibri" w:hAnsi="Calibri" w:cs="Calibri"/>
        </w:rPr>
        <w:t> </w:t>
      </w:r>
      <w:r>
        <w:t>(</w:t>
      </w:r>
      <w:r>
        <w:footnoteReference w:id="25"/>
      </w:r>
      <w:r>
        <w:t xml:space="preserve">). </w:t>
      </w:r>
    </w:p>
    <w:p>
      <w:pPr>
        <w:pStyle w:val="BodyText1spaceafter"/>
        <w:keepNext/>
        <w:spacing w:before="600"/>
        <w:rPr>
          <w:u w:val="single"/>
        </w:rPr>
      </w:pPr>
      <w:r>
        <w:rPr>
          <w:u w:val="single"/>
        </w:rPr>
        <w:t>Specifications of the additional columns in Tables</w:t>
      </w:r>
      <w:r>
        <w:rPr>
          <w:rFonts w:ascii="Calibri" w:hAnsi="Calibri" w:cs="Calibri"/>
          <w:u w:val="single"/>
        </w:rPr>
        <w:t> </w:t>
      </w:r>
      <w:r>
        <w:rPr>
          <w:u w:val="single"/>
        </w:rPr>
        <w:t xml:space="preserve">B and C. </w:t>
      </w:r>
    </w:p>
    <w:p>
      <w:pPr>
        <w:pStyle w:val="BulletsletteringAnnexes"/>
        <w:keepNext/>
        <w:numPr>
          <w:ilvl w:val="0"/>
          <w:numId w:val="0"/>
        </w:numPr>
        <w:tabs>
          <w:tab w:val="left" w:pos="340"/>
          <w:tab w:val="left" w:pos="737"/>
        </w:tabs>
        <w:spacing w:after="120"/>
        <w:contextualSpacing w:val="0"/>
        <w:rPr>
          <w:noProof/>
        </w:rPr>
      </w:pPr>
      <w:r>
        <w:rPr>
          <w:noProof/>
        </w:rPr>
        <w:t>(a) to (f)</w:t>
      </w:r>
      <w:r>
        <w:rPr>
          <w:noProof/>
        </w:rPr>
        <w:tab/>
        <w:t>Same explanations as in Table</w:t>
      </w:r>
      <w:r>
        <w:rPr>
          <w:rFonts w:ascii="Calibri" w:hAnsi="Calibri" w:cs="Calibri"/>
          <w:noProof/>
        </w:rPr>
        <w:t> A</w:t>
      </w:r>
      <w:r>
        <w:rPr>
          <w:noProof/>
        </w:rPr>
        <w:t>.</w:t>
      </w:r>
    </w:p>
    <w:p>
      <w:pPr>
        <w:pStyle w:val="BulletsletteringAnnexes"/>
        <w:keepNext/>
        <w:numPr>
          <w:ilvl w:val="0"/>
          <w:numId w:val="20"/>
        </w:numPr>
        <w:tabs>
          <w:tab w:val="left" w:pos="340"/>
        </w:tabs>
        <w:spacing w:after="120"/>
        <w:ind w:left="403" w:hanging="403"/>
        <w:contextualSpacing w:val="0"/>
        <w:rPr>
          <w:noProof/>
        </w:rPr>
      </w:pPr>
      <w:r>
        <w:rPr>
          <w:rStyle w:val="BOLDORANGEAnnexes"/>
          <w:noProof/>
        </w:rPr>
        <w:t>Risk at payment</w:t>
      </w:r>
      <w:r>
        <w:rPr>
          <w:noProof/>
        </w:rPr>
        <w:t xml:space="preserve"> (in value and in percentage).</w:t>
      </w:r>
    </w:p>
    <w:p>
      <w:pPr>
        <w:pStyle w:val="BulletsletteringAnnexes"/>
        <w:keepNext/>
        <w:numPr>
          <w:ilvl w:val="0"/>
          <w:numId w:val="0"/>
        </w:numPr>
        <w:tabs>
          <w:tab w:val="left" w:pos="340"/>
        </w:tabs>
        <w:spacing w:after="120"/>
        <w:ind w:left="403"/>
        <w:contextualSpacing w:val="0"/>
        <w:rPr>
          <w:noProof/>
        </w:rPr>
      </w:pPr>
      <w:r>
        <w:rPr>
          <w:noProof/>
        </w:rPr>
        <w:t>A limited number of departments use a range of ‘minimum-maximum’ amounts/rates for their estimated risk at payment, with rather minor variances between the two values. To simplify the presentation of data, only the highest values are presented in the tables and charts.</w:t>
      </w:r>
    </w:p>
    <w:p>
      <w:pPr>
        <w:pStyle w:val="BulletsletteringAnnexes"/>
        <w:keepNext/>
        <w:numPr>
          <w:ilvl w:val="0"/>
          <w:numId w:val="20"/>
        </w:numPr>
        <w:tabs>
          <w:tab w:val="left" w:pos="340"/>
        </w:tabs>
        <w:spacing w:after="120"/>
        <w:ind w:left="403" w:hanging="403"/>
        <w:contextualSpacing w:val="0"/>
        <w:rPr>
          <w:noProof/>
        </w:rPr>
      </w:pPr>
      <w:r>
        <w:rPr>
          <w:rStyle w:val="BOLDORANGEAnnexes"/>
          <w:noProof/>
        </w:rPr>
        <w:t>Estimated future correction</w:t>
      </w:r>
      <w:r>
        <w:rPr>
          <w:noProof/>
        </w:rPr>
        <w:t xml:space="preserve"> (in value and percentage).</w:t>
      </w:r>
    </w:p>
    <w:p>
      <w:pPr>
        <w:pStyle w:val="BulletsletteringAnnexes"/>
        <w:keepNext/>
        <w:tabs>
          <w:tab w:val="left" w:pos="340"/>
        </w:tabs>
        <w:spacing w:after="120"/>
        <w:ind w:left="403" w:hanging="403"/>
        <w:contextualSpacing w:val="0"/>
        <w:rPr>
          <w:noProof/>
        </w:rPr>
      </w:pPr>
      <w:r>
        <w:rPr>
          <w:rStyle w:val="BOLDORANGEAnnexes"/>
          <w:noProof/>
        </w:rPr>
        <w:t>Risk at closure</w:t>
      </w:r>
      <w:r>
        <w:rPr>
          <w:noProof/>
        </w:rPr>
        <w:t xml:space="preserve"> (in value and percentage).</w:t>
      </w:r>
    </w:p>
    <w:p>
      <w:pPr>
        <w:pStyle w:val="BodyText1spacebeforeandafter"/>
        <w:keepNext/>
      </w:pPr>
      <w:r>
        <w:t>It should be noted that due to the rounding of values into EUR</w:t>
      </w:r>
      <w:r>
        <w:rPr>
          <w:rFonts w:ascii="Calibri" w:hAnsi="Calibri" w:cs="Calibri"/>
        </w:rPr>
        <w:t> </w:t>
      </w:r>
      <w:r>
        <w:t xml:space="preserve">millions, some financial data in the tables may appear not to add up. </w:t>
      </w:r>
    </w:p>
    <w:p>
      <w:pPr>
        <w:pStyle w:val="BodyText1spaceafter"/>
      </w:pPr>
      <w:r>
        <w:t>Some departments have added reconciliation notes to their table in their annual activity report.</w:t>
      </w:r>
    </w:p>
    <w:p>
      <w:pPr>
        <w:pStyle w:val="BodyText1"/>
        <w:sectPr>
          <w:headerReference w:type="even" r:id="rId83"/>
          <w:headerReference w:type="default" r:id="rId84"/>
          <w:footerReference w:type="even" r:id="rId85"/>
          <w:footerReference w:type="default" r:id="rId86"/>
          <w:headerReference w:type="first" r:id="rId87"/>
          <w:footerReference w:type="first" r:id="rId88"/>
          <w:footnotePr>
            <w:numStart w:val="413"/>
          </w:footnotePr>
          <w:pgSz w:w="11906" w:h="16838" w:code="9"/>
          <w:pgMar w:top="1418" w:right="1418" w:bottom="1418" w:left="1418" w:header="635" w:footer="635" w:gutter="0"/>
          <w:cols w:space="720"/>
          <w:docGrid w:linePitch="360"/>
        </w:sectPr>
      </w:pPr>
    </w:p>
    <w:p>
      <w:pPr>
        <w:pStyle w:val="AnnexTabletitle"/>
        <w:keepNext/>
        <w:rPr>
          <w:noProof/>
          <w:color w:val="E48C32" w:themeColor="accent5"/>
          <w:lang w:eastAsia="en-GB"/>
        </w:rPr>
      </w:pPr>
      <w:r>
        <w:rPr>
          <w:noProof/>
        </w:rPr>
        <w:t>Table</w:t>
      </w:r>
      <w:r>
        <w:rPr>
          <w:rFonts w:ascii="Calibri" w:hAnsi="Calibri" w:cs="Calibri"/>
          <w:noProof/>
        </w:rPr>
        <w:t> B</w:t>
      </w:r>
      <w:r>
        <w:rPr>
          <w:noProof/>
        </w:rPr>
        <w:t>: Risk at payment/closure per policy area for the whole Commission (EUR millions)</w:t>
      </w:r>
      <w:r>
        <w:rPr>
          <w:noProof/>
          <w:color w:val="E48C32" w:themeColor="accent5"/>
          <w:lang w:eastAsia="en-GB"/>
        </w:rPr>
        <w:t xml:space="preserve"> </w:t>
      </w:r>
      <w:r>
        <w:rPr>
          <w:noProof/>
          <w:color w:val="E48C32" w:themeColor="accent5"/>
          <w:lang w:eastAsia="en-GB"/>
        </w:rPr>
        <mc:AlternateContent>
          <mc:Choice Requires="wps">
            <w:drawing>
              <wp:anchor distT="0" distB="0" distL="114300" distR="114300" simplePos="0" relativeHeight="251659776" behindDoc="0" locked="1" layoutInCell="1" allowOverlap="1">
                <wp:simplePos x="0" y="0"/>
                <wp:positionH relativeFrom="page">
                  <wp:posOffset>6769100</wp:posOffset>
                </wp:positionH>
                <wp:positionV relativeFrom="page">
                  <wp:align>center</wp:align>
                </wp:positionV>
                <wp:extent cx="7621200" cy="212400"/>
                <wp:effectExtent l="8573" t="0" r="7937" b="7938"/>
                <wp:wrapNone/>
                <wp:docPr id="10" name="Rectangle 10"/>
                <wp:cNvGraphicFramePr/>
                <a:graphic xmlns:a="http://schemas.openxmlformats.org/drawingml/2006/main">
                  <a:graphicData uri="http://schemas.microsoft.com/office/word/2010/wordprocessingShape">
                    <wps:wsp>
                      <wps:cNvSpPr/>
                      <wps:spPr>
                        <a:xfrm rot="5400000">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15A767F" id="Rectangle 10" o:spid="_x0000_s1026" style="position:absolute;margin-left:533pt;margin-top:0;width:600.1pt;height:16.7pt;rotation:90;z-index:25165977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" fillcolor="#e48c32 [3208]" stroked="f" strokeweight="2pt">
                <w10:wrap anchorx="page" anchory="page"/>
                <w10:anchorlock/>
              </v:rect>
            </w:pict>
          </mc:Fallback>
        </mc:AlternateContent>
      </w:r>
    </w:p>
    <w:tbl>
      <w:tblPr>
        <w:tblW w:w="14459" w:type="dxa"/>
        <w:jc w:val="center"/>
        <w:tblLook w:val="04A0" w:firstRow="1" w:lastRow="0" w:firstColumn="1" w:lastColumn="0" w:noHBand="0" w:noVBand="1"/>
      </w:tblPr>
      <w:tblGrid>
        <w:gridCol w:w="3969"/>
        <w:gridCol w:w="1274"/>
        <w:gridCol w:w="994"/>
        <w:gridCol w:w="993"/>
        <w:gridCol w:w="992"/>
        <w:gridCol w:w="992"/>
        <w:gridCol w:w="1134"/>
        <w:gridCol w:w="1399"/>
        <w:gridCol w:w="1720"/>
        <w:gridCol w:w="1559"/>
      </w:tblGrid>
      <w:tr>
        <w:trPr>
          <w:trHeight w:val="2306"/>
          <w:jc w:val="center"/>
        </w:trPr>
        <w:tc>
          <w:tcPr>
            <w:tcW w:w="3969" w:type="dxa"/>
            <w:tcBorders>
              <w:bottom w:val="single" w:sz="4" w:space="0" w:color="auto"/>
              <w:right w:val="single" w:sz="4" w:space="0" w:color="auto"/>
            </w:tcBorders>
            <w:shd w:val="clear" w:color="auto" w:fill="FBEFD5"/>
            <w:noWrap/>
            <w:vAlign w:val="center"/>
            <w:hideMark/>
          </w:tcPr>
          <w:p>
            <w:pPr>
              <w:jc w:val="center"/>
              <w:rPr>
                <w:rFonts w:eastAsia="Times New Roman" w:cs="Calibri"/>
                <w:b/>
                <w:bCs/>
                <w:noProof/>
                <w:color w:val="000000"/>
                <w:sz w:val="18"/>
                <w:szCs w:val="18"/>
                <w:lang w:eastAsia="en-GB"/>
              </w:rPr>
            </w:pPr>
            <w:r>
              <w:rPr>
                <w:rFonts w:eastAsia="Times New Roman" w:cs="Calibri"/>
                <w:b/>
                <w:bCs/>
                <w:noProof/>
                <w:color w:val="000000"/>
                <w:sz w:val="18"/>
                <w:szCs w:val="18"/>
                <w:lang w:eastAsia="en-GB"/>
              </w:rPr>
              <w:t>Policy area</w:t>
            </w:r>
          </w:p>
        </w:tc>
        <w:tc>
          <w:tcPr>
            <w:tcW w:w="1274" w:type="dxa"/>
            <w:tcBorders>
              <w:left w:val="nil"/>
              <w:bottom w:val="single" w:sz="4" w:space="0" w:color="auto"/>
              <w:right w:val="single" w:sz="4" w:space="0" w:color="auto"/>
            </w:tcBorders>
            <w:shd w:val="clear" w:color="auto" w:fill="FBEFD5"/>
            <w:textDirection w:val="btLr"/>
            <w:vAlign w:val="center"/>
            <w:hideMark/>
          </w:tcPr>
          <w:p>
            <w:pPr>
              <w:jc w:val="center"/>
              <w:rPr>
                <w:rFonts w:eastAsia="Times New Roman" w:cs="Calibri"/>
                <w:b/>
                <w:bCs/>
                <w:noProof/>
                <w:color w:val="000000"/>
                <w:sz w:val="18"/>
                <w:szCs w:val="18"/>
                <w:lang w:eastAsia="en-GB"/>
              </w:rPr>
            </w:pPr>
            <w:r>
              <w:rPr>
                <w:rFonts w:eastAsia="Times New Roman" w:cs="Calibri"/>
                <w:b/>
                <w:bCs/>
                <w:noProof/>
                <w:color w:val="000000"/>
                <w:sz w:val="18"/>
                <w:szCs w:val="18"/>
                <w:lang w:eastAsia="en-GB"/>
              </w:rPr>
              <w:t>Total payments</w:t>
            </w:r>
          </w:p>
        </w:tc>
        <w:tc>
          <w:tcPr>
            <w:tcW w:w="994" w:type="dxa"/>
            <w:tcBorders>
              <w:left w:val="nil"/>
              <w:bottom w:val="single" w:sz="4" w:space="0" w:color="auto"/>
              <w:right w:val="single" w:sz="4" w:space="0" w:color="auto"/>
            </w:tcBorders>
            <w:shd w:val="clear" w:color="auto" w:fill="FBEFD5"/>
            <w:textDirection w:val="btLr"/>
            <w:vAlign w:val="center"/>
            <w:hideMark/>
          </w:tcPr>
          <w:p>
            <w:pPr>
              <w:jc w:val="center"/>
              <w:rPr>
                <w:rFonts w:eastAsia="Times New Roman" w:cs="Calibri"/>
                <w:b/>
                <w:bCs/>
                <w:noProof/>
                <w:color w:val="000000"/>
                <w:sz w:val="18"/>
                <w:szCs w:val="18"/>
                <w:lang w:eastAsia="en-GB"/>
              </w:rPr>
            </w:pPr>
            <w:r>
              <w:rPr>
                <w:rFonts w:eastAsia="Times New Roman" w:cs="Calibri"/>
                <w:b/>
                <w:bCs/>
                <w:noProof/>
                <w:color w:val="000000"/>
                <w:sz w:val="18"/>
                <w:szCs w:val="18"/>
                <w:lang w:eastAsia="en-GB"/>
              </w:rPr>
              <w:t>New pre-financing paid</w:t>
            </w:r>
          </w:p>
        </w:tc>
        <w:tc>
          <w:tcPr>
            <w:tcW w:w="993" w:type="dxa"/>
            <w:tcBorders>
              <w:left w:val="nil"/>
              <w:bottom w:val="single" w:sz="4" w:space="0" w:color="auto"/>
              <w:right w:val="single" w:sz="4" w:space="0" w:color="auto"/>
            </w:tcBorders>
            <w:shd w:val="clear" w:color="auto" w:fill="FBEFD5"/>
            <w:textDirection w:val="btLr"/>
            <w:vAlign w:val="center"/>
            <w:hideMark/>
          </w:tcPr>
          <w:p>
            <w:pPr>
              <w:jc w:val="center"/>
              <w:rPr>
                <w:rFonts w:eastAsia="Times New Roman" w:cs="Calibri"/>
                <w:b/>
                <w:bCs/>
                <w:noProof/>
                <w:color w:val="000000"/>
                <w:sz w:val="18"/>
                <w:szCs w:val="18"/>
                <w:lang w:eastAsia="en-GB"/>
              </w:rPr>
            </w:pPr>
            <w:r>
              <w:rPr>
                <w:rFonts w:eastAsia="Times New Roman" w:cs="Calibri"/>
                <w:b/>
                <w:bCs/>
                <w:noProof/>
                <w:color w:val="000000"/>
                <w:sz w:val="18"/>
                <w:szCs w:val="18"/>
                <w:lang w:eastAsia="en-GB"/>
              </w:rPr>
              <w:t>Retentions made by cohesion family DGs</w:t>
            </w:r>
          </w:p>
        </w:tc>
        <w:tc>
          <w:tcPr>
            <w:tcW w:w="992" w:type="dxa"/>
            <w:tcBorders>
              <w:left w:val="nil"/>
              <w:bottom w:val="single" w:sz="4" w:space="0" w:color="auto"/>
              <w:right w:val="single" w:sz="4" w:space="0" w:color="auto"/>
            </w:tcBorders>
            <w:shd w:val="clear" w:color="auto" w:fill="FBEFD5"/>
            <w:textDirection w:val="btLr"/>
            <w:vAlign w:val="center"/>
            <w:hideMark/>
          </w:tcPr>
          <w:p>
            <w:pPr>
              <w:jc w:val="center"/>
              <w:rPr>
                <w:rFonts w:eastAsia="Times New Roman" w:cs="Calibri"/>
                <w:b/>
                <w:bCs/>
                <w:noProof/>
                <w:color w:val="000000"/>
                <w:sz w:val="18"/>
                <w:szCs w:val="18"/>
                <w:lang w:eastAsia="en-GB"/>
              </w:rPr>
            </w:pPr>
            <w:r>
              <w:rPr>
                <w:rFonts w:eastAsia="Times New Roman" w:cs="Calibri"/>
                <w:b/>
                <w:bCs/>
                <w:noProof/>
                <w:color w:val="000000"/>
                <w:sz w:val="18"/>
                <w:szCs w:val="18"/>
                <w:lang w:eastAsia="en-GB"/>
              </w:rPr>
              <w:t>Pre-financing cleared</w:t>
            </w:r>
          </w:p>
        </w:tc>
        <w:tc>
          <w:tcPr>
            <w:tcW w:w="992" w:type="dxa"/>
            <w:tcBorders>
              <w:left w:val="nil"/>
              <w:bottom w:val="single" w:sz="4" w:space="0" w:color="auto"/>
              <w:right w:val="single" w:sz="4" w:space="0" w:color="auto"/>
            </w:tcBorders>
            <w:shd w:val="clear" w:color="auto" w:fill="FBEFD5"/>
            <w:textDirection w:val="btLr"/>
            <w:vAlign w:val="center"/>
            <w:hideMark/>
          </w:tcPr>
          <w:p>
            <w:pPr>
              <w:jc w:val="center"/>
              <w:rPr>
                <w:rFonts w:eastAsia="Times New Roman" w:cs="Calibri"/>
                <w:b/>
                <w:bCs/>
                <w:noProof/>
                <w:color w:val="000000"/>
                <w:sz w:val="18"/>
                <w:szCs w:val="18"/>
                <w:lang w:eastAsia="en-GB"/>
              </w:rPr>
            </w:pPr>
            <w:r>
              <w:rPr>
                <w:rFonts w:eastAsia="Times New Roman" w:cs="Calibri"/>
                <w:b/>
                <w:bCs/>
                <w:noProof/>
                <w:color w:val="000000"/>
                <w:sz w:val="18"/>
                <w:szCs w:val="18"/>
                <w:lang w:eastAsia="en-GB"/>
              </w:rPr>
              <w:t>Retentions (partially) released by cohesion family DGs</w:t>
            </w:r>
          </w:p>
        </w:tc>
        <w:tc>
          <w:tcPr>
            <w:tcW w:w="1134" w:type="dxa"/>
            <w:tcBorders>
              <w:left w:val="nil"/>
              <w:bottom w:val="single" w:sz="4" w:space="0" w:color="auto"/>
              <w:right w:val="single" w:sz="4" w:space="0" w:color="auto"/>
            </w:tcBorders>
            <w:shd w:val="clear" w:color="auto" w:fill="FBEFD5"/>
            <w:textDirection w:val="btLr"/>
            <w:vAlign w:val="center"/>
            <w:hideMark/>
          </w:tcPr>
          <w:p>
            <w:pPr>
              <w:jc w:val="center"/>
              <w:rPr>
                <w:rFonts w:eastAsia="Times New Roman" w:cs="Calibri"/>
                <w:noProof/>
                <w:color w:val="000000"/>
                <w:sz w:val="18"/>
                <w:szCs w:val="18"/>
                <w:lang w:eastAsia="en-GB"/>
              </w:rPr>
            </w:pPr>
            <w:r>
              <w:rPr>
                <w:rFonts w:eastAsia="Times New Roman" w:cs="Calibri"/>
                <w:b/>
                <w:bCs/>
                <w:noProof/>
                <w:color w:val="000000"/>
                <w:sz w:val="18"/>
                <w:szCs w:val="18"/>
                <w:lang w:eastAsia="en-GB"/>
              </w:rPr>
              <w:t>Total relevant expenditure</w:t>
            </w:r>
            <w:r>
              <w:rPr>
                <w:rFonts w:eastAsia="Times New Roman" w:cs="Calibri"/>
                <w:noProof/>
                <w:color w:val="000000"/>
                <w:sz w:val="18"/>
                <w:szCs w:val="18"/>
                <w:lang w:eastAsia="en-GB"/>
              </w:rPr>
              <w:br/>
            </w:r>
            <w:r>
              <w:rPr>
                <w:rFonts w:eastAsia="Times New Roman" w:cs="Calibri"/>
                <w:i/>
                <w:iCs/>
                <w:noProof/>
                <w:color w:val="000000"/>
                <w:sz w:val="18"/>
                <w:szCs w:val="18"/>
                <w:lang w:eastAsia="en-GB"/>
              </w:rPr>
              <w:t>(a)-(b)+(c)+(d)-(e)</w:t>
            </w:r>
          </w:p>
        </w:tc>
        <w:tc>
          <w:tcPr>
            <w:tcW w:w="1399" w:type="dxa"/>
            <w:tcBorders>
              <w:left w:val="nil"/>
              <w:bottom w:val="single" w:sz="4" w:space="0" w:color="auto"/>
              <w:right w:val="nil"/>
            </w:tcBorders>
            <w:shd w:val="clear" w:color="auto" w:fill="FBEFD5"/>
            <w:hideMark/>
          </w:tcPr>
          <w:p>
            <w:pPr>
              <w:jc w:val="center"/>
              <w:rPr>
                <w:rFonts w:eastAsia="Times New Roman" w:cs="Calibri"/>
                <w:noProof/>
                <w:color w:val="000000"/>
                <w:sz w:val="18"/>
                <w:szCs w:val="18"/>
                <w:lang w:eastAsia="en-GB"/>
              </w:rPr>
            </w:pPr>
            <w:r>
              <w:rPr>
                <w:rFonts w:eastAsia="Times New Roman" w:cs="Calibri"/>
                <w:b/>
                <w:bCs/>
                <w:noProof/>
                <w:color w:val="000000"/>
                <w:sz w:val="18"/>
                <w:szCs w:val="18"/>
                <w:lang w:eastAsia="en-GB"/>
              </w:rPr>
              <w:t>Estimated risk at payment</w:t>
            </w:r>
            <w:r>
              <w:rPr>
                <w:rFonts w:eastAsia="Times New Roman" w:cs="Calibri"/>
                <w:noProof/>
                <w:color w:val="000000"/>
                <w:sz w:val="18"/>
                <w:szCs w:val="18"/>
                <w:lang w:eastAsia="en-GB"/>
              </w:rPr>
              <w:br/>
            </w:r>
            <w:r>
              <w:rPr>
                <w:rFonts w:eastAsia="Times New Roman" w:cs="Calibri"/>
                <w:noProof/>
                <w:color w:val="000000"/>
                <w:sz w:val="18"/>
                <w:szCs w:val="18"/>
                <w:lang w:eastAsia="en-GB"/>
              </w:rPr>
              <w:br/>
            </w:r>
            <w:r>
              <w:rPr>
                <w:rFonts w:eastAsia="Times New Roman" w:cs="Calibri"/>
                <w:i/>
                <w:iCs/>
                <w:noProof/>
                <w:color w:val="000000"/>
                <w:sz w:val="18"/>
                <w:szCs w:val="18"/>
                <w:lang w:eastAsia="en-GB"/>
              </w:rPr>
              <w:t>Average error</w:t>
            </w:r>
            <w:r>
              <w:rPr>
                <w:rFonts w:eastAsia="Times New Roman" w:cs="Calibri"/>
                <w:i/>
                <w:iCs/>
                <w:noProof/>
                <w:color w:val="000000"/>
                <w:sz w:val="18"/>
                <w:szCs w:val="18"/>
                <w:lang w:eastAsia="en-GB"/>
              </w:rPr>
              <w:br/>
              <w:t>rate applied on (f)</w:t>
            </w:r>
          </w:p>
        </w:tc>
        <w:tc>
          <w:tcPr>
            <w:tcW w:w="1720" w:type="dxa"/>
            <w:tcBorders>
              <w:left w:val="single" w:sz="4" w:space="0" w:color="auto"/>
              <w:bottom w:val="single" w:sz="4" w:space="0" w:color="auto"/>
              <w:right w:val="single" w:sz="4" w:space="0" w:color="auto"/>
            </w:tcBorders>
            <w:shd w:val="clear" w:color="auto" w:fill="FBEFD5"/>
            <w:hideMark/>
          </w:tcPr>
          <w:p>
            <w:pPr>
              <w:jc w:val="center"/>
              <w:rPr>
                <w:rFonts w:eastAsia="Times New Roman" w:cs="Calibri"/>
                <w:noProof/>
                <w:color w:val="000000"/>
                <w:sz w:val="18"/>
                <w:szCs w:val="18"/>
                <w:lang w:eastAsia="en-GB"/>
              </w:rPr>
            </w:pPr>
            <w:r>
              <w:rPr>
                <w:rFonts w:eastAsia="Times New Roman" w:cs="Calibri"/>
                <w:b/>
                <w:bCs/>
                <w:noProof/>
                <w:color w:val="000000"/>
                <w:sz w:val="18"/>
                <w:szCs w:val="18"/>
                <w:lang w:eastAsia="en-GB"/>
              </w:rPr>
              <w:t>Estimated future</w:t>
            </w:r>
            <w:r>
              <w:rPr>
                <w:rFonts w:eastAsia="Times New Roman" w:cs="Calibri"/>
                <w:b/>
                <w:bCs/>
                <w:noProof/>
                <w:color w:val="000000"/>
                <w:sz w:val="18"/>
                <w:szCs w:val="18"/>
                <w:lang w:eastAsia="en-GB"/>
              </w:rPr>
              <w:br/>
              <w:t>corrections</w:t>
            </w:r>
            <w:r>
              <w:rPr>
                <w:rFonts w:eastAsia="Times New Roman" w:cs="Calibri"/>
                <w:noProof/>
                <w:color w:val="000000"/>
                <w:sz w:val="18"/>
                <w:szCs w:val="18"/>
                <w:lang w:eastAsia="en-GB"/>
              </w:rPr>
              <w:br/>
            </w:r>
            <w:r>
              <w:rPr>
                <w:rFonts w:eastAsia="Times New Roman" w:cs="Calibri"/>
                <w:noProof/>
                <w:color w:val="000000"/>
                <w:sz w:val="18"/>
                <w:szCs w:val="18"/>
                <w:lang w:eastAsia="en-GB"/>
              </w:rPr>
              <w:br/>
            </w:r>
            <w:r>
              <w:rPr>
                <w:rFonts w:eastAsia="Times New Roman" w:cs="Calibri"/>
                <w:i/>
                <w:iCs/>
                <w:noProof/>
                <w:color w:val="000000"/>
                <w:sz w:val="18"/>
                <w:szCs w:val="18"/>
                <w:lang w:eastAsia="en-GB"/>
              </w:rPr>
              <w:t xml:space="preserve">Adjusted rate of </w:t>
            </w:r>
            <w:r>
              <w:rPr>
                <w:rFonts w:eastAsia="Times New Roman" w:cs="Calibri"/>
                <w:i/>
                <w:iCs/>
                <w:noProof/>
                <w:color w:val="000000"/>
                <w:sz w:val="18"/>
                <w:szCs w:val="18"/>
                <w:lang w:eastAsia="en-GB"/>
              </w:rPr>
              <w:br/>
              <w:t xml:space="preserve">average recoveries </w:t>
            </w:r>
            <w:r>
              <w:rPr>
                <w:rFonts w:eastAsia="Times New Roman" w:cs="Calibri"/>
                <w:i/>
                <w:iCs/>
                <w:noProof/>
                <w:color w:val="000000"/>
                <w:sz w:val="18"/>
                <w:szCs w:val="18"/>
                <w:lang w:eastAsia="en-GB"/>
              </w:rPr>
              <w:br/>
              <w:t xml:space="preserve">and corrections </w:t>
            </w:r>
            <w:r>
              <w:rPr>
                <w:rFonts w:eastAsia="Times New Roman" w:cs="Calibri"/>
                <w:i/>
                <w:iCs/>
                <w:noProof/>
                <w:color w:val="000000"/>
                <w:sz w:val="18"/>
                <w:szCs w:val="18"/>
                <w:lang w:eastAsia="en-GB"/>
              </w:rPr>
              <w:br/>
              <w:t>applied on (f)</w:t>
            </w:r>
          </w:p>
        </w:tc>
        <w:tc>
          <w:tcPr>
            <w:tcW w:w="1559" w:type="dxa"/>
            <w:tcBorders>
              <w:left w:val="nil"/>
              <w:bottom w:val="single" w:sz="4" w:space="0" w:color="auto"/>
            </w:tcBorders>
            <w:shd w:val="clear" w:color="auto" w:fill="FBEFD5"/>
            <w:hideMark/>
          </w:tcPr>
          <w:p>
            <w:pPr>
              <w:jc w:val="center"/>
              <w:rPr>
                <w:rFonts w:eastAsia="Times New Roman" w:cs="Calibri"/>
                <w:noProof/>
                <w:color w:val="000000"/>
                <w:sz w:val="18"/>
                <w:szCs w:val="18"/>
                <w:lang w:eastAsia="en-GB"/>
              </w:rPr>
            </w:pPr>
            <w:r>
              <w:rPr>
                <w:rFonts w:eastAsia="Times New Roman" w:cs="Calibri"/>
                <w:b/>
                <w:bCs/>
                <w:noProof/>
                <w:color w:val="000000"/>
                <w:sz w:val="18"/>
                <w:szCs w:val="18"/>
                <w:lang w:eastAsia="en-GB"/>
              </w:rPr>
              <w:t>Estimated risk at closure</w:t>
            </w:r>
            <w:r>
              <w:rPr>
                <w:rFonts w:eastAsia="Times New Roman" w:cs="Calibri"/>
                <w:noProof/>
                <w:color w:val="000000"/>
                <w:sz w:val="18"/>
                <w:szCs w:val="18"/>
                <w:lang w:eastAsia="en-GB"/>
              </w:rPr>
              <w:br/>
            </w:r>
            <w:r>
              <w:rPr>
                <w:rFonts w:eastAsia="Times New Roman" w:cs="Calibri"/>
                <w:i/>
                <w:iCs/>
                <w:noProof/>
                <w:color w:val="000000"/>
                <w:sz w:val="18"/>
                <w:szCs w:val="18"/>
                <w:lang w:eastAsia="en-GB"/>
              </w:rPr>
              <w:t>(g)-(h)</w:t>
            </w:r>
          </w:p>
        </w:tc>
      </w:tr>
      <w:tr>
        <w:trPr>
          <w:trHeight w:val="230"/>
          <w:jc w:val="center"/>
        </w:trPr>
        <w:tc>
          <w:tcPr>
            <w:tcW w:w="3969" w:type="dxa"/>
            <w:tcBorders>
              <w:top w:val="single" w:sz="4" w:space="0" w:color="auto"/>
              <w:bottom w:val="single" w:sz="4" w:space="0" w:color="auto"/>
              <w:right w:val="single" w:sz="4" w:space="0" w:color="auto"/>
            </w:tcBorders>
            <w:shd w:val="clear" w:color="auto" w:fill="FBEFD5"/>
            <w:noWrap/>
            <w:vAlign w:val="center"/>
            <w:hideMark/>
          </w:tcPr>
          <w:p>
            <w:pPr>
              <w:jc w:val="center"/>
              <w:rPr>
                <w:rFonts w:eastAsia="Times New Roman" w:cs="Calibri"/>
                <w:b/>
                <w:bCs/>
                <w:noProof/>
                <w:color w:val="000000"/>
                <w:sz w:val="18"/>
                <w:szCs w:val="18"/>
                <w:lang w:eastAsia="en-GB"/>
              </w:rPr>
            </w:pPr>
            <w:r>
              <w:rPr>
                <w:rFonts w:ascii="Calibri" w:eastAsia="Times New Roman" w:hAnsi="Calibri" w:cs="Calibri"/>
                <w:b/>
                <w:bCs/>
                <w:noProof/>
                <w:color w:val="000000"/>
                <w:sz w:val="18"/>
                <w:szCs w:val="18"/>
                <w:lang w:eastAsia="en-GB"/>
              </w:rPr>
              <w:t> </w:t>
            </w:r>
          </w:p>
        </w:tc>
        <w:tc>
          <w:tcPr>
            <w:tcW w:w="1274" w:type="dxa"/>
            <w:tcBorders>
              <w:top w:val="single" w:sz="4" w:space="0" w:color="auto"/>
              <w:left w:val="nil"/>
              <w:bottom w:val="single" w:sz="4" w:space="0" w:color="auto"/>
              <w:right w:val="single" w:sz="4" w:space="0" w:color="auto"/>
            </w:tcBorders>
            <w:shd w:val="clear" w:color="auto" w:fill="FBEFD5"/>
            <w:vAlign w:val="center"/>
            <w:hideMark/>
          </w:tcPr>
          <w:p>
            <w:pPr>
              <w:jc w:val="center"/>
              <w:rPr>
                <w:rFonts w:eastAsia="Times New Roman" w:cs="Calibri"/>
                <w:i/>
                <w:iCs/>
                <w:noProof/>
                <w:color w:val="000000"/>
                <w:sz w:val="18"/>
                <w:szCs w:val="18"/>
                <w:lang w:eastAsia="en-GB"/>
              </w:rPr>
            </w:pPr>
            <w:r>
              <w:rPr>
                <w:rFonts w:eastAsia="Times New Roman" w:cs="Calibri"/>
                <w:i/>
                <w:iCs/>
                <w:noProof/>
                <w:color w:val="000000"/>
                <w:sz w:val="18"/>
                <w:szCs w:val="18"/>
                <w:lang w:eastAsia="en-GB"/>
              </w:rPr>
              <w:t>(a)</w:t>
            </w:r>
          </w:p>
        </w:tc>
        <w:tc>
          <w:tcPr>
            <w:tcW w:w="994" w:type="dxa"/>
            <w:tcBorders>
              <w:top w:val="single" w:sz="4" w:space="0" w:color="auto"/>
              <w:left w:val="nil"/>
              <w:bottom w:val="single" w:sz="4" w:space="0" w:color="auto"/>
              <w:right w:val="single" w:sz="4" w:space="0" w:color="auto"/>
            </w:tcBorders>
            <w:shd w:val="clear" w:color="auto" w:fill="FBEFD5"/>
            <w:vAlign w:val="center"/>
            <w:hideMark/>
          </w:tcPr>
          <w:p>
            <w:pPr>
              <w:jc w:val="center"/>
              <w:rPr>
                <w:rFonts w:eastAsia="Times New Roman" w:cs="Calibri"/>
                <w:i/>
                <w:iCs/>
                <w:noProof/>
                <w:color w:val="000000"/>
                <w:sz w:val="18"/>
                <w:szCs w:val="18"/>
                <w:lang w:eastAsia="en-GB"/>
              </w:rPr>
            </w:pPr>
            <w:r>
              <w:rPr>
                <w:rFonts w:eastAsia="Times New Roman" w:cs="Calibri"/>
                <w:i/>
                <w:iCs/>
                <w:noProof/>
                <w:color w:val="000000"/>
                <w:sz w:val="18"/>
                <w:szCs w:val="18"/>
                <w:lang w:eastAsia="en-GB"/>
              </w:rPr>
              <w:t>(b)</w:t>
            </w:r>
          </w:p>
        </w:tc>
        <w:tc>
          <w:tcPr>
            <w:tcW w:w="993" w:type="dxa"/>
            <w:tcBorders>
              <w:top w:val="single" w:sz="4" w:space="0" w:color="auto"/>
              <w:left w:val="nil"/>
              <w:bottom w:val="single" w:sz="4" w:space="0" w:color="auto"/>
              <w:right w:val="single" w:sz="4" w:space="0" w:color="auto"/>
            </w:tcBorders>
            <w:shd w:val="clear" w:color="auto" w:fill="FBEFD5"/>
            <w:vAlign w:val="center"/>
            <w:hideMark/>
          </w:tcPr>
          <w:p>
            <w:pPr>
              <w:jc w:val="center"/>
              <w:rPr>
                <w:rFonts w:eastAsia="Times New Roman" w:cs="Calibri"/>
                <w:i/>
                <w:iCs/>
                <w:noProof/>
                <w:color w:val="000000"/>
                <w:sz w:val="18"/>
                <w:szCs w:val="18"/>
                <w:lang w:eastAsia="en-GB"/>
              </w:rPr>
            </w:pPr>
            <w:r>
              <w:rPr>
                <w:rFonts w:eastAsia="Times New Roman" w:cs="Calibri"/>
                <w:i/>
                <w:iCs/>
                <w:noProof/>
                <w:color w:val="000000"/>
                <w:sz w:val="18"/>
                <w:szCs w:val="18"/>
                <w:lang w:eastAsia="en-GB"/>
              </w:rPr>
              <w:t>(c)</w:t>
            </w:r>
          </w:p>
        </w:tc>
        <w:tc>
          <w:tcPr>
            <w:tcW w:w="992" w:type="dxa"/>
            <w:tcBorders>
              <w:top w:val="single" w:sz="4" w:space="0" w:color="auto"/>
              <w:left w:val="nil"/>
              <w:bottom w:val="single" w:sz="4" w:space="0" w:color="auto"/>
              <w:right w:val="single" w:sz="4" w:space="0" w:color="auto"/>
            </w:tcBorders>
            <w:shd w:val="clear" w:color="auto" w:fill="FBEFD5"/>
            <w:vAlign w:val="center"/>
            <w:hideMark/>
          </w:tcPr>
          <w:p>
            <w:pPr>
              <w:jc w:val="center"/>
              <w:rPr>
                <w:rFonts w:eastAsia="Times New Roman" w:cs="Calibri"/>
                <w:i/>
                <w:iCs/>
                <w:noProof/>
                <w:color w:val="000000"/>
                <w:sz w:val="18"/>
                <w:szCs w:val="18"/>
                <w:lang w:eastAsia="en-GB"/>
              </w:rPr>
            </w:pPr>
            <w:r>
              <w:rPr>
                <w:rFonts w:eastAsia="Times New Roman" w:cs="Calibri"/>
                <w:i/>
                <w:iCs/>
                <w:noProof/>
                <w:color w:val="000000"/>
                <w:sz w:val="18"/>
                <w:szCs w:val="18"/>
                <w:lang w:eastAsia="en-GB"/>
              </w:rPr>
              <w:t>(d)</w:t>
            </w:r>
          </w:p>
        </w:tc>
        <w:tc>
          <w:tcPr>
            <w:tcW w:w="992" w:type="dxa"/>
            <w:tcBorders>
              <w:top w:val="single" w:sz="4" w:space="0" w:color="auto"/>
              <w:left w:val="nil"/>
              <w:bottom w:val="single" w:sz="4" w:space="0" w:color="auto"/>
              <w:right w:val="single" w:sz="4" w:space="0" w:color="auto"/>
            </w:tcBorders>
            <w:shd w:val="clear" w:color="auto" w:fill="FBEFD5"/>
            <w:vAlign w:val="center"/>
            <w:hideMark/>
          </w:tcPr>
          <w:p>
            <w:pPr>
              <w:jc w:val="center"/>
              <w:rPr>
                <w:rFonts w:eastAsia="Times New Roman" w:cs="Calibri"/>
                <w:i/>
                <w:iCs/>
                <w:noProof/>
                <w:color w:val="000000"/>
                <w:sz w:val="18"/>
                <w:szCs w:val="18"/>
                <w:lang w:eastAsia="en-GB"/>
              </w:rPr>
            </w:pPr>
            <w:r>
              <w:rPr>
                <w:rFonts w:eastAsia="Times New Roman" w:cs="Calibri"/>
                <w:i/>
                <w:iCs/>
                <w:noProof/>
                <w:color w:val="000000"/>
                <w:sz w:val="18"/>
                <w:szCs w:val="18"/>
                <w:lang w:eastAsia="en-GB"/>
              </w:rPr>
              <w:t>(e)</w:t>
            </w:r>
          </w:p>
        </w:tc>
        <w:tc>
          <w:tcPr>
            <w:tcW w:w="1134" w:type="dxa"/>
            <w:tcBorders>
              <w:top w:val="single" w:sz="4" w:space="0" w:color="auto"/>
              <w:left w:val="nil"/>
              <w:bottom w:val="single" w:sz="4" w:space="0" w:color="auto"/>
              <w:right w:val="single" w:sz="4" w:space="0" w:color="auto"/>
            </w:tcBorders>
            <w:shd w:val="clear" w:color="auto" w:fill="FBEFD5"/>
            <w:vAlign w:val="center"/>
            <w:hideMark/>
          </w:tcPr>
          <w:p>
            <w:pPr>
              <w:jc w:val="center"/>
              <w:rPr>
                <w:rFonts w:eastAsia="Times New Roman" w:cs="Calibri"/>
                <w:i/>
                <w:iCs/>
                <w:noProof/>
                <w:color w:val="000000"/>
                <w:sz w:val="18"/>
                <w:szCs w:val="18"/>
                <w:lang w:eastAsia="en-GB"/>
              </w:rPr>
            </w:pPr>
            <w:r>
              <w:rPr>
                <w:rFonts w:eastAsia="Times New Roman" w:cs="Calibri"/>
                <w:i/>
                <w:iCs/>
                <w:noProof/>
                <w:color w:val="000000"/>
                <w:sz w:val="18"/>
                <w:szCs w:val="18"/>
                <w:lang w:eastAsia="en-GB"/>
              </w:rPr>
              <w:t>(f)</w:t>
            </w:r>
          </w:p>
        </w:tc>
        <w:tc>
          <w:tcPr>
            <w:tcW w:w="1399" w:type="dxa"/>
            <w:tcBorders>
              <w:top w:val="single" w:sz="4" w:space="0" w:color="auto"/>
              <w:left w:val="nil"/>
              <w:bottom w:val="single" w:sz="4" w:space="0" w:color="auto"/>
              <w:right w:val="single" w:sz="4" w:space="0" w:color="auto"/>
            </w:tcBorders>
            <w:shd w:val="clear" w:color="auto" w:fill="FBEFD5"/>
            <w:vAlign w:val="center"/>
            <w:hideMark/>
          </w:tcPr>
          <w:p>
            <w:pPr>
              <w:jc w:val="center"/>
              <w:rPr>
                <w:rFonts w:eastAsia="Times New Roman" w:cs="Calibri"/>
                <w:i/>
                <w:iCs/>
                <w:noProof/>
                <w:color w:val="000000"/>
                <w:sz w:val="18"/>
                <w:szCs w:val="18"/>
                <w:lang w:eastAsia="en-GB"/>
              </w:rPr>
            </w:pPr>
            <w:r>
              <w:rPr>
                <w:rFonts w:eastAsia="Times New Roman" w:cs="Calibri"/>
                <w:i/>
                <w:iCs/>
                <w:noProof/>
                <w:color w:val="000000"/>
                <w:sz w:val="18"/>
                <w:szCs w:val="18"/>
                <w:lang w:eastAsia="en-GB"/>
              </w:rPr>
              <w:t>(g)</w:t>
            </w:r>
          </w:p>
        </w:tc>
        <w:tc>
          <w:tcPr>
            <w:tcW w:w="1720" w:type="dxa"/>
            <w:tcBorders>
              <w:top w:val="single" w:sz="4" w:space="0" w:color="auto"/>
              <w:left w:val="nil"/>
              <w:bottom w:val="single" w:sz="4" w:space="0" w:color="auto"/>
              <w:right w:val="single" w:sz="4" w:space="0" w:color="auto"/>
            </w:tcBorders>
            <w:shd w:val="clear" w:color="auto" w:fill="FBEFD5"/>
            <w:vAlign w:val="center"/>
            <w:hideMark/>
          </w:tcPr>
          <w:p>
            <w:pPr>
              <w:jc w:val="center"/>
              <w:rPr>
                <w:rFonts w:eastAsia="Times New Roman" w:cs="Calibri"/>
                <w:i/>
                <w:iCs/>
                <w:noProof/>
                <w:color w:val="000000"/>
                <w:sz w:val="18"/>
                <w:szCs w:val="18"/>
                <w:lang w:eastAsia="en-GB"/>
              </w:rPr>
            </w:pPr>
            <w:r>
              <w:rPr>
                <w:rFonts w:eastAsia="Times New Roman" w:cs="Calibri"/>
                <w:i/>
                <w:iCs/>
                <w:noProof/>
                <w:color w:val="000000"/>
                <w:sz w:val="18"/>
                <w:szCs w:val="18"/>
                <w:lang w:eastAsia="en-GB"/>
              </w:rPr>
              <w:t>(h)</w:t>
            </w:r>
          </w:p>
        </w:tc>
        <w:tc>
          <w:tcPr>
            <w:tcW w:w="1559" w:type="dxa"/>
            <w:tcBorders>
              <w:top w:val="single" w:sz="4" w:space="0" w:color="auto"/>
              <w:left w:val="nil"/>
              <w:bottom w:val="single" w:sz="4" w:space="0" w:color="auto"/>
            </w:tcBorders>
            <w:shd w:val="clear" w:color="auto" w:fill="FBEFD5"/>
            <w:vAlign w:val="center"/>
            <w:hideMark/>
          </w:tcPr>
          <w:p>
            <w:pPr>
              <w:jc w:val="center"/>
              <w:rPr>
                <w:rFonts w:eastAsia="Times New Roman" w:cs="Calibri"/>
                <w:i/>
                <w:iCs/>
                <w:noProof/>
                <w:color w:val="000000"/>
                <w:sz w:val="18"/>
                <w:szCs w:val="18"/>
                <w:lang w:eastAsia="en-GB"/>
              </w:rPr>
            </w:pPr>
            <w:r>
              <w:rPr>
                <w:rFonts w:eastAsia="Times New Roman" w:cs="Calibri"/>
                <w:i/>
                <w:iCs/>
                <w:noProof/>
                <w:color w:val="000000"/>
                <w:sz w:val="18"/>
                <w:szCs w:val="18"/>
                <w:lang w:eastAsia="en-GB"/>
              </w:rPr>
              <w:t>(i)</w:t>
            </w:r>
          </w:p>
        </w:tc>
      </w:tr>
      <w:tr>
        <w:trPr>
          <w:trHeight w:val="230"/>
          <w:jc w:val="center"/>
        </w:trPr>
        <w:tc>
          <w:tcPr>
            <w:tcW w:w="3969" w:type="dxa"/>
            <w:vMerge w:val="restart"/>
            <w:tcBorders>
              <w:top w:val="single" w:sz="4" w:space="0" w:color="auto"/>
              <w:bottom w:val="single" w:sz="4" w:space="0" w:color="auto"/>
              <w:right w:val="single" w:sz="4" w:space="0" w:color="auto"/>
            </w:tcBorders>
            <w:shd w:val="clear" w:color="auto" w:fill="E9F5F7"/>
            <w:noWrap/>
            <w:vAlign w:val="center"/>
            <w:hideMark/>
          </w:tcPr>
          <w:p>
            <w:pPr>
              <w:rPr>
                <w:rFonts w:eastAsia="Times New Roman" w:cs="Calibri"/>
                <w:b/>
                <w:bCs/>
                <w:noProof/>
                <w:color w:val="000000"/>
                <w:sz w:val="18"/>
                <w:szCs w:val="18"/>
                <w:lang w:eastAsia="en-GB"/>
              </w:rPr>
            </w:pPr>
            <w:r>
              <w:rPr>
                <w:rFonts w:eastAsia="Times New Roman" w:cs="Calibri"/>
                <w:b/>
                <w:bCs/>
                <w:noProof/>
                <w:color w:val="000000"/>
                <w:sz w:val="18"/>
                <w:szCs w:val="18"/>
                <w:lang w:eastAsia="en-GB"/>
              </w:rPr>
              <w:t>Agriculture (</w:t>
            </w:r>
            <w:r>
              <w:rPr>
                <w:rFonts w:eastAsia="Times New Roman" w:cs="Calibri"/>
                <w:b/>
                <w:bCs/>
                <w:noProof/>
                <w:color w:val="000000"/>
                <w:lang w:eastAsia="en-GB"/>
              </w:rPr>
              <w:footnoteReference w:id="26"/>
            </w:r>
            <w:r>
              <w:rPr>
                <w:rFonts w:eastAsia="Times New Roman" w:cs="Calibri"/>
                <w:b/>
                <w:bCs/>
                <w:noProof/>
                <w:color w:val="000000"/>
                <w:sz w:val="18"/>
                <w:szCs w:val="18"/>
                <w:lang w:eastAsia="en-GB"/>
              </w:rPr>
              <w:t>)</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56</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830.3</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61.1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100.6</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56</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869.8</w:t>
            </w:r>
          </w:p>
        </w:tc>
        <w:tc>
          <w:tcPr>
            <w:tcW w:w="1399" w:type="dxa"/>
            <w:tcBorders>
              <w:top w:val="single" w:sz="4" w:space="0" w:color="auto"/>
              <w:left w:val="nil"/>
              <w:bottom w:val="nil"/>
              <w:right w:val="single" w:sz="4" w:space="0" w:color="auto"/>
            </w:tcBorders>
            <w:shd w:val="clear" w:color="auto" w:fill="E9F5F7"/>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1</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222.6</w:t>
            </w:r>
          </w:p>
        </w:tc>
        <w:tc>
          <w:tcPr>
            <w:tcW w:w="1720" w:type="dxa"/>
            <w:tcBorders>
              <w:top w:val="single" w:sz="4" w:space="0" w:color="auto"/>
              <w:left w:val="nil"/>
              <w:bottom w:val="nil"/>
              <w:right w:val="single" w:sz="4" w:space="0" w:color="auto"/>
            </w:tcBorders>
            <w:shd w:val="clear" w:color="auto" w:fill="E9F5F7"/>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1</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081.6</w:t>
            </w:r>
          </w:p>
        </w:tc>
        <w:tc>
          <w:tcPr>
            <w:tcW w:w="1559" w:type="dxa"/>
            <w:tcBorders>
              <w:top w:val="single" w:sz="4" w:space="0" w:color="auto"/>
              <w:left w:val="nil"/>
              <w:bottom w:val="nil"/>
            </w:tcBorders>
            <w:shd w:val="clear" w:color="auto" w:fill="E9F5F7"/>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141.0</w:t>
            </w:r>
          </w:p>
        </w:tc>
      </w:tr>
      <w:tr>
        <w:trPr>
          <w:trHeight w:val="230"/>
          <w:jc w:val="center"/>
        </w:trPr>
        <w:tc>
          <w:tcPr>
            <w:tcW w:w="3969" w:type="dxa"/>
            <w:vMerge/>
            <w:tcBorders>
              <w:top w:val="nil"/>
              <w:bottom w:val="single" w:sz="4" w:space="0" w:color="auto"/>
              <w:right w:val="single" w:sz="4" w:space="0" w:color="auto"/>
            </w:tcBorders>
            <w:shd w:val="clear" w:color="auto" w:fill="E9F5F7"/>
            <w:vAlign w:val="center"/>
            <w:hideMark/>
          </w:tcPr>
          <w:p>
            <w:pPr>
              <w:rPr>
                <w:rFonts w:eastAsia="Times New Roman" w:cs="Calibri"/>
                <w:b/>
                <w:bCs/>
                <w:noProof/>
                <w:color w:val="000000"/>
                <w:sz w:val="18"/>
                <w:szCs w:val="18"/>
                <w:lang w:eastAsia="en-GB"/>
              </w:rPr>
            </w:pPr>
          </w:p>
        </w:tc>
        <w:tc>
          <w:tcPr>
            <w:tcW w:w="1274"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994"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993"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992"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992"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1134"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1399" w:type="dxa"/>
            <w:tcBorders>
              <w:top w:val="nil"/>
              <w:left w:val="nil"/>
              <w:bottom w:val="single" w:sz="4" w:space="0" w:color="auto"/>
              <w:right w:val="single" w:sz="4" w:space="0" w:color="auto"/>
            </w:tcBorders>
            <w:shd w:val="clear" w:color="auto" w:fill="E9F5F7"/>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2.1%</w:t>
            </w:r>
          </w:p>
        </w:tc>
        <w:tc>
          <w:tcPr>
            <w:tcW w:w="1720" w:type="dxa"/>
            <w:tcBorders>
              <w:top w:val="nil"/>
              <w:left w:val="nil"/>
              <w:bottom w:val="single" w:sz="4" w:space="0" w:color="auto"/>
              <w:right w:val="single" w:sz="4" w:space="0" w:color="auto"/>
            </w:tcBorders>
            <w:shd w:val="clear" w:color="auto" w:fill="E9F5F7"/>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1.9%</w:t>
            </w:r>
          </w:p>
        </w:tc>
        <w:tc>
          <w:tcPr>
            <w:tcW w:w="1559" w:type="dxa"/>
            <w:tcBorders>
              <w:top w:val="nil"/>
              <w:left w:val="nil"/>
              <w:bottom w:val="single" w:sz="4" w:space="0" w:color="auto"/>
            </w:tcBorders>
            <w:shd w:val="clear" w:color="auto" w:fill="E9F5F7"/>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0.2%</w:t>
            </w:r>
          </w:p>
        </w:tc>
      </w:tr>
      <w:tr>
        <w:trPr>
          <w:trHeight w:val="230"/>
          <w:jc w:val="center"/>
        </w:trPr>
        <w:tc>
          <w:tcPr>
            <w:tcW w:w="3969" w:type="dxa"/>
            <w:vMerge w:val="restart"/>
            <w:tcBorders>
              <w:top w:val="single" w:sz="4" w:space="0" w:color="auto"/>
              <w:bottom w:val="single" w:sz="4" w:space="0" w:color="auto"/>
              <w:right w:val="single" w:sz="4" w:space="0" w:color="auto"/>
            </w:tcBorders>
            <w:shd w:val="clear" w:color="auto" w:fill="D7EDF1"/>
            <w:noWrap/>
            <w:vAlign w:val="center"/>
            <w:hideMark/>
          </w:tcPr>
          <w:p>
            <w:pPr>
              <w:rPr>
                <w:rFonts w:eastAsia="Times New Roman" w:cs="Calibri"/>
                <w:b/>
                <w:bCs/>
                <w:noProof/>
                <w:color w:val="000000"/>
                <w:sz w:val="18"/>
                <w:szCs w:val="18"/>
                <w:lang w:eastAsia="en-GB"/>
              </w:rPr>
            </w:pPr>
            <w:r>
              <w:rPr>
                <w:rFonts w:eastAsia="Times New Roman" w:cs="Calibri"/>
                <w:b/>
                <w:bCs/>
                <w:noProof/>
                <w:color w:val="000000"/>
                <w:sz w:val="18"/>
                <w:szCs w:val="18"/>
                <w:lang w:eastAsia="en-GB"/>
              </w:rPr>
              <w:t>Cohesion</w:t>
            </w:r>
            <w:r>
              <w:rPr>
                <w:rFonts w:ascii="Calibri" w:eastAsia="Times New Roman" w:hAnsi="Calibri" w:cs="Calibri"/>
                <w:b/>
                <w:bCs/>
                <w:noProof/>
                <w:color w:val="000000"/>
                <w:sz w:val="18"/>
                <w:szCs w:val="18"/>
                <w:lang w:eastAsia="en-GB"/>
              </w:rPr>
              <w:t> </w:t>
            </w:r>
            <w:r>
              <w:rPr>
                <w:rFonts w:eastAsia="Times New Roman" w:cs="Calibri"/>
                <w:b/>
                <w:bCs/>
                <w:noProof/>
                <w:color w:val="E48C32"/>
                <w:sz w:val="18"/>
                <w:szCs w:val="18"/>
                <w:lang w:eastAsia="en-GB"/>
              </w:rPr>
              <w:t>(</w:t>
            </w:r>
            <w:r>
              <w:rPr>
                <w:rFonts w:eastAsia="Times New Roman" w:cs="Calibri"/>
                <w:b/>
                <w:bCs/>
                <w:noProof/>
                <w:color w:val="E48C32"/>
                <w:sz w:val="18"/>
                <w:szCs w:val="18"/>
                <w:vertAlign w:val="superscript"/>
                <w:lang w:eastAsia="en-GB"/>
              </w:rPr>
              <w:t>*</w:t>
            </w:r>
            <w:r>
              <w:rPr>
                <w:rFonts w:eastAsia="Times New Roman" w:cs="Calibri"/>
                <w:b/>
                <w:bCs/>
                <w:noProof/>
                <w:color w:val="E48C32"/>
                <w:sz w:val="18"/>
                <w:szCs w:val="18"/>
                <w:lang w:eastAsia="en-GB"/>
              </w:rPr>
              <w:t>)</w:t>
            </w:r>
            <w:r>
              <w:rPr>
                <w:rFonts w:eastAsia="Times New Roman" w:cs="Calibri"/>
                <w:b/>
                <w:bCs/>
                <w:noProof/>
                <w:color w:val="000000"/>
                <w:sz w:val="18"/>
                <w:szCs w:val="18"/>
                <w:lang w:eastAsia="en-GB"/>
              </w:rPr>
              <w:t>, migration and fisheries</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56</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801.6</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11</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153.2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4</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201.9</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6</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276.6</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3</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187.9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52</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939.0</w:t>
            </w:r>
          </w:p>
        </w:tc>
        <w:tc>
          <w:tcPr>
            <w:tcW w:w="1399" w:type="dxa"/>
            <w:tcBorders>
              <w:top w:val="single" w:sz="4" w:space="0" w:color="auto"/>
              <w:left w:val="nil"/>
              <w:bottom w:val="nil"/>
              <w:right w:val="single" w:sz="4" w:space="0" w:color="auto"/>
            </w:tcBorders>
            <w:shd w:val="clear" w:color="auto" w:fill="D7EDF1"/>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899.2</w:t>
            </w:r>
          </w:p>
        </w:tc>
        <w:tc>
          <w:tcPr>
            <w:tcW w:w="1720" w:type="dxa"/>
            <w:tcBorders>
              <w:top w:val="single" w:sz="4" w:space="0" w:color="auto"/>
              <w:left w:val="nil"/>
              <w:bottom w:val="nil"/>
              <w:right w:val="single" w:sz="4" w:space="0" w:color="auto"/>
            </w:tcBorders>
            <w:shd w:val="clear" w:color="auto" w:fill="D7EDF1"/>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233.0</w:t>
            </w:r>
          </w:p>
        </w:tc>
        <w:tc>
          <w:tcPr>
            <w:tcW w:w="1559" w:type="dxa"/>
            <w:tcBorders>
              <w:top w:val="single" w:sz="4" w:space="0" w:color="auto"/>
              <w:left w:val="nil"/>
              <w:bottom w:val="nil"/>
            </w:tcBorders>
            <w:shd w:val="clear" w:color="auto" w:fill="D7EDF1"/>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666.2</w:t>
            </w:r>
          </w:p>
        </w:tc>
      </w:tr>
      <w:tr>
        <w:trPr>
          <w:trHeight w:val="230"/>
          <w:jc w:val="center"/>
        </w:trPr>
        <w:tc>
          <w:tcPr>
            <w:tcW w:w="3969" w:type="dxa"/>
            <w:vMerge/>
            <w:tcBorders>
              <w:top w:val="nil"/>
              <w:bottom w:val="single" w:sz="4" w:space="0" w:color="auto"/>
              <w:right w:val="single" w:sz="4" w:space="0" w:color="auto"/>
            </w:tcBorders>
            <w:shd w:val="clear" w:color="auto" w:fill="D7EDF1"/>
            <w:vAlign w:val="center"/>
            <w:hideMark/>
          </w:tcPr>
          <w:p>
            <w:pPr>
              <w:rPr>
                <w:rFonts w:eastAsia="Times New Roman" w:cs="Calibri"/>
                <w:b/>
                <w:bCs/>
                <w:noProof/>
                <w:color w:val="000000"/>
                <w:sz w:val="18"/>
                <w:szCs w:val="18"/>
                <w:lang w:eastAsia="en-GB"/>
              </w:rPr>
            </w:pPr>
          </w:p>
        </w:tc>
        <w:tc>
          <w:tcPr>
            <w:tcW w:w="1274"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994"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993"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992"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992"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1134"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1399" w:type="dxa"/>
            <w:tcBorders>
              <w:top w:val="nil"/>
              <w:left w:val="nil"/>
              <w:bottom w:val="single" w:sz="4" w:space="0" w:color="auto"/>
              <w:right w:val="single" w:sz="4" w:space="0" w:color="auto"/>
            </w:tcBorders>
            <w:shd w:val="clear" w:color="auto" w:fill="D7EDF1"/>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1.7%</w:t>
            </w:r>
          </w:p>
        </w:tc>
        <w:tc>
          <w:tcPr>
            <w:tcW w:w="1720" w:type="dxa"/>
            <w:tcBorders>
              <w:top w:val="nil"/>
              <w:left w:val="nil"/>
              <w:bottom w:val="single" w:sz="4" w:space="0" w:color="auto"/>
              <w:right w:val="single" w:sz="4" w:space="0" w:color="auto"/>
            </w:tcBorders>
            <w:shd w:val="clear" w:color="auto" w:fill="D7EDF1"/>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0.4%</w:t>
            </w:r>
          </w:p>
        </w:tc>
        <w:tc>
          <w:tcPr>
            <w:tcW w:w="1559" w:type="dxa"/>
            <w:tcBorders>
              <w:top w:val="nil"/>
              <w:left w:val="nil"/>
              <w:bottom w:val="single" w:sz="4" w:space="0" w:color="auto"/>
            </w:tcBorders>
            <w:shd w:val="clear" w:color="auto" w:fill="D7EDF1"/>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1.3%</w:t>
            </w:r>
          </w:p>
        </w:tc>
      </w:tr>
      <w:tr>
        <w:trPr>
          <w:trHeight w:val="230"/>
          <w:jc w:val="center"/>
        </w:trPr>
        <w:tc>
          <w:tcPr>
            <w:tcW w:w="3969" w:type="dxa"/>
            <w:vMerge w:val="restart"/>
            <w:tcBorders>
              <w:top w:val="nil"/>
              <w:bottom w:val="single" w:sz="4" w:space="0" w:color="auto"/>
              <w:right w:val="single" w:sz="4" w:space="0" w:color="auto"/>
            </w:tcBorders>
            <w:shd w:val="clear" w:color="auto" w:fill="E9F5F7"/>
            <w:noWrap/>
            <w:vAlign w:val="center"/>
            <w:hideMark/>
          </w:tcPr>
          <w:p>
            <w:pPr>
              <w:rPr>
                <w:rFonts w:eastAsia="Times New Roman" w:cs="Calibri"/>
                <w:b/>
                <w:bCs/>
                <w:noProof/>
                <w:color w:val="000000"/>
                <w:sz w:val="18"/>
                <w:szCs w:val="18"/>
                <w:lang w:eastAsia="en-GB"/>
              </w:rPr>
            </w:pPr>
            <w:r>
              <w:rPr>
                <w:rFonts w:eastAsia="Times New Roman" w:cs="Calibri"/>
                <w:b/>
                <w:bCs/>
                <w:noProof/>
                <w:color w:val="000000"/>
                <w:sz w:val="18"/>
                <w:szCs w:val="18"/>
                <w:lang w:eastAsia="en-GB"/>
              </w:rPr>
              <w:t>External relations</w:t>
            </w:r>
          </w:p>
        </w:tc>
        <w:tc>
          <w:tcPr>
            <w:tcW w:w="1274" w:type="dxa"/>
            <w:vMerge w:val="restart"/>
            <w:tcBorders>
              <w:top w:val="nil"/>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13</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281.0</w:t>
            </w:r>
          </w:p>
        </w:tc>
        <w:tc>
          <w:tcPr>
            <w:tcW w:w="994" w:type="dxa"/>
            <w:vMerge w:val="restart"/>
            <w:tcBorders>
              <w:top w:val="nil"/>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8</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639.5</w:t>
            </w:r>
          </w:p>
        </w:tc>
        <w:tc>
          <w:tcPr>
            <w:tcW w:w="993" w:type="dxa"/>
            <w:vMerge w:val="restart"/>
            <w:tcBorders>
              <w:top w:val="nil"/>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0.0</w:t>
            </w:r>
          </w:p>
        </w:tc>
        <w:tc>
          <w:tcPr>
            <w:tcW w:w="992" w:type="dxa"/>
            <w:vMerge w:val="restart"/>
            <w:tcBorders>
              <w:top w:val="nil"/>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6</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846.6</w:t>
            </w:r>
          </w:p>
        </w:tc>
        <w:tc>
          <w:tcPr>
            <w:tcW w:w="992" w:type="dxa"/>
            <w:vMerge w:val="restart"/>
            <w:tcBorders>
              <w:top w:val="nil"/>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0.0</w:t>
            </w:r>
          </w:p>
        </w:tc>
        <w:tc>
          <w:tcPr>
            <w:tcW w:w="1134" w:type="dxa"/>
            <w:vMerge w:val="restart"/>
            <w:tcBorders>
              <w:top w:val="nil"/>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11</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488.1</w:t>
            </w:r>
          </w:p>
        </w:tc>
        <w:tc>
          <w:tcPr>
            <w:tcW w:w="1399" w:type="dxa"/>
            <w:tcBorders>
              <w:top w:val="nil"/>
              <w:left w:val="nil"/>
              <w:bottom w:val="nil"/>
              <w:right w:val="single" w:sz="4" w:space="0" w:color="auto"/>
            </w:tcBorders>
            <w:shd w:val="clear" w:color="auto" w:fill="E9F5F7"/>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105.1</w:t>
            </w:r>
          </w:p>
        </w:tc>
        <w:tc>
          <w:tcPr>
            <w:tcW w:w="1720" w:type="dxa"/>
            <w:tcBorders>
              <w:top w:val="nil"/>
              <w:left w:val="nil"/>
              <w:bottom w:val="nil"/>
              <w:right w:val="single" w:sz="4" w:space="0" w:color="auto"/>
            </w:tcBorders>
            <w:shd w:val="clear" w:color="auto" w:fill="E9F5F7"/>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31.3</w:t>
            </w:r>
          </w:p>
        </w:tc>
        <w:tc>
          <w:tcPr>
            <w:tcW w:w="1559" w:type="dxa"/>
            <w:tcBorders>
              <w:top w:val="nil"/>
              <w:left w:val="nil"/>
              <w:bottom w:val="nil"/>
            </w:tcBorders>
            <w:shd w:val="clear" w:color="auto" w:fill="E9F5F7"/>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73.8</w:t>
            </w:r>
          </w:p>
        </w:tc>
      </w:tr>
      <w:tr>
        <w:trPr>
          <w:trHeight w:val="230"/>
          <w:jc w:val="center"/>
        </w:trPr>
        <w:tc>
          <w:tcPr>
            <w:tcW w:w="3969" w:type="dxa"/>
            <w:vMerge/>
            <w:tcBorders>
              <w:top w:val="nil"/>
              <w:bottom w:val="single" w:sz="4" w:space="0" w:color="auto"/>
              <w:right w:val="single" w:sz="4" w:space="0" w:color="auto"/>
            </w:tcBorders>
            <w:shd w:val="clear" w:color="auto" w:fill="E9F5F7"/>
            <w:vAlign w:val="center"/>
            <w:hideMark/>
          </w:tcPr>
          <w:p>
            <w:pPr>
              <w:rPr>
                <w:rFonts w:eastAsia="Times New Roman" w:cs="Calibri"/>
                <w:b/>
                <w:bCs/>
                <w:noProof/>
                <w:color w:val="000000"/>
                <w:sz w:val="18"/>
                <w:szCs w:val="18"/>
                <w:lang w:eastAsia="en-GB"/>
              </w:rPr>
            </w:pPr>
          </w:p>
        </w:tc>
        <w:tc>
          <w:tcPr>
            <w:tcW w:w="1274"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994"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993"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992"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992"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1134"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1399" w:type="dxa"/>
            <w:tcBorders>
              <w:top w:val="nil"/>
              <w:left w:val="nil"/>
              <w:bottom w:val="single" w:sz="4" w:space="0" w:color="auto"/>
              <w:right w:val="single" w:sz="4" w:space="0" w:color="auto"/>
            </w:tcBorders>
            <w:shd w:val="clear" w:color="auto" w:fill="E9F5F7"/>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0.9%</w:t>
            </w:r>
          </w:p>
        </w:tc>
        <w:tc>
          <w:tcPr>
            <w:tcW w:w="1720" w:type="dxa"/>
            <w:tcBorders>
              <w:top w:val="nil"/>
              <w:left w:val="nil"/>
              <w:bottom w:val="single" w:sz="4" w:space="0" w:color="auto"/>
              <w:right w:val="single" w:sz="4" w:space="0" w:color="auto"/>
            </w:tcBorders>
            <w:shd w:val="clear" w:color="auto" w:fill="E9F5F7"/>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0.3%</w:t>
            </w:r>
          </w:p>
        </w:tc>
        <w:tc>
          <w:tcPr>
            <w:tcW w:w="1559" w:type="dxa"/>
            <w:tcBorders>
              <w:top w:val="nil"/>
              <w:left w:val="nil"/>
              <w:bottom w:val="single" w:sz="4" w:space="0" w:color="auto"/>
            </w:tcBorders>
            <w:shd w:val="clear" w:color="auto" w:fill="E9F5F7"/>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0.6%</w:t>
            </w:r>
          </w:p>
        </w:tc>
      </w:tr>
      <w:tr>
        <w:trPr>
          <w:trHeight w:val="230"/>
          <w:jc w:val="center"/>
        </w:trPr>
        <w:tc>
          <w:tcPr>
            <w:tcW w:w="3969" w:type="dxa"/>
            <w:vMerge w:val="restart"/>
            <w:tcBorders>
              <w:top w:val="single" w:sz="4" w:space="0" w:color="auto"/>
              <w:bottom w:val="single" w:sz="4" w:space="0" w:color="auto"/>
              <w:right w:val="single" w:sz="4" w:space="0" w:color="auto"/>
            </w:tcBorders>
            <w:shd w:val="clear" w:color="auto" w:fill="D7EDF1"/>
            <w:noWrap/>
            <w:vAlign w:val="center"/>
            <w:hideMark/>
          </w:tcPr>
          <w:p>
            <w:pPr>
              <w:rPr>
                <w:rFonts w:eastAsia="Times New Roman" w:cs="Calibri"/>
                <w:b/>
                <w:bCs/>
                <w:noProof/>
                <w:color w:val="000000"/>
                <w:sz w:val="18"/>
                <w:szCs w:val="18"/>
                <w:lang w:eastAsia="en-GB"/>
              </w:rPr>
            </w:pPr>
            <w:r>
              <w:rPr>
                <w:rFonts w:eastAsia="Times New Roman" w:cs="Calibri"/>
                <w:b/>
                <w:bCs/>
                <w:noProof/>
                <w:color w:val="000000"/>
                <w:sz w:val="18"/>
                <w:szCs w:val="18"/>
                <w:lang w:eastAsia="en-GB"/>
              </w:rPr>
              <w:t>Research, industry, space, energy and transport</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16</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242.3</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9</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197.9</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9</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352.5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16</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396.9</w:t>
            </w:r>
          </w:p>
        </w:tc>
        <w:tc>
          <w:tcPr>
            <w:tcW w:w="1399" w:type="dxa"/>
            <w:tcBorders>
              <w:top w:val="single" w:sz="4" w:space="0" w:color="auto"/>
              <w:left w:val="nil"/>
              <w:bottom w:val="nil"/>
              <w:right w:val="single" w:sz="4" w:space="0" w:color="auto"/>
            </w:tcBorders>
            <w:shd w:val="clear" w:color="auto" w:fill="D7EDF1"/>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309.7</w:t>
            </w:r>
          </w:p>
        </w:tc>
        <w:tc>
          <w:tcPr>
            <w:tcW w:w="1720" w:type="dxa"/>
            <w:tcBorders>
              <w:top w:val="single" w:sz="4" w:space="0" w:color="auto"/>
              <w:left w:val="nil"/>
              <w:bottom w:val="nil"/>
              <w:right w:val="single" w:sz="4" w:space="0" w:color="auto"/>
            </w:tcBorders>
            <w:shd w:val="clear" w:color="auto" w:fill="D7EDF1"/>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74.0</w:t>
            </w:r>
          </w:p>
        </w:tc>
        <w:tc>
          <w:tcPr>
            <w:tcW w:w="1559" w:type="dxa"/>
            <w:tcBorders>
              <w:top w:val="single" w:sz="4" w:space="0" w:color="auto"/>
              <w:left w:val="nil"/>
              <w:bottom w:val="nil"/>
            </w:tcBorders>
            <w:shd w:val="clear" w:color="auto" w:fill="D7EDF1"/>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235.7</w:t>
            </w:r>
          </w:p>
        </w:tc>
      </w:tr>
      <w:tr>
        <w:trPr>
          <w:trHeight w:val="230"/>
          <w:jc w:val="center"/>
        </w:trPr>
        <w:tc>
          <w:tcPr>
            <w:tcW w:w="3969" w:type="dxa"/>
            <w:vMerge/>
            <w:tcBorders>
              <w:top w:val="nil"/>
              <w:bottom w:val="single" w:sz="4" w:space="0" w:color="auto"/>
              <w:right w:val="single" w:sz="4" w:space="0" w:color="auto"/>
            </w:tcBorders>
            <w:shd w:val="clear" w:color="auto" w:fill="D7EDF1"/>
            <w:vAlign w:val="center"/>
            <w:hideMark/>
          </w:tcPr>
          <w:p>
            <w:pPr>
              <w:rPr>
                <w:rFonts w:eastAsia="Times New Roman" w:cs="Calibri"/>
                <w:b/>
                <w:bCs/>
                <w:noProof/>
                <w:color w:val="000000"/>
                <w:sz w:val="18"/>
                <w:szCs w:val="18"/>
                <w:lang w:eastAsia="en-GB"/>
              </w:rPr>
            </w:pPr>
          </w:p>
        </w:tc>
        <w:tc>
          <w:tcPr>
            <w:tcW w:w="1274"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994"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993"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992"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992"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1134"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1399" w:type="dxa"/>
            <w:tcBorders>
              <w:top w:val="nil"/>
              <w:left w:val="nil"/>
              <w:bottom w:val="single" w:sz="4" w:space="0" w:color="auto"/>
              <w:right w:val="single" w:sz="4" w:space="0" w:color="auto"/>
            </w:tcBorders>
            <w:shd w:val="clear" w:color="auto" w:fill="D7EDF1"/>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1.9%</w:t>
            </w:r>
          </w:p>
        </w:tc>
        <w:tc>
          <w:tcPr>
            <w:tcW w:w="1720" w:type="dxa"/>
            <w:tcBorders>
              <w:top w:val="nil"/>
              <w:left w:val="nil"/>
              <w:bottom w:val="single" w:sz="4" w:space="0" w:color="auto"/>
              <w:right w:val="single" w:sz="4" w:space="0" w:color="auto"/>
            </w:tcBorders>
            <w:shd w:val="clear" w:color="auto" w:fill="D7EDF1"/>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0.5%</w:t>
            </w:r>
          </w:p>
        </w:tc>
        <w:tc>
          <w:tcPr>
            <w:tcW w:w="1559" w:type="dxa"/>
            <w:tcBorders>
              <w:top w:val="nil"/>
              <w:left w:val="nil"/>
              <w:bottom w:val="single" w:sz="4" w:space="0" w:color="auto"/>
            </w:tcBorders>
            <w:shd w:val="clear" w:color="auto" w:fill="D7EDF1"/>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1.4%</w:t>
            </w:r>
          </w:p>
        </w:tc>
      </w:tr>
      <w:tr>
        <w:trPr>
          <w:trHeight w:val="219"/>
          <w:jc w:val="center"/>
        </w:trPr>
        <w:tc>
          <w:tcPr>
            <w:tcW w:w="3969" w:type="dxa"/>
            <w:vMerge w:val="restart"/>
            <w:tcBorders>
              <w:top w:val="nil"/>
              <w:bottom w:val="single" w:sz="4" w:space="0" w:color="auto"/>
              <w:right w:val="single" w:sz="4" w:space="0" w:color="auto"/>
            </w:tcBorders>
            <w:shd w:val="clear" w:color="auto" w:fill="E9F5F7"/>
            <w:noWrap/>
            <w:vAlign w:val="center"/>
            <w:hideMark/>
          </w:tcPr>
          <w:p>
            <w:pPr>
              <w:rPr>
                <w:rFonts w:eastAsia="Times New Roman" w:cs="Calibri"/>
                <w:b/>
                <w:bCs/>
                <w:noProof/>
                <w:color w:val="000000"/>
                <w:sz w:val="18"/>
                <w:szCs w:val="18"/>
                <w:lang w:eastAsia="en-GB"/>
              </w:rPr>
            </w:pPr>
            <w:r>
              <w:rPr>
                <w:rFonts w:eastAsia="Times New Roman" w:cs="Calibri"/>
                <w:b/>
                <w:bCs/>
                <w:noProof/>
                <w:color w:val="000000"/>
                <w:sz w:val="18"/>
                <w:szCs w:val="18"/>
                <w:lang w:eastAsia="en-GB"/>
              </w:rPr>
              <w:t>Other internal policies</w:t>
            </w:r>
          </w:p>
        </w:tc>
        <w:tc>
          <w:tcPr>
            <w:tcW w:w="1274" w:type="dxa"/>
            <w:vMerge w:val="restart"/>
            <w:tcBorders>
              <w:top w:val="nil"/>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6</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712.3</w:t>
            </w:r>
          </w:p>
        </w:tc>
        <w:tc>
          <w:tcPr>
            <w:tcW w:w="994" w:type="dxa"/>
            <w:vMerge w:val="restart"/>
            <w:tcBorders>
              <w:top w:val="nil"/>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3</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658.0</w:t>
            </w:r>
          </w:p>
        </w:tc>
        <w:tc>
          <w:tcPr>
            <w:tcW w:w="993" w:type="dxa"/>
            <w:vMerge w:val="restart"/>
            <w:tcBorders>
              <w:top w:val="nil"/>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0.0</w:t>
            </w:r>
          </w:p>
        </w:tc>
        <w:tc>
          <w:tcPr>
            <w:tcW w:w="992" w:type="dxa"/>
            <w:vMerge w:val="restart"/>
            <w:tcBorders>
              <w:top w:val="nil"/>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2</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637.8</w:t>
            </w:r>
          </w:p>
        </w:tc>
        <w:tc>
          <w:tcPr>
            <w:tcW w:w="992" w:type="dxa"/>
            <w:vMerge w:val="restart"/>
            <w:tcBorders>
              <w:top w:val="nil"/>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0.0</w:t>
            </w:r>
          </w:p>
        </w:tc>
        <w:tc>
          <w:tcPr>
            <w:tcW w:w="1134" w:type="dxa"/>
            <w:vMerge w:val="restart"/>
            <w:tcBorders>
              <w:top w:val="nil"/>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5</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692.1</w:t>
            </w:r>
          </w:p>
        </w:tc>
        <w:tc>
          <w:tcPr>
            <w:tcW w:w="1399" w:type="dxa"/>
            <w:tcBorders>
              <w:top w:val="nil"/>
              <w:left w:val="nil"/>
              <w:bottom w:val="nil"/>
              <w:right w:val="single" w:sz="4" w:space="0" w:color="auto"/>
            </w:tcBorders>
            <w:shd w:val="clear" w:color="auto" w:fill="E9F5F7"/>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39.1</w:t>
            </w:r>
          </w:p>
        </w:tc>
        <w:tc>
          <w:tcPr>
            <w:tcW w:w="1720" w:type="dxa"/>
            <w:tcBorders>
              <w:top w:val="nil"/>
              <w:left w:val="nil"/>
              <w:bottom w:val="nil"/>
              <w:right w:val="single" w:sz="4" w:space="0" w:color="auto"/>
            </w:tcBorders>
            <w:shd w:val="clear" w:color="auto" w:fill="E9F5F7"/>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6.0</w:t>
            </w:r>
          </w:p>
        </w:tc>
        <w:tc>
          <w:tcPr>
            <w:tcW w:w="1559" w:type="dxa"/>
            <w:tcBorders>
              <w:top w:val="nil"/>
              <w:left w:val="nil"/>
              <w:bottom w:val="nil"/>
            </w:tcBorders>
            <w:shd w:val="clear" w:color="auto" w:fill="E9F5F7"/>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33.0</w:t>
            </w:r>
          </w:p>
        </w:tc>
      </w:tr>
      <w:tr>
        <w:trPr>
          <w:trHeight w:val="219"/>
          <w:jc w:val="center"/>
        </w:trPr>
        <w:tc>
          <w:tcPr>
            <w:tcW w:w="3969" w:type="dxa"/>
            <w:vMerge/>
            <w:tcBorders>
              <w:top w:val="nil"/>
              <w:bottom w:val="single" w:sz="4" w:space="0" w:color="auto"/>
              <w:right w:val="single" w:sz="4" w:space="0" w:color="auto"/>
            </w:tcBorders>
            <w:shd w:val="clear" w:color="auto" w:fill="E9F5F7"/>
            <w:vAlign w:val="center"/>
            <w:hideMark/>
          </w:tcPr>
          <w:p>
            <w:pPr>
              <w:rPr>
                <w:rFonts w:eastAsia="Times New Roman" w:cs="Calibri"/>
                <w:b/>
                <w:bCs/>
                <w:noProof/>
                <w:color w:val="000000"/>
                <w:sz w:val="18"/>
                <w:szCs w:val="18"/>
                <w:lang w:eastAsia="en-GB"/>
              </w:rPr>
            </w:pPr>
          </w:p>
        </w:tc>
        <w:tc>
          <w:tcPr>
            <w:tcW w:w="1274"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994"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993"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992"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992"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1134" w:type="dxa"/>
            <w:vMerge/>
            <w:tcBorders>
              <w:top w:val="nil"/>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1399" w:type="dxa"/>
            <w:tcBorders>
              <w:top w:val="nil"/>
              <w:left w:val="nil"/>
              <w:bottom w:val="single" w:sz="4" w:space="0" w:color="auto"/>
              <w:right w:val="single" w:sz="4" w:space="0" w:color="auto"/>
            </w:tcBorders>
            <w:shd w:val="clear" w:color="auto" w:fill="E9F5F7"/>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0.7%</w:t>
            </w:r>
          </w:p>
        </w:tc>
        <w:tc>
          <w:tcPr>
            <w:tcW w:w="1720" w:type="dxa"/>
            <w:tcBorders>
              <w:top w:val="nil"/>
              <w:left w:val="nil"/>
              <w:bottom w:val="single" w:sz="4" w:space="0" w:color="auto"/>
              <w:right w:val="single" w:sz="4" w:space="0" w:color="auto"/>
            </w:tcBorders>
            <w:shd w:val="clear" w:color="auto" w:fill="E9F5F7"/>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0.1%</w:t>
            </w:r>
          </w:p>
        </w:tc>
        <w:tc>
          <w:tcPr>
            <w:tcW w:w="1559" w:type="dxa"/>
            <w:tcBorders>
              <w:top w:val="nil"/>
              <w:left w:val="nil"/>
              <w:bottom w:val="single" w:sz="4" w:space="0" w:color="auto"/>
            </w:tcBorders>
            <w:shd w:val="clear" w:color="auto" w:fill="E9F5F7"/>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0.6%</w:t>
            </w:r>
          </w:p>
        </w:tc>
      </w:tr>
      <w:tr>
        <w:trPr>
          <w:trHeight w:val="230"/>
          <w:jc w:val="center"/>
        </w:trPr>
        <w:tc>
          <w:tcPr>
            <w:tcW w:w="3969" w:type="dxa"/>
            <w:vMerge w:val="restart"/>
            <w:tcBorders>
              <w:top w:val="single" w:sz="4" w:space="0" w:color="auto"/>
              <w:bottom w:val="single" w:sz="4" w:space="0" w:color="auto"/>
              <w:right w:val="single" w:sz="4" w:space="0" w:color="auto"/>
            </w:tcBorders>
            <w:shd w:val="clear" w:color="auto" w:fill="D7EDF1"/>
            <w:noWrap/>
            <w:vAlign w:val="center"/>
            <w:hideMark/>
          </w:tcPr>
          <w:p>
            <w:pPr>
              <w:rPr>
                <w:rFonts w:eastAsia="Times New Roman" w:cs="Calibri"/>
                <w:b/>
                <w:bCs/>
                <w:noProof/>
                <w:color w:val="000000"/>
                <w:sz w:val="18"/>
                <w:szCs w:val="18"/>
                <w:lang w:eastAsia="en-GB"/>
              </w:rPr>
            </w:pPr>
            <w:r>
              <w:rPr>
                <w:rFonts w:eastAsia="Times New Roman" w:cs="Calibri"/>
                <w:b/>
                <w:bCs/>
                <w:noProof/>
                <w:color w:val="000000"/>
                <w:sz w:val="18"/>
                <w:szCs w:val="18"/>
                <w:lang w:eastAsia="en-GB"/>
              </w:rPr>
              <w:t>Other services and administration</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6</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881.0</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100.3</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85.9</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7EDF1"/>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6</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866.7</w:t>
            </w:r>
          </w:p>
        </w:tc>
        <w:tc>
          <w:tcPr>
            <w:tcW w:w="1399" w:type="dxa"/>
            <w:tcBorders>
              <w:top w:val="single" w:sz="4" w:space="0" w:color="auto"/>
              <w:left w:val="nil"/>
              <w:bottom w:val="nil"/>
              <w:right w:val="single" w:sz="4" w:space="0" w:color="auto"/>
            </w:tcBorders>
            <w:shd w:val="clear" w:color="auto" w:fill="D7EDF1"/>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11.9</w:t>
            </w:r>
          </w:p>
        </w:tc>
        <w:tc>
          <w:tcPr>
            <w:tcW w:w="1720" w:type="dxa"/>
            <w:tcBorders>
              <w:top w:val="single" w:sz="4" w:space="0" w:color="auto"/>
              <w:left w:val="nil"/>
              <w:bottom w:val="nil"/>
              <w:right w:val="single" w:sz="4" w:space="0" w:color="auto"/>
            </w:tcBorders>
            <w:shd w:val="clear" w:color="auto" w:fill="D7EDF1"/>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0.3</w:t>
            </w:r>
          </w:p>
        </w:tc>
        <w:tc>
          <w:tcPr>
            <w:tcW w:w="1559" w:type="dxa"/>
            <w:tcBorders>
              <w:top w:val="single" w:sz="4" w:space="0" w:color="auto"/>
              <w:left w:val="nil"/>
              <w:bottom w:val="nil"/>
            </w:tcBorders>
            <w:shd w:val="clear" w:color="auto" w:fill="D7EDF1"/>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11.6</w:t>
            </w:r>
          </w:p>
        </w:tc>
      </w:tr>
      <w:tr>
        <w:trPr>
          <w:trHeight w:val="230"/>
          <w:jc w:val="center"/>
        </w:trPr>
        <w:tc>
          <w:tcPr>
            <w:tcW w:w="3969" w:type="dxa"/>
            <w:vMerge/>
            <w:tcBorders>
              <w:top w:val="nil"/>
              <w:bottom w:val="single" w:sz="4" w:space="0" w:color="auto"/>
              <w:right w:val="single" w:sz="4" w:space="0" w:color="auto"/>
            </w:tcBorders>
            <w:shd w:val="clear" w:color="auto" w:fill="D7EDF1"/>
            <w:vAlign w:val="center"/>
            <w:hideMark/>
          </w:tcPr>
          <w:p>
            <w:pPr>
              <w:rPr>
                <w:rFonts w:eastAsia="Times New Roman" w:cs="Calibri"/>
                <w:b/>
                <w:bCs/>
                <w:noProof/>
                <w:color w:val="000000"/>
                <w:sz w:val="18"/>
                <w:szCs w:val="18"/>
                <w:lang w:eastAsia="en-GB"/>
              </w:rPr>
            </w:pPr>
          </w:p>
        </w:tc>
        <w:tc>
          <w:tcPr>
            <w:tcW w:w="1274"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994"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993"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992"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992"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1134" w:type="dxa"/>
            <w:vMerge/>
            <w:tcBorders>
              <w:top w:val="nil"/>
              <w:left w:val="single" w:sz="4" w:space="0" w:color="auto"/>
              <w:bottom w:val="single" w:sz="4" w:space="0" w:color="auto"/>
              <w:right w:val="single" w:sz="4" w:space="0" w:color="auto"/>
            </w:tcBorders>
            <w:shd w:val="clear" w:color="auto" w:fill="D7EDF1"/>
            <w:vAlign w:val="center"/>
            <w:hideMark/>
          </w:tcPr>
          <w:p>
            <w:pPr>
              <w:rPr>
                <w:rFonts w:eastAsia="Times New Roman" w:cs="Calibri"/>
                <w:noProof/>
                <w:color w:val="000000"/>
                <w:sz w:val="17"/>
                <w:szCs w:val="17"/>
                <w:lang w:eastAsia="en-GB"/>
              </w:rPr>
            </w:pPr>
          </w:p>
        </w:tc>
        <w:tc>
          <w:tcPr>
            <w:tcW w:w="1399" w:type="dxa"/>
            <w:tcBorders>
              <w:top w:val="nil"/>
              <w:left w:val="nil"/>
              <w:bottom w:val="single" w:sz="4" w:space="0" w:color="auto"/>
              <w:right w:val="single" w:sz="4" w:space="0" w:color="auto"/>
            </w:tcBorders>
            <w:shd w:val="clear" w:color="auto" w:fill="D7EDF1"/>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0.2%</w:t>
            </w:r>
          </w:p>
        </w:tc>
        <w:tc>
          <w:tcPr>
            <w:tcW w:w="1720" w:type="dxa"/>
            <w:tcBorders>
              <w:top w:val="nil"/>
              <w:left w:val="nil"/>
              <w:bottom w:val="single" w:sz="4" w:space="0" w:color="auto"/>
              <w:right w:val="single" w:sz="4" w:space="0" w:color="auto"/>
            </w:tcBorders>
            <w:shd w:val="clear" w:color="auto" w:fill="D7EDF1"/>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0.0%</w:t>
            </w:r>
          </w:p>
        </w:tc>
        <w:tc>
          <w:tcPr>
            <w:tcW w:w="1559" w:type="dxa"/>
            <w:tcBorders>
              <w:top w:val="nil"/>
              <w:left w:val="nil"/>
              <w:bottom w:val="single" w:sz="4" w:space="0" w:color="auto"/>
            </w:tcBorders>
            <w:shd w:val="clear" w:color="auto" w:fill="D7EDF1"/>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0.2%</w:t>
            </w:r>
          </w:p>
        </w:tc>
      </w:tr>
      <w:tr>
        <w:trPr>
          <w:trHeight w:val="230"/>
          <w:jc w:val="center"/>
        </w:trPr>
        <w:tc>
          <w:tcPr>
            <w:tcW w:w="3969" w:type="dxa"/>
            <w:vMerge w:val="restart"/>
            <w:tcBorders>
              <w:top w:val="single" w:sz="4" w:space="0" w:color="auto"/>
              <w:bottom w:val="single" w:sz="4" w:space="0" w:color="auto"/>
              <w:right w:val="single" w:sz="4" w:space="0" w:color="auto"/>
            </w:tcBorders>
            <w:shd w:val="clear" w:color="auto" w:fill="EFC465"/>
            <w:noWrap/>
            <w:vAlign w:val="center"/>
            <w:hideMark/>
          </w:tcPr>
          <w:p>
            <w:pPr>
              <w:rPr>
                <w:rFonts w:eastAsia="Times New Roman" w:cs="Calibri"/>
                <w:b/>
                <w:bCs/>
                <w:noProof/>
                <w:color w:val="000000"/>
                <w:sz w:val="18"/>
                <w:szCs w:val="18"/>
                <w:lang w:eastAsia="en-GB"/>
              </w:rPr>
            </w:pPr>
            <w:r>
              <w:rPr>
                <w:rFonts w:eastAsia="Times New Roman" w:cs="Calibri"/>
                <w:b/>
                <w:bCs/>
                <w:noProof/>
                <w:color w:val="000000"/>
                <w:sz w:val="18"/>
                <w:szCs w:val="18"/>
                <w:lang w:eastAsia="en-GB"/>
              </w:rPr>
              <w:t>Total 2018</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EFC465"/>
            <w:noWrap/>
            <w:vAlign w:val="center"/>
            <w:hideMark/>
          </w:tcPr>
          <w:p>
            <w:pPr>
              <w:jc w:val="right"/>
              <w:rPr>
                <w:rFonts w:eastAsia="Times New Roman" w:cs="Calibri"/>
                <w:b/>
                <w:bCs/>
                <w:noProof/>
                <w:color w:val="000000"/>
                <w:sz w:val="18"/>
                <w:szCs w:val="17"/>
                <w:lang w:eastAsia="en-GB"/>
              </w:rPr>
            </w:pPr>
            <w:r>
              <w:rPr>
                <w:rFonts w:eastAsia="Times New Roman" w:cs="Calibri"/>
                <w:b/>
                <w:bCs/>
                <w:noProof/>
                <w:color w:val="000000"/>
                <w:sz w:val="18"/>
                <w:szCs w:val="17"/>
                <w:lang w:eastAsia="en-GB"/>
              </w:rPr>
              <w:t>156</w:t>
            </w:r>
            <w:r>
              <w:rPr>
                <w:rFonts w:ascii="Calibri" w:eastAsia="Times New Roman" w:hAnsi="Calibri" w:cs="Calibri"/>
                <w:b/>
                <w:bCs/>
                <w:noProof/>
                <w:color w:val="000000"/>
                <w:sz w:val="18"/>
                <w:szCs w:val="17"/>
                <w:lang w:eastAsia="en-GB"/>
              </w:rPr>
              <w:t> </w:t>
            </w:r>
            <w:r>
              <w:rPr>
                <w:rFonts w:eastAsia="Times New Roman" w:cs="Calibri"/>
                <w:b/>
                <w:bCs/>
                <w:noProof/>
                <w:color w:val="000000"/>
                <w:sz w:val="18"/>
                <w:szCs w:val="17"/>
                <w:lang w:eastAsia="en-GB"/>
              </w:rPr>
              <w:t>748.5</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EFC465"/>
            <w:noWrap/>
            <w:vAlign w:val="center"/>
            <w:hideMark/>
          </w:tcPr>
          <w:p>
            <w:pPr>
              <w:jc w:val="right"/>
              <w:rPr>
                <w:rFonts w:eastAsia="Times New Roman" w:cs="Calibri"/>
                <w:b/>
                <w:bCs/>
                <w:noProof/>
                <w:color w:val="000000"/>
                <w:sz w:val="18"/>
                <w:szCs w:val="17"/>
                <w:lang w:eastAsia="en-GB"/>
              </w:rPr>
            </w:pPr>
            <w:r>
              <w:rPr>
                <w:rFonts w:eastAsia="Times New Roman" w:cs="Calibri"/>
                <w:b/>
                <w:bCs/>
                <w:noProof/>
                <w:color w:val="000000"/>
                <w:sz w:val="18"/>
                <w:szCs w:val="17"/>
                <w:lang w:eastAsia="en-GB"/>
              </w:rPr>
              <w:t>32</w:t>
            </w:r>
            <w:r>
              <w:rPr>
                <w:rFonts w:ascii="Calibri" w:eastAsia="Times New Roman" w:hAnsi="Calibri" w:cs="Calibri"/>
                <w:b/>
                <w:bCs/>
                <w:noProof/>
                <w:color w:val="000000"/>
                <w:sz w:val="18"/>
                <w:szCs w:val="17"/>
                <w:lang w:eastAsia="en-GB"/>
              </w:rPr>
              <w:t> </w:t>
            </w:r>
            <w:r>
              <w:rPr>
                <w:rFonts w:eastAsia="Times New Roman" w:cs="Calibri"/>
                <w:b/>
                <w:bCs/>
                <w:noProof/>
                <w:color w:val="000000"/>
                <w:sz w:val="18"/>
                <w:szCs w:val="17"/>
                <w:lang w:eastAsia="en-GB"/>
              </w:rPr>
              <w:t>809.9</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FC465"/>
            <w:noWrap/>
            <w:vAlign w:val="center"/>
            <w:hideMark/>
          </w:tcPr>
          <w:p>
            <w:pPr>
              <w:jc w:val="right"/>
              <w:rPr>
                <w:rFonts w:eastAsia="Times New Roman" w:cs="Calibri"/>
                <w:b/>
                <w:bCs/>
                <w:noProof/>
                <w:color w:val="000000"/>
                <w:sz w:val="18"/>
                <w:szCs w:val="17"/>
                <w:lang w:eastAsia="en-GB"/>
              </w:rPr>
            </w:pPr>
            <w:r>
              <w:rPr>
                <w:rFonts w:eastAsia="Times New Roman" w:cs="Calibri"/>
                <w:b/>
                <w:bCs/>
                <w:noProof/>
                <w:color w:val="000000"/>
                <w:sz w:val="18"/>
                <w:szCs w:val="17"/>
                <w:lang w:eastAsia="en-GB"/>
              </w:rPr>
              <w:t>4</w:t>
            </w:r>
            <w:r>
              <w:rPr>
                <w:rFonts w:ascii="Calibri" w:eastAsia="Times New Roman" w:hAnsi="Calibri" w:cs="Calibri"/>
                <w:b/>
                <w:bCs/>
                <w:noProof/>
                <w:color w:val="000000"/>
                <w:sz w:val="18"/>
                <w:szCs w:val="17"/>
                <w:lang w:eastAsia="en-GB"/>
              </w:rPr>
              <w:t> </w:t>
            </w:r>
            <w:r>
              <w:rPr>
                <w:rFonts w:eastAsia="Times New Roman" w:cs="Calibri"/>
                <w:b/>
                <w:bCs/>
                <w:noProof/>
                <w:color w:val="000000"/>
                <w:sz w:val="18"/>
                <w:szCs w:val="17"/>
                <w:lang w:eastAsia="en-GB"/>
              </w:rPr>
              <w:t>201.9</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FC465"/>
            <w:noWrap/>
            <w:vAlign w:val="center"/>
            <w:hideMark/>
          </w:tcPr>
          <w:p>
            <w:pPr>
              <w:jc w:val="right"/>
              <w:rPr>
                <w:rFonts w:eastAsia="Times New Roman" w:cs="Calibri"/>
                <w:b/>
                <w:bCs/>
                <w:noProof/>
                <w:color w:val="000000"/>
                <w:sz w:val="18"/>
                <w:szCs w:val="17"/>
                <w:lang w:eastAsia="en-GB"/>
              </w:rPr>
            </w:pPr>
            <w:r>
              <w:rPr>
                <w:rFonts w:eastAsia="Times New Roman" w:cs="Calibri"/>
                <w:b/>
                <w:bCs/>
                <w:noProof/>
                <w:color w:val="000000"/>
                <w:sz w:val="18"/>
                <w:szCs w:val="17"/>
                <w:lang w:eastAsia="en-GB"/>
              </w:rPr>
              <w:t>25</w:t>
            </w:r>
            <w:r>
              <w:rPr>
                <w:rFonts w:ascii="Calibri" w:eastAsia="Times New Roman" w:hAnsi="Calibri" w:cs="Calibri"/>
                <w:b/>
                <w:bCs/>
                <w:noProof/>
                <w:color w:val="000000"/>
                <w:sz w:val="18"/>
                <w:szCs w:val="17"/>
                <w:lang w:eastAsia="en-GB"/>
              </w:rPr>
              <w:t> </w:t>
            </w:r>
            <w:r>
              <w:rPr>
                <w:rFonts w:eastAsia="Times New Roman" w:cs="Calibri"/>
                <w:b/>
                <w:bCs/>
                <w:noProof/>
                <w:color w:val="000000"/>
                <w:sz w:val="18"/>
                <w:szCs w:val="17"/>
                <w:lang w:eastAsia="en-GB"/>
              </w:rPr>
              <w:t>300.0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FC465"/>
            <w:noWrap/>
            <w:vAlign w:val="center"/>
            <w:hideMark/>
          </w:tcPr>
          <w:p>
            <w:pPr>
              <w:jc w:val="right"/>
              <w:rPr>
                <w:rFonts w:eastAsia="Times New Roman" w:cs="Calibri"/>
                <w:b/>
                <w:bCs/>
                <w:noProof/>
                <w:color w:val="000000"/>
                <w:sz w:val="18"/>
                <w:szCs w:val="17"/>
                <w:lang w:eastAsia="en-GB"/>
              </w:rPr>
            </w:pPr>
            <w:r>
              <w:rPr>
                <w:rFonts w:eastAsia="Times New Roman" w:cs="Calibri"/>
                <w:b/>
                <w:bCs/>
                <w:noProof/>
                <w:color w:val="000000"/>
                <w:sz w:val="18"/>
                <w:szCs w:val="17"/>
                <w:lang w:eastAsia="en-GB"/>
              </w:rPr>
              <w:t>3</w:t>
            </w:r>
            <w:r>
              <w:rPr>
                <w:rFonts w:ascii="Calibri" w:eastAsia="Times New Roman" w:hAnsi="Calibri" w:cs="Calibri"/>
                <w:b/>
                <w:bCs/>
                <w:noProof/>
                <w:color w:val="000000"/>
                <w:sz w:val="18"/>
                <w:szCs w:val="17"/>
                <w:lang w:eastAsia="en-GB"/>
              </w:rPr>
              <w:t> </w:t>
            </w:r>
            <w:r>
              <w:rPr>
                <w:rFonts w:eastAsia="Times New Roman" w:cs="Calibri"/>
                <w:b/>
                <w:bCs/>
                <w:noProof/>
                <w:color w:val="000000"/>
                <w:sz w:val="18"/>
                <w:szCs w:val="17"/>
                <w:lang w:eastAsia="en-GB"/>
              </w:rPr>
              <w:t>187.9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FC465"/>
            <w:noWrap/>
            <w:vAlign w:val="center"/>
            <w:hideMark/>
          </w:tcPr>
          <w:p>
            <w:pPr>
              <w:jc w:val="right"/>
              <w:rPr>
                <w:rFonts w:eastAsia="Times New Roman" w:cs="Calibri"/>
                <w:b/>
                <w:bCs/>
                <w:noProof/>
                <w:color w:val="000000"/>
                <w:sz w:val="18"/>
                <w:szCs w:val="17"/>
                <w:lang w:eastAsia="en-GB"/>
              </w:rPr>
            </w:pPr>
            <w:r>
              <w:rPr>
                <w:rFonts w:eastAsia="Times New Roman" w:cs="Calibri"/>
                <w:b/>
                <w:bCs/>
                <w:noProof/>
                <w:color w:val="000000"/>
                <w:sz w:val="18"/>
                <w:szCs w:val="17"/>
                <w:lang w:eastAsia="en-GB"/>
              </w:rPr>
              <w:t>150</w:t>
            </w:r>
            <w:r>
              <w:rPr>
                <w:rFonts w:ascii="Calibri" w:eastAsia="Times New Roman" w:hAnsi="Calibri" w:cs="Calibri"/>
                <w:b/>
                <w:bCs/>
                <w:noProof/>
                <w:color w:val="000000"/>
                <w:sz w:val="18"/>
                <w:szCs w:val="17"/>
                <w:lang w:eastAsia="en-GB"/>
              </w:rPr>
              <w:t> </w:t>
            </w:r>
            <w:r>
              <w:rPr>
                <w:rFonts w:eastAsia="Times New Roman" w:cs="Calibri"/>
                <w:b/>
                <w:bCs/>
                <w:noProof/>
                <w:color w:val="000000"/>
                <w:sz w:val="18"/>
                <w:szCs w:val="17"/>
                <w:lang w:eastAsia="en-GB"/>
              </w:rPr>
              <w:t>252.6</w:t>
            </w:r>
          </w:p>
        </w:tc>
        <w:tc>
          <w:tcPr>
            <w:tcW w:w="1399" w:type="dxa"/>
            <w:tcBorders>
              <w:top w:val="single" w:sz="4" w:space="0" w:color="auto"/>
              <w:left w:val="nil"/>
              <w:bottom w:val="nil"/>
              <w:right w:val="single" w:sz="4" w:space="0" w:color="auto"/>
            </w:tcBorders>
            <w:shd w:val="clear" w:color="auto" w:fill="EFC465"/>
            <w:noWrap/>
            <w:vAlign w:val="bottom"/>
            <w:hideMark/>
          </w:tcPr>
          <w:p>
            <w:pPr>
              <w:jc w:val="right"/>
              <w:rPr>
                <w:rFonts w:eastAsia="Times New Roman" w:cs="Calibri"/>
                <w:b/>
                <w:bCs/>
                <w:noProof/>
                <w:color w:val="000000"/>
                <w:sz w:val="18"/>
                <w:szCs w:val="17"/>
                <w:lang w:eastAsia="en-GB"/>
              </w:rPr>
            </w:pPr>
            <w:r>
              <w:rPr>
                <w:rFonts w:eastAsia="Times New Roman" w:cs="Calibri"/>
                <w:b/>
                <w:bCs/>
                <w:noProof/>
                <w:color w:val="000000"/>
                <w:sz w:val="18"/>
                <w:szCs w:val="17"/>
                <w:lang w:eastAsia="en-GB"/>
              </w:rPr>
              <w:t>2</w:t>
            </w:r>
            <w:r>
              <w:rPr>
                <w:rFonts w:ascii="Calibri" w:eastAsia="Times New Roman" w:hAnsi="Calibri" w:cs="Calibri"/>
                <w:b/>
                <w:bCs/>
                <w:noProof/>
                <w:color w:val="000000"/>
                <w:sz w:val="18"/>
                <w:szCs w:val="17"/>
                <w:lang w:eastAsia="en-GB"/>
              </w:rPr>
              <w:t> </w:t>
            </w:r>
            <w:r>
              <w:rPr>
                <w:rFonts w:eastAsia="Times New Roman" w:cs="Calibri"/>
                <w:b/>
                <w:bCs/>
                <w:noProof/>
                <w:color w:val="000000"/>
                <w:sz w:val="18"/>
                <w:szCs w:val="17"/>
                <w:lang w:eastAsia="en-GB"/>
              </w:rPr>
              <w:t>587.7</w:t>
            </w:r>
          </w:p>
        </w:tc>
        <w:tc>
          <w:tcPr>
            <w:tcW w:w="1720" w:type="dxa"/>
            <w:tcBorders>
              <w:top w:val="single" w:sz="4" w:space="0" w:color="auto"/>
              <w:left w:val="nil"/>
              <w:bottom w:val="nil"/>
              <w:right w:val="single" w:sz="4" w:space="0" w:color="auto"/>
            </w:tcBorders>
            <w:shd w:val="clear" w:color="auto" w:fill="EFC465"/>
            <w:noWrap/>
            <w:vAlign w:val="bottom"/>
            <w:hideMark/>
          </w:tcPr>
          <w:p>
            <w:pPr>
              <w:jc w:val="right"/>
              <w:rPr>
                <w:rFonts w:eastAsia="Times New Roman" w:cs="Calibri"/>
                <w:b/>
                <w:bCs/>
                <w:noProof/>
                <w:color w:val="000000"/>
                <w:sz w:val="18"/>
                <w:szCs w:val="17"/>
                <w:lang w:eastAsia="en-GB"/>
              </w:rPr>
            </w:pPr>
            <w:r>
              <w:rPr>
                <w:rFonts w:eastAsia="Times New Roman" w:cs="Calibri"/>
                <w:b/>
                <w:bCs/>
                <w:noProof/>
                <w:color w:val="000000"/>
                <w:sz w:val="18"/>
                <w:szCs w:val="17"/>
                <w:lang w:eastAsia="en-GB"/>
              </w:rPr>
              <w:t>1</w:t>
            </w:r>
            <w:r>
              <w:rPr>
                <w:rFonts w:ascii="Calibri" w:eastAsia="Times New Roman" w:hAnsi="Calibri" w:cs="Calibri"/>
                <w:b/>
                <w:bCs/>
                <w:noProof/>
                <w:color w:val="000000"/>
                <w:sz w:val="18"/>
                <w:szCs w:val="17"/>
                <w:lang w:eastAsia="en-GB"/>
              </w:rPr>
              <w:t> </w:t>
            </w:r>
            <w:r>
              <w:rPr>
                <w:rFonts w:eastAsia="Times New Roman" w:cs="Calibri"/>
                <w:b/>
                <w:bCs/>
                <w:noProof/>
                <w:color w:val="000000"/>
                <w:sz w:val="18"/>
                <w:szCs w:val="17"/>
                <w:lang w:eastAsia="en-GB"/>
              </w:rPr>
              <w:t>426.3</w:t>
            </w:r>
          </w:p>
        </w:tc>
        <w:tc>
          <w:tcPr>
            <w:tcW w:w="1559" w:type="dxa"/>
            <w:tcBorders>
              <w:top w:val="single" w:sz="4" w:space="0" w:color="auto"/>
              <w:left w:val="nil"/>
              <w:bottom w:val="nil"/>
            </w:tcBorders>
            <w:shd w:val="clear" w:color="auto" w:fill="EFC465"/>
            <w:noWrap/>
            <w:vAlign w:val="bottom"/>
            <w:hideMark/>
          </w:tcPr>
          <w:p>
            <w:pPr>
              <w:jc w:val="right"/>
              <w:rPr>
                <w:rFonts w:eastAsia="Times New Roman" w:cs="Calibri"/>
                <w:b/>
                <w:bCs/>
                <w:noProof/>
                <w:color w:val="000000"/>
                <w:sz w:val="18"/>
                <w:szCs w:val="17"/>
                <w:lang w:eastAsia="en-GB"/>
              </w:rPr>
            </w:pPr>
            <w:r>
              <w:rPr>
                <w:rFonts w:eastAsia="Times New Roman" w:cs="Calibri"/>
                <w:b/>
                <w:bCs/>
                <w:noProof/>
                <w:color w:val="000000"/>
                <w:sz w:val="18"/>
                <w:szCs w:val="17"/>
                <w:lang w:eastAsia="en-GB"/>
              </w:rPr>
              <w:t>1</w:t>
            </w:r>
            <w:r>
              <w:rPr>
                <w:rFonts w:ascii="Calibri" w:eastAsia="Times New Roman" w:hAnsi="Calibri" w:cs="Calibri"/>
                <w:b/>
                <w:bCs/>
                <w:noProof/>
                <w:color w:val="000000"/>
                <w:sz w:val="18"/>
                <w:szCs w:val="17"/>
                <w:lang w:eastAsia="en-GB"/>
              </w:rPr>
              <w:t> </w:t>
            </w:r>
            <w:r>
              <w:rPr>
                <w:rFonts w:eastAsia="Times New Roman" w:cs="Calibri"/>
                <w:b/>
                <w:bCs/>
                <w:noProof/>
                <w:color w:val="000000"/>
                <w:sz w:val="18"/>
                <w:szCs w:val="17"/>
                <w:lang w:eastAsia="en-GB"/>
              </w:rPr>
              <w:t>161.4</w:t>
            </w:r>
          </w:p>
        </w:tc>
      </w:tr>
      <w:tr>
        <w:trPr>
          <w:trHeight w:val="242"/>
          <w:jc w:val="center"/>
        </w:trPr>
        <w:tc>
          <w:tcPr>
            <w:tcW w:w="3969" w:type="dxa"/>
            <w:vMerge/>
            <w:tcBorders>
              <w:top w:val="nil"/>
              <w:bottom w:val="single" w:sz="4" w:space="0" w:color="auto"/>
              <w:right w:val="single" w:sz="4" w:space="0" w:color="auto"/>
            </w:tcBorders>
            <w:shd w:val="clear" w:color="auto" w:fill="EFC465"/>
            <w:vAlign w:val="center"/>
            <w:hideMark/>
          </w:tcPr>
          <w:p>
            <w:pPr>
              <w:rPr>
                <w:rFonts w:eastAsia="Times New Roman" w:cs="Calibri"/>
                <w:b/>
                <w:bCs/>
                <w:noProof/>
                <w:color w:val="000000"/>
                <w:sz w:val="18"/>
                <w:szCs w:val="18"/>
                <w:lang w:eastAsia="en-GB"/>
              </w:rPr>
            </w:pPr>
          </w:p>
        </w:tc>
        <w:tc>
          <w:tcPr>
            <w:tcW w:w="1274" w:type="dxa"/>
            <w:vMerge/>
            <w:tcBorders>
              <w:top w:val="nil"/>
              <w:left w:val="single" w:sz="4" w:space="0" w:color="auto"/>
              <w:bottom w:val="single" w:sz="4" w:space="0" w:color="auto"/>
              <w:right w:val="single" w:sz="4" w:space="0" w:color="auto"/>
            </w:tcBorders>
            <w:shd w:val="clear" w:color="auto" w:fill="EFC465"/>
            <w:vAlign w:val="center"/>
            <w:hideMark/>
          </w:tcPr>
          <w:p>
            <w:pPr>
              <w:rPr>
                <w:rFonts w:eastAsia="Times New Roman" w:cs="Calibri"/>
                <w:b/>
                <w:bCs/>
                <w:noProof/>
                <w:color w:val="000000"/>
                <w:sz w:val="17"/>
                <w:szCs w:val="17"/>
                <w:lang w:eastAsia="en-GB"/>
              </w:rPr>
            </w:pPr>
          </w:p>
        </w:tc>
        <w:tc>
          <w:tcPr>
            <w:tcW w:w="994" w:type="dxa"/>
            <w:vMerge/>
            <w:tcBorders>
              <w:top w:val="nil"/>
              <w:left w:val="single" w:sz="4" w:space="0" w:color="auto"/>
              <w:bottom w:val="single" w:sz="4" w:space="0" w:color="auto"/>
              <w:right w:val="single" w:sz="4" w:space="0" w:color="auto"/>
            </w:tcBorders>
            <w:shd w:val="clear" w:color="auto" w:fill="EFC465"/>
            <w:vAlign w:val="center"/>
            <w:hideMark/>
          </w:tcPr>
          <w:p>
            <w:pPr>
              <w:rPr>
                <w:rFonts w:eastAsia="Times New Roman" w:cs="Calibri"/>
                <w:b/>
                <w:bCs/>
                <w:noProof/>
                <w:color w:val="000000"/>
                <w:sz w:val="17"/>
                <w:szCs w:val="17"/>
                <w:lang w:eastAsia="en-GB"/>
              </w:rPr>
            </w:pPr>
          </w:p>
        </w:tc>
        <w:tc>
          <w:tcPr>
            <w:tcW w:w="993" w:type="dxa"/>
            <w:vMerge/>
            <w:tcBorders>
              <w:top w:val="nil"/>
              <w:left w:val="single" w:sz="4" w:space="0" w:color="auto"/>
              <w:bottom w:val="single" w:sz="4" w:space="0" w:color="auto"/>
              <w:right w:val="single" w:sz="4" w:space="0" w:color="auto"/>
            </w:tcBorders>
            <w:shd w:val="clear" w:color="auto" w:fill="EFC465"/>
            <w:vAlign w:val="center"/>
            <w:hideMark/>
          </w:tcPr>
          <w:p>
            <w:pPr>
              <w:rPr>
                <w:rFonts w:eastAsia="Times New Roman" w:cs="Calibri"/>
                <w:b/>
                <w:bCs/>
                <w:noProof/>
                <w:color w:val="000000"/>
                <w:sz w:val="17"/>
                <w:szCs w:val="17"/>
                <w:lang w:eastAsia="en-GB"/>
              </w:rPr>
            </w:pPr>
          </w:p>
        </w:tc>
        <w:tc>
          <w:tcPr>
            <w:tcW w:w="992" w:type="dxa"/>
            <w:vMerge/>
            <w:tcBorders>
              <w:top w:val="nil"/>
              <w:left w:val="single" w:sz="4" w:space="0" w:color="auto"/>
              <w:bottom w:val="single" w:sz="4" w:space="0" w:color="auto"/>
              <w:right w:val="single" w:sz="4" w:space="0" w:color="auto"/>
            </w:tcBorders>
            <w:shd w:val="clear" w:color="auto" w:fill="EFC465"/>
            <w:vAlign w:val="center"/>
            <w:hideMark/>
          </w:tcPr>
          <w:p>
            <w:pPr>
              <w:rPr>
                <w:rFonts w:eastAsia="Times New Roman" w:cs="Calibri"/>
                <w:b/>
                <w:bCs/>
                <w:noProof/>
                <w:color w:val="000000"/>
                <w:sz w:val="17"/>
                <w:szCs w:val="17"/>
                <w:lang w:eastAsia="en-GB"/>
              </w:rPr>
            </w:pPr>
          </w:p>
        </w:tc>
        <w:tc>
          <w:tcPr>
            <w:tcW w:w="992" w:type="dxa"/>
            <w:vMerge/>
            <w:tcBorders>
              <w:top w:val="nil"/>
              <w:left w:val="single" w:sz="4" w:space="0" w:color="auto"/>
              <w:bottom w:val="single" w:sz="4" w:space="0" w:color="auto"/>
              <w:right w:val="single" w:sz="4" w:space="0" w:color="auto"/>
            </w:tcBorders>
            <w:shd w:val="clear" w:color="auto" w:fill="EFC465"/>
            <w:vAlign w:val="center"/>
            <w:hideMark/>
          </w:tcPr>
          <w:p>
            <w:pPr>
              <w:rPr>
                <w:rFonts w:eastAsia="Times New Roman" w:cs="Calibri"/>
                <w:b/>
                <w:bCs/>
                <w:noProof/>
                <w:color w:val="000000"/>
                <w:sz w:val="17"/>
                <w:szCs w:val="17"/>
                <w:lang w:eastAsia="en-GB"/>
              </w:rPr>
            </w:pPr>
          </w:p>
        </w:tc>
        <w:tc>
          <w:tcPr>
            <w:tcW w:w="1134" w:type="dxa"/>
            <w:vMerge/>
            <w:tcBorders>
              <w:top w:val="nil"/>
              <w:left w:val="single" w:sz="4" w:space="0" w:color="auto"/>
              <w:bottom w:val="single" w:sz="4" w:space="0" w:color="auto"/>
              <w:right w:val="single" w:sz="4" w:space="0" w:color="auto"/>
            </w:tcBorders>
            <w:shd w:val="clear" w:color="auto" w:fill="EFC465"/>
            <w:vAlign w:val="center"/>
            <w:hideMark/>
          </w:tcPr>
          <w:p>
            <w:pPr>
              <w:rPr>
                <w:rFonts w:eastAsia="Times New Roman" w:cs="Calibri"/>
                <w:b/>
                <w:bCs/>
                <w:noProof/>
                <w:color w:val="000000"/>
                <w:sz w:val="17"/>
                <w:szCs w:val="17"/>
                <w:lang w:eastAsia="en-GB"/>
              </w:rPr>
            </w:pPr>
          </w:p>
        </w:tc>
        <w:tc>
          <w:tcPr>
            <w:tcW w:w="1399" w:type="dxa"/>
            <w:tcBorders>
              <w:top w:val="nil"/>
              <w:left w:val="nil"/>
              <w:bottom w:val="single" w:sz="4" w:space="0" w:color="auto"/>
              <w:right w:val="single" w:sz="4" w:space="0" w:color="auto"/>
            </w:tcBorders>
            <w:shd w:val="clear" w:color="auto" w:fill="EFC465"/>
            <w:noWrap/>
            <w:vAlign w:val="bottom"/>
            <w:hideMark/>
          </w:tcPr>
          <w:p>
            <w:pPr>
              <w:jc w:val="right"/>
              <w:rPr>
                <w:rFonts w:eastAsia="Times New Roman" w:cs="Calibri"/>
                <w:b/>
                <w:bCs/>
                <w:i/>
                <w:iCs/>
                <w:noProof/>
                <w:color w:val="000000"/>
                <w:sz w:val="17"/>
                <w:szCs w:val="17"/>
                <w:lang w:eastAsia="en-GB"/>
              </w:rPr>
            </w:pPr>
            <w:r>
              <w:rPr>
                <w:rFonts w:eastAsia="Times New Roman" w:cs="Calibri"/>
                <w:b/>
                <w:bCs/>
                <w:i/>
                <w:iCs/>
                <w:noProof/>
                <w:color w:val="000000"/>
                <w:sz w:val="17"/>
                <w:szCs w:val="17"/>
                <w:lang w:eastAsia="en-GB"/>
              </w:rPr>
              <w:t>1.7%</w:t>
            </w:r>
          </w:p>
        </w:tc>
        <w:tc>
          <w:tcPr>
            <w:tcW w:w="1720" w:type="dxa"/>
            <w:tcBorders>
              <w:top w:val="nil"/>
              <w:left w:val="nil"/>
              <w:bottom w:val="single" w:sz="4" w:space="0" w:color="auto"/>
              <w:right w:val="single" w:sz="4" w:space="0" w:color="auto"/>
            </w:tcBorders>
            <w:shd w:val="clear" w:color="auto" w:fill="EFC465"/>
            <w:noWrap/>
            <w:vAlign w:val="bottom"/>
            <w:hideMark/>
          </w:tcPr>
          <w:p>
            <w:pPr>
              <w:jc w:val="right"/>
              <w:rPr>
                <w:rFonts w:eastAsia="Times New Roman" w:cs="Calibri"/>
                <w:b/>
                <w:bCs/>
                <w:i/>
                <w:iCs/>
                <w:noProof/>
                <w:color w:val="000000"/>
                <w:sz w:val="17"/>
                <w:szCs w:val="17"/>
                <w:lang w:eastAsia="en-GB"/>
              </w:rPr>
            </w:pPr>
            <w:r>
              <w:rPr>
                <w:rFonts w:eastAsia="Times New Roman" w:cs="Calibri"/>
                <w:b/>
                <w:bCs/>
                <w:i/>
                <w:iCs/>
                <w:noProof/>
                <w:color w:val="000000"/>
                <w:sz w:val="17"/>
                <w:szCs w:val="17"/>
                <w:lang w:eastAsia="en-GB"/>
              </w:rPr>
              <w:t>0.9%</w:t>
            </w:r>
          </w:p>
        </w:tc>
        <w:tc>
          <w:tcPr>
            <w:tcW w:w="1559" w:type="dxa"/>
            <w:tcBorders>
              <w:top w:val="nil"/>
              <w:left w:val="nil"/>
              <w:bottom w:val="single" w:sz="4" w:space="0" w:color="auto"/>
            </w:tcBorders>
            <w:shd w:val="clear" w:color="auto" w:fill="EFC465"/>
            <w:noWrap/>
            <w:vAlign w:val="bottom"/>
            <w:hideMark/>
          </w:tcPr>
          <w:p>
            <w:pPr>
              <w:jc w:val="right"/>
              <w:rPr>
                <w:rFonts w:eastAsia="Times New Roman" w:cs="Calibri"/>
                <w:b/>
                <w:bCs/>
                <w:i/>
                <w:iCs/>
                <w:noProof/>
                <w:color w:val="000000"/>
                <w:sz w:val="17"/>
                <w:szCs w:val="17"/>
                <w:lang w:eastAsia="en-GB"/>
              </w:rPr>
            </w:pPr>
            <w:r>
              <w:rPr>
                <w:rFonts w:eastAsia="Times New Roman" w:cs="Calibri"/>
                <w:b/>
                <w:bCs/>
                <w:i/>
                <w:iCs/>
                <w:noProof/>
                <w:color w:val="000000"/>
                <w:sz w:val="17"/>
                <w:szCs w:val="17"/>
                <w:lang w:eastAsia="en-GB"/>
              </w:rPr>
              <w:t>0.8%</w:t>
            </w:r>
          </w:p>
        </w:tc>
      </w:tr>
      <w:tr>
        <w:trPr>
          <w:trHeight w:val="230"/>
          <w:jc w:val="center"/>
        </w:trPr>
        <w:tc>
          <w:tcPr>
            <w:tcW w:w="3969" w:type="dxa"/>
            <w:tcBorders>
              <w:top w:val="nil"/>
              <w:bottom w:val="single" w:sz="4" w:space="0" w:color="auto"/>
              <w:right w:val="single" w:sz="4" w:space="0" w:color="auto"/>
            </w:tcBorders>
            <w:shd w:val="clear" w:color="auto" w:fill="EFC465"/>
            <w:noWrap/>
            <w:vAlign w:val="center"/>
            <w:hideMark/>
          </w:tcPr>
          <w:p>
            <w:pPr>
              <w:rPr>
                <w:rFonts w:eastAsia="Times New Roman" w:cs="Calibri"/>
                <w:i/>
                <w:iCs/>
                <w:noProof/>
                <w:color w:val="000000"/>
                <w:sz w:val="18"/>
                <w:szCs w:val="18"/>
                <w:lang w:eastAsia="en-GB"/>
              </w:rPr>
            </w:pPr>
            <w:r>
              <w:rPr>
                <w:rFonts w:eastAsia="Times New Roman" w:cs="Calibri"/>
                <w:i/>
                <w:iCs/>
                <w:noProof/>
                <w:color w:val="000000"/>
                <w:sz w:val="18"/>
                <w:szCs w:val="18"/>
                <w:lang w:eastAsia="en-GB"/>
              </w:rPr>
              <w:t>Total 2017</w:t>
            </w:r>
          </w:p>
        </w:tc>
        <w:tc>
          <w:tcPr>
            <w:tcW w:w="1274" w:type="dxa"/>
            <w:tcBorders>
              <w:top w:val="nil"/>
              <w:left w:val="nil"/>
              <w:bottom w:val="single" w:sz="4" w:space="0" w:color="auto"/>
              <w:right w:val="single" w:sz="4" w:space="0" w:color="auto"/>
            </w:tcBorders>
            <w:shd w:val="clear" w:color="auto" w:fill="EFC465"/>
            <w:noWrap/>
            <w:vAlign w:val="center"/>
            <w:hideMark/>
          </w:tcPr>
          <w:p>
            <w:pPr>
              <w:jc w:val="center"/>
              <w:rPr>
                <w:rFonts w:eastAsia="Times New Roman" w:cs="Calibri"/>
                <w:i/>
                <w:iCs/>
                <w:noProof/>
                <w:color w:val="000000"/>
                <w:sz w:val="17"/>
                <w:szCs w:val="17"/>
                <w:lang w:eastAsia="en-GB"/>
              </w:rPr>
            </w:pPr>
            <w:r>
              <w:rPr>
                <w:rFonts w:eastAsia="Times New Roman" w:cs="Calibri"/>
                <w:i/>
                <w:iCs/>
                <w:noProof/>
                <w:color w:val="000000"/>
                <w:sz w:val="17"/>
                <w:szCs w:val="17"/>
                <w:lang w:eastAsia="en-GB"/>
              </w:rPr>
              <w:t>137</w:t>
            </w:r>
            <w:r>
              <w:rPr>
                <w:rFonts w:ascii="Calibri" w:eastAsia="Times New Roman" w:hAnsi="Calibri" w:cs="Calibri"/>
                <w:i/>
                <w:iCs/>
                <w:noProof/>
                <w:color w:val="000000"/>
                <w:sz w:val="17"/>
                <w:szCs w:val="17"/>
                <w:lang w:eastAsia="en-GB"/>
              </w:rPr>
              <w:t> </w:t>
            </w:r>
            <w:r>
              <w:rPr>
                <w:rFonts w:eastAsia="Times New Roman" w:cs="Calibri"/>
                <w:i/>
                <w:iCs/>
                <w:noProof/>
                <w:color w:val="000000"/>
                <w:sz w:val="17"/>
                <w:szCs w:val="17"/>
                <w:lang w:eastAsia="en-GB"/>
              </w:rPr>
              <w:t>798.8</w:t>
            </w:r>
          </w:p>
        </w:tc>
        <w:tc>
          <w:tcPr>
            <w:tcW w:w="994" w:type="dxa"/>
            <w:tcBorders>
              <w:top w:val="nil"/>
              <w:left w:val="nil"/>
              <w:bottom w:val="single" w:sz="4" w:space="0" w:color="auto"/>
              <w:right w:val="single" w:sz="4" w:space="0" w:color="auto"/>
            </w:tcBorders>
            <w:shd w:val="clear" w:color="auto" w:fill="EFC465"/>
            <w:noWrap/>
            <w:vAlign w:val="center"/>
            <w:hideMark/>
          </w:tcPr>
          <w:p>
            <w:pPr>
              <w:jc w:val="center"/>
              <w:rPr>
                <w:rFonts w:eastAsia="Times New Roman" w:cs="Calibri"/>
                <w:i/>
                <w:iCs/>
                <w:noProof/>
                <w:color w:val="000000"/>
                <w:sz w:val="17"/>
                <w:szCs w:val="17"/>
                <w:lang w:eastAsia="en-GB"/>
              </w:rPr>
            </w:pPr>
            <w:r>
              <w:rPr>
                <w:rFonts w:ascii="Calibri" w:eastAsia="Times New Roman" w:hAnsi="Calibri" w:cs="Calibri"/>
                <w:i/>
                <w:iCs/>
                <w:noProof/>
                <w:color w:val="000000"/>
                <w:sz w:val="17"/>
                <w:szCs w:val="17"/>
                <w:lang w:eastAsia="en-GB"/>
              </w:rPr>
              <w:t> </w:t>
            </w:r>
          </w:p>
        </w:tc>
        <w:tc>
          <w:tcPr>
            <w:tcW w:w="993" w:type="dxa"/>
            <w:tcBorders>
              <w:top w:val="nil"/>
              <w:left w:val="nil"/>
              <w:bottom w:val="single" w:sz="4" w:space="0" w:color="auto"/>
              <w:right w:val="single" w:sz="4" w:space="0" w:color="auto"/>
            </w:tcBorders>
            <w:shd w:val="clear" w:color="auto" w:fill="EFC465"/>
            <w:noWrap/>
            <w:vAlign w:val="center"/>
            <w:hideMark/>
          </w:tcPr>
          <w:p>
            <w:pPr>
              <w:jc w:val="center"/>
              <w:rPr>
                <w:rFonts w:eastAsia="Times New Roman" w:cs="Calibri"/>
                <w:i/>
                <w:iCs/>
                <w:noProof/>
                <w:color w:val="000000"/>
                <w:sz w:val="17"/>
                <w:szCs w:val="17"/>
                <w:lang w:eastAsia="en-GB"/>
              </w:rPr>
            </w:pPr>
            <w:r>
              <w:rPr>
                <w:rFonts w:ascii="Calibri" w:eastAsia="Times New Roman" w:hAnsi="Calibri" w:cs="Calibri"/>
                <w:i/>
                <w:iCs/>
                <w:noProof/>
                <w:color w:val="000000"/>
                <w:sz w:val="17"/>
                <w:szCs w:val="17"/>
                <w:lang w:eastAsia="en-GB"/>
              </w:rPr>
              <w:t> </w:t>
            </w:r>
          </w:p>
        </w:tc>
        <w:tc>
          <w:tcPr>
            <w:tcW w:w="992" w:type="dxa"/>
            <w:tcBorders>
              <w:top w:val="nil"/>
              <w:left w:val="nil"/>
              <w:bottom w:val="single" w:sz="4" w:space="0" w:color="auto"/>
              <w:right w:val="single" w:sz="4" w:space="0" w:color="auto"/>
            </w:tcBorders>
            <w:shd w:val="clear" w:color="auto" w:fill="EFC465"/>
            <w:noWrap/>
            <w:vAlign w:val="center"/>
            <w:hideMark/>
          </w:tcPr>
          <w:p>
            <w:pPr>
              <w:jc w:val="center"/>
              <w:rPr>
                <w:rFonts w:eastAsia="Times New Roman" w:cs="Calibri"/>
                <w:i/>
                <w:iCs/>
                <w:noProof/>
                <w:color w:val="000000"/>
                <w:sz w:val="17"/>
                <w:szCs w:val="17"/>
                <w:lang w:eastAsia="en-GB"/>
              </w:rPr>
            </w:pPr>
            <w:r>
              <w:rPr>
                <w:rFonts w:ascii="Calibri" w:eastAsia="Times New Roman" w:hAnsi="Calibri" w:cs="Calibri"/>
                <w:i/>
                <w:iCs/>
                <w:noProof/>
                <w:color w:val="000000"/>
                <w:sz w:val="17"/>
                <w:szCs w:val="17"/>
                <w:lang w:eastAsia="en-GB"/>
              </w:rPr>
              <w:t> </w:t>
            </w:r>
          </w:p>
        </w:tc>
        <w:tc>
          <w:tcPr>
            <w:tcW w:w="992" w:type="dxa"/>
            <w:tcBorders>
              <w:top w:val="nil"/>
              <w:left w:val="nil"/>
              <w:bottom w:val="single" w:sz="4" w:space="0" w:color="auto"/>
              <w:right w:val="single" w:sz="4" w:space="0" w:color="auto"/>
            </w:tcBorders>
            <w:shd w:val="clear" w:color="auto" w:fill="EFC465"/>
            <w:noWrap/>
            <w:vAlign w:val="center"/>
            <w:hideMark/>
          </w:tcPr>
          <w:p>
            <w:pPr>
              <w:jc w:val="center"/>
              <w:rPr>
                <w:rFonts w:eastAsia="Times New Roman" w:cs="Calibri"/>
                <w:i/>
                <w:iCs/>
                <w:noProof/>
                <w:color w:val="000000"/>
                <w:sz w:val="17"/>
                <w:szCs w:val="17"/>
                <w:lang w:eastAsia="en-GB"/>
              </w:rPr>
            </w:pPr>
            <w:r>
              <w:rPr>
                <w:rFonts w:ascii="Calibri" w:eastAsia="Times New Roman" w:hAnsi="Calibri" w:cs="Calibri"/>
                <w:i/>
                <w:iCs/>
                <w:noProof/>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EFC465"/>
            <w:noWrap/>
            <w:vAlign w:val="center"/>
            <w:hideMark/>
          </w:tcPr>
          <w:p>
            <w:pPr>
              <w:jc w:val="center"/>
              <w:rPr>
                <w:rFonts w:eastAsia="Times New Roman" w:cs="Calibri"/>
                <w:i/>
                <w:iCs/>
                <w:noProof/>
                <w:color w:val="000000"/>
                <w:sz w:val="17"/>
                <w:szCs w:val="17"/>
                <w:lang w:eastAsia="en-GB"/>
              </w:rPr>
            </w:pPr>
            <w:r>
              <w:rPr>
                <w:rFonts w:eastAsia="Times New Roman" w:cs="Calibri"/>
                <w:i/>
                <w:iCs/>
                <w:noProof/>
                <w:color w:val="000000"/>
                <w:sz w:val="17"/>
                <w:szCs w:val="17"/>
                <w:lang w:eastAsia="en-GB"/>
              </w:rPr>
              <w:t>125</w:t>
            </w:r>
            <w:r>
              <w:rPr>
                <w:rFonts w:ascii="Calibri" w:eastAsia="Times New Roman" w:hAnsi="Calibri" w:cs="Calibri"/>
                <w:i/>
                <w:iCs/>
                <w:noProof/>
                <w:color w:val="000000"/>
                <w:sz w:val="17"/>
                <w:szCs w:val="17"/>
                <w:lang w:eastAsia="en-GB"/>
              </w:rPr>
              <w:t> </w:t>
            </w:r>
            <w:r>
              <w:rPr>
                <w:rFonts w:eastAsia="Times New Roman" w:cs="Calibri"/>
                <w:i/>
                <w:iCs/>
                <w:noProof/>
                <w:color w:val="000000"/>
                <w:sz w:val="17"/>
                <w:szCs w:val="17"/>
                <w:lang w:eastAsia="en-GB"/>
              </w:rPr>
              <w:t>011.4</w:t>
            </w:r>
          </w:p>
        </w:tc>
        <w:tc>
          <w:tcPr>
            <w:tcW w:w="1399" w:type="dxa"/>
            <w:tcBorders>
              <w:top w:val="nil"/>
              <w:left w:val="nil"/>
              <w:bottom w:val="single" w:sz="4" w:space="0" w:color="auto"/>
              <w:right w:val="single" w:sz="4" w:space="0" w:color="auto"/>
            </w:tcBorders>
            <w:shd w:val="clear" w:color="auto" w:fill="EFC465"/>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1.7%</w:t>
            </w:r>
          </w:p>
        </w:tc>
        <w:tc>
          <w:tcPr>
            <w:tcW w:w="1720" w:type="dxa"/>
            <w:tcBorders>
              <w:top w:val="nil"/>
              <w:left w:val="nil"/>
              <w:bottom w:val="single" w:sz="4" w:space="0" w:color="auto"/>
              <w:right w:val="single" w:sz="4" w:space="0" w:color="auto"/>
            </w:tcBorders>
            <w:shd w:val="clear" w:color="auto" w:fill="EFC465"/>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1.1%</w:t>
            </w:r>
          </w:p>
        </w:tc>
        <w:tc>
          <w:tcPr>
            <w:tcW w:w="1559" w:type="dxa"/>
            <w:tcBorders>
              <w:top w:val="nil"/>
              <w:left w:val="nil"/>
              <w:bottom w:val="single" w:sz="4" w:space="0" w:color="auto"/>
            </w:tcBorders>
            <w:shd w:val="clear" w:color="auto" w:fill="EFC465"/>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0.6%</w:t>
            </w:r>
          </w:p>
        </w:tc>
      </w:tr>
      <w:tr>
        <w:trPr>
          <w:trHeight w:val="230"/>
          <w:jc w:val="center"/>
        </w:trPr>
        <w:tc>
          <w:tcPr>
            <w:tcW w:w="3969" w:type="dxa"/>
            <w:tcBorders>
              <w:top w:val="nil"/>
              <w:left w:val="nil"/>
              <w:bottom w:val="single" w:sz="4" w:space="0" w:color="auto"/>
              <w:right w:val="nil"/>
            </w:tcBorders>
            <w:shd w:val="clear" w:color="auto" w:fill="auto"/>
            <w:noWrap/>
            <w:vAlign w:val="bottom"/>
            <w:hideMark/>
          </w:tcPr>
          <w:p>
            <w:pPr>
              <w:jc w:val="right"/>
              <w:rPr>
                <w:rFonts w:eastAsia="Times New Roman" w:cs="Calibri"/>
                <w:i/>
                <w:iCs/>
                <w:noProof/>
                <w:color w:val="000000"/>
                <w:sz w:val="18"/>
                <w:szCs w:val="18"/>
                <w:lang w:eastAsia="en-GB"/>
              </w:rPr>
            </w:pPr>
          </w:p>
        </w:tc>
        <w:tc>
          <w:tcPr>
            <w:tcW w:w="1274" w:type="dxa"/>
            <w:tcBorders>
              <w:top w:val="nil"/>
              <w:left w:val="nil"/>
              <w:bottom w:val="nil"/>
              <w:right w:val="nil"/>
            </w:tcBorders>
            <w:shd w:val="clear" w:color="auto" w:fill="auto"/>
            <w:noWrap/>
            <w:vAlign w:val="bottom"/>
            <w:hideMark/>
          </w:tcPr>
          <w:p>
            <w:pPr>
              <w:rPr>
                <w:rFonts w:eastAsia="Times New Roman"/>
                <w:noProof/>
                <w:sz w:val="17"/>
                <w:szCs w:val="17"/>
                <w:lang w:eastAsia="en-GB"/>
              </w:rPr>
            </w:pPr>
          </w:p>
        </w:tc>
        <w:tc>
          <w:tcPr>
            <w:tcW w:w="994" w:type="dxa"/>
            <w:tcBorders>
              <w:top w:val="nil"/>
              <w:left w:val="nil"/>
              <w:bottom w:val="nil"/>
              <w:right w:val="nil"/>
            </w:tcBorders>
            <w:shd w:val="clear" w:color="auto" w:fill="auto"/>
            <w:noWrap/>
            <w:vAlign w:val="bottom"/>
            <w:hideMark/>
          </w:tcPr>
          <w:p>
            <w:pPr>
              <w:rPr>
                <w:rFonts w:eastAsia="Times New Roman"/>
                <w:noProof/>
                <w:sz w:val="17"/>
                <w:szCs w:val="17"/>
                <w:lang w:eastAsia="en-GB"/>
              </w:rPr>
            </w:pPr>
          </w:p>
        </w:tc>
        <w:tc>
          <w:tcPr>
            <w:tcW w:w="993" w:type="dxa"/>
            <w:tcBorders>
              <w:top w:val="nil"/>
              <w:left w:val="nil"/>
              <w:bottom w:val="nil"/>
              <w:right w:val="nil"/>
            </w:tcBorders>
            <w:shd w:val="clear" w:color="auto" w:fill="auto"/>
            <w:noWrap/>
            <w:vAlign w:val="bottom"/>
            <w:hideMark/>
          </w:tcPr>
          <w:p>
            <w:pPr>
              <w:rPr>
                <w:rFonts w:eastAsia="Times New Roman"/>
                <w:noProof/>
                <w:sz w:val="17"/>
                <w:szCs w:val="17"/>
                <w:lang w:eastAsia="en-GB"/>
              </w:rPr>
            </w:pPr>
          </w:p>
        </w:tc>
        <w:tc>
          <w:tcPr>
            <w:tcW w:w="992" w:type="dxa"/>
            <w:tcBorders>
              <w:top w:val="nil"/>
              <w:left w:val="nil"/>
              <w:bottom w:val="nil"/>
              <w:right w:val="nil"/>
            </w:tcBorders>
            <w:shd w:val="clear" w:color="auto" w:fill="auto"/>
            <w:noWrap/>
            <w:vAlign w:val="bottom"/>
            <w:hideMark/>
          </w:tcPr>
          <w:p>
            <w:pPr>
              <w:rPr>
                <w:rFonts w:eastAsia="Times New Roman"/>
                <w:noProof/>
                <w:sz w:val="17"/>
                <w:szCs w:val="17"/>
                <w:lang w:eastAsia="en-GB"/>
              </w:rPr>
            </w:pPr>
          </w:p>
        </w:tc>
        <w:tc>
          <w:tcPr>
            <w:tcW w:w="992" w:type="dxa"/>
            <w:tcBorders>
              <w:top w:val="nil"/>
              <w:left w:val="nil"/>
              <w:bottom w:val="nil"/>
              <w:right w:val="nil"/>
            </w:tcBorders>
            <w:shd w:val="clear" w:color="auto" w:fill="auto"/>
            <w:noWrap/>
            <w:vAlign w:val="bottom"/>
            <w:hideMark/>
          </w:tcPr>
          <w:p>
            <w:pPr>
              <w:rPr>
                <w:rFonts w:eastAsia="Times New Roman"/>
                <w:noProof/>
                <w:sz w:val="17"/>
                <w:szCs w:val="17"/>
                <w:lang w:eastAsia="en-GB"/>
              </w:rPr>
            </w:pPr>
          </w:p>
        </w:tc>
        <w:tc>
          <w:tcPr>
            <w:tcW w:w="1134" w:type="dxa"/>
            <w:tcBorders>
              <w:top w:val="nil"/>
              <w:left w:val="nil"/>
              <w:bottom w:val="nil"/>
              <w:right w:val="nil"/>
            </w:tcBorders>
            <w:shd w:val="clear" w:color="auto" w:fill="auto"/>
            <w:noWrap/>
            <w:vAlign w:val="bottom"/>
            <w:hideMark/>
          </w:tcPr>
          <w:p>
            <w:pPr>
              <w:rPr>
                <w:rFonts w:eastAsia="Times New Roman"/>
                <w:noProof/>
                <w:sz w:val="17"/>
                <w:szCs w:val="17"/>
                <w:lang w:eastAsia="en-GB"/>
              </w:rPr>
            </w:pPr>
          </w:p>
        </w:tc>
        <w:tc>
          <w:tcPr>
            <w:tcW w:w="1399" w:type="dxa"/>
            <w:tcBorders>
              <w:top w:val="nil"/>
              <w:left w:val="nil"/>
              <w:bottom w:val="nil"/>
              <w:right w:val="nil"/>
            </w:tcBorders>
            <w:shd w:val="clear" w:color="auto" w:fill="auto"/>
            <w:noWrap/>
            <w:vAlign w:val="bottom"/>
            <w:hideMark/>
          </w:tcPr>
          <w:p>
            <w:pPr>
              <w:rPr>
                <w:rFonts w:eastAsia="Times New Roman"/>
                <w:noProof/>
                <w:sz w:val="17"/>
                <w:szCs w:val="17"/>
                <w:lang w:eastAsia="en-GB"/>
              </w:rPr>
            </w:pPr>
          </w:p>
        </w:tc>
        <w:tc>
          <w:tcPr>
            <w:tcW w:w="1720" w:type="dxa"/>
            <w:tcBorders>
              <w:top w:val="nil"/>
              <w:left w:val="nil"/>
              <w:bottom w:val="nil"/>
              <w:right w:val="nil"/>
            </w:tcBorders>
            <w:shd w:val="clear" w:color="auto" w:fill="auto"/>
            <w:noWrap/>
            <w:vAlign w:val="bottom"/>
            <w:hideMark/>
          </w:tcPr>
          <w:p>
            <w:pPr>
              <w:rPr>
                <w:rFonts w:eastAsia="Times New Roman"/>
                <w:noProof/>
                <w:sz w:val="17"/>
                <w:szCs w:val="17"/>
                <w:lang w:eastAsia="en-GB"/>
              </w:rPr>
            </w:pPr>
          </w:p>
        </w:tc>
        <w:tc>
          <w:tcPr>
            <w:tcW w:w="1559" w:type="dxa"/>
            <w:tcBorders>
              <w:top w:val="nil"/>
              <w:left w:val="nil"/>
              <w:bottom w:val="nil"/>
              <w:right w:val="nil"/>
            </w:tcBorders>
            <w:shd w:val="clear" w:color="auto" w:fill="auto"/>
            <w:noWrap/>
            <w:vAlign w:val="bottom"/>
            <w:hideMark/>
          </w:tcPr>
          <w:p>
            <w:pPr>
              <w:rPr>
                <w:rFonts w:eastAsia="Times New Roman"/>
                <w:noProof/>
                <w:sz w:val="17"/>
                <w:szCs w:val="17"/>
                <w:lang w:eastAsia="en-GB"/>
              </w:rPr>
            </w:pPr>
          </w:p>
        </w:tc>
      </w:tr>
      <w:tr>
        <w:trPr>
          <w:trHeight w:val="230"/>
          <w:jc w:val="center"/>
        </w:trPr>
        <w:tc>
          <w:tcPr>
            <w:tcW w:w="3969" w:type="dxa"/>
            <w:tcBorders>
              <w:top w:val="single" w:sz="4" w:space="0" w:color="auto"/>
              <w:bottom w:val="single" w:sz="4" w:space="0" w:color="auto"/>
              <w:right w:val="single" w:sz="4" w:space="0" w:color="auto"/>
            </w:tcBorders>
            <w:shd w:val="clear" w:color="auto" w:fill="E9F5F7"/>
            <w:noWrap/>
            <w:vAlign w:val="bottom"/>
            <w:hideMark/>
          </w:tcPr>
          <w:p>
            <w:pPr>
              <w:rPr>
                <w:rFonts w:eastAsia="Times New Roman" w:cs="Calibri"/>
                <w:b/>
                <w:i/>
                <w:iCs/>
                <w:noProof/>
                <w:color w:val="C00000"/>
                <w:sz w:val="18"/>
                <w:szCs w:val="18"/>
                <w:lang w:eastAsia="en-GB"/>
              </w:rPr>
            </w:pPr>
            <w:r>
              <w:rPr>
                <w:rFonts w:eastAsia="Times New Roman" w:cs="Calibri"/>
                <w:b/>
                <w:iCs/>
                <w:noProof/>
                <w:color w:val="E48C32"/>
                <w:sz w:val="18"/>
                <w:szCs w:val="18"/>
                <w:lang w:eastAsia="en-GB"/>
              </w:rPr>
              <w:t>(*)</w:t>
            </w:r>
            <w:r>
              <w:rPr>
                <w:rFonts w:eastAsia="Times New Roman" w:cs="Calibri"/>
                <w:b/>
                <w:i/>
                <w:iCs/>
                <w:noProof/>
                <w:color w:val="E48C32"/>
                <w:sz w:val="18"/>
                <w:szCs w:val="18"/>
                <w:lang w:eastAsia="en-GB"/>
              </w:rPr>
              <w:t xml:space="preserve"> Of which</w:t>
            </w:r>
          </w:p>
        </w:tc>
        <w:tc>
          <w:tcPr>
            <w:tcW w:w="1274" w:type="dxa"/>
            <w:tcBorders>
              <w:top w:val="nil"/>
              <w:left w:val="nil"/>
              <w:bottom w:val="single" w:sz="4" w:space="0" w:color="auto"/>
              <w:right w:val="nil"/>
            </w:tcBorders>
            <w:shd w:val="clear" w:color="auto" w:fill="auto"/>
            <w:noWrap/>
            <w:vAlign w:val="bottom"/>
            <w:hideMark/>
          </w:tcPr>
          <w:p>
            <w:pPr>
              <w:rPr>
                <w:rFonts w:eastAsia="Times New Roman" w:cs="Calibri"/>
                <w:i/>
                <w:iCs/>
                <w:noProof/>
                <w:color w:val="C00000"/>
                <w:sz w:val="17"/>
                <w:szCs w:val="17"/>
                <w:lang w:eastAsia="en-GB"/>
              </w:rPr>
            </w:pPr>
          </w:p>
        </w:tc>
        <w:tc>
          <w:tcPr>
            <w:tcW w:w="994" w:type="dxa"/>
            <w:tcBorders>
              <w:top w:val="nil"/>
              <w:left w:val="nil"/>
              <w:bottom w:val="single" w:sz="4" w:space="0" w:color="auto"/>
              <w:right w:val="nil"/>
            </w:tcBorders>
            <w:shd w:val="clear" w:color="auto" w:fill="auto"/>
            <w:noWrap/>
            <w:vAlign w:val="bottom"/>
            <w:hideMark/>
          </w:tcPr>
          <w:p>
            <w:pPr>
              <w:rPr>
                <w:rFonts w:eastAsia="Times New Roman"/>
                <w:noProof/>
                <w:sz w:val="17"/>
                <w:szCs w:val="17"/>
                <w:lang w:eastAsia="en-GB"/>
              </w:rPr>
            </w:pPr>
          </w:p>
        </w:tc>
        <w:tc>
          <w:tcPr>
            <w:tcW w:w="993" w:type="dxa"/>
            <w:tcBorders>
              <w:top w:val="nil"/>
              <w:left w:val="nil"/>
              <w:bottom w:val="single" w:sz="4" w:space="0" w:color="auto"/>
              <w:right w:val="nil"/>
            </w:tcBorders>
            <w:shd w:val="clear" w:color="auto" w:fill="auto"/>
            <w:noWrap/>
            <w:vAlign w:val="bottom"/>
            <w:hideMark/>
          </w:tcPr>
          <w:p>
            <w:pPr>
              <w:rPr>
                <w:rFonts w:eastAsia="Times New Roman"/>
                <w:noProof/>
                <w:sz w:val="17"/>
                <w:szCs w:val="17"/>
                <w:lang w:eastAsia="en-GB"/>
              </w:rPr>
            </w:pPr>
          </w:p>
        </w:tc>
        <w:tc>
          <w:tcPr>
            <w:tcW w:w="992" w:type="dxa"/>
            <w:tcBorders>
              <w:top w:val="nil"/>
              <w:left w:val="nil"/>
              <w:bottom w:val="single" w:sz="4" w:space="0" w:color="auto"/>
              <w:right w:val="nil"/>
            </w:tcBorders>
            <w:shd w:val="clear" w:color="auto" w:fill="auto"/>
            <w:noWrap/>
            <w:vAlign w:val="bottom"/>
            <w:hideMark/>
          </w:tcPr>
          <w:p>
            <w:pPr>
              <w:rPr>
                <w:rFonts w:eastAsia="Times New Roman"/>
                <w:noProof/>
                <w:sz w:val="17"/>
                <w:szCs w:val="17"/>
                <w:lang w:eastAsia="en-GB"/>
              </w:rPr>
            </w:pPr>
          </w:p>
        </w:tc>
        <w:tc>
          <w:tcPr>
            <w:tcW w:w="992" w:type="dxa"/>
            <w:tcBorders>
              <w:top w:val="nil"/>
              <w:left w:val="nil"/>
              <w:bottom w:val="single" w:sz="4" w:space="0" w:color="auto"/>
              <w:right w:val="nil"/>
            </w:tcBorders>
            <w:shd w:val="clear" w:color="auto" w:fill="auto"/>
            <w:noWrap/>
            <w:vAlign w:val="bottom"/>
            <w:hideMark/>
          </w:tcPr>
          <w:p>
            <w:pPr>
              <w:rPr>
                <w:rFonts w:eastAsia="Times New Roman"/>
                <w:noProof/>
                <w:sz w:val="17"/>
                <w:szCs w:val="17"/>
                <w:lang w:eastAsia="en-GB"/>
              </w:rPr>
            </w:pPr>
          </w:p>
        </w:tc>
        <w:tc>
          <w:tcPr>
            <w:tcW w:w="1134" w:type="dxa"/>
            <w:tcBorders>
              <w:top w:val="nil"/>
              <w:left w:val="nil"/>
              <w:bottom w:val="single" w:sz="4" w:space="0" w:color="auto"/>
              <w:right w:val="nil"/>
            </w:tcBorders>
            <w:shd w:val="clear" w:color="auto" w:fill="auto"/>
            <w:noWrap/>
            <w:vAlign w:val="bottom"/>
            <w:hideMark/>
          </w:tcPr>
          <w:p>
            <w:pPr>
              <w:rPr>
                <w:rFonts w:eastAsia="Times New Roman"/>
                <w:noProof/>
                <w:sz w:val="17"/>
                <w:szCs w:val="17"/>
                <w:lang w:eastAsia="en-GB"/>
              </w:rPr>
            </w:pPr>
          </w:p>
        </w:tc>
        <w:tc>
          <w:tcPr>
            <w:tcW w:w="1399" w:type="dxa"/>
            <w:tcBorders>
              <w:top w:val="nil"/>
              <w:left w:val="nil"/>
              <w:bottom w:val="single" w:sz="4" w:space="0" w:color="auto"/>
              <w:right w:val="nil"/>
            </w:tcBorders>
            <w:shd w:val="clear" w:color="auto" w:fill="auto"/>
            <w:noWrap/>
            <w:vAlign w:val="bottom"/>
            <w:hideMark/>
          </w:tcPr>
          <w:p>
            <w:pPr>
              <w:rPr>
                <w:rFonts w:eastAsia="Times New Roman"/>
                <w:noProof/>
                <w:sz w:val="17"/>
                <w:szCs w:val="17"/>
                <w:lang w:eastAsia="en-GB"/>
              </w:rPr>
            </w:pPr>
          </w:p>
        </w:tc>
        <w:tc>
          <w:tcPr>
            <w:tcW w:w="1720" w:type="dxa"/>
            <w:tcBorders>
              <w:top w:val="nil"/>
              <w:left w:val="nil"/>
              <w:bottom w:val="single" w:sz="4" w:space="0" w:color="auto"/>
              <w:right w:val="nil"/>
            </w:tcBorders>
            <w:shd w:val="clear" w:color="auto" w:fill="auto"/>
            <w:noWrap/>
            <w:vAlign w:val="bottom"/>
            <w:hideMark/>
          </w:tcPr>
          <w:p>
            <w:pPr>
              <w:rPr>
                <w:rFonts w:eastAsia="Times New Roman"/>
                <w:noProof/>
                <w:sz w:val="17"/>
                <w:szCs w:val="17"/>
                <w:lang w:eastAsia="en-GB"/>
              </w:rPr>
            </w:pPr>
          </w:p>
        </w:tc>
        <w:tc>
          <w:tcPr>
            <w:tcW w:w="1559" w:type="dxa"/>
            <w:tcBorders>
              <w:top w:val="nil"/>
              <w:left w:val="nil"/>
              <w:bottom w:val="single" w:sz="4" w:space="0" w:color="auto"/>
              <w:right w:val="nil"/>
            </w:tcBorders>
            <w:shd w:val="clear" w:color="auto" w:fill="auto"/>
            <w:noWrap/>
            <w:vAlign w:val="bottom"/>
            <w:hideMark/>
          </w:tcPr>
          <w:p>
            <w:pPr>
              <w:rPr>
                <w:rFonts w:eastAsia="Times New Roman"/>
                <w:noProof/>
                <w:sz w:val="17"/>
                <w:szCs w:val="17"/>
                <w:lang w:eastAsia="en-GB"/>
              </w:rPr>
            </w:pPr>
          </w:p>
        </w:tc>
      </w:tr>
      <w:tr>
        <w:trPr>
          <w:trHeight w:val="230"/>
          <w:jc w:val="center"/>
        </w:trPr>
        <w:tc>
          <w:tcPr>
            <w:tcW w:w="3969" w:type="dxa"/>
            <w:vMerge w:val="restart"/>
            <w:tcBorders>
              <w:top w:val="single" w:sz="4" w:space="0" w:color="auto"/>
              <w:bottom w:val="single" w:sz="4" w:space="0" w:color="auto"/>
              <w:right w:val="single" w:sz="4" w:space="0" w:color="auto"/>
            </w:tcBorders>
            <w:shd w:val="clear" w:color="auto" w:fill="E9F5F7"/>
            <w:vAlign w:val="center"/>
            <w:hideMark/>
          </w:tcPr>
          <w:p>
            <w:pPr>
              <w:rPr>
                <w:rFonts w:eastAsia="Times New Roman" w:cs="Calibri"/>
                <w:b/>
                <w:bCs/>
                <w:i/>
                <w:iCs/>
                <w:noProof/>
                <w:color w:val="000000"/>
                <w:sz w:val="18"/>
                <w:szCs w:val="18"/>
                <w:lang w:eastAsia="en-GB"/>
              </w:rPr>
            </w:pPr>
            <w:r>
              <w:rPr>
                <w:rFonts w:eastAsia="Times New Roman" w:cs="Calibri"/>
                <w:b/>
                <w:bCs/>
                <w:i/>
                <w:iCs/>
                <w:noProof/>
                <w:color w:val="000000"/>
                <w:sz w:val="18"/>
                <w:szCs w:val="18"/>
                <w:lang w:eastAsia="en-GB"/>
              </w:rPr>
              <w:t>Economic, social and territorial cohesion</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54</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099.0</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9</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635.6</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4</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143.8</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4</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736.9</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3</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157.0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9F5F7"/>
            <w:noWrap/>
            <w:vAlign w:val="center"/>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50</w:t>
            </w:r>
            <w:r>
              <w:rPr>
                <w:rFonts w:ascii="Calibri" w:eastAsia="Times New Roman" w:hAnsi="Calibri" w:cs="Calibri"/>
                <w:noProof/>
                <w:color w:val="000000"/>
                <w:sz w:val="17"/>
                <w:szCs w:val="17"/>
                <w:lang w:eastAsia="en-GB"/>
              </w:rPr>
              <w:t> </w:t>
            </w:r>
            <w:r>
              <w:rPr>
                <w:rFonts w:eastAsia="Times New Roman" w:cs="Calibri"/>
                <w:noProof/>
                <w:color w:val="000000"/>
                <w:sz w:val="17"/>
                <w:szCs w:val="17"/>
                <w:lang w:eastAsia="en-GB"/>
              </w:rPr>
              <w:t>187.0</w:t>
            </w:r>
          </w:p>
        </w:tc>
        <w:tc>
          <w:tcPr>
            <w:tcW w:w="1399" w:type="dxa"/>
            <w:tcBorders>
              <w:top w:val="single" w:sz="4" w:space="0" w:color="auto"/>
              <w:left w:val="nil"/>
              <w:bottom w:val="nil"/>
              <w:right w:val="single" w:sz="4" w:space="0" w:color="auto"/>
            </w:tcBorders>
            <w:shd w:val="clear" w:color="auto" w:fill="E9F5F7"/>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858.1</w:t>
            </w:r>
          </w:p>
        </w:tc>
        <w:tc>
          <w:tcPr>
            <w:tcW w:w="1720" w:type="dxa"/>
            <w:tcBorders>
              <w:top w:val="single" w:sz="4" w:space="0" w:color="auto"/>
              <w:left w:val="nil"/>
              <w:bottom w:val="nil"/>
              <w:right w:val="single" w:sz="4" w:space="0" w:color="auto"/>
            </w:tcBorders>
            <w:shd w:val="clear" w:color="auto" w:fill="E9F5F7"/>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219.7</w:t>
            </w:r>
          </w:p>
        </w:tc>
        <w:tc>
          <w:tcPr>
            <w:tcW w:w="1559" w:type="dxa"/>
            <w:tcBorders>
              <w:top w:val="single" w:sz="4" w:space="0" w:color="auto"/>
              <w:left w:val="nil"/>
              <w:bottom w:val="nil"/>
            </w:tcBorders>
            <w:shd w:val="clear" w:color="auto" w:fill="E9F5F7"/>
            <w:noWrap/>
            <w:vAlign w:val="bottom"/>
            <w:hideMark/>
          </w:tcPr>
          <w:p>
            <w:pPr>
              <w:jc w:val="right"/>
              <w:rPr>
                <w:rFonts w:eastAsia="Times New Roman" w:cs="Calibri"/>
                <w:noProof/>
                <w:color w:val="000000"/>
                <w:sz w:val="17"/>
                <w:szCs w:val="17"/>
                <w:lang w:eastAsia="en-GB"/>
              </w:rPr>
            </w:pPr>
            <w:r>
              <w:rPr>
                <w:rFonts w:eastAsia="Times New Roman" w:cs="Calibri"/>
                <w:noProof/>
                <w:color w:val="000000"/>
                <w:sz w:val="17"/>
                <w:szCs w:val="17"/>
                <w:lang w:eastAsia="en-GB"/>
              </w:rPr>
              <w:t xml:space="preserve"> 638.4</w:t>
            </w:r>
          </w:p>
        </w:tc>
      </w:tr>
      <w:tr>
        <w:trPr>
          <w:trHeight w:val="230"/>
          <w:jc w:val="center"/>
        </w:trPr>
        <w:tc>
          <w:tcPr>
            <w:tcW w:w="3969" w:type="dxa"/>
            <w:vMerge/>
            <w:tcBorders>
              <w:top w:val="single" w:sz="4" w:space="0" w:color="auto"/>
              <w:bottom w:val="single" w:sz="4" w:space="0" w:color="auto"/>
              <w:right w:val="single" w:sz="4" w:space="0" w:color="auto"/>
            </w:tcBorders>
            <w:shd w:val="clear" w:color="auto" w:fill="E9F5F7"/>
            <w:vAlign w:val="center"/>
            <w:hideMark/>
          </w:tcPr>
          <w:p>
            <w:pPr>
              <w:rPr>
                <w:rFonts w:eastAsia="Times New Roman" w:cs="Calibri"/>
                <w:b/>
                <w:bCs/>
                <w:i/>
                <w:iCs/>
                <w:noProof/>
                <w:color w:val="000000"/>
                <w:sz w:val="22"/>
                <w:lang w:eastAsia="en-GB"/>
              </w:rPr>
            </w:pPr>
          </w:p>
        </w:tc>
        <w:tc>
          <w:tcPr>
            <w:tcW w:w="1274" w:type="dxa"/>
            <w:vMerge/>
            <w:tcBorders>
              <w:top w:val="single" w:sz="4" w:space="0" w:color="auto"/>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994" w:type="dxa"/>
            <w:vMerge/>
            <w:tcBorders>
              <w:top w:val="single" w:sz="4" w:space="0" w:color="auto"/>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993" w:type="dxa"/>
            <w:vMerge/>
            <w:tcBorders>
              <w:top w:val="single" w:sz="4" w:space="0" w:color="auto"/>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992" w:type="dxa"/>
            <w:vMerge/>
            <w:tcBorders>
              <w:top w:val="single" w:sz="4" w:space="0" w:color="auto"/>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992" w:type="dxa"/>
            <w:vMerge/>
            <w:tcBorders>
              <w:top w:val="single" w:sz="4" w:space="0" w:color="auto"/>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E9F5F7"/>
            <w:vAlign w:val="center"/>
            <w:hideMark/>
          </w:tcPr>
          <w:p>
            <w:pPr>
              <w:rPr>
                <w:rFonts w:eastAsia="Times New Roman" w:cs="Calibri"/>
                <w:noProof/>
                <w:color w:val="000000"/>
                <w:sz w:val="17"/>
                <w:szCs w:val="17"/>
                <w:lang w:eastAsia="en-GB"/>
              </w:rPr>
            </w:pPr>
          </w:p>
        </w:tc>
        <w:tc>
          <w:tcPr>
            <w:tcW w:w="1399" w:type="dxa"/>
            <w:tcBorders>
              <w:top w:val="nil"/>
              <w:left w:val="nil"/>
              <w:bottom w:val="single" w:sz="4" w:space="0" w:color="auto"/>
              <w:right w:val="single" w:sz="4" w:space="0" w:color="auto"/>
            </w:tcBorders>
            <w:shd w:val="clear" w:color="auto" w:fill="E9F5F7"/>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1.7%</w:t>
            </w:r>
          </w:p>
        </w:tc>
        <w:tc>
          <w:tcPr>
            <w:tcW w:w="1720" w:type="dxa"/>
            <w:tcBorders>
              <w:top w:val="nil"/>
              <w:left w:val="nil"/>
              <w:bottom w:val="single" w:sz="4" w:space="0" w:color="auto"/>
              <w:right w:val="single" w:sz="4" w:space="0" w:color="auto"/>
            </w:tcBorders>
            <w:shd w:val="clear" w:color="auto" w:fill="E9F5F7"/>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0.4%</w:t>
            </w:r>
          </w:p>
        </w:tc>
        <w:tc>
          <w:tcPr>
            <w:tcW w:w="1559" w:type="dxa"/>
            <w:tcBorders>
              <w:top w:val="nil"/>
              <w:left w:val="nil"/>
              <w:bottom w:val="single" w:sz="4" w:space="0" w:color="auto"/>
            </w:tcBorders>
            <w:shd w:val="clear" w:color="auto" w:fill="E9F5F7"/>
            <w:noWrap/>
            <w:vAlign w:val="bottom"/>
            <w:hideMark/>
          </w:tcPr>
          <w:p>
            <w:pPr>
              <w:jc w:val="right"/>
              <w:rPr>
                <w:rFonts w:eastAsia="Times New Roman" w:cs="Calibri"/>
                <w:i/>
                <w:iCs/>
                <w:noProof/>
                <w:color w:val="000000"/>
                <w:sz w:val="16"/>
                <w:szCs w:val="17"/>
                <w:lang w:eastAsia="en-GB"/>
              </w:rPr>
            </w:pPr>
            <w:r>
              <w:rPr>
                <w:rFonts w:eastAsia="Times New Roman" w:cs="Calibri"/>
                <w:i/>
                <w:iCs/>
                <w:noProof/>
                <w:color w:val="000000"/>
                <w:sz w:val="16"/>
                <w:szCs w:val="17"/>
                <w:lang w:eastAsia="en-GB"/>
              </w:rPr>
              <w:t>1.3%</w:t>
            </w:r>
          </w:p>
        </w:tc>
      </w:tr>
    </w:tbl>
    <w:p>
      <w:pPr>
        <w:rPr>
          <w:b/>
          <w:noProof/>
        </w:rPr>
      </w:pPr>
      <w:r>
        <w:rPr>
          <w:noProof/>
        </w:rPr>
        <w:br w:type="page"/>
      </w:r>
    </w:p>
    <w:p>
      <w:pPr>
        <w:pStyle w:val="AnnexTabletitle"/>
        <w:rPr>
          <w:noProof/>
        </w:rPr>
      </w:pPr>
      <w:r>
        <w:rPr>
          <w:noProof/>
        </w:rPr>
        <w:t>Table</w:t>
      </w:r>
      <w:r>
        <w:rPr>
          <w:rFonts w:ascii="Calibri" w:hAnsi="Calibri" w:cs="Calibri"/>
          <w:noProof/>
        </w:rPr>
        <w:t> C</w:t>
      </w:r>
      <w:r>
        <w:rPr>
          <w:noProof/>
        </w:rPr>
        <w:t>: Risk at payment/closure per department for the whole Commission (EUR millions)</w:t>
      </w:r>
      <w:r>
        <w:rPr>
          <w:noProof/>
          <w:color w:val="E48C32" w:themeColor="accent5"/>
          <w:lang w:eastAsia="en-GB"/>
        </w:rPr>
        <w:t xml:space="preserve"> </w:t>
      </w:r>
      <w:r>
        <w:rPr>
          <w:noProof/>
          <w:color w:val="E48C32" w:themeColor="accent5"/>
          <w:lang w:eastAsia="en-GB"/>
        </w:rPr>
        <mc:AlternateContent>
          <mc:Choice Requires="wps">
            <w:drawing>
              <wp:anchor distT="0" distB="0" distL="114300" distR="114300" simplePos="0" relativeHeight="251657728" behindDoc="0" locked="1" layoutInCell="1" allowOverlap="1">
                <wp:simplePos x="0" y="0"/>
                <wp:positionH relativeFrom="page">
                  <wp:posOffset>6769100</wp:posOffset>
                </wp:positionH>
                <wp:positionV relativeFrom="page">
                  <wp:align>center</wp:align>
                </wp:positionV>
                <wp:extent cx="7621200" cy="212400"/>
                <wp:effectExtent l="8573" t="0" r="7937" b="7938"/>
                <wp:wrapNone/>
                <wp:docPr id="5" name="Rectangle 5"/>
                <wp:cNvGraphicFramePr/>
                <a:graphic xmlns:a="http://schemas.openxmlformats.org/drawingml/2006/main">
                  <a:graphicData uri="http://schemas.microsoft.com/office/word/2010/wordprocessingShape">
                    <wps:wsp>
                      <wps:cNvSpPr/>
                      <wps:spPr>
                        <a:xfrm rot="5400000">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83C2F4" id="Rectangle 5" o:spid="_x0000_s1026" style="position:absolute;margin-left:533pt;margin-top:0;width:600.1pt;height:16.7pt;rotation:90;z-index:25165772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" fillcolor="#e48c32 [3208]" stroked="f" strokeweight="2pt">
                <w10:wrap anchorx="page" anchory="page"/>
                <w10:anchorlock/>
              </v:rect>
            </w:pict>
          </mc:Fallback>
        </mc:AlternateContent>
      </w:r>
    </w:p>
    <w:tbl>
      <w:tblPr>
        <w:tblW w:w="14459" w:type="dxa"/>
        <w:tblLayout w:type="fixed"/>
        <w:tblCellMar>
          <w:left w:w="57" w:type="dxa"/>
          <w:right w:w="57" w:type="dxa"/>
        </w:tblCellMar>
        <w:tblLook w:val="04A0" w:firstRow="1" w:lastRow="0" w:firstColumn="1" w:lastColumn="0" w:noHBand="0" w:noVBand="1"/>
      </w:tblPr>
      <w:tblGrid>
        <w:gridCol w:w="1548"/>
        <w:gridCol w:w="919"/>
        <w:gridCol w:w="1276"/>
        <w:gridCol w:w="56"/>
        <w:gridCol w:w="1332"/>
        <w:gridCol w:w="29"/>
        <w:gridCol w:w="1276"/>
        <w:gridCol w:w="28"/>
        <w:gridCol w:w="1332"/>
        <w:gridCol w:w="58"/>
        <w:gridCol w:w="1275"/>
        <w:gridCol w:w="1332"/>
        <w:gridCol w:w="86"/>
        <w:gridCol w:w="1247"/>
        <w:gridCol w:w="29"/>
        <w:gridCol w:w="1275"/>
        <w:gridCol w:w="28"/>
        <w:gridCol w:w="1333"/>
      </w:tblGrid>
      <w:tr>
        <w:trPr>
          <w:trHeight w:val="2155"/>
          <w:tblHeader/>
        </w:trPr>
        <w:tc>
          <w:tcPr>
            <w:tcW w:w="1548" w:type="dxa"/>
            <w:tcBorders>
              <w:right w:val="single" w:sz="4" w:space="0" w:color="auto"/>
            </w:tcBorders>
            <w:shd w:val="clear" w:color="auto" w:fill="FBEFD5"/>
            <w:noWrap/>
            <w:vAlign w:val="center"/>
            <w:hideMark/>
          </w:tcPr>
          <w:p>
            <w:pPr>
              <w:jc w:val="center"/>
              <w:rPr>
                <w:rFonts w:eastAsia="Times New Roman"/>
                <w:b/>
                <w:bCs/>
                <w:noProof/>
                <w:color w:val="000000"/>
                <w:sz w:val="18"/>
                <w:szCs w:val="18"/>
                <w:lang w:eastAsia="fr-BE"/>
              </w:rPr>
            </w:pPr>
            <w:r>
              <w:rPr>
                <w:rFonts w:eastAsia="Times New Roman"/>
                <w:b/>
                <w:bCs/>
                <w:noProof/>
                <w:color w:val="000000"/>
                <w:sz w:val="18"/>
                <w:szCs w:val="18"/>
                <w:lang w:eastAsia="fr-BE"/>
              </w:rPr>
              <w:t>Policy area</w:t>
            </w:r>
          </w:p>
        </w:tc>
        <w:tc>
          <w:tcPr>
            <w:tcW w:w="919" w:type="dxa"/>
            <w:tcBorders>
              <w:left w:val="single" w:sz="4" w:space="0" w:color="auto"/>
              <w:right w:val="single" w:sz="4" w:space="0" w:color="auto"/>
            </w:tcBorders>
            <w:shd w:val="clear" w:color="auto" w:fill="FBEFD5"/>
            <w:noWrap/>
            <w:vAlign w:val="center"/>
            <w:hideMark/>
          </w:tcPr>
          <w:p>
            <w:pPr>
              <w:jc w:val="center"/>
              <w:rPr>
                <w:rFonts w:eastAsia="Times New Roman"/>
                <w:b/>
                <w:bCs/>
                <w:noProof/>
                <w:color w:val="000000"/>
                <w:sz w:val="18"/>
                <w:szCs w:val="18"/>
                <w:lang w:eastAsia="fr-BE"/>
              </w:rPr>
            </w:pPr>
            <w:r>
              <w:rPr>
                <w:rFonts w:eastAsia="Times New Roman"/>
                <w:b/>
                <w:bCs/>
                <w:noProof/>
                <w:color w:val="000000"/>
                <w:sz w:val="18"/>
                <w:szCs w:val="18"/>
                <w:lang w:eastAsia="fr-BE"/>
              </w:rPr>
              <w:t>DG</w:t>
            </w:r>
          </w:p>
        </w:tc>
        <w:tc>
          <w:tcPr>
            <w:tcW w:w="1332" w:type="dxa"/>
            <w:gridSpan w:val="2"/>
            <w:tcBorders>
              <w:left w:val="nil"/>
              <w:bottom w:val="single" w:sz="4" w:space="0" w:color="auto"/>
              <w:right w:val="single" w:sz="4" w:space="0" w:color="auto"/>
            </w:tcBorders>
            <w:shd w:val="clear" w:color="auto" w:fill="FBEFD5"/>
            <w:textDirection w:val="btLr"/>
            <w:vAlign w:val="center"/>
            <w:hideMark/>
          </w:tcPr>
          <w:p>
            <w:pPr>
              <w:jc w:val="center"/>
              <w:rPr>
                <w:rFonts w:eastAsia="Times New Roman"/>
                <w:b/>
                <w:bCs/>
                <w:noProof/>
                <w:color w:val="000000"/>
                <w:sz w:val="18"/>
                <w:szCs w:val="18"/>
                <w:lang w:eastAsia="fr-BE"/>
              </w:rPr>
            </w:pPr>
            <w:r>
              <w:rPr>
                <w:rFonts w:eastAsia="Times New Roman"/>
                <w:b/>
                <w:bCs/>
                <w:noProof/>
                <w:color w:val="000000"/>
                <w:sz w:val="18"/>
                <w:szCs w:val="18"/>
                <w:lang w:eastAsia="fr-BE"/>
              </w:rPr>
              <w:t>Total payments</w:t>
            </w:r>
          </w:p>
        </w:tc>
        <w:tc>
          <w:tcPr>
            <w:tcW w:w="1332" w:type="dxa"/>
            <w:tcBorders>
              <w:left w:val="nil"/>
              <w:bottom w:val="single" w:sz="4" w:space="0" w:color="auto"/>
              <w:right w:val="single" w:sz="4" w:space="0" w:color="auto"/>
            </w:tcBorders>
            <w:shd w:val="clear" w:color="auto" w:fill="FBEFD5"/>
            <w:textDirection w:val="btLr"/>
            <w:vAlign w:val="center"/>
            <w:hideMark/>
          </w:tcPr>
          <w:p>
            <w:pPr>
              <w:jc w:val="center"/>
              <w:rPr>
                <w:rFonts w:eastAsia="Times New Roman"/>
                <w:b/>
                <w:bCs/>
                <w:noProof/>
                <w:color w:val="000000"/>
                <w:sz w:val="18"/>
                <w:szCs w:val="18"/>
                <w:lang w:eastAsia="fr-BE"/>
              </w:rPr>
            </w:pPr>
            <w:r>
              <w:rPr>
                <w:rFonts w:eastAsia="Times New Roman"/>
                <w:b/>
                <w:bCs/>
                <w:noProof/>
                <w:color w:val="000000"/>
                <w:sz w:val="18"/>
                <w:szCs w:val="18"/>
                <w:lang w:eastAsia="fr-BE"/>
              </w:rPr>
              <w:t>New pre-financing paid</w:t>
            </w:r>
          </w:p>
        </w:tc>
        <w:tc>
          <w:tcPr>
            <w:tcW w:w="1333" w:type="dxa"/>
            <w:gridSpan w:val="3"/>
            <w:tcBorders>
              <w:left w:val="nil"/>
              <w:bottom w:val="single" w:sz="4" w:space="0" w:color="auto"/>
              <w:right w:val="single" w:sz="4" w:space="0" w:color="auto"/>
            </w:tcBorders>
            <w:shd w:val="clear" w:color="auto" w:fill="FBEFD5"/>
            <w:textDirection w:val="btLr"/>
            <w:vAlign w:val="center"/>
            <w:hideMark/>
          </w:tcPr>
          <w:p>
            <w:pPr>
              <w:jc w:val="center"/>
              <w:rPr>
                <w:rFonts w:eastAsia="Times New Roman"/>
                <w:b/>
                <w:bCs/>
                <w:noProof/>
                <w:color w:val="000000"/>
                <w:sz w:val="18"/>
                <w:szCs w:val="18"/>
                <w:lang w:eastAsia="fr-BE"/>
              </w:rPr>
            </w:pPr>
            <w:r>
              <w:rPr>
                <w:rFonts w:eastAsia="Times New Roman"/>
                <w:b/>
                <w:bCs/>
                <w:noProof/>
                <w:color w:val="000000"/>
                <w:sz w:val="18"/>
                <w:szCs w:val="18"/>
                <w:lang w:eastAsia="fr-BE"/>
              </w:rPr>
              <w:t xml:space="preserve">Retentions made </w:t>
            </w:r>
            <w:r>
              <w:rPr>
                <w:rFonts w:eastAsia="Times New Roman"/>
                <w:b/>
                <w:bCs/>
                <w:noProof/>
                <w:color w:val="000000"/>
                <w:sz w:val="18"/>
                <w:szCs w:val="18"/>
                <w:lang w:eastAsia="fr-BE"/>
              </w:rPr>
              <w:br/>
              <w:t>by cohesion family DGs</w:t>
            </w:r>
          </w:p>
        </w:tc>
        <w:tc>
          <w:tcPr>
            <w:tcW w:w="1332" w:type="dxa"/>
            <w:tcBorders>
              <w:left w:val="nil"/>
              <w:bottom w:val="single" w:sz="4" w:space="0" w:color="auto"/>
              <w:right w:val="single" w:sz="4" w:space="0" w:color="auto"/>
            </w:tcBorders>
            <w:shd w:val="clear" w:color="auto" w:fill="FBEFD5"/>
            <w:textDirection w:val="btLr"/>
            <w:vAlign w:val="center"/>
            <w:hideMark/>
          </w:tcPr>
          <w:p>
            <w:pPr>
              <w:jc w:val="center"/>
              <w:rPr>
                <w:rFonts w:eastAsia="Times New Roman"/>
                <w:b/>
                <w:bCs/>
                <w:noProof/>
                <w:color w:val="000000"/>
                <w:sz w:val="18"/>
                <w:szCs w:val="18"/>
                <w:lang w:eastAsia="fr-BE"/>
              </w:rPr>
            </w:pPr>
            <w:r>
              <w:rPr>
                <w:rFonts w:eastAsia="Times New Roman"/>
                <w:b/>
                <w:bCs/>
                <w:noProof/>
                <w:color w:val="000000"/>
                <w:sz w:val="18"/>
                <w:szCs w:val="18"/>
                <w:lang w:eastAsia="fr-BE"/>
              </w:rPr>
              <w:t>Pre-financing cleared</w:t>
            </w:r>
          </w:p>
        </w:tc>
        <w:tc>
          <w:tcPr>
            <w:tcW w:w="1333" w:type="dxa"/>
            <w:gridSpan w:val="2"/>
            <w:tcBorders>
              <w:left w:val="nil"/>
              <w:bottom w:val="single" w:sz="4" w:space="0" w:color="auto"/>
              <w:right w:val="single" w:sz="4" w:space="0" w:color="auto"/>
            </w:tcBorders>
            <w:shd w:val="clear" w:color="auto" w:fill="FBEFD5"/>
            <w:textDirection w:val="btLr"/>
            <w:vAlign w:val="center"/>
            <w:hideMark/>
          </w:tcPr>
          <w:p>
            <w:pPr>
              <w:jc w:val="center"/>
              <w:rPr>
                <w:rFonts w:eastAsia="Times New Roman"/>
                <w:b/>
                <w:bCs/>
                <w:noProof/>
                <w:color w:val="000000"/>
                <w:sz w:val="18"/>
                <w:szCs w:val="18"/>
                <w:lang w:eastAsia="fr-BE"/>
              </w:rPr>
            </w:pPr>
            <w:r>
              <w:rPr>
                <w:rFonts w:eastAsia="Times New Roman"/>
                <w:b/>
                <w:bCs/>
                <w:noProof/>
                <w:color w:val="000000"/>
                <w:sz w:val="18"/>
                <w:szCs w:val="18"/>
                <w:lang w:eastAsia="fr-BE"/>
              </w:rPr>
              <w:t xml:space="preserve">Retentions (partially) released by cohesion </w:t>
            </w:r>
            <w:r>
              <w:rPr>
                <w:rFonts w:eastAsia="Times New Roman"/>
                <w:b/>
                <w:bCs/>
                <w:noProof/>
                <w:color w:val="000000"/>
                <w:sz w:val="18"/>
                <w:szCs w:val="18"/>
                <w:lang w:eastAsia="fr-BE"/>
              </w:rPr>
              <w:br/>
              <w:t>family DGs</w:t>
            </w:r>
          </w:p>
        </w:tc>
        <w:tc>
          <w:tcPr>
            <w:tcW w:w="1332" w:type="dxa"/>
            <w:tcBorders>
              <w:left w:val="nil"/>
              <w:bottom w:val="single" w:sz="4" w:space="0" w:color="auto"/>
              <w:right w:val="single" w:sz="4" w:space="0" w:color="auto"/>
            </w:tcBorders>
            <w:shd w:val="clear" w:color="auto" w:fill="FBEFD5"/>
            <w:textDirection w:val="btLr"/>
            <w:vAlign w:val="center"/>
            <w:hideMark/>
          </w:tcPr>
          <w:p>
            <w:pPr>
              <w:jc w:val="center"/>
              <w:rPr>
                <w:rFonts w:eastAsia="Times New Roman"/>
                <w:noProof/>
                <w:color w:val="000000"/>
                <w:sz w:val="18"/>
                <w:szCs w:val="18"/>
                <w:lang w:eastAsia="fr-BE"/>
              </w:rPr>
            </w:pPr>
            <w:r>
              <w:rPr>
                <w:rFonts w:eastAsia="Times New Roman"/>
                <w:b/>
                <w:bCs/>
                <w:noProof/>
                <w:color w:val="000000"/>
                <w:sz w:val="18"/>
                <w:szCs w:val="18"/>
                <w:lang w:eastAsia="fr-BE"/>
              </w:rPr>
              <w:t>Total relevant expenditure</w:t>
            </w:r>
            <w:r>
              <w:rPr>
                <w:rFonts w:eastAsia="Times New Roman"/>
                <w:noProof/>
                <w:color w:val="000000"/>
                <w:sz w:val="18"/>
                <w:szCs w:val="18"/>
                <w:lang w:eastAsia="fr-BE"/>
              </w:rPr>
              <w:br/>
            </w:r>
            <w:r>
              <w:rPr>
                <w:rFonts w:eastAsia="Times New Roman"/>
                <w:i/>
                <w:iCs/>
                <w:noProof/>
                <w:color w:val="000000"/>
                <w:sz w:val="18"/>
                <w:szCs w:val="18"/>
                <w:lang w:eastAsia="fr-BE"/>
              </w:rPr>
              <w:t>(f)=(a)-(b)+(c)+(d)-(e)</w:t>
            </w:r>
          </w:p>
        </w:tc>
        <w:tc>
          <w:tcPr>
            <w:tcW w:w="1333" w:type="dxa"/>
            <w:gridSpan w:val="2"/>
            <w:tcBorders>
              <w:left w:val="nil"/>
              <w:bottom w:val="single" w:sz="4" w:space="0" w:color="auto"/>
              <w:right w:val="single" w:sz="4" w:space="0" w:color="auto"/>
            </w:tcBorders>
            <w:shd w:val="clear" w:color="auto" w:fill="FBEFD5"/>
            <w:vAlign w:val="center"/>
            <w:hideMark/>
          </w:tcPr>
          <w:p>
            <w:pPr>
              <w:jc w:val="center"/>
              <w:rPr>
                <w:rFonts w:eastAsia="Times New Roman"/>
                <w:noProof/>
                <w:color w:val="000000"/>
                <w:sz w:val="18"/>
                <w:szCs w:val="18"/>
                <w:lang w:eastAsia="fr-BE"/>
              </w:rPr>
            </w:pPr>
            <w:r>
              <w:rPr>
                <w:rFonts w:eastAsia="Times New Roman"/>
                <w:b/>
                <w:bCs/>
                <w:noProof/>
                <w:color w:val="000000"/>
                <w:sz w:val="18"/>
                <w:szCs w:val="18"/>
                <w:lang w:eastAsia="fr-BE"/>
              </w:rPr>
              <w:t>Estimated risk at payment</w:t>
            </w:r>
            <w:r>
              <w:rPr>
                <w:rFonts w:eastAsia="Times New Roman"/>
                <w:noProof/>
                <w:color w:val="000000"/>
                <w:sz w:val="18"/>
                <w:szCs w:val="18"/>
                <w:lang w:eastAsia="fr-BE"/>
              </w:rPr>
              <w:br/>
            </w:r>
            <w:r>
              <w:rPr>
                <w:rFonts w:eastAsia="Times New Roman"/>
                <w:noProof/>
                <w:color w:val="000000"/>
                <w:sz w:val="18"/>
                <w:szCs w:val="18"/>
                <w:lang w:eastAsia="fr-BE"/>
              </w:rPr>
              <w:br/>
            </w:r>
            <w:r>
              <w:rPr>
                <w:rFonts w:eastAsia="Times New Roman"/>
                <w:i/>
                <w:iCs/>
                <w:noProof/>
                <w:color w:val="000000"/>
                <w:sz w:val="18"/>
                <w:szCs w:val="18"/>
                <w:lang w:eastAsia="fr-BE"/>
              </w:rPr>
              <w:t>Average error</w:t>
            </w:r>
            <w:r>
              <w:rPr>
                <w:rFonts w:eastAsia="Times New Roman"/>
                <w:i/>
                <w:iCs/>
                <w:noProof/>
                <w:color w:val="000000"/>
                <w:sz w:val="18"/>
                <w:szCs w:val="18"/>
                <w:lang w:eastAsia="fr-BE"/>
              </w:rPr>
              <w:br/>
              <w:t>rate applied on (f)</w:t>
            </w:r>
          </w:p>
        </w:tc>
        <w:tc>
          <w:tcPr>
            <w:tcW w:w="1332" w:type="dxa"/>
            <w:gridSpan w:val="3"/>
            <w:tcBorders>
              <w:left w:val="nil"/>
              <w:bottom w:val="single" w:sz="4" w:space="0" w:color="auto"/>
              <w:right w:val="single" w:sz="4" w:space="0" w:color="auto"/>
            </w:tcBorders>
            <w:shd w:val="clear" w:color="auto" w:fill="FBEFD5"/>
            <w:vAlign w:val="center"/>
            <w:hideMark/>
          </w:tcPr>
          <w:p>
            <w:pPr>
              <w:jc w:val="center"/>
              <w:rPr>
                <w:rFonts w:eastAsia="Times New Roman"/>
                <w:noProof/>
                <w:color w:val="000000"/>
                <w:sz w:val="18"/>
                <w:szCs w:val="18"/>
                <w:lang w:eastAsia="fr-BE"/>
              </w:rPr>
            </w:pPr>
            <w:r>
              <w:rPr>
                <w:rFonts w:eastAsia="Times New Roman"/>
                <w:b/>
                <w:bCs/>
                <w:noProof/>
                <w:color w:val="000000"/>
                <w:sz w:val="18"/>
                <w:szCs w:val="18"/>
                <w:lang w:eastAsia="fr-BE"/>
              </w:rPr>
              <w:t>Estimated future</w:t>
            </w:r>
            <w:r>
              <w:rPr>
                <w:rFonts w:eastAsia="Times New Roman"/>
                <w:b/>
                <w:bCs/>
                <w:noProof/>
                <w:color w:val="000000"/>
                <w:sz w:val="18"/>
                <w:szCs w:val="18"/>
                <w:lang w:eastAsia="fr-BE"/>
              </w:rPr>
              <w:br/>
              <w:t>corrections</w:t>
            </w:r>
            <w:r>
              <w:rPr>
                <w:rFonts w:eastAsia="Times New Roman"/>
                <w:noProof/>
                <w:color w:val="000000"/>
                <w:sz w:val="18"/>
                <w:szCs w:val="18"/>
                <w:lang w:eastAsia="fr-BE"/>
              </w:rPr>
              <w:br/>
            </w:r>
            <w:r>
              <w:rPr>
                <w:rFonts w:eastAsia="Times New Roman"/>
                <w:noProof/>
                <w:color w:val="000000"/>
                <w:sz w:val="18"/>
                <w:szCs w:val="18"/>
                <w:lang w:eastAsia="fr-BE"/>
              </w:rPr>
              <w:br/>
            </w:r>
            <w:r>
              <w:rPr>
                <w:rFonts w:eastAsia="Times New Roman"/>
                <w:i/>
                <w:iCs/>
                <w:noProof/>
                <w:color w:val="000000"/>
                <w:sz w:val="18"/>
                <w:szCs w:val="18"/>
                <w:lang w:eastAsia="fr-BE"/>
              </w:rPr>
              <w:t xml:space="preserve">Adjusted rate of </w:t>
            </w:r>
            <w:r>
              <w:rPr>
                <w:rFonts w:eastAsia="Times New Roman"/>
                <w:i/>
                <w:iCs/>
                <w:noProof/>
                <w:color w:val="000000"/>
                <w:sz w:val="18"/>
                <w:szCs w:val="18"/>
                <w:lang w:eastAsia="fr-BE"/>
              </w:rPr>
              <w:br/>
              <w:t xml:space="preserve">average recoveries </w:t>
            </w:r>
            <w:r>
              <w:rPr>
                <w:rFonts w:eastAsia="Times New Roman"/>
                <w:i/>
                <w:iCs/>
                <w:noProof/>
                <w:color w:val="000000"/>
                <w:sz w:val="18"/>
                <w:szCs w:val="18"/>
                <w:lang w:eastAsia="fr-BE"/>
              </w:rPr>
              <w:br/>
              <w:t xml:space="preserve">and corrections </w:t>
            </w:r>
            <w:r>
              <w:rPr>
                <w:rFonts w:eastAsia="Times New Roman"/>
                <w:i/>
                <w:iCs/>
                <w:noProof/>
                <w:color w:val="000000"/>
                <w:sz w:val="18"/>
                <w:szCs w:val="18"/>
                <w:lang w:eastAsia="fr-BE"/>
              </w:rPr>
              <w:br/>
              <w:t>applied on (f)</w:t>
            </w:r>
          </w:p>
        </w:tc>
        <w:tc>
          <w:tcPr>
            <w:tcW w:w="1333" w:type="dxa"/>
            <w:tcBorders>
              <w:left w:val="nil"/>
              <w:bottom w:val="single" w:sz="4" w:space="0" w:color="auto"/>
            </w:tcBorders>
            <w:shd w:val="clear" w:color="auto" w:fill="FBEFD5"/>
            <w:vAlign w:val="center"/>
            <w:hideMark/>
          </w:tcPr>
          <w:p>
            <w:pPr>
              <w:jc w:val="center"/>
              <w:rPr>
                <w:rFonts w:eastAsia="Times New Roman"/>
                <w:noProof/>
                <w:color w:val="000000"/>
                <w:sz w:val="18"/>
                <w:szCs w:val="18"/>
                <w:lang w:eastAsia="fr-BE"/>
              </w:rPr>
            </w:pPr>
            <w:r>
              <w:rPr>
                <w:rFonts w:eastAsia="Times New Roman"/>
                <w:b/>
                <w:bCs/>
                <w:noProof/>
                <w:color w:val="000000"/>
                <w:sz w:val="18"/>
                <w:szCs w:val="18"/>
                <w:lang w:eastAsia="fr-BE"/>
              </w:rPr>
              <w:t>Estimated risk at closure</w:t>
            </w:r>
            <w:r>
              <w:rPr>
                <w:rFonts w:eastAsia="Times New Roman"/>
                <w:noProof/>
                <w:color w:val="000000"/>
                <w:sz w:val="18"/>
                <w:szCs w:val="18"/>
                <w:lang w:eastAsia="fr-BE"/>
              </w:rPr>
              <w:br/>
            </w:r>
            <w:r>
              <w:rPr>
                <w:rFonts w:eastAsia="Times New Roman"/>
                <w:noProof/>
                <w:color w:val="000000"/>
                <w:sz w:val="18"/>
                <w:szCs w:val="18"/>
                <w:lang w:eastAsia="fr-BE"/>
              </w:rPr>
              <w:br/>
            </w:r>
            <w:r>
              <w:rPr>
                <w:rFonts w:eastAsia="Times New Roman"/>
                <w:i/>
                <w:iCs/>
                <w:noProof/>
                <w:color w:val="000000"/>
                <w:sz w:val="18"/>
                <w:szCs w:val="18"/>
                <w:lang w:eastAsia="fr-BE"/>
              </w:rPr>
              <w:t>(g)</w:t>
            </w:r>
            <w:r>
              <w:rPr>
                <w:rFonts w:ascii="Calibri" w:eastAsia="Times New Roman" w:hAnsi="Calibri" w:cs="Calibri"/>
                <w:i/>
                <w:iCs/>
                <w:noProof/>
                <w:color w:val="000000"/>
                <w:sz w:val="18"/>
                <w:szCs w:val="18"/>
                <w:lang w:eastAsia="fr-BE"/>
              </w:rPr>
              <w:t> – </w:t>
            </w:r>
            <w:r>
              <w:rPr>
                <w:rFonts w:eastAsia="Times New Roman"/>
                <w:i/>
                <w:iCs/>
                <w:noProof/>
                <w:color w:val="000000"/>
                <w:sz w:val="18"/>
                <w:szCs w:val="18"/>
                <w:lang w:eastAsia="fr-BE"/>
              </w:rPr>
              <w:t>(–</w:t>
            </w:r>
            <w:r>
              <w:rPr>
                <w:rFonts w:ascii="Calibri" w:eastAsia="Times New Roman" w:hAnsi="Calibri" w:cs="Calibri"/>
                <w:i/>
                <w:iCs/>
                <w:noProof/>
                <w:color w:val="000000"/>
                <w:sz w:val="18"/>
                <w:szCs w:val="18"/>
                <w:lang w:eastAsia="fr-BE"/>
              </w:rPr>
              <w:t> </w:t>
            </w:r>
            <w:r>
              <w:rPr>
                <w:rFonts w:eastAsia="Times New Roman"/>
                <w:i/>
                <w:iCs/>
                <w:noProof/>
                <w:color w:val="000000"/>
                <w:sz w:val="18"/>
                <w:szCs w:val="18"/>
                <w:lang w:eastAsia="fr-BE"/>
              </w:rPr>
              <w:t>h)</w:t>
            </w:r>
          </w:p>
        </w:tc>
      </w:tr>
      <w:tr>
        <w:trPr>
          <w:trHeight w:val="300"/>
          <w:tblHeader/>
        </w:trPr>
        <w:tc>
          <w:tcPr>
            <w:tcW w:w="1548" w:type="dxa"/>
            <w:tcBorders>
              <w:bottom w:val="nil"/>
              <w:right w:val="single" w:sz="4" w:space="0" w:color="auto"/>
            </w:tcBorders>
            <w:shd w:val="clear" w:color="auto" w:fill="FBEFD5"/>
            <w:noWrap/>
            <w:vAlign w:val="center"/>
            <w:hideMark/>
          </w:tcPr>
          <w:p>
            <w:pPr>
              <w:rPr>
                <w:rFonts w:eastAsia="Times New Roman"/>
                <w:b/>
                <w:bCs/>
                <w:noProof/>
                <w:color w:val="000000"/>
                <w:sz w:val="18"/>
                <w:szCs w:val="18"/>
                <w:lang w:eastAsia="fr-BE"/>
              </w:rPr>
            </w:pPr>
          </w:p>
        </w:tc>
        <w:tc>
          <w:tcPr>
            <w:tcW w:w="919" w:type="dxa"/>
            <w:tcBorders>
              <w:left w:val="single" w:sz="4" w:space="0" w:color="auto"/>
              <w:bottom w:val="single" w:sz="4" w:space="0" w:color="000000"/>
              <w:right w:val="single" w:sz="4" w:space="0" w:color="auto"/>
            </w:tcBorders>
            <w:shd w:val="clear" w:color="auto" w:fill="FBEFD5"/>
            <w:vAlign w:val="center"/>
            <w:hideMark/>
          </w:tcPr>
          <w:p>
            <w:pPr>
              <w:rPr>
                <w:rFonts w:eastAsia="Times New Roman"/>
                <w:b/>
                <w:bCs/>
                <w:noProof/>
                <w:color w:val="000000"/>
                <w:sz w:val="18"/>
                <w:szCs w:val="18"/>
                <w:lang w:eastAsia="fr-BE"/>
              </w:rPr>
            </w:pPr>
          </w:p>
        </w:tc>
        <w:tc>
          <w:tcPr>
            <w:tcW w:w="1332" w:type="dxa"/>
            <w:gridSpan w:val="2"/>
            <w:tcBorders>
              <w:top w:val="nil"/>
              <w:left w:val="nil"/>
              <w:bottom w:val="single" w:sz="4" w:space="0" w:color="auto"/>
              <w:right w:val="single" w:sz="4" w:space="0" w:color="auto"/>
            </w:tcBorders>
            <w:shd w:val="clear" w:color="auto" w:fill="FBEFD5"/>
            <w:vAlign w:val="center"/>
            <w:hideMark/>
          </w:tcPr>
          <w:p>
            <w:pPr>
              <w:jc w:val="center"/>
              <w:rPr>
                <w:rFonts w:eastAsia="Times New Roman"/>
                <w:i/>
                <w:iCs/>
                <w:noProof/>
                <w:color w:val="000000"/>
                <w:sz w:val="18"/>
                <w:szCs w:val="18"/>
                <w:lang w:eastAsia="fr-BE"/>
              </w:rPr>
            </w:pPr>
            <w:r>
              <w:rPr>
                <w:rFonts w:eastAsia="Times New Roman"/>
                <w:i/>
                <w:iCs/>
                <w:noProof/>
                <w:color w:val="000000"/>
                <w:sz w:val="18"/>
                <w:szCs w:val="18"/>
                <w:lang w:eastAsia="fr-BE"/>
              </w:rPr>
              <w:t>(a)</w:t>
            </w:r>
          </w:p>
        </w:tc>
        <w:tc>
          <w:tcPr>
            <w:tcW w:w="1332" w:type="dxa"/>
            <w:tcBorders>
              <w:top w:val="nil"/>
              <w:left w:val="nil"/>
              <w:bottom w:val="single" w:sz="4" w:space="0" w:color="auto"/>
              <w:right w:val="single" w:sz="4" w:space="0" w:color="auto"/>
            </w:tcBorders>
            <w:shd w:val="clear" w:color="auto" w:fill="FBEFD5"/>
            <w:vAlign w:val="center"/>
            <w:hideMark/>
          </w:tcPr>
          <w:p>
            <w:pPr>
              <w:jc w:val="center"/>
              <w:rPr>
                <w:rFonts w:eastAsia="Times New Roman"/>
                <w:i/>
                <w:iCs/>
                <w:noProof/>
                <w:color w:val="000000"/>
                <w:sz w:val="18"/>
                <w:szCs w:val="18"/>
                <w:lang w:eastAsia="fr-BE"/>
              </w:rPr>
            </w:pPr>
            <w:r>
              <w:rPr>
                <w:rFonts w:eastAsia="Times New Roman"/>
                <w:i/>
                <w:iCs/>
                <w:noProof/>
                <w:color w:val="000000"/>
                <w:sz w:val="18"/>
                <w:szCs w:val="18"/>
                <w:lang w:eastAsia="fr-BE"/>
              </w:rPr>
              <w:t>(b)</w:t>
            </w:r>
          </w:p>
        </w:tc>
        <w:tc>
          <w:tcPr>
            <w:tcW w:w="1333" w:type="dxa"/>
            <w:gridSpan w:val="3"/>
            <w:tcBorders>
              <w:top w:val="nil"/>
              <w:left w:val="nil"/>
              <w:bottom w:val="single" w:sz="4" w:space="0" w:color="auto"/>
              <w:right w:val="single" w:sz="4" w:space="0" w:color="auto"/>
            </w:tcBorders>
            <w:shd w:val="clear" w:color="auto" w:fill="FBEFD5"/>
            <w:vAlign w:val="center"/>
            <w:hideMark/>
          </w:tcPr>
          <w:p>
            <w:pPr>
              <w:jc w:val="center"/>
              <w:rPr>
                <w:rFonts w:eastAsia="Times New Roman"/>
                <w:i/>
                <w:iCs/>
                <w:noProof/>
                <w:color w:val="000000"/>
                <w:sz w:val="18"/>
                <w:szCs w:val="18"/>
                <w:lang w:eastAsia="fr-BE"/>
              </w:rPr>
            </w:pPr>
            <w:r>
              <w:rPr>
                <w:rFonts w:eastAsia="Times New Roman"/>
                <w:i/>
                <w:iCs/>
                <w:noProof/>
                <w:color w:val="000000"/>
                <w:sz w:val="18"/>
                <w:szCs w:val="18"/>
                <w:lang w:eastAsia="fr-BE"/>
              </w:rPr>
              <w:t>(c)</w:t>
            </w:r>
          </w:p>
        </w:tc>
        <w:tc>
          <w:tcPr>
            <w:tcW w:w="1332" w:type="dxa"/>
            <w:tcBorders>
              <w:top w:val="nil"/>
              <w:left w:val="nil"/>
              <w:bottom w:val="single" w:sz="4" w:space="0" w:color="auto"/>
              <w:right w:val="single" w:sz="4" w:space="0" w:color="auto"/>
            </w:tcBorders>
            <w:shd w:val="clear" w:color="auto" w:fill="FBEFD5"/>
            <w:vAlign w:val="center"/>
            <w:hideMark/>
          </w:tcPr>
          <w:p>
            <w:pPr>
              <w:jc w:val="center"/>
              <w:rPr>
                <w:rFonts w:eastAsia="Times New Roman"/>
                <w:i/>
                <w:iCs/>
                <w:noProof/>
                <w:color w:val="000000"/>
                <w:sz w:val="18"/>
                <w:szCs w:val="18"/>
                <w:lang w:eastAsia="fr-BE"/>
              </w:rPr>
            </w:pPr>
            <w:r>
              <w:rPr>
                <w:rFonts w:eastAsia="Times New Roman"/>
                <w:i/>
                <w:iCs/>
                <w:noProof/>
                <w:color w:val="000000"/>
                <w:sz w:val="18"/>
                <w:szCs w:val="18"/>
                <w:lang w:eastAsia="fr-BE"/>
              </w:rPr>
              <w:t>(d)</w:t>
            </w:r>
          </w:p>
        </w:tc>
        <w:tc>
          <w:tcPr>
            <w:tcW w:w="1333" w:type="dxa"/>
            <w:gridSpan w:val="2"/>
            <w:tcBorders>
              <w:top w:val="nil"/>
              <w:left w:val="nil"/>
              <w:bottom w:val="single" w:sz="4" w:space="0" w:color="auto"/>
              <w:right w:val="single" w:sz="4" w:space="0" w:color="auto"/>
            </w:tcBorders>
            <w:shd w:val="clear" w:color="auto" w:fill="FBEFD5"/>
            <w:vAlign w:val="center"/>
            <w:hideMark/>
          </w:tcPr>
          <w:p>
            <w:pPr>
              <w:jc w:val="center"/>
              <w:rPr>
                <w:rFonts w:eastAsia="Times New Roman"/>
                <w:i/>
                <w:iCs/>
                <w:noProof/>
                <w:color w:val="000000"/>
                <w:sz w:val="18"/>
                <w:szCs w:val="18"/>
                <w:lang w:eastAsia="fr-BE"/>
              </w:rPr>
            </w:pPr>
            <w:r>
              <w:rPr>
                <w:rFonts w:eastAsia="Times New Roman"/>
                <w:i/>
                <w:iCs/>
                <w:noProof/>
                <w:color w:val="000000"/>
                <w:sz w:val="18"/>
                <w:szCs w:val="18"/>
                <w:lang w:eastAsia="fr-BE"/>
              </w:rPr>
              <w:t>(e)</w:t>
            </w:r>
          </w:p>
        </w:tc>
        <w:tc>
          <w:tcPr>
            <w:tcW w:w="1332" w:type="dxa"/>
            <w:tcBorders>
              <w:top w:val="nil"/>
              <w:left w:val="nil"/>
              <w:bottom w:val="single" w:sz="4" w:space="0" w:color="auto"/>
              <w:right w:val="single" w:sz="4" w:space="0" w:color="auto"/>
            </w:tcBorders>
            <w:shd w:val="clear" w:color="auto" w:fill="FBEFD5"/>
            <w:vAlign w:val="center"/>
            <w:hideMark/>
          </w:tcPr>
          <w:p>
            <w:pPr>
              <w:jc w:val="center"/>
              <w:rPr>
                <w:rFonts w:eastAsia="Times New Roman"/>
                <w:i/>
                <w:iCs/>
                <w:noProof/>
                <w:color w:val="000000"/>
                <w:sz w:val="18"/>
                <w:szCs w:val="18"/>
                <w:lang w:eastAsia="fr-BE"/>
              </w:rPr>
            </w:pPr>
            <w:r>
              <w:rPr>
                <w:rFonts w:eastAsia="Times New Roman"/>
                <w:i/>
                <w:iCs/>
                <w:noProof/>
                <w:color w:val="000000"/>
                <w:sz w:val="18"/>
                <w:szCs w:val="18"/>
                <w:lang w:eastAsia="fr-BE"/>
              </w:rPr>
              <w:t>(f)</w:t>
            </w:r>
          </w:p>
        </w:tc>
        <w:tc>
          <w:tcPr>
            <w:tcW w:w="1333" w:type="dxa"/>
            <w:gridSpan w:val="2"/>
            <w:tcBorders>
              <w:top w:val="nil"/>
              <w:left w:val="nil"/>
              <w:bottom w:val="single" w:sz="4" w:space="0" w:color="auto"/>
              <w:right w:val="single" w:sz="4" w:space="0" w:color="auto"/>
            </w:tcBorders>
            <w:shd w:val="clear" w:color="auto" w:fill="FBEFD5"/>
            <w:vAlign w:val="center"/>
            <w:hideMark/>
          </w:tcPr>
          <w:p>
            <w:pPr>
              <w:jc w:val="center"/>
              <w:rPr>
                <w:rFonts w:eastAsia="Times New Roman"/>
                <w:i/>
                <w:iCs/>
                <w:noProof/>
                <w:color w:val="000000"/>
                <w:sz w:val="18"/>
                <w:szCs w:val="18"/>
                <w:lang w:eastAsia="fr-BE"/>
              </w:rPr>
            </w:pPr>
            <w:r>
              <w:rPr>
                <w:rFonts w:eastAsia="Times New Roman"/>
                <w:i/>
                <w:iCs/>
                <w:noProof/>
                <w:color w:val="000000"/>
                <w:sz w:val="18"/>
                <w:szCs w:val="18"/>
                <w:lang w:eastAsia="fr-BE"/>
              </w:rPr>
              <w:t>(g)</w:t>
            </w:r>
          </w:p>
        </w:tc>
        <w:tc>
          <w:tcPr>
            <w:tcW w:w="1332" w:type="dxa"/>
            <w:gridSpan w:val="3"/>
            <w:tcBorders>
              <w:top w:val="nil"/>
              <w:left w:val="nil"/>
              <w:bottom w:val="single" w:sz="4" w:space="0" w:color="auto"/>
              <w:right w:val="single" w:sz="4" w:space="0" w:color="auto"/>
            </w:tcBorders>
            <w:shd w:val="clear" w:color="auto" w:fill="FBEFD5"/>
            <w:vAlign w:val="center"/>
            <w:hideMark/>
          </w:tcPr>
          <w:p>
            <w:pPr>
              <w:jc w:val="center"/>
              <w:rPr>
                <w:rFonts w:eastAsia="Times New Roman"/>
                <w:i/>
                <w:iCs/>
                <w:noProof/>
                <w:color w:val="000000"/>
                <w:sz w:val="18"/>
                <w:szCs w:val="18"/>
                <w:lang w:eastAsia="fr-BE"/>
              </w:rPr>
            </w:pPr>
            <w:r>
              <w:rPr>
                <w:rFonts w:eastAsia="Times New Roman"/>
                <w:i/>
                <w:iCs/>
                <w:noProof/>
                <w:color w:val="000000"/>
                <w:sz w:val="18"/>
                <w:szCs w:val="18"/>
                <w:lang w:eastAsia="fr-BE"/>
              </w:rPr>
              <w:t>(h)</w:t>
            </w:r>
          </w:p>
        </w:tc>
        <w:tc>
          <w:tcPr>
            <w:tcW w:w="1333" w:type="dxa"/>
            <w:tcBorders>
              <w:top w:val="nil"/>
              <w:left w:val="nil"/>
              <w:bottom w:val="single" w:sz="4" w:space="0" w:color="auto"/>
            </w:tcBorders>
            <w:shd w:val="clear" w:color="auto" w:fill="FBEFD5"/>
            <w:vAlign w:val="center"/>
            <w:hideMark/>
          </w:tcPr>
          <w:p>
            <w:pPr>
              <w:jc w:val="center"/>
              <w:rPr>
                <w:rFonts w:eastAsia="Times New Roman"/>
                <w:i/>
                <w:iCs/>
                <w:noProof/>
                <w:color w:val="000000"/>
                <w:sz w:val="18"/>
                <w:szCs w:val="18"/>
                <w:lang w:eastAsia="fr-BE"/>
              </w:rPr>
            </w:pPr>
            <w:r>
              <w:rPr>
                <w:rFonts w:eastAsia="Times New Roman"/>
                <w:i/>
                <w:iCs/>
                <w:noProof/>
                <w:color w:val="000000"/>
                <w:sz w:val="18"/>
                <w:szCs w:val="18"/>
                <w:lang w:eastAsia="fr-BE"/>
              </w:rPr>
              <w:t>(i)</w:t>
            </w:r>
          </w:p>
        </w:tc>
      </w:tr>
      <w:tr>
        <w:trPr>
          <w:trHeight w:val="227"/>
        </w:trPr>
        <w:tc>
          <w:tcPr>
            <w:tcW w:w="1548" w:type="dxa"/>
            <w:tcBorders>
              <w:top w:val="single" w:sz="4" w:space="0" w:color="auto"/>
              <w:bottom w:val="single" w:sz="4" w:space="0" w:color="auto"/>
              <w:right w:val="single" w:sz="4" w:space="0" w:color="auto"/>
            </w:tcBorders>
            <w:shd w:val="clear" w:color="auto" w:fill="E9F5F7"/>
            <w:noWrap/>
            <w:vAlign w:val="center"/>
            <w:hideMark/>
          </w:tcPr>
          <w:p>
            <w:pPr>
              <w:rPr>
                <w:rFonts w:eastAsia="Times New Roman"/>
                <w:b/>
                <w:bCs/>
                <w:noProof/>
                <w:color w:val="000000"/>
                <w:sz w:val="18"/>
                <w:szCs w:val="18"/>
                <w:lang w:eastAsia="fr-BE"/>
              </w:rPr>
            </w:pPr>
            <w:r>
              <w:rPr>
                <w:rFonts w:eastAsia="Times New Roman"/>
                <w:b/>
                <w:bCs/>
                <w:noProof/>
                <w:color w:val="000000"/>
                <w:sz w:val="18"/>
                <w:szCs w:val="18"/>
                <w:lang w:eastAsia="fr-BE"/>
              </w:rPr>
              <w:t>Agriculture</w:t>
            </w:r>
          </w:p>
        </w:tc>
        <w:tc>
          <w:tcPr>
            <w:tcW w:w="919"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AGRI</w:t>
            </w:r>
          </w:p>
        </w:tc>
        <w:tc>
          <w:tcPr>
            <w:tcW w:w="1332"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56</w:t>
            </w:r>
            <w:r>
              <w:rPr>
                <w:rFonts w:ascii="Calibri" w:hAnsi="Calibri" w:cs="Calibri"/>
                <w:noProof/>
                <w:sz w:val="17"/>
                <w:szCs w:val="17"/>
              </w:rPr>
              <w:t> </w:t>
            </w:r>
            <w:r>
              <w:rPr>
                <w:rFonts w:asciiTheme="minorHAnsi" w:hAnsiTheme="minorHAnsi"/>
                <w:noProof/>
                <w:sz w:val="17"/>
                <w:szCs w:val="17"/>
              </w:rPr>
              <w:t>830.3</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61.1</w:t>
            </w:r>
          </w:p>
        </w:tc>
        <w:tc>
          <w:tcPr>
            <w:tcW w:w="1333" w:type="dxa"/>
            <w:gridSpan w:val="3"/>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100.6</w:t>
            </w:r>
          </w:p>
        </w:tc>
        <w:tc>
          <w:tcPr>
            <w:tcW w:w="1333"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56</w:t>
            </w:r>
            <w:r>
              <w:rPr>
                <w:rFonts w:ascii="Calibri" w:hAnsi="Calibri" w:cs="Calibri"/>
                <w:noProof/>
                <w:sz w:val="17"/>
                <w:szCs w:val="17"/>
              </w:rPr>
              <w:t> </w:t>
            </w:r>
            <w:r>
              <w:rPr>
                <w:rFonts w:asciiTheme="minorHAnsi" w:hAnsiTheme="minorHAnsi"/>
                <w:noProof/>
                <w:sz w:val="17"/>
                <w:szCs w:val="17"/>
              </w:rPr>
              <w:t>869.8</w:t>
            </w:r>
          </w:p>
        </w:tc>
        <w:tc>
          <w:tcPr>
            <w:tcW w:w="1333"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222.6</w:t>
            </w:r>
          </w:p>
        </w:tc>
        <w:tc>
          <w:tcPr>
            <w:tcW w:w="1332" w:type="dxa"/>
            <w:gridSpan w:val="3"/>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081.6</w:t>
            </w:r>
          </w:p>
        </w:tc>
        <w:tc>
          <w:tcPr>
            <w:tcW w:w="1333" w:type="dxa"/>
            <w:tcBorders>
              <w:top w:val="nil"/>
              <w:left w:val="nil"/>
              <w:bottom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141.0</w:t>
            </w:r>
          </w:p>
        </w:tc>
      </w:tr>
      <w:tr>
        <w:trPr>
          <w:trHeight w:val="227"/>
        </w:trPr>
        <w:tc>
          <w:tcPr>
            <w:tcW w:w="1548" w:type="dxa"/>
            <w:vMerge w:val="restart"/>
            <w:tcBorders>
              <w:top w:val="nil"/>
              <w:bottom w:val="single" w:sz="4" w:space="0" w:color="000000"/>
              <w:right w:val="single" w:sz="4" w:space="0" w:color="auto"/>
            </w:tcBorders>
            <w:shd w:val="clear" w:color="auto" w:fill="D7EDF1"/>
            <w:noWrap/>
            <w:vAlign w:val="center"/>
            <w:hideMark/>
          </w:tcPr>
          <w:p>
            <w:pPr>
              <w:rPr>
                <w:rFonts w:eastAsia="Times New Roman"/>
                <w:b/>
                <w:bCs/>
                <w:noProof/>
                <w:color w:val="000000"/>
                <w:sz w:val="18"/>
                <w:szCs w:val="18"/>
                <w:lang w:eastAsia="fr-BE"/>
              </w:rPr>
            </w:pPr>
            <w:r>
              <w:rPr>
                <w:rFonts w:eastAsia="Times New Roman"/>
                <w:b/>
                <w:bCs/>
                <w:noProof/>
                <w:color w:val="000000"/>
                <w:sz w:val="18"/>
                <w:szCs w:val="18"/>
                <w:lang w:eastAsia="fr-BE"/>
              </w:rPr>
              <w:t>Cohesion, migration and fisheries</w:t>
            </w: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EMPL</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14</w:t>
            </w:r>
            <w:r>
              <w:rPr>
                <w:rFonts w:ascii="Calibri" w:hAnsi="Calibri" w:cs="Calibri"/>
                <w:noProof/>
                <w:sz w:val="17"/>
                <w:szCs w:val="17"/>
              </w:rPr>
              <w:t> </w:t>
            </w:r>
            <w:r>
              <w:rPr>
                <w:rFonts w:asciiTheme="minorHAnsi" w:hAnsiTheme="minorHAnsi"/>
                <w:noProof/>
                <w:sz w:val="17"/>
                <w:szCs w:val="17"/>
              </w:rPr>
              <w:t>567.8</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2</w:t>
            </w:r>
            <w:r>
              <w:rPr>
                <w:rFonts w:ascii="Calibri" w:hAnsi="Calibri" w:cs="Calibri"/>
                <w:noProof/>
                <w:sz w:val="17"/>
                <w:szCs w:val="17"/>
              </w:rPr>
              <w:t> </w:t>
            </w:r>
            <w:r>
              <w:rPr>
                <w:rFonts w:asciiTheme="minorHAnsi" w:hAnsiTheme="minorHAnsi"/>
                <w:noProof/>
                <w:sz w:val="17"/>
                <w:szCs w:val="17"/>
              </w:rPr>
              <w:t>602.3</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220.6</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886.4</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674.0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13</w:t>
            </w:r>
            <w:r>
              <w:rPr>
                <w:rFonts w:ascii="Calibri" w:hAnsi="Calibri" w:cs="Calibri"/>
                <w:noProof/>
                <w:sz w:val="17"/>
                <w:szCs w:val="17"/>
              </w:rPr>
              <w:t> </w:t>
            </w:r>
            <w:r>
              <w:rPr>
                <w:rFonts w:asciiTheme="minorHAnsi" w:hAnsiTheme="minorHAnsi"/>
                <w:noProof/>
                <w:sz w:val="17"/>
                <w:szCs w:val="17"/>
              </w:rPr>
              <w:t>398.5</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247.4</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64.1</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183.3</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HOME</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853.6</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334.2</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369.1</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888.5</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30.6</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13.2</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17.4</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MARE</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849.0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183.4</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58.2</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170.6</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30.9</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863.5</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10.5</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10.4</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REGIO</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39</w:t>
            </w:r>
            <w:r>
              <w:rPr>
                <w:rFonts w:ascii="Calibri" w:hAnsi="Calibri" w:cs="Calibri"/>
                <w:noProof/>
                <w:sz w:val="17"/>
                <w:szCs w:val="17"/>
              </w:rPr>
              <w:t> </w:t>
            </w:r>
            <w:r>
              <w:rPr>
                <w:rFonts w:asciiTheme="minorHAnsi" w:hAnsiTheme="minorHAnsi"/>
                <w:noProof/>
                <w:sz w:val="17"/>
                <w:szCs w:val="17"/>
              </w:rPr>
              <w:t>531.1</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7</w:t>
            </w:r>
            <w:r>
              <w:rPr>
                <w:rFonts w:ascii="Calibri" w:hAnsi="Calibri" w:cs="Calibri"/>
                <w:noProof/>
                <w:sz w:val="17"/>
                <w:szCs w:val="17"/>
              </w:rPr>
              <w:t> </w:t>
            </w:r>
            <w:r>
              <w:rPr>
                <w:rFonts w:asciiTheme="minorHAnsi" w:hAnsiTheme="minorHAnsi"/>
                <w:noProof/>
                <w:sz w:val="17"/>
                <w:szCs w:val="17"/>
              </w:rPr>
              <w:t>033.3</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2</w:t>
            </w:r>
            <w:r>
              <w:rPr>
                <w:rFonts w:ascii="Calibri" w:hAnsi="Calibri" w:cs="Calibri"/>
                <w:noProof/>
                <w:sz w:val="17"/>
                <w:szCs w:val="17"/>
              </w:rPr>
              <w:t> </w:t>
            </w:r>
            <w:r>
              <w:rPr>
                <w:rFonts w:asciiTheme="minorHAnsi" w:hAnsiTheme="minorHAnsi"/>
                <w:noProof/>
                <w:sz w:val="17"/>
                <w:szCs w:val="17"/>
              </w:rPr>
              <w:t>923.2</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3</w:t>
            </w:r>
            <w:r>
              <w:rPr>
                <w:rFonts w:ascii="Calibri" w:hAnsi="Calibri" w:cs="Calibri"/>
                <w:noProof/>
                <w:sz w:val="17"/>
                <w:szCs w:val="17"/>
              </w:rPr>
              <w:t> </w:t>
            </w:r>
            <w:r>
              <w:rPr>
                <w:rFonts w:asciiTheme="minorHAnsi" w:hAnsiTheme="minorHAnsi"/>
                <w:noProof/>
                <w:sz w:val="17"/>
                <w:szCs w:val="17"/>
              </w:rPr>
              <w:t>850.5</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2</w:t>
            </w:r>
            <w:r>
              <w:rPr>
                <w:rFonts w:ascii="Calibri" w:hAnsi="Calibri" w:cs="Calibri"/>
                <w:noProof/>
                <w:sz w:val="17"/>
                <w:szCs w:val="17"/>
              </w:rPr>
              <w:t> </w:t>
            </w:r>
            <w:r>
              <w:rPr>
                <w:rFonts w:asciiTheme="minorHAnsi" w:hAnsiTheme="minorHAnsi"/>
                <w:noProof/>
                <w:sz w:val="17"/>
                <w:szCs w:val="17"/>
              </w:rPr>
              <w:t>483.0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36</w:t>
            </w:r>
            <w:r>
              <w:rPr>
                <w:rFonts w:ascii="Calibri" w:hAnsi="Calibri" w:cs="Calibri"/>
                <w:noProof/>
                <w:sz w:val="17"/>
                <w:szCs w:val="17"/>
              </w:rPr>
              <w:t> </w:t>
            </w:r>
            <w:r>
              <w:rPr>
                <w:rFonts w:asciiTheme="minorHAnsi" w:hAnsiTheme="minorHAnsi"/>
                <w:noProof/>
                <w:sz w:val="17"/>
                <w:szCs w:val="17"/>
              </w:rPr>
              <w:t>788.6</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610.7</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155.6</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455.1</w:t>
            </w:r>
          </w:p>
        </w:tc>
      </w:tr>
      <w:tr>
        <w:trPr>
          <w:trHeight w:val="227"/>
        </w:trPr>
        <w:tc>
          <w:tcPr>
            <w:tcW w:w="1548" w:type="dxa"/>
            <w:vMerge w:val="restart"/>
            <w:tcBorders>
              <w:top w:val="nil"/>
              <w:bottom w:val="single" w:sz="4" w:space="0" w:color="000000"/>
              <w:right w:val="single" w:sz="4" w:space="0" w:color="auto"/>
            </w:tcBorders>
            <w:shd w:val="clear" w:color="auto" w:fill="E9F5F7"/>
            <w:noWrap/>
            <w:vAlign w:val="center"/>
            <w:hideMark/>
          </w:tcPr>
          <w:p>
            <w:pPr>
              <w:rPr>
                <w:rFonts w:eastAsia="Times New Roman"/>
                <w:b/>
                <w:bCs/>
                <w:noProof/>
                <w:color w:val="000000"/>
                <w:sz w:val="18"/>
                <w:szCs w:val="18"/>
                <w:lang w:eastAsia="fr-BE"/>
              </w:rPr>
            </w:pPr>
            <w:r>
              <w:rPr>
                <w:rFonts w:eastAsia="Times New Roman"/>
                <w:b/>
                <w:bCs/>
                <w:noProof/>
                <w:color w:val="000000"/>
                <w:sz w:val="18"/>
                <w:szCs w:val="18"/>
                <w:lang w:eastAsia="fr-BE"/>
              </w:rPr>
              <w:t>External relations</w:t>
            </w:r>
          </w:p>
        </w:tc>
        <w:tc>
          <w:tcPr>
            <w:tcW w:w="919"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DEVCO</w:t>
            </w:r>
          </w:p>
        </w:tc>
        <w:tc>
          <w:tcPr>
            <w:tcW w:w="1332"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7</w:t>
            </w:r>
            <w:r>
              <w:rPr>
                <w:rFonts w:ascii="Calibri" w:hAnsi="Calibri" w:cs="Calibri"/>
                <w:noProof/>
                <w:sz w:val="17"/>
                <w:szCs w:val="17"/>
              </w:rPr>
              <w:t> </w:t>
            </w:r>
            <w:r>
              <w:rPr>
                <w:rFonts w:asciiTheme="minorHAnsi" w:hAnsiTheme="minorHAnsi"/>
                <w:noProof/>
                <w:sz w:val="17"/>
                <w:szCs w:val="17"/>
              </w:rPr>
              <w:t>580.2</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4</w:t>
            </w:r>
            <w:r>
              <w:rPr>
                <w:rFonts w:ascii="Calibri" w:hAnsi="Calibri" w:cs="Calibri"/>
                <w:noProof/>
                <w:sz w:val="17"/>
                <w:szCs w:val="17"/>
              </w:rPr>
              <w:t> </w:t>
            </w:r>
            <w:r>
              <w:rPr>
                <w:rFonts w:asciiTheme="minorHAnsi" w:hAnsiTheme="minorHAnsi"/>
                <w:noProof/>
                <w:sz w:val="17"/>
                <w:szCs w:val="17"/>
              </w:rPr>
              <w:t>533.9</w:t>
            </w:r>
          </w:p>
        </w:tc>
        <w:tc>
          <w:tcPr>
            <w:tcW w:w="1333" w:type="dxa"/>
            <w:gridSpan w:val="3"/>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3</w:t>
            </w:r>
            <w:r>
              <w:rPr>
                <w:rFonts w:ascii="Calibri" w:hAnsi="Calibri" w:cs="Calibri"/>
                <w:noProof/>
                <w:sz w:val="17"/>
                <w:szCs w:val="17"/>
              </w:rPr>
              <w:t> </w:t>
            </w:r>
            <w:r>
              <w:rPr>
                <w:rFonts w:asciiTheme="minorHAnsi" w:hAnsiTheme="minorHAnsi"/>
                <w:noProof/>
                <w:sz w:val="17"/>
                <w:szCs w:val="17"/>
              </w:rPr>
              <w:t>615.3</w:t>
            </w:r>
          </w:p>
        </w:tc>
        <w:tc>
          <w:tcPr>
            <w:tcW w:w="1333"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6</w:t>
            </w:r>
            <w:r>
              <w:rPr>
                <w:rFonts w:ascii="Calibri" w:hAnsi="Calibri" w:cs="Calibri"/>
                <w:noProof/>
                <w:sz w:val="17"/>
                <w:szCs w:val="17"/>
              </w:rPr>
              <w:t> </w:t>
            </w:r>
            <w:r>
              <w:rPr>
                <w:rFonts w:asciiTheme="minorHAnsi" w:hAnsiTheme="minorHAnsi"/>
                <w:noProof/>
                <w:sz w:val="17"/>
                <w:szCs w:val="17"/>
              </w:rPr>
              <w:t>661.6</w:t>
            </w:r>
          </w:p>
        </w:tc>
        <w:tc>
          <w:tcPr>
            <w:tcW w:w="1333"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64.7</w:t>
            </w:r>
          </w:p>
        </w:tc>
        <w:tc>
          <w:tcPr>
            <w:tcW w:w="1332" w:type="dxa"/>
            <w:gridSpan w:val="3"/>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14.9</w:t>
            </w:r>
          </w:p>
        </w:tc>
        <w:tc>
          <w:tcPr>
            <w:tcW w:w="1333" w:type="dxa"/>
            <w:tcBorders>
              <w:top w:val="nil"/>
              <w:left w:val="nil"/>
              <w:bottom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49.8</w:t>
            </w:r>
          </w:p>
        </w:tc>
      </w:tr>
      <w:tr>
        <w:trPr>
          <w:trHeight w:val="227"/>
        </w:trPr>
        <w:tc>
          <w:tcPr>
            <w:tcW w:w="1548" w:type="dxa"/>
            <w:vMerge/>
            <w:tcBorders>
              <w:top w:val="nil"/>
              <w:bottom w:val="single" w:sz="4" w:space="0" w:color="000000"/>
              <w:right w:val="single" w:sz="4" w:space="0" w:color="auto"/>
            </w:tcBorders>
            <w:shd w:val="clear" w:color="auto" w:fill="E9F5F7"/>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ECHO</w:t>
            </w:r>
          </w:p>
        </w:tc>
        <w:tc>
          <w:tcPr>
            <w:tcW w:w="1332"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773.4</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340.6</w:t>
            </w:r>
          </w:p>
        </w:tc>
        <w:tc>
          <w:tcPr>
            <w:tcW w:w="1333" w:type="dxa"/>
            <w:gridSpan w:val="3"/>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366.4</w:t>
            </w:r>
          </w:p>
        </w:tc>
        <w:tc>
          <w:tcPr>
            <w:tcW w:w="1333"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799.2</w:t>
            </w:r>
          </w:p>
        </w:tc>
        <w:tc>
          <w:tcPr>
            <w:tcW w:w="1333"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12.5</w:t>
            </w:r>
          </w:p>
        </w:tc>
        <w:tc>
          <w:tcPr>
            <w:tcW w:w="1332" w:type="dxa"/>
            <w:gridSpan w:val="3"/>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7.2</w:t>
            </w:r>
          </w:p>
        </w:tc>
        <w:tc>
          <w:tcPr>
            <w:tcW w:w="1333" w:type="dxa"/>
            <w:tcBorders>
              <w:top w:val="nil"/>
              <w:left w:val="nil"/>
              <w:bottom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5.3</w:t>
            </w:r>
          </w:p>
        </w:tc>
      </w:tr>
      <w:tr>
        <w:trPr>
          <w:trHeight w:val="227"/>
        </w:trPr>
        <w:tc>
          <w:tcPr>
            <w:tcW w:w="1548" w:type="dxa"/>
            <w:vMerge/>
            <w:tcBorders>
              <w:top w:val="nil"/>
              <w:bottom w:val="single" w:sz="4" w:space="0" w:color="000000"/>
              <w:right w:val="single" w:sz="4" w:space="0" w:color="auto"/>
            </w:tcBorders>
            <w:shd w:val="clear" w:color="auto" w:fill="E9F5F7"/>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FPI</w:t>
            </w:r>
          </w:p>
        </w:tc>
        <w:tc>
          <w:tcPr>
            <w:tcW w:w="1332"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733.9</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639.1</w:t>
            </w:r>
          </w:p>
        </w:tc>
        <w:tc>
          <w:tcPr>
            <w:tcW w:w="1333" w:type="dxa"/>
            <w:gridSpan w:val="3"/>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401.4</w:t>
            </w:r>
          </w:p>
        </w:tc>
        <w:tc>
          <w:tcPr>
            <w:tcW w:w="1333"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496.2</w:t>
            </w:r>
          </w:p>
        </w:tc>
        <w:tc>
          <w:tcPr>
            <w:tcW w:w="1333"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7.8</w:t>
            </w:r>
          </w:p>
        </w:tc>
        <w:tc>
          <w:tcPr>
            <w:tcW w:w="1332" w:type="dxa"/>
            <w:gridSpan w:val="3"/>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2.0</w:t>
            </w:r>
          </w:p>
        </w:tc>
        <w:tc>
          <w:tcPr>
            <w:tcW w:w="1333" w:type="dxa"/>
            <w:tcBorders>
              <w:top w:val="nil"/>
              <w:left w:val="nil"/>
              <w:bottom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5.9</w:t>
            </w:r>
          </w:p>
        </w:tc>
      </w:tr>
      <w:tr>
        <w:trPr>
          <w:trHeight w:val="227"/>
        </w:trPr>
        <w:tc>
          <w:tcPr>
            <w:tcW w:w="1548" w:type="dxa"/>
            <w:vMerge/>
            <w:tcBorders>
              <w:top w:val="nil"/>
              <w:bottom w:val="single" w:sz="4" w:space="0" w:color="000000"/>
              <w:right w:val="single" w:sz="4" w:space="0" w:color="auto"/>
            </w:tcBorders>
            <w:shd w:val="clear" w:color="auto" w:fill="E9F5F7"/>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NEAR</w:t>
            </w:r>
          </w:p>
        </w:tc>
        <w:tc>
          <w:tcPr>
            <w:tcW w:w="1332"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3</w:t>
            </w:r>
            <w:r>
              <w:rPr>
                <w:rFonts w:ascii="Calibri" w:hAnsi="Calibri" w:cs="Calibri"/>
                <w:noProof/>
                <w:sz w:val="17"/>
                <w:szCs w:val="17"/>
              </w:rPr>
              <w:t> </w:t>
            </w:r>
            <w:r>
              <w:rPr>
                <w:rFonts w:asciiTheme="minorHAnsi" w:hAnsiTheme="minorHAnsi"/>
                <w:noProof/>
                <w:sz w:val="17"/>
                <w:szCs w:val="17"/>
              </w:rPr>
              <w:t>177.5</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2</w:t>
            </w:r>
            <w:r>
              <w:rPr>
                <w:rFonts w:ascii="Calibri" w:hAnsi="Calibri" w:cs="Calibri"/>
                <w:noProof/>
                <w:sz w:val="17"/>
                <w:szCs w:val="17"/>
              </w:rPr>
              <w:t> </w:t>
            </w:r>
            <w:r>
              <w:rPr>
                <w:rFonts w:asciiTheme="minorHAnsi" w:hAnsiTheme="minorHAnsi"/>
                <w:noProof/>
                <w:sz w:val="17"/>
                <w:szCs w:val="17"/>
              </w:rPr>
              <w:t>120.7</w:t>
            </w:r>
          </w:p>
        </w:tc>
        <w:tc>
          <w:tcPr>
            <w:tcW w:w="1333" w:type="dxa"/>
            <w:gridSpan w:val="3"/>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461.6</w:t>
            </w:r>
          </w:p>
        </w:tc>
        <w:tc>
          <w:tcPr>
            <w:tcW w:w="1333"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2</w:t>
            </w:r>
            <w:r>
              <w:rPr>
                <w:rFonts w:ascii="Calibri" w:hAnsi="Calibri" w:cs="Calibri"/>
                <w:noProof/>
                <w:sz w:val="17"/>
                <w:szCs w:val="17"/>
              </w:rPr>
              <w:t> </w:t>
            </w:r>
            <w:r>
              <w:rPr>
                <w:rFonts w:asciiTheme="minorHAnsi" w:hAnsiTheme="minorHAnsi"/>
                <w:noProof/>
                <w:sz w:val="17"/>
                <w:szCs w:val="17"/>
              </w:rPr>
              <w:t>518.5</w:t>
            </w:r>
          </w:p>
        </w:tc>
        <w:tc>
          <w:tcPr>
            <w:tcW w:w="1333"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20.1</w:t>
            </w:r>
          </w:p>
        </w:tc>
        <w:tc>
          <w:tcPr>
            <w:tcW w:w="1332" w:type="dxa"/>
            <w:gridSpan w:val="3"/>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7.2</w:t>
            </w:r>
          </w:p>
        </w:tc>
        <w:tc>
          <w:tcPr>
            <w:tcW w:w="1333" w:type="dxa"/>
            <w:tcBorders>
              <w:top w:val="nil"/>
              <w:left w:val="nil"/>
              <w:bottom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12.9</w:t>
            </w:r>
          </w:p>
        </w:tc>
      </w:tr>
      <w:tr>
        <w:trPr>
          <w:trHeight w:val="227"/>
        </w:trPr>
        <w:tc>
          <w:tcPr>
            <w:tcW w:w="1548" w:type="dxa"/>
            <w:vMerge/>
            <w:tcBorders>
              <w:top w:val="nil"/>
              <w:bottom w:val="single" w:sz="4" w:space="0" w:color="000000"/>
              <w:right w:val="single" w:sz="4" w:space="0" w:color="auto"/>
            </w:tcBorders>
            <w:shd w:val="clear" w:color="auto" w:fill="E9F5F7"/>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TRADE</w:t>
            </w:r>
          </w:p>
        </w:tc>
        <w:tc>
          <w:tcPr>
            <w:tcW w:w="1332"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16.0</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5.2</w:t>
            </w:r>
          </w:p>
        </w:tc>
        <w:tc>
          <w:tcPr>
            <w:tcW w:w="1333" w:type="dxa"/>
            <w:gridSpan w:val="3"/>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1.8</w:t>
            </w:r>
          </w:p>
        </w:tc>
        <w:tc>
          <w:tcPr>
            <w:tcW w:w="1333"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12.6</w:t>
            </w:r>
          </w:p>
        </w:tc>
        <w:tc>
          <w:tcPr>
            <w:tcW w:w="1333" w:type="dxa"/>
            <w:gridSpan w:val="2"/>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c>
          <w:tcPr>
            <w:tcW w:w="1332" w:type="dxa"/>
            <w:gridSpan w:val="3"/>
            <w:tcBorders>
              <w:top w:val="nil"/>
              <w:left w:val="nil"/>
              <w:bottom w:val="single" w:sz="4" w:space="0" w:color="auto"/>
              <w:right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E9F5F7"/>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r>
      <w:tr>
        <w:trPr>
          <w:trHeight w:val="227"/>
        </w:trPr>
        <w:tc>
          <w:tcPr>
            <w:tcW w:w="1548" w:type="dxa"/>
            <w:vMerge w:val="restart"/>
            <w:tcBorders>
              <w:top w:val="nil"/>
              <w:bottom w:val="single" w:sz="4" w:space="0" w:color="000000"/>
              <w:right w:val="single" w:sz="4" w:space="0" w:color="auto"/>
            </w:tcBorders>
            <w:shd w:val="clear" w:color="auto" w:fill="D7EDF1"/>
            <w:noWrap/>
            <w:vAlign w:val="center"/>
            <w:hideMark/>
          </w:tcPr>
          <w:p>
            <w:pPr>
              <w:rPr>
                <w:rFonts w:eastAsia="Times New Roman"/>
                <w:b/>
                <w:bCs/>
                <w:noProof/>
                <w:color w:val="000000"/>
                <w:sz w:val="18"/>
                <w:szCs w:val="18"/>
                <w:lang w:eastAsia="fr-BE"/>
              </w:rPr>
            </w:pPr>
            <w:r>
              <w:rPr>
                <w:rFonts w:eastAsia="Times New Roman"/>
                <w:b/>
                <w:bCs/>
                <w:noProof/>
                <w:color w:val="000000"/>
                <w:sz w:val="18"/>
                <w:szCs w:val="18"/>
                <w:lang w:eastAsia="fr-BE"/>
              </w:rPr>
              <w:t>Research, industry, space, energy and transport</w:t>
            </w: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CNECT</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765.2</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073.4</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765.9</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457.7</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50.3</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14.9</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35.4</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EASME</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200.8</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729.9</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373.0</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843.9</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27.1</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25.1</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ENER</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232.2</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876.4</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865.6</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221.5</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7.5</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2.9</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4.6</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ERCEA</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751.5</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744.2</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543.8</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551.1</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23.0</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5.6</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17.4</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GROW</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989.8</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738.0</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3</w:t>
            </w:r>
            <w:r>
              <w:rPr>
                <w:rFonts w:ascii="Calibri" w:hAnsi="Calibri" w:cs="Calibri"/>
                <w:noProof/>
                <w:sz w:val="17"/>
                <w:szCs w:val="17"/>
              </w:rPr>
              <w:t> </w:t>
            </w:r>
            <w:r>
              <w:rPr>
                <w:rFonts w:asciiTheme="minorHAnsi" w:hAnsiTheme="minorHAnsi"/>
                <w:noProof/>
                <w:sz w:val="17"/>
                <w:szCs w:val="17"/>
              </w:rPr>
              <w:t>395.6</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3</w:t>
            </w:r>
            <w:r>
              <w:rPr>
                <w:rFonts w:ascii="Calibri" w:hAnsi="Calibri" w:cs="Calibri"/>
                <w:noProof/>
                <w:sz w:val="17"/>
                <w:szCs w:val="17"/>
              </w:rPr>
              <w:t> </w:t>
            </w:r>
            <w:r>
              <w:rPr>
                <w:rFonts w:asciiTheme="minorHAnsi" w:hAnsiTheme="minorHAnsi"/>
                <w:noProof/>
                <w:sz w:val="17"/>
                <w:szCs w:val="17"/>
              </w:rPr>
              <w:t>647.3</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20.3</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18.2</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INEA</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2</w:t>
            </w:r>
            <w:r>
              <w:rPr>
                <w:rFonts w:ascii="Calibri" w:hAnsi="Calibri" w:cs="Calibri"/>
                <w:noProof/>
                <w:sz w:val="17"/>
                <w:szCs w:val="17"/>
              </w:rPr>
              <w:t> </w:t>
            </w:r>
            <w:r>
              <w:rPr>
                <w:rFonts w:asciiTheme="minorHAnsi" w:hAnsiTheme="minorHAnsi"/>
                <w:noProof/>
                <w:sz w:val="17"/>
                <w:szCs w:val="17"/>
              </w:rPr>
              <w:t>840.4</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551.8</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297.9</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2</w:t>
            </w:r>
            <w:r>
              <w:rPr>
                <w:rFonts w:ascii="Calibri" w:hAnsi="Calibri" w:cs="Calibri"/>
                <w:noProof/>
                <w:sz w:val="17"/>
                <w:szCs w:val="17"/>
              </w:rPr>
              <w:t> </w:t>
            </w:r>
            <w:r>
              <w:rPr>
                <w:rFonts w:asciiTheme="minorHAnsi" w:hAnsiTheme="minorHAnsi"/>
                <w:noProof/>
                <w:sz w:val="17"/>
                <w:szCs w:val="17"/>
              </w:rPr>
              <w:t>586.6</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38.8</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10.6</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28.2</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MOVE</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384.4</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185.3</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194.6</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393.6</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3.6</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2.5</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REA</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935.1</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310.1</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945.9</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1</w:t>
            </w:r>
            <w:r>
              <w:rPr>
                <w:rFonts w:ascii="Calibri" w:hAnsi="Calibri" w:cs="Calibri"/>
                <w:noProof/>
                <w:sz w:val="17"/>
                <w:szCs w:val="17"/>
              </w:rPr>
              <w:t> </w:t>
            </w:r>
            <w:r>
              <w:rPr>
                <w:rFonts w:asciiTheme="minorHAnsi" w:hAnsiTheme="minorHAnsi"/>
                <w:noProof/>
                <w:sz w:val="17"/>
                <w:szCs w:val="17"/>
              </w:rPr>
              <w:t>570.9</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38.1</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6.6</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31.6</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RTD</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3</w:t>
            </w:r>
            <w:r>
              <w:rPr>
                <w:rFonts w:ascii="Calibri" w:hAnsi="Calibri" w:cs="Calibri"/>
                <w:noProof/>
                <w:sz w:val="17"/>
                <w:szCs w:val="17"/>
              </w:rPr>
              <w:t> </w:t>
            </w:r>
            <w:r>
              <w:rPr>
                <w:rFonts w:asciiTheme="minorHAnsi" w:hAnsiTheme="minorHAnsi"/>
                <w:noProof/>
                <w:sz w:val="17"/>
                <w:szCs w:val="17"/>
              </w:rPr>
              <w:t>143.0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988.8</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970.1</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3</w:t>
            </w:r>
            <w:r>
              <w:rPr>
                <w:rFonts w:ascii="Calibri" w:hAnsi="Calibri" w:cs="Calibri"/>
                <w:noProof/>
                <w:sz w:val="17"/>
                <w:szCs w:val="17"/>
              </w:rPr>
              <w:t> </w:t>
            </w:r>
            <w:r>
              <w:rPr>
                <w:rFonts w:asciiTheme="minorHAnsi" w:hAnsiTheme="minorHAnsi"/>
                <w:noProof/>
                <w:sz w:val="17"/>
                <w:szCs w:val="17"/>
              </w:rPr>
              <w:t>124.3</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101.1</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28.5</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72.7</w:t>
            </w:r>
          </w:p>
        </w:tc>
      </w:tr>
      <w:tr>
        <w:trPr>
          <w:trHeight w:val="227"/>
        </w:trPr>
        <w:tc>
          <w:tcPr>
            <w:tcW w:w="1548" w:type="dxa"/>
            <w:vMerge w:val="restart"/>
            <w:tcBorders>
              <w:top w:val="single" w:sz="4" w:space="0" w:color="auto"/>
              <w:bottom w:val="single" w:sz="4" w:space="0" w:color="000000"/>
              <w:right w:val="single" w:sz="4" w:space="0" w:color="auto"/>
            </w:tcBorders>
            <w:shd w:val="clear" w:color="auto" w:fill="E9F5F7"/>
            <w:noWrap/>
            <w:vAlign w:val="center"/>
            <w:hideMark/>
          </w:tcPr>
          <w:p>
            <w:pPr>
              <w:rPr>
                <w:rFonts w:eastAsia="Times New Roman"/>
                <w:b/>
                <w:bCs/>
                <w:noProof/>
                <w:color w:val="000000"/>
                <w:sz w:val="18"/>
                <w:szCs w:val="18"/>
                <w:lang w:eastAsia="fr-BE"/>
              </w:rPr>
            </w:pPr>
            <w:r>
              <w:rPr>
                <w:noProof/>
              </w:rPr>
              <w:br w:type="page"/>
            </w:r>
            <w:r>
              <w:rPr>
                <w:rFonts w:eastAsia="Times New Roman"/>
                <w:b/>
                <w:bCs/>
                <w:noProof/>
                <w:color w:val="000000"/>
                <w:sz w:val="18"/>
                <w:szCs w:val="18"/>
                <w:lang w:eastAsia="fr-BE"/>
              </w:rPr>
              <w:t>Other internal policies</w:t>
            </w:r>
          </w:p>
        </w:tc>
        <w:tc>
          <w:tcPr>
            <w:tcW w:w="919" w:type="dxa"/>
            <w:tcBorders>
              <w:top w:val="single" w:sz="4" w:space="0" w:color="auto"/>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CHAFEA</w:t>
            </w:r>
          </w:p>
        </w:tc>
        <w:tc>
          <w:tcPr>
            <w:tcW w:w="1332" w:type="dxa"/>
            <w:gridSpan w:val="2"/>
            <w:tcBorders>
              <w:top w:val="single" w:sz="4" w:space="0" w:color="auto"/>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99.0</w:t>
            </w:r>
          </w:p>
        </w:tc>
        <w:tc>
          <w:tcPr>
            <w:tcW w:w="1332" w:type="dxa"/>
            <w:tcBorders>
              <w:top w:val="single" w:sz="4" w:space="0" w:color="auto"/>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49.7</w:t>
            </w:r>
          </w:p>
        </w:tc>
        <w:tc>
          <w:tcPr>
            <w:tcW w:w="1333" w:type="dxa"/>
            <w:gridSpan w:val="3"/>
            <w:tcBorders>
              <w:top w:val="single" w:sz="4" w:space="0" w:color="auto"/>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single" w:sz="4" w:space="0" w:color="auto"/>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34.9</w:t>
            </w:r>
          </w:p>
        </w:tc>
        <w:tc>
          <w:tcPr>
            <w:tcW w:w="1333" w:type="dxa"/>
            <w:gridSpan w:val="2"/>
            <w:tcBorders>
              <w:top w:val="single" w:sz="4" w:space="0" w:color="auto"/>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single" w:sz="4" w:space="0" w:color="auto"/>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84.2</w:t>
            </w:r>
          </w:p>
        </w:tc>
        <w:tc>
          <w:tcPr>
            <w:tcW w:w="1333" w:type="dxa"/>
            <w:gridSpan w:val="2"/>
            <w:tcBorders>
              <w:top w:val="single" w:sz="4" w:space="0" w:color="auto"/>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1.1</w:t>
            </w:r>
          </w:p>
        </w:tc>
        <w:tc>
          <w:tcPr>
            <w:tcW w:w="1332" w:type="dxa"/>
            <w:gridSpan w:val="3"/>
            <w:tcBorders>
              <w:top w:val="single" w:sz="4" w:space="0" w:color="auto"/>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0.2</w:t>
            </w:r>
          </w:p>
        </w:tc>
        <w:tc>
          <w:tcPr>
            <w:tcW w:w="1333" w:type="dxa"/>
            <w:tcBorders>
              <w:top w:val="single" w:sz="4" w:space="0" w:color="auto"/>
              <w:left w:val="nil"/>
              <w:bottom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0.9</w:t>
            </w:r>
          </w:p>
        </w:tc>
      </w:tr>
      <w:tr>
        <w:trPr>
          <w:trHeight w:val="227"/>
        </w:trPr>
        <w:tc>
          <w:tcPr>
            <w:tcW w:w="1548" w:type="dxa"/>
            <w:vMerge/>
            <w:tcBorders>
              <w:top w:val="nil"/>
              <w:bottom w:val="single" w:sz="4" w:space="0" w:color="000000"/>
              <w:right w:val="single" w:sz="4" w:space="0" w:color="auto"/>
            </w:tcBorders>
            <w:shd w:val="clear" w:color="auto" w:fill="E9F5F7"/>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CLIMA</w:t>
            </w:r>
          </w:p>
        </w:tc>
        <w:tc>
          <w:tcPr>
            <w:tcW w:w="1332"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19.2</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6.3</w:t>
            </w:r>
          </w:p>
        </w:tc>
        <w:tc>
          <w:tcPr>
            <w:tcW w:w="1333"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5.2</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18.1</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3" w:type="dxa"/>
            <w:tcBorders>
              <w:top w:val="nil"/>
              <w:left w:val="nil"/>
              <w:bottom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r>
      <w:tr>
        <w:trPr>
          <w:trHeight w:val="227"/>
        </w:trPr>
        <w:tc>
          <w:tcPr>
            <w:tcW w:w="1548" w:type="dxa"/>
            <w:vMerge/>
            <w:tcBorders>
              <w:top w:val="nil"/>
              <w:bottom w:val="single" w:sz="4" w:space="0" w:color="000000"/>
              <w:right w:val="single" w:sz="4" w:space="0" w:color="auto"/>
            </w:tcBorders>
            <w:shd w:val="clear" w:color="auto" w:fill="E9F5F7"/>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COMM</w:t>
            </w:r>
          </w:p>
        </w:tc>
        <w:tc>
          <w:tcPr>
            <w:tcW w:w="1332"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127.3</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12.4</w:t>
            </w:r>
          </w:p>
        </w:tc>
        <w:tc>
          <w:tcPr>
            <w:tcW w:w="1333"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13.3</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128.2</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0.6</w:t>
            </w:r>
          </w:p>
        </w:tc>
        <w:tc>
          <w:tcPr>
            <w:tcW w:w="1332"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3" w:type="dxa"/>
            <w:tcBorders>
              <w:top w:val="nil"/>
              <w:left w:val="nil"/>
              <w:bottom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0.6</w:t>
            </w:r>
          </w:p>
        </w:tc>
      </w:tr>
      <w:tr>
        <w:trPr>
          <w:trHeight w:val="227"/>
        </w:trPr>
        <w:tc>
          <w:tcPr>
            <w:tcW w:w="1548" w:type="dxa"/>
            <w:vMerge/>
            <w:tcBorders>
              <w:top w:val="nil"/>
              <w:bottom w:val="single" w:sz="4" w:space="0" w:color="000000"/>
              <w:right w:val="single" w:sz="4" w:space="0" w:color="auto"/>
            </w:tcBorders>
            <w:shd w:val="clear" w:color="auto" w:fill="E9F5F7"/>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EAC</w:t>
            </w:r>
          </w:p>
        </w:tc>
        <w:tc>
          <w:tcPr>
            <w:tcW w:w="1332"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2</w:t>
            </w:r>
            <w:r>
              <w:rPr>
                <w:rFonts w:ascii="Calibri" w:hAnsi="Calibri" w:cs="Calibri"/>
                <w:noProof/>
                <w:color w:val="000000"/>
                <w:sz w:val="17"/>
                <w:szCs w:val="17"/>
              </w:rPr>
              <w:t> </w:t>
            </w:r>
            <w:r>
              <w:rPr>
                <w:rFonts w:asciiTheme="minorHAnsi" w:hAnsiTheme="minorHAnsi" w:cs="Calibri"/>
                <w:noProof/>
                <w:color w:val="000000"/>
                <w:sz w:val="17"/>
                <w:szCs w:val="17"/>
              </w:rPr>
              <w:t>650.2</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2</w:t>
            </w:r>
            <w:r>
              <w:rPr>
                <w:rFonts w:ascii="Calibri" w:hAnsi="Calibri" w:cs="Calibri"/>
                <w:noProof/>
                <w:color w:val="000000"/>
                <w:sz w:val="17"/>
                <w:szCs w:val="17"/>
              </w:rPr>
              <w:t> </w:t>
            </w:r>
            <w:r>
              <w:rPr>
                <w:rFonts w:asciiTheme="minorHAnsi" w:hAnsiTheme="minorHAnsi" w:cs="Calibri"/>
                <w:noProof/>
                <w:color w:val="000000"/>
                <w:sz w:val="17"/>
                <w:szCs w:val="17"/>
              </w:rPr>
              <w:t>597.9</w:t>
            </w:r>
          </w:p>
        </w:tc>
        <w:tc>
          <w:tcPr>
            <w:tcW w:w="1333"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1</w:t>
            </w:r>
            <w:r>
              <w:rPr>
                <w:rFonts w:ascii="Calibri" w:hAnsi="Calibri" w:cs="Calibri"/>
                <w:noProof/>
                <w:color w:val="000000"/>
                <w:sz w:val="17"/>
                <w:szCs w:val="17"/>
              </w:rPr>
              <w:t> </w:t>
            </w:r>
            <w:r>
              <w:rPr>
                <w:rFonts w:asciiTheme="minorHAnsi" w:hAnsiTheme="minorHAnsi" w:cs="Calibri"/>
                <w:noProof/>
                <w:color w:val="000000"/>
                <w:sz w:val="17"/>
                <w:szCs w:val="17"/>
              </w:rPr>
              <w:t>534.5</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1</w:t>
            </w:r>
            <w:r>
              <w:rPr>
                <w:rFonts w:ascii="Calibri" w:hAnsi="Calibri" w:cs="Calibri"/>
                <w:noProof/>
                <w:color w:val="000000"/>
                <w:sz w:val="17"/>
                <w:szCs w:val="17"/>
              </w:rPr>
              <w:t> </w:t>
            </w:r>
            <w:r>
              <w:rPr>
                <w:rFonts w:asciiTheme="minorHAnsi" w:hAnsiTheme="minorHAnsi" w:cs="Calibri"/>
                <w:noProof/>
                <w:color w:val="000000"/>
                <w:sz w:val="17"/>
                <w:szCs w:val="17"/>
              </w:rPr>
              <w:t>586.8</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15.9</w:t>
            </w:r>
          </w:p>
        </w:tc>
        <w:tc>
          <w:tcPr>
            <w:tcW w:w="1332"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0.2</w:t>
            </w:r>
          </w:p>
        </w:tc>
        <w:tc>
          <w:tcPr>
            <w:tcW w:w="1333" w:type="dxa"/>
            <w:tcBorders>
              <w:top w:val="nil"/>
              <w:left w:val="nil"/>
              <w:bottom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15.7</w:t>
            </w:r>
          </w:p>
        </w:tc>
      </w:tr>
      <w:tr>
        <w:trPr>
          <w:trHeight w:val="227"/>
        </w:trPr>
        <w:tc>
          <w:tcPr>
            <w:tcW w:w="1548" w:type="dxa"/>
            <w:vMerge/>
            <w:tcBorders>
              <w:top w:val="nil"/>
              <w:bottom w:val="single" w:sz="4" w:space="0" w:color="000000"/>
              <w:right w:val="single" w:sz="4" w:space="0" w:color="auto"/>
            </w:tcBorders>
            <w:shd w:val="clear" w:color="auto" w:fill="E9F5F7"/>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EACEA</w:t>
            </w:r>
          </w:p>
        </w:tc>
        <w:tc>
          <w:tcPr>
            <w:tcW w:w="1332"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654.1</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522.5</w:t>
            </w:r>
          </w:p>
        </w:tc>
        <w:tc>
          <w:tcPr>
            <w:tcW w:w="1333"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510.6</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642.2</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10.3</w:t>
            </w:r>
          </w:p>
        </w:tc>
        <w:tc>
          <w:tcPr>
            <w:tcW w:w="1332"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2.0</w:t>
            </w:r>
          </w:p>
        </w:tc>
        <w:tc>
          <w:tcPr>
            <w:tcW w:w="1333" w:type="dxa"/>
            <w:tcBorders>
              <w:top w:val="nil"/>
              <w:left w:val="nil"/>
              <w:bottom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8.2</w:t>
            </w:r>
          </w:p>
        </w:tc>
      </w:tr>
      <w:tr>
        <w:trPr>
          <w:trHeight w:val="227"/>
        </w:trPr>
        <w:tc>
          <w:tcPr>
            <w:tcW w:w="1548" w:type="dxa"/>
            <w:vMerge/>
            <w:tcBorders>
              <w:top w:val="nil"/>
              <w:bottom w:val="single" w:sz="4" w:space="0" w:color="000000"/>
              <w:right w:val="single" w:sz="4" w:space="0" w:color="auto"/>
            </w:tcBorders>
            <w:shd w:val="clear" w:color="auto" w:fill="E9F5F7"/>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ECFIN</w:t>
            </w:r>
          </w:p>
        </w:tc>
        <w:tc>
          <w:tcPr>
            <w:tcW w:w="1332"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2</w:t>
            </w:r>
            <w:r>
              <w:rPr>
                <w:rFonts w:ascii="Calibri" w:hAnsi="Calibri" w:cs="Calibri"/>
                <w:noProof/>
                <w:color w:val="000000"/>
                <w:sz w:val="17"/>
                <w:szCs w:val="17"/>
              </w:rPr>
              <w:t> </w:t>
            </w:r>
            <w:r>
              <w:rPr>
                <w:rFonts w:asciiTheme="minorHAnsi" w:hAnsiTheme="minorHAnsi" w:cs="Calibri"/>
                <w:noProof/>
                <w:color w:val="000000"/>
                <w:sz w:val="17"/>
                <w:szCs w:val="17"/>
              </w:rPr>
              <w:t>264.6</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26.7</w:t>
            </w:r>
          </w:p>
        </w:tc>
        <w:tc>
          <w:tcPr>
            <w:tcW w:w="1333"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7.3</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2</w:t>
            </w:r>
            <w:r>
              <w:rPr>
                <w:rFonts w:ascii="Calibri" w:hAnsi="Calibri" w:cs="Calibri"/>
                <w:noProof/>
                <w:color w:val="000000"/>
                <w:sz w:val="17"/>
                <w:szCs w:val="17"/>
              </w:rPr>
              <w:t> </w:t>
            </w:r>
            <w:r>
              <w:rPr>
                <w:rFonts w:asciiTheme="minorHAnsi" w:hAnsiTheme="minorHAnsi" w:cs="Calibri"/>
                <w:noProof/>
                <w:color w:val="000000"/>
                <w:sz w:val="17"/>
                <w:szCs w:val="17"/>
              </w:rPr>
              <w:t>245.2</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1.1</w:t>
            </w:r>
          </w:p>
        </w:tc>
        <w:tc>
          <w:tcPr>
            <w:tcW w:w="1332"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3" w:type="dxa"/>
            <w:tcBorders>
              <w:top w:val="nil"/>
              <w:left w:val="nil"/>
              <w:bottom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1.1</w:t>
            </w:r>
          </w:p>
        </w:tc>
      </w:tr>
      <w:tr>
        <w:trPr>
          <w:trHeight w:val="227"/>
        </w:trPr>
        <w:tc>
          <w:tcPr>
            <w:tcW w:w="1548" w:type="dxa"/>
            <w:vMerge/>
            <w:tcBorders>
              <w:top w:val="nil"/>
              <w:bottom w:val="single" w:sz="4" w:space="0" w:color="000000"/>
              <w:right w:val="single" w:sz="4" w:space="0" w:color="auto"/>
            </w:tcBorders>
            <w:shd w:val="clear" w:color="auto" w:fill="E9F5F7"/>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ENV</w:t>
            </w:r>
          </w:p>
        </w:tc>
        <w:tc>
          <w:tcPr>
            <w:tcW w:w="1332"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160.9</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79.8</w:t>
            </w:r>
          </w:p>
        </w:tc>
        <w:tc>
          <w:tcPr>
            <w:tcW w:w="1333"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223.1</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304.1</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1.5</w:t>
            </w:r>
          </w:p>
        </w:tc>
        <w:tc>
          <w:tcPr>
            <w:tcW w:w="1332"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1.1</w:t>
            </w:r>
          </w:p>
        </w:tc>
        <w:tc>
          <w:tcPr>
            <w:tcW w:w="1333" w:type="dxa"/>
            <w:tcBorders>
              <w:top w:val="nil"/>
              <w:left w:val="nil"/>
              <w:bottom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0.5</w:t>
            </w:r>
          </w:p>
        </w:tc>
      </w:tr>
      <w:tr>
        <w:trPr>
          <w:trHeight w:val="227"/>
        </w:trPr>
        <w:tc>
          <w:tcPr>
            <w:tcW w:w="1548" w:type="dxa"/>
            <w:vMerge/>
            <w:tcBorders>
              <w:top w:val="nil"/>
              <w:bottom w:val="single" w:sz="4" w:space="0" w:color="000000"/>
              <w:right w:val="single" w:sz="4" w:space="0" w:color="auto"/>
            </w:tcBorders>
            <w:shd w:val="clear" w:color="auto" w:fill="E9F5F7"/>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JUST</w:t>
            </w:r>
          </w:p>
        </w:tc>
        <w:tc>
          <w:tcPr>
            <w:tcW w:w="1332"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188.1</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154.6</w:t>
            </w:r>
          </w:p>
        </w:tc>
        <w:tc>
          <w:tcPr>
            <w:tcW w:w="1333"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119.1</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152.6</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2.2</w:t>
            </w:r>
          </w:p>
        </w:tc>
        <w:tc>
          <w:tcPr>
            <w:tcW w:w="1332"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1.0</w:t>
            </w:r>
          </w:p>
        </w:tc>
        <w:tc>
          <w:tcPr>
            <w:tcW w:w="1333" w:type="dxa"/>
            <w:tcBorders>
              <w:top w:val="nil"/>
              <w:left w:val="nil"/>
              <w:bottom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1.1</w:t>
            </w:r>
          </w:p>
        </w:tc>
      </w:tr>
      <w:tr>
        <w:trPr>
          <w:trHeight w:val="227"/>
        </w:trPr>
        <w:tc>
          <w:tcPr>
            <w:tcW w:w="1548" w:type="dxa"/>
            <w:vMerge/>
            <w:tcBorders>
              <w:top w:val="nil"/>
              <w:bottom w:val="single" w:sz="4" w:space="0" w:color="000000"/>
              <w:right w:val="single" w:sz="4" w:space="0" w:color="auto"/>
            </w:tcBorders>
            <w:shd w:val="clear" w:color="auto" w:fill="E9F5F7"/>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SANTE</w:t>
            </w:r>
          </w:p>
        </w:tc>
        <w:tc>
          <w:tcPr>
            <w:tcW w:w="1332"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441.3</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196.8</w:t>
            </w:r>
          </w:p>
        </w:tc>
        <w:tc>
          <w:tcPr>
            <w:tcW w:w="1333"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180.7</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425.1</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5.9</w:t>
            </w:r>
          </w:p>
        </w:tc>
        <w:tc>
          <w:tcPr>
            <w:tcW w:w="1332"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1.5</w:t>
            </w:r>
          </w:p>
        </w:tc>
        <w:tc>
          <w:tcPr>
            <w:tcW w:w="1333" w:type="dxa"/>
            <w:tcBorders>
              <w:top w:val="nil"/>
              <w:left w:val="nil"/>
              <w:bottom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4.4</w:t>
            </w:r>
          </w:p>
        </w:tc>
      </w:tr>
      <w:tr>
        <w:trPr>
          <w:trHeight w:val="227"/>
        </w:trPr>
        <w:tc>
          <w:tcPr>
            <w:tcW w:w="1548" w:type="dxa"/>
            <w:vMerge/>
            <w:tcBorders>
              <w:top w:val="nil"/>
              <w:bottom w:val="single" w:sz="4" w:space="0" w:color="000000"/>
              <w:right w:val="single" w:sz="4" w:space="0" w:color="auto"/>
            </w:tcBorders>
            <w:shd w:val="clear" w:color="auto" w:fill="E9F5F7"/>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TAXUD</w:t>
            </w:r>
          </w:p>
        </w:tc>
        <w:tc>
          <w:tcPr>
            <w:tcW w:w="1332"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107.8</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11.2</w:t>
            </w:r>
          </w:p>
        </w:tc>
        <w:tc>
          <w:tcPr>
            <w:tcW w:w="1333"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9.0</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0.0</w:t>
            </w:r>
          </w:p>
        </w:tc>
        <w:tc>
          <w:tcPr>
            <w:tcW w:w="1332" w:type="dxa"/>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105.6</w:t>
            </w:r>
          </w:p>
        </w:tc>
        <w:tc>
          <w:tcPr>
            <w:tcW w:w="1333" w:type="dxa"/>
            <w:gridSpan w:val="2"/>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0.5</w:t>
            </w:r>
          </w:p>
        </w:tc>
        <w:tc>
          <w:tcPr>
            <w:tcW w:w="1332" w:type="dxa"/>
            <w:gridSpan w:val="3"/>
            <w:tcBorders>
              <w:top w:val="nil"/>
              <w:left w:val="nil"/>
              <w:bottom w:val="single" w:sz="4" w:space="0" w:color="auto"/>
              <w:right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0.1</w:t>
            </w:r>
          </w:p>
        </w:tc>
        <w:tc>
          <w:tcPr>
            <w:tcW w:w="1333" w:type="dxa"/>
            <w:tcBorders>
              <w:top w:val="nil"/>
              <w:left w:val="nil"/>
              <w:bottom w:val="single" w:sz="4" w:space="0" w:color="auto"/>
            </w:tcBorders>
            <w:shd w:val="clear" w:color="auto" w:fill="E9F5F7"/>
            <w:noWrap/>
            <w:vAlign w:val="bottom"/>
            <w:hideMark/>
          </w:tcPr>
          <w:p>
            <w:pPr>
              <w:jc w:val="right"/>
              <w:rPr>
                <w:rFonts w:asciiTheme="minorHAnsi" w:eastAsia="Times New Roman" w:hAnsiTheme="minorHAnsi"/>
                <w:noProof/>
                <w:color w:val="000000"/>
                <w:sz w:val="17"/>
                <w:szCs w:val="17"/>
                <w:lang w:eastAsia="fr-BE"/>
              </w:rPr>
            </w:pPr>
            <w:r>
              <w:rPr>
                <w:rFonts w:asciiTheme="minorHAnsi" w:hAnsiTheme="minorHAnsi" w:cs="Calibri"/>
                <w:noProof/>
                <w:color w:val="000000"/>
                <w:sz w:val="17"/>
                <w:szCs w:val="17"/>
              </w:rPr>
              <w:t xml:space="preserve"> 0.4</w:t>
            </w:r>
          </w:p>
        </w:tc>
      </w:tr>
      <w:tr>
        <w:trPr>
          <w:trHeight w:val="227"/>
        </w:trPr>
        <w:tc>
          <w:tcPr>
            <w:tcW w:w="1548" w:type="dxa"/>
            <w:vMerge w:val="restart"/>
            <w:tcBorders>
              <w:top w:val="nil"/>
              <w:bottom w:val="single" w:sz="4" w:space="0" w:color="000000"/>
              <w:right w:val="single" w:sz="4" w:space="0" w:color="auto"/>
            </w:tcBorders>
            <w:shd w:val="clear" w:color="auto" w:fill="D7EDF1"/>
            <w:noWrap/>
            <w:vAlign w:val="center"/>
            <w:hideMark/>
          </w:tcPr>
          <w:p>
            <w:pPr>
              <w:rPr>
                <w:rFonts w:eastAsia="Times New Roman"/>
                <w:b/>
                <w:bCs/>
                <w:noProof/>
                <w:color w:val="000000"/>
                <w:sz w:val="18"/>
                <w:szCs w:val="18"/>
                <w:lang w:eastAsia="fr-BE"/>
              </w:rPr>
            </w:pPr>
            <w:r>
              <w:rPr>
                <w:rFonts w:eastAsia="Times New Roman"/>
                <w:b/>
                <w:bCs/>
                <w:noProof/>
                <w:color w:val="000000"/>
                <w:sz w:val="18"/>
                <w:szCs w:val="18"/>
                <w:lang w:eastAsia="fr-BE"/>
              </w:rPr>
              <w:t>Other services and administration</w:t>
            </w: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BUDG</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18.6</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18.6</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COMP</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8.6</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0.3</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8.4</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DGT</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18.0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18.0</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DIGIT</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302.1</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302.1</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1.5</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1.5</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EPSC</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0.3</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0.3</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EPSO/EUSA</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8.8</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8.8</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ESTAT</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66.2</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8.9</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8.8</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66.1</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0.3</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0.3</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FISMA</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52.9</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43.3</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37.6</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47.2</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0.2</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HR</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287.9</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287.9</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1.2</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1.2</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IAS</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JRC</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213.6</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2.1</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3.4</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214.9</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1.1</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1.0</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OIB</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369.9</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369.9</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1.8</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1.8</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OIL</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144.9</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144.9</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0.7</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0.7</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OLAF</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25.2</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3.3</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5.6</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27.5</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OP</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47.8</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47.8</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PMO</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5</w:t>
            </w:r>
            <w:r>
              <w:rPr>
                <w:rFonts w:ascii="Calibri" w:hAnsi="Calibri" w:cs="Calibri"/>
                <w:noProof/>
                <w:sz w:val="17"/>
                <w:szCs w:val="17"/>
              </w:rPr>
              <w:t> </w:t>
            </w:r>
            <w:r>
              <w:rPr>
                <w:rFonts w:asciiTheme="minorHAnsi" w:hAnsiTheme="minorHAnsi"/>
                <w:noProof/>
                <w:sz w:val="17"/>
                <w:szCs w:val="17"/>
              </w:rPr>
              <w:t>181.7</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5</w:t>
            </w:r>
            <w:r>
              <w:rPr>
                <w:rFonts w:ascii="Calibri" w:hAnsi="Calibri" w:cs="Calibri"/>
                <w:noProof/>
                <w:sz w:val="17"/>
                <w:szCs w:val="17"/>
              </w:rPr>
              <w:t> </w:t>
            </w:r>
            <w:r>
              <w:rPr>
                <w:rFonts w:asciiTheme="minorHAnsi" w:hAnsiTheme="minorHAnsi"/>
                <w:noProof/>
                <w:sz w:val="17"/>
                <w:szCs w:val="17"/>
              </w:rPr>
              <w:t>181.7</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3.6</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3.6</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SCIC</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65.9</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0.4</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0.5</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65.9</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SG</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10.0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2.6</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2.4</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9.7</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0.1</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SJ</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3.8</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3.8</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r>
      <w:tr>
        <w:trPr>
          <w:trHeight w:val="227"/>
        </w:trPr>
        <w:tc>
          <w:tcPr>
            <w:tcW w:w="1548" w:type="dxa"/>
            <w:vMerge/>
            <w:tcBorders>
              <w:top w:val="nil"/>
              <w:bottom w:val="single" w:sz="4"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SRSS</w:t>
            </w:r>
          </w:p>
        </w:tc>
        <w:tc>
          <w:tcPr>
            <w:tcW w:w="1332"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54.9</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39.2</w:t>
            </w:r>
          </w:p>
        </w:tc>
        <w:tc>
          <w:tcPr>
            <w:tcW w:w="1333"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27.5</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43.2</w:t>
            </w:r>
          </w:p>
        </w:tc>
        <w:tc>
          <w:tcPr>
            <w:tcW w:w="1333" w:type="dxa"/>
            <w:gridSpan w:val="2"/>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0.7</w:t>
            </w:r>
          </w:p>
        </w:tc>
        <w:tc>
          <w:tcPr>
            <w:tcW w:w="1332" w:type="dxa"/>
            <w:gridSpan w:val="3"/>
            <w:tcBorders>
              <w:top w:val="nil"/>
              <w:left w:val="nil"/>
              <w:bottom w:val="single" w:sz="4" w:space="0" w:color="auto"/>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0.7</w:t>
            </w:r>
          </w:p>
        </w:tc>
      </w:tr>
      <w:tr>
        <w:trPr>
          <w:trHeight w:val="227"/>
        </w:trPr>
        <w:tc>
          <w:tcPr>
            <w:tcW w:w="1548" w:type="dxa"/>
            <w:vMerge/>
            <w:tcBorders>
              <w:top w:val="nil"/>
              <w:bottom w:val="single" w:sz="8" w:space="0" w:color="000000"/>
              <w:right w:val="single" w:sz="4" w:space="0" w:color="auto"/>
            </w:tcBorders>
            <w:shd w:val="clear" w:color="auto" w:fill="D7EDF1"/>
            <w:vAlign w:val="center"/>
            <w:hideMark/>
          </w:tcPr>
          <w:p>
            <w:pPr>
              <w:rPr>
                <w:rFonts w:eastAsia="Times New Roman"/>
                <w:b/>
                <w:bCs/>
                <w:noProof/>
                <w:color w:val="000000"/>
                <w:sz w:val="18"/>
                <w:szCs w:val="18"/>
                <w:lang w:eastAsia="fr-BE"/>
              </w:rPr>
            </w:pPr>
          </w:p>
        </w:tc>
        <w:tc>
          <w:tcPr>
            <w:tcW w:w="919" w:type="dxa"/>
            <w:tcBorders>
              <w:top w:val="nil"/>
              <w:left w:val="nil"/>
              <w:bottom w:val="single" w:sz="8" w:space="0" w:color="000000"/>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TF50</w:t>
            </w:r>
          </w:p>
        </w:tc>
        <w:tc>
          <w:tcPr>
            <w:tcW w:w="1332" w:type="dxa"/>
            <w:gridSpan w:val="2"/>
            <w:tcBorders>
              <w:top w:val="nil"/>
              <w:left w:val="nil"/>
              <w:bottom w:val="single" w:sz="8" w:space="0" w:color="000000"/>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8" w:space="0" w:color="000000"/>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3"/>
            <w:tcBorders>
              <w:top w:val="nil"/>
              <w:left w:val="nil"/>
              <w:bottom w:val="single" w:sz="8" w:space="0" w:color="000000"/>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8" w:space="0" w:color="000000"/>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2"/>
            <w:tcBorders>
              <w:top w:val="nil"/>
              <w:left w:val="nil"/>
              <w:bottom w:val="single" w:sz="8" w:space="0" w:color="000000"/>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tcBorders>
              <w:top w:val="nil"/>
              <w:left w:val="nil"/>
              <w:bottom w:val="single" w:sz="8" w:space="0" w:color="000000"/>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gridSpan w:val="2"/>
            <w:tcBorders>
              <w:top w:val="nil"/>
              <w:left w:val="nil"/>
              <w:bottom w:val="single" w:sz="8" w:space="0" w:color="000000"/>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2" w:type="dxa"/>
            <w:gridSpan w:val="3"/>
            <w:tcBorders>
              <w:top w:val="nil"/>
              <w:left w:val="nil"/>
              <w:bottom w:val="single" w:sz="8" w:space="0" w:color="000000"/>
              <w:right w:val="single" w:sz="4" w:space="0" w:color="auto"/>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c>
          <w:tcPr>
            <w:tcW w:w="1333" w:type="dxa"/>
            <w:tcBorders>
              <w:top w:val="nil"/>
              <w:left w:val="nil"/>
              <w:bottom w:val="single" w:sz="8" w:space="0" w:color="000000"/>
            </w:tcBorders>
            <w:shd w:val="clear" w:color="auto" w:fill="D7EDF1"/>
            <w:noWrap/>
            <w:hideMark/>
          </w:tcPr>
          <w:p>
            <w:pPr>
              <w:jc w:val="right"/>
              <w:rPr>
                <w:rFonts w:asciiTheme="minorHAnsi" w:eastAsia="Times New Roman" w:hAnsiTheme="minorHAnsi"/>
                <w:noProof/>
                <w:color w:val="000000"/>
                <w:sz w:val="17"/>
                <w:szCs w:val="17"/>
                <w:lang w:eastAsia="fr-BE"/>
              </w:rPr>
            </w:pPr>
            <w:r>
              <w:rPr>
                <w:rFonts w:asciiTheme="minorHAnsi" w:hAnsiTheme="minorHAnsi"/>
                <w:noProof/>
                <w:sz w:val="17"/>
                <w:szCs w:val="17"/>
              </w:rPr>
              <w:t xml:space="preserve"> 0.0</w:t>
            </w:r>
          </w:p>
        </w:tc>
      </w:tr>
      <w:tr>
        <w:trPr>
          <w:trHeight w:val="300"/>
        </w:trPr>
        <w:tc>
          <w:tcPr>
            <w:tcW w:w="2467" w:type="dxa"/>
            <w:gridSpan w:val="2"/>
            <w:tcBorders>
              <w:top w:val="single" w:sz="8" w:space="0" w:color="000000"/>
              <w:bottom w:val="single" w:sz="8" w:space="0" w:color="000000"/>
            </w:tcBorders>
            <w:shd w:val="clear" w:color="auto" w:fill="auto"/>
            <w:noWrap/>
            <w:vAlign w:val="center"/>
            <w:hideMark/>
          </w:tcPr>
          <w:p>
            <w:pPr>
              <w:rPr>
                <w:rFonts w:eastAsia="Times New Roman"/>
                <w:noProof/>
                <w:color w:val="000000"/>
                <w:sz w:val="18"/>
                <w:szCs w:val="18"/>
                <w:lang w:eastAsia="fr-BE"/>
              </w:rPr>
            </w:pPr>
            <w:r>
              <w:rPr>
                <w:rFonts w:ascii="Calibri" w:eastAsia="Times New Roman" w:hAnsi="Calibri" w:cs="Calibri"/>
                <w:noProof/>
                <w:color w:val="000000"/>
                <w:sz w:val="18"/>
                <w:szCs w:val="18"/>
                <w:lang w:eastAsia="fr-BE"/>
              </w:rPr>
              <w:t> </w:t>
            </w:r>
          </w:p>
        </w:tc>
        <w:tc>
          <w:tcPr>
            <w:tcW w:w="1276" w:type="dxa"/>
            <w:tcBorders>
              <w:top w:val="single" w:sz="8" w:space="0" w:color="000000"/>
              <w:bottom w:val="single" w:sz="8" w:space="0" w:color="000000"/>
            </w:tcBorders>
            <w:shd w:val="clear" w:color="auto" w:fill="auto"/>
            <w:noWrap/>
            <w:vAlign w:val="bottom"/>
            <w:hideMark/>
          </w:tcPr>
          <w:p>
            <w:pPr>
              <w:rPr>
                <w:rFonts w:eastAsia="Times New Roman"/>
                <w:noProof/>
                <w:color w:val="000000"/>
                <w:sz w:val="18"/>
                <w:szCs w:val="18"/>
                <w:lang w:eastAsia="fr-BE"/>
              </w:rPr>
            </w:pPr>
            <w:r>
              <w:rPr>
                <w:rFonts w:ascii="Calibri" w:eastAsia="Times New Roman" w:hAnsi="Calibri" w:cs="Calibri"/>
                <w:noProof/>
                <w:color w:val="000000"/>
                <w:sz w:val="18"/>
                <w:szCs w:val="18"/>
                <w:lang w:eastAsia="fr-BE"/>
              </w:rPr>
              <w:t> </w:t>
            </w:r>
          </w:p>
        </w:tc>
        <w:tc>
          <w:tcPr>
            <w:tcW w:w="1417" w:type="dxa"/>
            <w:gridSpan w:val="3"/>
            <w:tcBorders>
              <w:top w:val="single" w:sz="8" w:space="0" w:color="000000"/>
              <w:bottom w:val="single" w:sz="8" w:space="0" w:color="000000"/>
            </w:tcBorders>
            <w:shd w:val="clear" w:color="auto" w:fill="auto"/>
            <w:noWrap/>
            <w:vAlign w:val="bottom"/>
            <w:hideMark/>
          </w:tcPr>
          <w:p>
            <w:pPr>
              <w:rPr>
                <w:rFonts w:eastAsia="Times New Roman"/>
                <w:noProof/>
                <w:color w:val="000000"/>
                <w:sz w:val="18"/>
                <w:szCs w:val="18"/>
                <w:lang w:eastAsia="fr-BE"/>
              </w:rPr>
            </w:pPr>
            <w:r>
              <w:rPr>
                <w:rFonts w:ascii="Calibri" w:eastAsia="Times New Roman" w:hAnsi="Calibri" w:cs="Calibri"/>
                <w:noProof/>
                <w:color w:val="000000"/>
                <w:sz w:val="18"/>
                <w:szCs w:val="18"/>
                <w:lang w:eastAsia="fr-BE"/>
              </w:rPr>
              <w:t> </w:t>
            </w:r>
          </w:p>
        </w:tc>
        <w:tc>
          <w:tcPr>
            <w:tcW w:w="1276" w:type="dxa"/>
            <w:tcBorders>
              <w:top w:val="single" w:sz="8" w:space="0" w:color="000000"/>
              <w:bottom w:val="single" w:sz="8" w:space="0" w:color="000000"/>
            </w:tcBorders>
            <w:shd w:val="clear" w:color="auto" w:fill="auto"/>
            <w:noWrap/>
            <w:vAlign w:val="bottom"/>
            <w:hideMark/>
          </w:tcPr>
          <w:p>
            <w:pPr>
              <w:rPr>
                <w:rFonts w:eastAsia="Times New Roman"/>
                <w:noProof/>
                <w:color w:val="000000"/>
                <w:sz w:val="18"/>
                <w:szCs w:val="18"/>
                <w:lang w:eastAsia="fr-BE"/>
              </w:rPr>
            </w:pPr>
            <w:r>
              <w:rPr>
                <w:rFonts w:ascii="Calibri" w:eastAsia="Times New Roman" w:hAnsi="Calibri" w:cs="Calibri"/>
                <w:noProof/>
                <w:color w:val="000000"/>
                <w:sz w:val="18"/>
                <w:szCs w:val="18"/>
                <w:lang w:eastAsia="fr-BE"/>
              </w:rPr>
              <w:t> </w:t>
            </w:r>
          </w:p>
        </w:tc>
        <w:tc>
          <w:tcPr>
            <w:tcW w:w="1418" w:type="dxa"/>
            <w:gridSpan w:val="3"/>
            <w:tcBorders>
              <w:top w:val="single" w:sz="8" w:space="0" w:color="000000"/>
              <w:bottom w:val="single" w:sz="8" w:space="0" w:color="000000"/>
            </w:tcBorders>
            <w:shd w:val="clear" w:color="auto" w:fill="auto"/>
            <w:noWrap/>
            <w:vAlign w:val="bottom"/>
            <w:hideMark/>
          </w:tcPr>
          <w:p>
            <w:pPr>
              <w:rPr>
                <w:rFonts w:eastAsia="Times New Roman"/>
                <w:noProof/>
                <w:color w:val="000000"/>
                <w:sz w:val="18"/>
                <w:szCs w:val="18"/>
                <w:lang w:eastAsia="fr-BE"/>
              </w:rPr>
            </w:pPr>
            <w:r>
              <w:rPr>
                <w:rFonts w:ascii="Calibri" w:eastAsia="Times New Roman" w:hAnsi="Calibri" w:cs="Calibri"/>
                <w:noProof/>
                <w:color w:val="000000"/>
                <w:sz w:val="18"/>
                <w:szCs w:val="18"/>
                <w:lang w:eastAsia="fr-BE"/>
              </w:rPr>
              <w:t> </w:t>
            </w:r>
          </w:p>
        </w:tc>
        <w:tc>
          <w:tcPr>
            <w:tcW w:w="1275" w:type="dxa"/>
            <w:tcBorders>
              <w:top w:val="single" w:sz="8" w:space="0" w:color="000000"/>
              <w:bottom w:val="single" w:sz="8" w:space="0" w:color="000000"/>
            </w:tcBorders>
            <w:shd w:val="clear" w:color="auto" w:fill="auto"/>
            <w:noWrap/>
            <w:vAlign w:val="bottom"/>
            <w:hideMark/>
          </w:tcPr>
          <w:p>
            <w:pPr>
              <w:rPr>
                <w:rFonts w:eastAsia="Times New Roman"/>
                <w:noProof/>
                <w:color w:val="000000"/>
                <w:sz w:val="18"/>
                <w:szCs w:val="18"/>
                <w:lang w:eastAsia="fr-BE"/>
              </w:rPr>
            </w:pPr>
            <w:r>
              <w:rPr>
                <w:rFonts w:ascii="Calibri" w:eastAsia="Times New Roman" w:hAnsi="Calibri" w:cs="Calibri"/>
                <w:noProof/>
                <w:color w:val="000000"/>
                <w:sz w:val="18"/>
                <w:szCs w:val="18"/>
                <w:lang w:eastAsia="fr-BE"/>
              </w:rPr>
              <w:t> </w:t>
            </w:r>
          </w:p>
        </w:tc>
        <w:tc>
          <w:tcPr>
            <w:tcW w:w="1418" w:type="dxa"/>
            <w:gridSpan w:val="2"/>
            <w:tcBorders>
              <w:top w:val="single" w:sz="8" w:space="0" w:color="000000"/>
              <w:bottom w:val="single" w:sz="8" w:space="0" w:color="000000"/>
            </w:tcBorders>
            <w:shd w:val="clear" w:color="auto" w:fill="auto"/>
            <w:noWrap/>
            <w:vAlign w:val="bottom"/>
            <w:hideMark/>
          </w:tcPr>
          <w:p>
            <w:pPr>
              <w:rPr>
                <w:rFonts w:eastAsia="Times New Roman"/>
                <w:noProof/>
                <w:color w:val="000000"/>
                <w:sz w:val="18"/>
                <w:szCs w:val="18"/>
                <w:lang w:eastAsia="fr-BE"/>
              </w:rPr>
            </w:pPr>
            <w:r>
              <w:rPr>
                <w:rFonts w:ascii="Calibri" w:eastAsia="Times New Roman" w:hAnsi="Calibri" w:cs="Calibri"/>
                <w:noProof/>
                <w:color w:val="000000"/>
                <w:sz w:val="18"/>
                <w:szCs w:val="18"/>
                <w:lang w:eastAsia="fr-BE"/>
              </w:rPr>
              <w:t> </w:t>
            </w:r>
          </w:p>
        </w:tc>
        <w:tc>
          <w:tcPr>
            <w:tcW w:w="1276" w:type="dxa"/>
            <w:gridSpan w:val="2"/>
            <w:tcBorders>
              <w:top w:val="single" w:sz="8" w:space="0" w:color="000000"/>
              <w:bottom w:val="single" w:sz="8" w:space="0" w:color="000000"/>
            </w:tcBorders>
            <w:shd w:val="clear" w:color="auto" w:fill="auto"/>
            <w:noWrap/>
            <w:vAlign w:val="bottom"/>
            <w:hideMark/>
          </w:tcPr>
          <w:p>
            <w:pPr>
              <w:rPr>
                <w:rFonts w:eastAsia="Times New Roman"/>
                <w:noProof/>
                <w:color w:val="000000"/>
                <w:sz w:val="18"/>
                <w:szCs w:val="18"/>
                <w:lang w:eastAsia="fr-BE"/>
              </w:rPr>
            </w:pPr>
            <w:r>
              <w:rPr>
                <w:rFonts w:ascii="Calibri" w:eastAsia="Times New Roman" w:hAnsi="Calibri" w:cs="Calibri"/>
                <w:noProof/>
                <w:color w:val="000000"/>
                <w:sz w:val="18"/>
                <w:szCs w:val="18"/>
                <w:lang w:eastAsia="fr-BE"/>
              </w:rPr>
              <w:t> </w:t>
            </w:r>
          </w:p>
        </w:tc>
        <w:tc>
          <w:tcPr>
            <w:tcW w:w="1275" w:type="dxa"/>
            <w:tcBorders>
              <w:top w:val="single" w:sz="8" w:space="0" w:color="000000"/>
              <w:bottom w:val="single" w:sz="8" w:space="0" w:color="000000"/>
            </w:tcBorders>
            <w:shd w:val="clear" w:color="auto" w:fill="auto"/>
            <w:noWrap/>
            <w:vAlign w:val="bottom"/>
            <w:hideMark/>
          </w:tcPr>
          <w:p>
            <w:pPr>
              <w:rPr>
                <w:rFonts w:eastAsia="Times New Roman"/>
                <w:noProof/>
                <w:color w:val="000000"/>
                <w:sz w:val="18"/>
                <w:szCs w:val="18"/>
                <w:lang w:eastAsia="fr-BE"/>
              </w:rPr>
            </w:pPr>
            <w:r>
              <w:rPr>
                <w:rFonts w:ascii="Calibri" w:eastAsia="Times New Roman" w:hAnsi="Calibri" w:cs="Calibri"/>
                <w:noProof/>
                <w:color w:val="000000"/>
                <w:sz w:val="18"/>
                <w:szCs w:val="18"/>
                <w:lang w:eastAsia="fr-BE"/>
              </w:rPr>
              <w:t> </w:t>
            </w:r>
          </w:p>
        </w:tc>
        <w:tc>
          <w:tcPr>
            <w:tcW w:w="1361" w:type="dxa"/>
            <w:gridSpan w:val="2"/>
            <w:tcBorders>
              <w:top w:val="single" w:sz="8" w:space="0" w:color="000000"/>
              <w:bottom w:val="single" w:sz="8" w:space="0" w:color="000000"/>
            </w:tcBorders>
            <w:shd w:val="clear" w:color="auto" w:fill="auto"/>
            <w:noWrap/>
            <w:vAlign w:val="bottom"/>
            <w:hideMark/>
          </w:tcPr>
          <w:p>
            <w:pPr>
              <w:rPr>
                <w:rFonts w:eastAsia="Times New Roman"/>
                <w:noProof/>
                <w:color w:val="000000"/>
                <w:sz w:val="18"/>
                <w:szCs w:val="18"/>
                <w:lang w:eastAsia="fr-BE"/>
              </w:rPr>
            </w:pPr>
            <w:r>
              <w:rPr>
                <w:rFonts w:ascii="Calibri" w:eastAsia="Times New Roman" w:hAnsi="Calibri" w:cs="Calibri"/>
                <w:noProof/>
                <w:color w:val="000000"/>
                <w:sz w:val="18"/>
                <w:szCs w:val="18"/>
                <w:lang w:eastAsia="fr-BE"/>
              </w:rPr>
              <w:t> </w:t>
            </w:r>
          </w:p>
        </w:tc>
      </w:tr>
      <w:tr>
        <w:trPr>
          <w:trHeight w:val="300"/>
        </w:trPr>
        <w:tc>
          <w:tcPr>
            <w:tcW w:w="2467" w:type="dxa"/>
            <w:gridSpan w:val="2"/>
            <w:tcBorders>
              <w:top w:val="single" w:sz="8" w:space="0" w:color="000000"/>
              <w:bottom w:val="single" w:sz="8" w:space="0" w:color="000000"/>
              <w:right w:val="single" w:sz="4" w:space="0" w:color="000000"/>
            </w:tcBorders>
            <w:shd w:val="clear" w:color="auto" w:fill="EFC465"/>
            <w:noWrap/>
            <w:vAlign w:val="center"/>
            <w:hideMark/>
          </w:tcPr>
          <w:p>
            <w:pPr>
              <w:rPr>
                <w:rFonts w:eastAsia="Times New Roman"/>
                <w:b/>
                <w:bCs/>
                <w:noProof/>
                <w:color w:val="000000"/>
                <w:sz w:val="18"/>
                <w:szCs w:val="18"/>
                <w:lang w:eastAsia="fr-BE"/>
              </w:rPr>
            </w:pPr>
            <w:r>
              <w:rPr>
                <w:rFonts w:eastAsia="Times New Roman"/>
                <w:b/>
                <w:bCs/>
                <w:noProof/>
                <w:color w:val="000000"/>
                <w:sz w:val="18"/>
                <w:szCs w:val="18"/>
                <w:lang w:eastAsia="fr-BE"/>
              </w:rPr>
              <w:t>Total</w:t>
            </w:r>
          </w:p>
        </w:tc>
        <w:tc>
          <w:tcPr>
            <w:tcW w:w="1276" w:type="dxa"/>
            <w:tcBorders>
              <w:top w:val="single" w:sz="8" w:space="0" w:color="000000"/>
              <w:left w:val="nil"/>
              <w:bottom w:val="single" w:sz="8" w:space="0" w:color="000000"/>
              <w:right w:val="single" w:sz="4" w:space="0" w:color="auto"/>
            </w:tcBorders>
            <w:shd w:val="clear" w:color="auto" w:fill="EFC465"/>
            <w:noWrap/>
            <w:hideMark/>
          </w:tcPr>
          <w:p>
            <w:pPr>
              <w:jc w:val="right"/>
              <w:rPr>
                <w:rFonts w:eastAsia="Times New Roman"/>
                <w:b/>
                <w:bCs/>
                <w:noProof/>
                <w:color w:val="000000"/>
                <w:sz w:val="17"/>
                <w:szCs w:val="17"/>
                <w:lang w:eastAsia="fr-BE"/>
              </w:rPr>
            </w:pPr>
            <w:r>
              <w:rPr>
                <w:b/>
                <w:noProof/>
                <w:sz w:val="17"/>
                <w:szCs w:val="17"/>
              </w:rPr>
              <w:t>156</w:t>
            </w:r>
            <w:r>
              <w:rPr>
                <w:rFonts w:ascii="Calibri" w:hAnsi="Calibri" w:cs="Calibri"/>
                <w:b/>
                <w:noProof/>
                <w:sz w:val="17"/>
                <w:szCs w:val="17"/>
              </w:rPr>
              <w:t> </w:t>
            </w:r>
            <w:r>
              <w:rPr>
                <w:b/>
                <w:noProof/>
                <w:sz w:val="17"/>
                <w:szCs w:val="17"/>
              </w:rPr>
              <w:t>748.5</w:t>
            </w:r>
          </w:p>
        </w:tc>
        <w:tc>
          <w:tcPr>
            <w:tcW w:w="1417" w:type="dxa"/>
            <w:gridSpan w:val="3"/>
            <w:tcBorders>
              <w:top w:val="single" w:sz="8" w:space="0" w:color="000000"/>
              <w:left w:val="nil"/>
              <w:bottom w:val="single" w:sz="8" w:space="0" w:color="000000"/>
              <w:right w:val="single" w:sz="4" w:space="0" w:color="auto"/>
            </w:tcBorders>
            <w:shd w:val="clear" w:color="auto" w:fill="EFC465"/>
            <w:noWrap/>
            <w:hideMark/>
          </w:tcPr>
          <w:p>
            <w:pPr>
              <w:jc w:val="right"/>
              <w:rPr>
                <w:rFonts w:eastAsia="Times New Roman"/>
                <w:b/>
                <w:bCs/>
                <w:noProof/>
                <w:color w:val="000000"/>
                <w:sz w:val="17"/>
                <w:szCs w:val="17"/>
                <w:lang w:eastAsia="fr-BE"/>
              </w:rPr>
            </w:pPr>
            <w:r>
              <w:rPr>
                <w:b/>
                <w:noProof/>
                <w:sz w:val="17"/>
                <w:szCs w:val="17"/>
              </w:rPr>
              <w:t>32</w:t>
            </w:r>
            <w:r>
              <w:rPr>
                <w:rFonts w:ascii="Calibri" w:hAnsi="Calibri" w:cs="Calibri"/>
                <w:b/>
                <w:noProof/>
                <w:sz w:val="17"/>
                <w:szCs w:val="17"/>
              </w:rPr>
              <w:t> </w:t>
            </w:r>
            <w:r>
              <w:rPr>
                <w:b/>
                <w:noProof/>
                <w:sz w:val="17"/>
                <w:szCs w:val="17"/>
              </w:rPr>
              <w:t>809.9</w:t>
            </w:r>
          </w:p>
        </w:tc>
        <w:tc>
          <w:tcPr>
            <w:tcW w:w="1276" w:type="dxa"/>
            <w:tcBorders>
              <w:top w:val="single" w:sz="8" w:space="0" w:color="000000"/>
              <w:left w:val="nil"/>
              <w:bottom w:val="single" w:sz="8" w:space="0" w:color="000000"/>
              <w:right w:val="single" w:sz="4" w:space="0" w:color="auto"/>
            </w:tcBorders>
            <w:shd w:val="clear" w:color="auto" w:fill="EFC465"/>
            <w:noWrap/>
            <w:hideMark/>
          </w:tcPr>
          <w:p>
            <w:pPr>
              <w:jc w:val="right"/>
              <w:rPr>
                <w:rFonts w:eastAsia="Times New Roman"/>
                <w:b/>
                <w:bCs/>
                <w:noProof/>
                <w:color w:val="000000"/>
                <w:sz w:val="17"/>
                <w:szCs w:val="17"/>
                <w:lang w:eastAsia="fr-BE"/>
              </w:rPr>
            </w:pPr>
            <w:r>
              <w:rPr>
                <w:b/>
                <w:noProof/>
                <w:sz w:val="17"/>
                <w:szCs w:val="17"/>
              </w:rPr>
              <w:t>4</w:t>
            </w:r>
            <w:r>
              <w:rPr>
                <w:rFonts w:ascii="Calibri" w:hAnsi="Calibri" w:cs="Calibri"/>
                <w:b/>
                <w:noProof/>
                <w:sz w:val="17"/>
                <w:szCs w:val="17"/>
              </w:rPr>
              <w:t> </w:t>
            </w:r>
            <w:r>
              <w:rPr>
                <w:b/>
                <w:noProof/>
                <w:sz w:val="17"/>
                <w:szCs w:val="17"/>
              </w:rPr>
              <w:t>201.9</w:t>
            </w:r>
          </w:p>
        </w:tc>
        <w:tc>
          <w:tcPr>
            <w:tcW w:w="1418" w:type="dxa"/>
            <w:gridSpan w:val="3"/>
            <w:tcBorders>
              <w:top w:val="single" w:sz="8" w:space="0" w:color="000000"/>
              <w:left w:val="nil"/>
              <w:bottom w:val="single" w:sz="8" w:space="0" w:color="000000"/>
              <w:right w:val="single" w:sz="4" w:space="0" w:color="auto"/>
            </w:tcBorders>
            <w:shd w:val="clear" w:color="auto" w:fill="EFC465"/>
            <w:noWrap/>
            <w:hideMark/>
          </w:tcPr>
          <w:p>
            <w:pPr>
              <w:jc w:val="right"/>
              <w:rPr>
                <w:rFonts w:eastAsia="Times New Roman"/>
                <w:b/>
                <w:bCs/>
                <w:noProof/>
                <w:color w:val="000000"/>
                <w:sz w:val="17"/>
                <w:szCs w:val="17"/>
                <w:lang w:eastAsia="fr-BE"/>
              </w:rPr>
            </w:pPr>
            <w:r>
              <w:rPr>
                <w:b/>
                <w:noProof/>
                <w:sz w:val="17"/>
                <w:szCs w:val="17"/>
              </w:rPr>
              <w:t>25</w:t>
            </w:r>
            <w:r>
              <w:rPr>
                <w:rFonts w:ascii="Calibri" w:hAnsi="Calibri" w:cs="Calibri"/>
                <w:b/>
                <w:noProof/>
                <w:sz w:val="17"/>
                <w:szCs w:val="17"/>
              </w:rPr>
              <w:t> </w:t>
            </w:r>
            <w:r>
              <w:rPr>
                <w:b/>
                <w:noProof/>
                <w:sz w:val="17"/>
                <w:szCs w:val="17"/>
              </w:rPr>
              <w:t>300.0</w:t>
            </w:r>
          </w:p>
        </w:tc>
        <w:tc>
          <w:tcPr>
            <w:tcW w:w="1275" w:type="dxa"/>
            <w:tcBorders>
              <w:top w:val="single" w:sz="8" w:space="0" w:color="000000"/>
              <w:left w:val="nil"/>
              <w:bottom w:val="single" w:sz="8" w:space="0" w:color="000000"/>
              <w:right w:val="single" w:sz="4" w:space="0" w:color="auto"/>
            </w:tcBorders>
            <w:shd w:val="clear" w:color="auto" w:fill="EFC465"/>
            <w:noWrap/>
            <w:hideMark/>
          </w:tcPr>
          <w:p>
            <w:pPr>
              <w:jc w:val="right"/>
              <w:rPr>
                <w:rFonts w:eastAsia="Times New Roman"/>
                <w:b/>
                <w:bCs/>
                <w:noProof/>
                <w:color w:val="000000"/>
                <w:sz w:val="17"/>
                <w:szCs w:val="17"/>
                <w:lang w:eastAsia="fr-BE"/>
              </w:rPr>
            </w:pPr>
            <w:r>
              <w:rPr>
                <w:b/>
                <w:noProof/>
                <w:sz w:val="17"/>
                <w:szCs w:val="17"/>
              </w:rPr>
              <w:t>3</w:t>
            </w:r>
            <w:r>
              <w:rPr>
                <w:rFonts w:ascii="Calibri" w:hAnsi="Calibri" w:cs="Calibri"/>
                <w:b/>
                <w:noProof/>
                <w:sz w:val="17"/>
                <w:szCs w:val="17"/>
              </w:rPr>
              <w:t> </w:t>
            </w:r>
            <w:r>
              <w:rPr>
                <w:b/>
                <w:noProof/>
                <w:sz w:val="17"/>
                <w:szCs w:val="17"/>
              </w:rPr>
              <w:t>187.9</w:t>
            </w:r>
          </w:p>
        </w:tc>
        <w:tc>
          <w:tcPr>
            <w:tcW w:w="1418" w:type="dxa"/>
            <w:gridSpan w:val="2"/>
            <w:tcBorders>
              <w:top w:val="single" w:sz="8" w:space="0" w:color="000000"/>
              <w:left w:val="nil"/>
              <w:bottom w:val="single" w:sz="8" w:space="0" w:color="000000"/>
              <w:right w:val="single" w:sz="4" w:space="0" w:color="auto"/>
            </w:tcBorders>
            <w:shd w:val="clear" w:color="auto" w:fill="EFC465"/>
            <w:noWrap/>
            <w:hideMark/>
          </w:tcPr>
          <w:p>
            <w:pPr>
              <w:jc w:val="right"/>
              <w:rPr>
                <w:rFonts w:eastAsia="Times New Roman"/>
                <w:b/>
                <w:bCs/>
                <w:noProof/>
                <w:color w:val="000000"/>
                <w:sz w:val="17"/>
                <w:szCs w:val="17"/>
                <w:lang w:eastAsia="fr-BE"/>
              </w:rPr>
            </w:pPr>
            <w:r>
              <w:rPr>
                <w:b/>
                <w:noProof/>
                <w:sz w:val="17"/>
                <w:szCs w:val="17"/>
              </w:rPr>
              <w:t>150</w:t>
            </w:r>
            <w:r>
              <w:rPr>
                <w:rFonts w:ascii="Calibri" w:hAnsi="Calibri" w:cs="Calibri"/>
                <w:b/>
                <w:noProof/>
                <w:sz w:val="17"/>
                <w:szCs w:val="17"/>
              </w:rPr>
              <w:t> </w:t>
            </w:r>
            <w:r>
              <w:rPr>
                <w:b/>
                <w:noProof/>
                <w:sz w:val="17"/>
                <w:szCs w:val="17"/>
              </w:rPr>
              <w:t>252.6</w:t>
            </w:r>
          </w:p>
        </w:tc>
        <w:tc>
          <w:tcPr>
            <w:tcW w:w="1276" w:type="dxa"/>
            <w:gridSpan w:val="2"/>
            <w:tcBorders>
              <w:top w:val="single" w:sz="8" w:space="0" w:color="000000"/>
              <w:left w:val="nil"/>
              <w:bottom w:val="single" w:sz="8" w:space="0" w:color="000000"/>
              <w:right w:val="single" w:sz="4" w:space="0" w:color="auto"/>
            </w:tcBorders>
            <w:shd w:val="clear" w:color="auto" w:fill="EFC465"/>
            <w:noWrap/>
            <w:hideMark/>
          </w:tcPr>
          <w:p>
            <w:pPr>
              <w:jc w:val="right"/>
              <w:rPr>
                <w:rFonts w:eastAsia="Times New Roman"/>
                <w:b/>
                <w:noProof/>
                <w:color w:val="000000"/>
                <w:sz w:val="17"/>
                <w:szCs w:val="17"/>
                <w:lang w:eastAsia="fr-BE"/>
              </w:rPr>
            </w:pPr>
            <w:r>
              <w:rPr>
                <w:b/>
                <w:noProof/>
                <w:sz w:val="17"/>
                <w:szCs w:val="17"/>
              </w:rPr>
              <w:t>2</w:t>
            </w:r>
            <w:r>
              <w:rPr>
                <w:rFonts w:ascii="Calibri" w:hAnsi="Calibri" w:cs="Calibri"/>
                <w:b/>
                <w:noProof/>
                <w:sz w:val="17"/>
                <w:szCs w:val="17"/>
              </w:rPr>
              <w:t> </w:t>
            </w:r>
            <w:r>
              <w:rPr>
                <w:b/>
                <w:noProof/>
                <w:sz w:val="17"/>
                <w:szCs w:val="17"/>
              </w:rPr>
              <w:t>587.7</w:t>
            </w:r>
          </w:p>
        </w:tc>
        <w:tc>
          <w:tcPr>
            <w:tcW w:w="1275" w:type="dxa"/>
            <w:tcBorders>
              <w:top w:val="single" w:sz="8" w:space="0" w:color="000000"/>
              <w:left w:val="nil"/>
              <w:bottom w:val="single" w:sz="8" w:space="0" w:color="000000"/>
              <w:right w:val="single" w:sz="4" w:space="0" w:color="auto"/>
            </w:tcBorders>
            <w:shd w:val="clear" w:color="auto" w:fill="EFC465"/>
            <w:noWrap/>
            <w:hideMark/>
          </w:tcPr>
          <w:p>
            <w:pPr>
              <w:jc w:val="right"/>
              <w:rPr>
                <w:rFonts w:eastAsia="Times New Roman"/>
                <w:b/>
                <w:noProof/>
                <w:color w:val="000000"/>
                <w:sz w:val="17"/>
                <w:szCs w:val="17"/>
                <w:lang w:eastAsia="fr-BE"/>
              </w:rPr>
            </w:pPr>
            <w:r>
              <w:rPr>
                <w:b/>
                <w:noProof/>
                <w:sz w:val="17"/>
                <w:szCs w:val="17"/>
              </w:rPr>
              <w:t>1</w:t>
            </w:r>
            <w:r>
              <w:rPr>
                <w:rFonts w:ascii="Calibri" w:hAnsi="Calibri" w:cs="Calibri"/>
                <w:b/>
                <w:noProof/>
                <w:sz w:val="17"/>
                <w:szCs w:val="17"/>
              </w:rPr>
              <w:t> </w:t>
            </w:r>
            <w:r>
              <w:rPr>
                <w:b/>
                <w:noProof/>
                <w:sz w:val="17"/>
                <w:szCs w:val="17"/>
              </w:rPr>
              <w:t>426.3</w:t>
            </w:r>
          </w:p>
        </w:tc>
        <w:tc>
          <w:tcPr>
            <w:tcW w:w="1361" w:type="dxa"/>
            <w:gridSpan w:val="2"/>
            <w:tcBorders>
              <w:top w:val="single" w:sz="8" w:space="0" w:color="000000"/>
              <w:left w:val="nil"/>
              <w:bottom w:val="single" w:sz="8" w:space="0" w:color="000000"/>
            </w:tcBorders>
            <w:shd w:val="clear" w:color="auto" w:fill="EFC465"/>
            <w:noWrap/>
            <w:hideMark/>
          </w:tcPr>
          <w:p>
            <w:pPr>
              <w:jc w:val="right"/>
              <w:rPr>
                <w:rFonts w:eastAsia="Times New Roman"/>
                <w:b/>
                <w:noProof/>
                <w:color w:val="000000"/>
                <w:sz w:val="17"/>
                <w:szCs w:val="17"/>
                <w:lang w:eastAsia="fr-BE"/>
              </w:rPr>
            </w:pPr>
            <w:r>
              <w:rPr>
                <w:b/>
                <w:noProof/>
                <w:sz w:val="17"/>
                <w:szCs w:val="17"/>
              </w:rPr>
              <w:t>1</w:t>
            </w:r>
            <w:r>
              <w:rPr>
                <w:rFonts w:ascii="Calibri" w:hAnsi="Calibri" w:cs="Calibri"/>
                <w:b/>
                <w:noProof/>
                <w:sz w:val="17"/>
                <w:szCs w:val="17"/>
              </w:rPr>
              <w:t> </w:t>
            </w:r>
            <w:r>
              <w:rPr>
                <w:b/>
                <w:noProof/>
                <w:sz w:val="17"/>
                <w:szCs w:val="17"/>
              </w:rPr>
              <w:t>161.4</w:t>
            </w:r>
          </w:p>
        </w:tc>
      </w:tr>
    </w:tbl>
    <w:p>
      <w:pPr>
        <w:pStyle w:val="Source-Table-Chart-PhotoCaption"/>
        <w:rPr>
          <w:noProof/>
        </w:rPr>
      </w:pPr>
      <w:r>
        <w:rPr>
          <w:rStyle w:val="italics"/>
          <w:noProof/>
        </w:rPr>
        <w:t>Source:</w:t>
      </w:r>
      <w:r>
        <w:rPr>
          <w:i/>
          <w:noProof/>
        </w:rPr>
        <w:t xml:space="preserve"> </w:t>
      </w:r>
      <w:r>
        <w:rPr>
          <w:noProof/>
        </w:rPr>
        <w:t>Commission annual activity reports.</w:t>
      </w:r>
    </w:p>
    <w:p>
      <w:pPr>
        <w:pStyle w:val="BulletsletteringAnnexes"/>
        <w:numPr>
          <w:ilvl w:val="0"/>
          <w:numId w:val="0"/>
        </w:numPr>
        <w:ind w:left="765"/>
        <w:rPr>
          <w:rStyle w:val="Emphasis"/>
          <w:i w:val="0"/>
          <w:iCs w:val="0"/>
          <w:noProof/>
        </w:rPr>
        <w:sectPr>
          <w:headerReference w:type="even" r:id="rId89"/>
          <w:headerReference w:type="default" r:id="rId90"/>
          <w:footerReference w:type="even" r:id="rId91"/>
          <w:footerReference w:type="default" r:id="rId92"/>
          <w:headerReference w:type="first" r:id="rId93"/>
          <w:footerReference w:type="first" r:id="rId94"/>
          <w:footnotePr>
            <w:numStart w:val="413"/>
          </w:footnotePr>
          <w:pgSz w:w="16838" w:h="11906" w:orient="landscape" w:code="9"/>
          <w:pgMar w:top="1418" w:right="1418" w:bottom="1418" w:left="1418" w:header="635" w:footer="635" w:gutter="0"/>
          <w:cols w:space="720"/>
          <w:docGrid w:linePitch="360"/>
        </w:sectPr>
      </w:pPr>
      <w:r>
        <w:rPr>
          <w:noProof/>
          <w:color w:val="E48C32" w:themeColor="accent5"/>
        </w:rPr>
        <mc:AlternateContent>
          <mc:Choice Requires="wps">
            <w:drawing>
              <wp:anchor distT="0" distB="0" distL="114300" distR="114300" simplePos="0" relativeHeight="251656704" behindDoc="0" locked="1" layoutInCell="1" allowOverlap="1">
                <wp:simplePos x="0" y="0"/>
                <wp:positionH relativeFrom="page">
                  <wp:posOffset>6769100</wp:posOffset>
                </wp:positionH>
                <wp:positionV relativeFrom="page">
                  <wp:align>center</wp:align>
                </wp:positionV>
                <wp:extent cx="7621200" cy="212400"/>
                <wp:effectExtent l="8573" t="0" r="7937" b="7938"/>
                <wp:wrapNone/>
                <wp:docPr id="2" name="Rectangle 2"/>
                <wp:cNvGraphicFramePr/>
                <a:graphic xmlns:a="http://schemas.openxmlformats.org/drawingml/2006/main">
                  <a:graphicData uri="http://schemas.microsoft.com/office/word/2010/wordprocessingShape">
                    <wps:wsp>
                      <wps:cNvSpPr/>
                      <wps:spPr>
                        <a:xfrm rot="5400000">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153EEF" id="Rectangle 2" o:spid="_x0000_s1026" style="position:absolute;margin-left:533pt;margin-top:0;width:600.1pt;height:16.7pt;rotation:90;z-index:2516567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" fillcolor="#e48c32 [3208]" stroked="f" strokeweight="2pt">
                <w10:wrap anchorx="page" anchory="page"/>
                <w10:anchorlock/>
              </v:rect>
            </w:pict>
          </mc:Fallback>
        </mc:AlternateContent>
      </w:r>
    </w:p>
    <w:p>
      <w:pPr>
        <w:rPr>
          <w:noProof/>
        </w:rPr>
        <w:sectPr>
          <w:headerReference w:type="even" r:id="rId95"/>
          <w:headerReference w:type="default" r:id="rId96"/>
          <w:footerReference w:type="even" r:id="rId97"/>
          <w:footerReference w:type="default" r:id="rId98"/>
          <w:headerReference w:type="first" r:id="rId99"/>
          <w:footerReference w:type="first" r:id="rId100"/>
          <w:footnotePr>
            <w:numStart w:val="413"/>
          </w:footnotePr>
          <w:pgSz w:w="11906" w:h="16838" w:code="9"/>
          <w:pgMar w:top="1418" w:right="1418" w:bottom="1418" w:left="1418" w:header="635" w:footer="635" w:gutter="0"/>
          <w:cols w:space="720"/>
          <w:docGrid w:linePitch="360"/>
        </w:sectPr>
      </w:pPr>
      <w:bookmarkStart w:id="61" w:name="_Toc6304470"/>
      <w:bookmarkStart w:id="62" w:name="_Toc8386192"/>
      <w:bookmarkStart w:id="63" w:name="_Toc515453340"/>
      <w:bookmarkStart w:id="64" w:name="_Toc515898177"/>
      <w:bookmarkStart w:id="65" w:name="_Toc517175162"/>
      <w:bookmarkStart w:id="66" w:name="_Toc517175273"/>
      <w:bookmarkStart w:id="67" w:name="_Toc511118108"/>
      <w:bookmarkStart w:id="68" w:name="_Toc515453341"/>
      <w:bookmarkStart w:id="69" w:name="_Toc515898178"/>
      <w:bookmarkStart w:id="70" w:name="_Toc517175163"/>
      <w:bookmarkStart w:id="71" w:name="_Toc517175274"/>
    </w:p>
    <w:p>
      <w:pPr>
        <w:pStyle w:val="Title1Annexes"/>
        <w:rPr>
          <w:noProof/>
        </w:rPr>
      </w:pPr>
      <w:bookmarkStart w:id="72" w:name="_Toc11679101"/>
      <w:r>
        <w:rPr>
          <w:noProof/>
        </w:rPr>
        <w:t xml:space="preserve">Annex 3: </w:t>
      </w:r>
      <w:r>
        <w:rPr>
          <w:noProof/>
        </w:rPr>
        <w:br/>
        <w:t>Summary of reservations in the 2018 annual activity reports</w:t>
      </w:r>
      <w:bookmarkEnd w:id="61"/>
      <w:bookmarkEnd w:id="62"/>
      <w:bookmarkEnd w:id="72"/>
    </w:p>
    <w:p>
      <w:pPr>
        <w:pStyle w:val="BodyText1spaceafter"/>
      </w:pPr>
      <w:r>
        <w:rPr>
          <w:rStyle w:val="BOLDORANGEAnnexes"/>
        </w:rPr>
        <w:t>Within the context of their overall assurance building process</w:t>
      </w:r>
      <w:r>
        <w:t>, authorising officers by delegation perform a detailed analysis for each segment of their portfolio (see Section</w:t>
      </w:r>
      <w:r>
        <w:rPr>
          <w:rFonts w:ascii="Calibri" w:hAnsi="Calibri" w:cs="Calibri"/>
        </w:rPr>
        <w:t> </w:t>
      </w:r>
      <w:r>
        <w:t>2’s subsection</w:t>
      </w:r>
      <w:r>
        <w:rPr>
          <w:rFonts w:ascii="Calibri" w:hAnsi="Calibri" w:cs="Calibri"/>
        </w:rPr>
        <w:t> </w:t>
      </w:r>
      <w:r>
        <w:t>5). At the end of each financial year, they determine the residual error rate</w:t>
      </w:r>
      <w:r>
        <w:rPr>
          <w:rFonts w:ascii="Calibri" w:hAnsi="Calibri" w:cs="Calibri"/>
        </w:rPr>
        <w:t> </w:t>
      </w:r>
      <w:r>
        <w:rPr>
          <w:rStyle w:val="fnRef"/>
        </w:rPr>
        <w:t>(</w:t>
      </w:r>
      <w:r>
        <w:rPr>
          <w:rStyle w:val="fnRefNo"/>
        </w:rPr>
        <w:footnoteReference w:id="27"/>
      </w:r>
      <w:r>
        <w:rPr>
          <w:rStyle w:val="fnRef"/>
        </w:rPr>
        <w:t>)</w:t>
      </w:r>
      <w:r>
        <w:t xml:space="preserve"> for each programme. This residual error rate is based on the (‘gross’) detected error rate, but takes into account those corrections that have already been made by then. Where this residual error rate is above the materiality threshold, </w:t>
      </w:r>
      <w:r>
        <w:rPr>
          <w:rStyle w:val="BOLDORANGEAnnexes"/>
        </w:rPr>
        <w:t>they qualify their declaration of assurance with a reservation</w:t>
      </w:r>
      <w:r>
        <w:t>. This is in line with the European Court of Auditors’ approach</w:t>
      </w:r>
      <w:r>
        <w:rPr>
          <w:rStyle w:val="fnRef"/>
          <w:rFonts w:ascii="Calibri" w:hAnsi="Calibri" w:cs="Calibri"/>
        </w:rPr>
        <w:t> </w:t>
      </w:r>
      <w:r>
        <w:rPr>
          <w:rStyle w:val="fnRef"/>
        </w:rPr>
        <w:t>(</w:t>
      </w:r>
      <w:r>
        <w:rPr>
          <w:rStyle w:val="fnRefNo"/>
        </w:rPr>
        <w:footnoteReference w:id="28"/>
      </w:r>
      <w:r>
        <w:rPr>
          <w:rStyle w:val="fnRef"/>
        </w:rPr>
        <w:t>)</w:t>
      </w:r>
      <w:r>
        <w:t xml:space="preserve">. </w:t>
      </w:r>
    </w:p>
    <w:p>
      <w:pPr>
        <w:pStyle w:val="BodyText1spaceafter"/>
        <w:keepNext/>
      </w:pPr>
      <w:r>
        <w:t>The following tables present:</w:t>
      </w:r>
    </w:p>
    <w:p>
      <w:pPr>
        <w:pStyle w:val="bulletsorange"/>
      </w:pPr>
      <w:r>
        <w:t xml:space="preserve">the list of reservations related to the (current) programmes for the period 2014-2020 (see </w:t>
      </w:r>
      <w:r>
        <w:rPr>
          <w:rStyle w:val="BOLDORANGEAnnexes"/>
        </w:rPr>
        <w:t>Table</w:t>
      </w:r>
      <w:r>
        <w:rPr>
          <w:rStyle w:val="BOLDORANGEAnnexes"/>
          <w:rFonts w:ascii="Calibri" w:hAnsi="Calibri" w:cs="Calibri"/>
        </w:rPr>
        <w:t> </w:t>
      </w:r>
      <w:r>
        <w:rPr>
          <w:rStyle w:val="BOLDORANGEAnnexes"/>
        </w:rPr>
        <w:t>A</w:t>
      </w:r>
      <w:r>
        <w:t>);</w:t>
      </w:r>
    </w:p>
    <w:p>
      <w:pPr>
        <w:pStyle w:val="bulletsorange"/>
      </w:pPr>
      <w:r>
        <w:t xml:space="preserve">the list of reservations related to the (‘legacy’) programmes for the period 2007-2013 (see </w:t>
      </w:r>
      <w:r>
        <w:rPr>
          <w:rStyle w:val="BOLDORANGEAnnexes"/>
        </w:rPr>
        <w:t>Table</w:t>
      </w:r>
      <w:r>
        <w:rPr>
          <w:rStyle w:val="BOLDORANGEAnnexes"/>
          <w:rFonts w:ascii="Calibri" w:hAnsi="Calibri" w:cs="Calibri"/>
        </w:rPr>
        <w:t> </w:t>
      </w:r>
      <w:r>
        <w:rPr>
          <w:rStyle w:val="BOLDORANGEAnnexes"/>
        </w:rPr>
        <w:t>B</w:t>
      </w:r>
      <w:r>
        <w:t>);</w:t>
      </w:r>
    </w:p>
    <w:p>
      <w:pPr>
        <w:pStyle w:val="bulletsorange"/>
      </w:pPr>
      <w:r>
        <w:t xml:space="preserve">the reservation related to the revenue side of the EU budget (see </w:t>
      </w:r>
      <w:r>
        <w:rPr>
          <w:rStyle w:val="BOLDORANGEAnnexes"/>
        </w:rPr>
        <w:t>Table</w:t>
      </w:r>
      <w:r>
        <w:rPr>
          <w:rStyle w:val="BOLDORANGEAnnexes"/>
          <w:rFonts w:ascii="Calibri" w:hAnsi="Calibri" w:cs="Calibri"/>
        </w:rPr>
        <w:t> </w:t>
      </w:r>
      <w:r>
        <w:rPr>
          <w:rStyle w:val="BOLDORANGEAnnexes"/>
        </w:rPr>
        <w:t>C</w:t>
      </w:r>
      <w:r>
        <w:t>).</w:t>
      </w:r>
    </w:p>
    <w:p>
      <w:pPr>
        <w:pStyle w:val="BodyText1spacebeforeandafter"/>
        <w:rPr>
          <w:i/>
        </w:rPr>
      </w:pPr>
      <w:r>
        <w:rPr>
          <w:i/>
        </w:rPr>
        <w:t>‘Non-quantified reservations’ are defined as reservations for which it is not possible to make an accurate assessment of the impact for the financial year, for which the financial impact is zero for this reporting year, or which cannot be quantified because the impact is only reputational.</w:t>
      </w:r>
    </w:p>
    <w:p>
      <w:pPr>
        <w:pStyle w:val="AnnexTabletitle"/>
        <w:keepNext/>
        <w:rPr>
          <w:strike/>
          <w:noProof/>
          <w:sz w:val="18"/>
          <w:szCs w:val="18"/>
        </w:rPr>
      </w:pPr>
      <w:r>
        <w:rPr>
          <w:noProof/>
        </w:rPr>
        <w:t>Table</w:t>
      </w:r>
      <w:r>
        <w:rPr>
          <w:rFonts w:ascii="Calibri" w:hAnsi="Calibri" w:cs="Calibri"/>
          <w:noProof/>
        </w:rPr>
        <w:t> A</w:t>
      </w:r>
      <w:r>
        <w:rPr>
          <w:noProof/>
        </w:rPr>
        <w:t xml:space="preserve">: Reservations related to the programmes for the period 2014-2020 </w:t>
      </w:r>
    </w:p>
    <w:tbl>
      <w:tblPr>
        <w:tblStyle w:val="TableGrid"/>
        <w:tblW w:w="9070" w:type="dxa"/>
        <w:jc w:val="center"/>
        <w:tblLayout w:type="fixed"/>
        <w:tblLook w:val="04A0" w:firstRow="1" w:lastRow="0" w:firstColumn="1" w:lastColumn="0" w:noHBand="0" w:noVBand="1"/>
      </w:tblPr>
      <w:tblGrid>
        <w:gridCol w:w="1444"/>
        <w:gridCol w:w="4660"/>
        <w:gridCol w:w="812"/>
        <w:gridCol w:w="1209"/>
        <w:gridCol w:w="945"/>
      </w:tblGrid>
      <w:tr>
        <w:trPr>
          <w:jc w:val="center"/>
        </w:trPr>
        <w:tc>
          <w:tcPr>
            <w:tcW w:w="1526" w:type="dxa"/>
            <w:tcBorders>
              <w:bottom w:val="single" w:sz="4" w:space="0" w:color="auto"/>
            </w:tcBorders>
            <w:shd w:val="clear" w:color="auto" w:fill="E48C32"/>
            <w:tcMar>
              <w:left w:w="57" w:type="dxa"/>
              <w:right w:w="57" w:type="dxa"/>
            </w:tcMar>
          </w:tcPr>
          <w:p>
            <w:pPr>
              <w:keepNext/>
              <w:spacing w:line="26" w:lineRule="atLeast"/>
              <w:jc w:val="center"/>
              <w:rPr>
                <w:b/>
                <w:noProof/>
                <w:color w:val="FFFFFF"/>
                <w:sz w:val="18"/>
                <w:szCs w:val="18"/>
              </w:rPr>
            </w:pPr>
            <w:r>
              <w:rPr>
                <w:b/>
                <w:noProof/>
                <w:color w:val="FFFFFF"/>
                <w:sz w:val="18"/>
                <w:szCs w:val="18"/>
              </w:rPr>
              <w:t>Policy area</w:t>
            </w:r>
          </w:p>
        </w:tc>
        <w:tc>
          <w:tcPr>
            <w:tcW w:w="4960" w:type="dxa"/>
            <w:shd w:val="clear" w:color="auto" w:fill="E48C32"/>
            <w:tcMar>
              <w:left w:w="57" w:type="dxa"/>
              <w:right w:w="57" w:type="dxa"/>
            </w:tcMar>
          </w:tcPr>
          <w:p>
            <w:pPr>
              <w:keepNext/>
              <w:spacing w:line="26" w:lineRule="atLeast"/>
              <w:jc w:val="center"/>
              <w:rPr>
                <w:b/>
                <w:noProof/>
                <w:color w:val="FFFFFF"/>
                <w:sz w:val="18"/>
                <w:szCs w:val="18"/>
              </w:rPr>
            </w:pPr>
            <w:r>
              <w:rPr>
                <w:b/>
                <w:noProof/>
                <w:color w:val="FFFFFF"/>
                <w:sz w:val="18"/>
                <w:szCs w:val="18"/>
              </w:rPr>
              <w:t>Description of reservation</w:t>
            </w:r>
          </w:p>
        </w:tc>
        <w:tc>
          <w:tcPr>
            <w:tcW w:w="851" w:type="dxa"/>
            <w:shd w:val="clear" w:color="auto" w:fill="E48C32"/>
            <w:tcMar>
              <w:left w:w="57" w:type="dxa"/>
              <w:right w:w="57" w:type="dxa"/>
            </w:tcMar>
          </w:tcPr>
          <w:p>
            <w:pPr>
              <w:keepNext/>
              <w:spacing w:line="26" w:lineRule="atLeast"/>
              <w:jc w:val="center"/>
              <w:rPr>
                <w:b/>
                <w:noProof/>
                <w:color w:val="FFFFFF"/>
                <w:sz w:val="18"/>
                <w:szCs w:val="18"/>
              </w:rPr>
            </w:pPr>
            <w:r>
              <w:rPr>
                <w:b/>
                <w:noProof/>
                <w:color w:val="FFFFFF"/>
                <w:sz w:val="18"/>
                <w:szCs w:val="18"/>
              </w:rPr>
              <w:t>Dept.</w:t>
            </w:r>
          </w:p>
        </w:tc>
        <w:tc>
          <w:tcPr>
            <w:tcW w:w="1275" w:type="dxa"/>
            <w:shd w:val="clear" w:color="auto" w:fill="E48C32"/>
            <w:tcMar>
              <w:left w:w="57" w:type="dxa"/>
              <w:right w:w="57" w:type="dxa"/>
            </w:tcMar>
          </w:tcPr>
          <w:p>
            <w:pPr>
              <w:keepNext/>
              <w:spacing w:line="26" w:lineRule="atLeast"/>
              <w:jc w:val="center"/>
              <w:rPr>
                <w:b/>
                <w:noProof/>
                <w:color w:val="FFFFFF"/>
                <w:sz w:val="18"/>
                <w:szCs w:val="18"/>
              </w:rPr>
            </w:pPr>
            <w:r>
              <w:rPr>
                <w:b/>
                <w:noProof/>
                <w:color w:val="FFFFFF"/>
                <w:sz w:val="18"/>
                <w:szCs w:val="18"/>
              </w:rPr>
              <w:t>Impact on legality and regularity</w:t>
            </w:r>
          </w:p>
        </w:tc>
        <w:tc>
          <w:tcPr>
            <w:tcW w:w="993" w:type="dxa"/>
            <w:shd w:val="clear" w:color="auto" w:fill="E48C32"/>
            <w:tcMar>
              <w:left w:w="57" w:type="dxa"/>
              <w:right w:w="57" w:type="dxa"/>
            </w:tcMar>
          </w:tcPr>
          <w:p>
            <w:pPr>
              <w:keepNext/>
              <w:spacing w:line="26" w:lineRule="atLeast"/>
              <w:jc w:val="center"/>
              <w:rPr>
                <w:b/>
                <w:noProof/>
                <w:color w:val="FFFFFF"/>
                <w:sz w:val="18"/>
                <w:szCs w:val="18"/>
              </w:rPr>
            </w:pPr>
            <w:r>
              <w:rPr>
                <w:b/>
                <w:noProof/>
                <w:color w:val="FFFFFF"/>
                <w:sz w:val="18"/>
                <w:szCs w:val="18"/>
              </w:rPr>
              <w:t>Exposure (EUR millions)</w:t>
            </w:r>
          </w:p>
        </w:tc>
      </w:tr>
      <w:tr>
        <w:trPr>
          <w:trHeight w:val="373"/>
          <w:jc w:val="center"/>
        </w:trPr>
        <w:tc>
          <w:tcPr>
            <w:tcW w:w="1526" w:type="dxa"/>
            <w:tcBorders>
              <w:bottom w:val="nil"/>
            </w:tcBorders>
          </w:tcPr>
          <w:p>
            <w:pPr>
              <w:keepNext/>
              <w:spacing w:before="100" w:beforeAutospacing="1" w:afterAutospacing="1" w:line="26" w:lineRule="atLeast"/>
              <w:ind w:right="-108"/>
              <w:rPr>
                <w:b/>
                <w:strike/>
                <w:noProof/>
                <w:color w:val="000000" w:themeColor="text1"/>
                <w:sz w:val="18"/>
                <w:szCs w:val="18"/>
              </w:rPr>
            </w:pPr>
            <w:r>
              <w:rPr>
                <w:b/>
                <w:noProof/>
                <w:color w:val="000000" w:themeColor="text1"/>
                <w:sz w:val="18"/>
                <w:szCs w:val="18"/>
              </w:rPr>
              <w:t>Agriculture</w:t>
            </w:r>
          </w:p>
        </w:tc>
        <w:tc>
          <w:tcPr>
            <w:tcW w:w="4960" w:type="dxa"/>
            <w:vAlign w:val="center"/>
          </w:tcPr>
          <w:p>
            <w:pPr>
              <w:keepNext/>
              <w:spacing w:before="100" w:beforeAutospacing="1" w:afterAutospacing="1" w:line="26" w:lineRule="atLeast"/>
              <w:rPr>
                <w:b/>
                <w:strike/>
                <w:noProof/>
                <w:color w:val="000000" w:themeColor="text1"/>
                <w:sz w:val="18"/>
                <w:szCs w:val="18"/>
              </w:rPr>
            </w:pPr>
            <w:r>
              <w:rPr>
                <w:noProof/>
                <w:color w:val="000000" w:themeColor="text1"/>
                <w:sz w:val="18"/>
                <w:szCs w:val="18"/>
              </w:rPr>
              <w:t>European Agricultural Guarantee Fund (EAGF) market measures (eight elements of reservation in six Member States)</w:t>
            </w:r>
          </w:p>
        </w:tc>
        <w:tc>
          <w:tcPr>
            <w:tcW w:w="851" w:type="dxa"/>
            <w:vAlign w:val="center"/>
          </w:tcPr>
          <w:p>
            <w:pPr>
              <w:keepNext/>
              <w:spacing w:before="100" w:beforeAutospacing="1" w:afterAutospacing="1" w:line="26" w:lineRule="atLeast"/>
              <w:jc w:val="center"/>
              <w:rPr>
                <w:b/>
                <w:strike/>
                <w:noProof/>
                <w:color w:val="000000" w:themeColor="text1"/>
                <w:sz w:val="18"/>
                <w:szCs w:val="18"/>
              </w:rPr>
            </w:pPr>
            <w:r>
              <w:rPr>
                <w:noProof/>
                <w:color w:val="000000" w:themeColor="text1"/>
                <w:sz w:val="18"/>
                <w:szCs w:val="18"/>
              </w:rPr>
              <w:t>AGRI</w:t>
            </w:r>
          </w:p>
        </w:tc>
        <w:tc>
          <w:tcPr>
            <w:tcW w:w="1275" w:type="dxa"/>
            <w:vAlign w:val="center"/>
          </w:tcPr>
          <w:p>
            <w:pPr>
              <w:keepNext/>
              <w:spacing w:before="100" w:beforeAutospacing="1" w:afterAutospacing="1" w:line="26" w:lineRule="atLeast"/>
              <w:jc w:val="center"/>
              <w:rPr>
                <w:b/>
                <w:strike/>
                <w:noProof/>
                <w:color w:val="000000" w:themeColor="text1"/>
                <w:sz w:val="18"/>
                <w:szCs w:val="18"/>
              </w:rPr>
            </w:pPr>
            <w:r>
              <w:rPr>
                <w:noProof/>
                <w:color w:val="000000" w:themeColor="text1"/>
                <w:sz w:val="18"/>
                <w:szCs w:val="18"/>
              </w:rPr>
              <w:t>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49.8</w:t>
            </w:r>
          </w:p>
        </w:tc>
      </w:tr>
      <w:tr>
        <w:trPr>
          <w:trHeight w:val="377"/>
          <w:jc w:val="center"/>
        </w:trPr>
        <w:tc>
          <w:tcPr>
            <w:tcW w:w="1526" w:type="dxa"/>
            <w:tcBorders>
              <w:top w:val="nil"/>
              <w:bottom w:val="nil"/>
            </w:tcBorders>
          </w:tcPr>
          <w:p>
            <w:pPr>
              <w:keepNext/>
              <w:spacing w:before="100" w:beforeAutospacing="1" w:afterAutospacing="1" w:line="26" w:lineRule="atLeast"/>
              <w:rPr>
                <w:b/>
                <w:noProof/>
                <w:color w:val="000000" w:themeColor="text1"/>
                <w:sz w:val="18"/>
                <w:szCs w:val="18"/>
              </w:rPr>
            </w:pPr>
          </w:p>
        </w:tc>
        <w:tc>
          <w:tcPr>
            <w:tcW w:w="4960" w:type="dxa"/>
            <w:vAlign w:val="center"/>
          </w:tcPr>
          <w:p>
            <w:pPr>
              <w:keepNext/>
              <w:spacing w:before="100" w:beforeAutospacing="1" w:afterAutospacing="1" w:line="26" w:lineRule="atLeast"/>
              <w:rPr>
                <w:b/>
                <w:strike/>
                <w:noProof/>
                <w:color w:val="000000" w:themeColor="text1"/>
                <w:sz w:val="18"/>
                <w:szCs w:val="18"/>
              </w:rPr>
            </w:pPr>
            <w:r>
              <w:rPr>
                <w:noProof/>
                <w:color w:val="000000" w:themeColor="text1"/>
                <w:sz w:val="18"/>
                <w:szCs w:val="18"/>
              </w:rPr>
              <w:t>European Agricultural Guarantee Fund (EAGF) direct payments (17 paying agencies in 10 Member States)</w:t>
            </w:r>
          </w:p>
        </w:tc>
        <w:tc>
          <w:tcPr>
            <w:tcW w:w="851" w:type="dxa"/>
            <w:vAlign w:val="center"/>
          </w:tcPr>
          <w:p>
            <w:pPr>
              <w:keepNext/>
              <w:spacing w:before="100" w:beforeAutospacing="1" w:afterAutospacing="1" w:line="26" w:lineRule="atLeast"/>
              <w:jc w:val="center"/>
              <w:rPr>
                <w:b/>
                <w:strike/>
                <w:noProof/>
                <w:color w:val="000000" w:themeColor="text1"/>
                <w:sz w:val="18"/>
                <w:szCs w:val="18"/>
              </w:rPr>
            </w:pPr>
            <w:r>
              <w:rPr>
                <w:noProof/>
                <w:color w:val="000000" w:themeColor="text1"/>
                <w:sz w:val="18"/>
                <w:szCs w:val="18"/>
              </w:rPr>
              <w:t>AGRI</w:t>
            </w:r>
          </w:p>
        </w:tc>
        <w:tc>
          <w:tcPr>
            <w:tcW w:w="1275" w:type="dxa"/>
            <w:vAlign w:val="center"/>
          </w:tcPr>
          <w:p>
            <w:pPr>
              <w:keepNext/>
              <w:spacing w:before="100" w:beforeAutospacing="1" w:afterAutospacing="1" w:line="26" w:lineRule="atLeast"/>
              <w:jc w:val="center"/>
              <w:rPr>
                <w:b/>
                <w:strike/>
                <w:noProof/>
                <w:color w:val="000000" w:themeColor="text1"/>
                <w:sz w:val="18"/>
                <w:szCs w:val="18"/>
              </w:rPr>
            </w:pPr>
            <w:r>
              <w:rPr>
                <w:noProof/>
                <w:color w:val="000000" w:themeColor="text1"/>
                <w:sz w:val="18"/>
                <w:szCs w:val="18"/>
              </w:rPr>
              <w:t>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378.3</w:t>
            </w:r>
          </w:p>
        </w:tc>
      </w:tr>
      <w:tr>
        <w:trPr>
          <w:trHeight w:val="491"/>
          <w:jc w:val="center"/>
        </w:trPr>
        <w:tc>
          <w:tcPr>
            <w:tcW w:w="1526" w:type="dxa"/>
            <w:tcBorders>
              <w:top w:val="nil"/>
              <w:bottom w:val="single" w:sz="4" w:space="0" w:color="auto"/>
            </w:tcBorders>
          </w:tcPr>
          <w:p>
            <w:pPr>
              <w:keepNext/>
              <w:spacing w:before="100" w:beforeAutospacing="1" w:afterAutospacing="1" w:line="26" w:lineRule="atLeast"/>
              <w:rPr>
                <w:b/>
                <w:strike/>
                <w:noProof/>
                <w:color w:val="000000" w:themeColor="text1"/>
                <w:sz w:val="18"/>
                <w:szCs w:val="18"/>
              </w:rPr>
            </w:pPr>
          </w:p>
        </w:tc>
        <w:tc>
          <w:tcPr>
            <w:tcW w:w="4960" w:type="dxa"/>
            <w:vAlign w:val="center"/>
          </w:tcPr>
          <w:p>
            <w:pPr>
              <w:keepNext/>
              <w:spacing w:before="100" w:beforeAutospacing="1" w:afterAutospacing="1" w:line="26" w:lineRule="atLeast"/>
              <w:rPr>
                <w:b/>
                <w:strike/>
                <w:noProof/>
                <w:color w:val="000000" w:themeColor="text1"/>
                <w:sz w:val="18"/>
                <w:szCs w:val="18"/>
              </w:rPr>
            </w:pPr>
            <w:r>
              <w:rPr>
                <w:noProof/>
                <w:color w:val="000000" w:themeColor="text1"/>
                <w:sz w:val="18"/>
                <w:szCs w:val="18"/>
              </w:rPr>
              <w:t>European Agricultural Fund for Rural Development (EAFRD) expenditure for rural development measures (21 paying agencies in 14 Member States)</w:t>
            </w:r>
          </w:p>
        </w:tc>
        <w:tc>
          <w:tcPr>
            <w:tcW w:w="851" w:type="dxa"/>
            <w:vAlign w:val="center"/>
          </w:tcPr>
          <w:p>
            <w:pPr>
              <w:keepNext/>
              <w:spacing w:before="100" w:beforeAutospacing="1" w:afterAutospacing="1" w:line="26" w:lineRule="atLeast"/>
              <w:jc w:val="center"/>
              <w:rPr>
                <w:b/>
                <w:strike/>
                <w:noProof/>
                <w:color w:val="000000" w:themeColor="text1"/>
                <w:sz w:val="18"/>
                <w:szCs w:val="18"/>
              </w:rPr>
            </w:pPr>
            <w:r>
              <w:rPr>
                <w:noProof/>
                <w:color w:val="000000" w:themeColor="text1"/>
                <w:sz w:val="18"/>
                <w:szCs w:val="18"/>
              </w:rPr>
              <w:t>AGRI</w:t>
            </w:r>
          </w:p>
        </w:tc>
        <w:tc>
          <w:tcPr>
            <w:tcW w:w="1275" w:type="dxa"/>
            <w:vAlign w:val="center"/>
          </w:tcPr>
          <w:p>
            <w:pPr>
              <w:keepNext/>
              <w:spacing w:before="100" w:beforeAutospacing="1" w:afterAutospacing="1" w:line="26" w:lineRule="atLeast"/>
              <w:jc w:val="center"/>
              <w:rPr>
                <w:b/>
                <w:strike/>
                <w:noProof/>
                <w:color w:val="000000" w:themeColor="text1"/>
                <w:sz w:val="18"/>
                <w:szCs w:val="18"/>
              </w:rPr>
            </w:pPr>
            <w:r>
              <w:rPr>
                <w:noProof/>
                <w:color w:val="000000" w:themeColor="text1"/>
                <w:sz w:val="18"/>
                <w:szCs w:val="18"/>
              </w:rPr>
              <w:t>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297.3</w:t>
            </w:r>
          </w:p>
        </w:tc>
      </w:tr>
      <w:tr>
        <w:trPr>
          <w:jc w:val="center"/>
        </w:trPr>
        <w:tc>
          <w:tcPr>
            <w:tcW w:w="1526" w:type="dxa"/>
            <w:tcBorders>
              <w:bottom w:val="nil"/>
            </w:tcBorders>
          </w:tcPr>
          <w:p>
            <w:pPr>
              <w:keepNext/>
              <w:spacing w:before="100" w:beforeAutospacing="1" w:afterAutospacing="1" w:line="26" w:lineRule="atLeast"/>
              <w:ind w:right="-108"/>
              <w:rPr>
                <w:b/>
                <w:strike/>
                <w:noProof/>
                <w:color w:val="000000" w:themeColor="text1"/>
                <w:sz w:val="18"/>
                <w:szCs w:val="18"/>
              </w:rPr>
            </w:pPr>
            <w:r>
              <w:rPr>
                <w:b/>
                <w:noProof/>
                <w:color w:val="000000" w:themeColor="text1"/>
                <w:sz w:val="18"/>
                <w:szCs w:val="18"/>
              </w:rPr>
              <w:t>Cohesion, migration and fisheries</w:t>
            </w:r>
          </w:p>
        </w:tc>
        <w:tc>
          <w:tcPr>
            <w:tcW w:w="4960" w:type="dxa"/>
            <w:vAlign w:val="center"/>
          </w:tcPr>
          <w:p>
            <w:pPr>
              <w:keepNext/>
              <w:spacing w:before="100" w:beforeAutospacing="1" w:afterAutospacing="1" w:line="26" w:lineRule="atLeast"/>
              <w:rPr>
                <w:b/>
                <w:strike/>
                <w:noProof/>
                <w:color w:val="000000" w:themeColor="text1"/>
                <w:sz w:val="18"/>
                <w:szCs w:val="18"/>
              </w:rPr>
            </w:pPr>
            <w:r>
              <w:rPr>
                <w:noProof/>
                <w:color w:val="000000" w:themeColor="text1"/>
                <w:sz w:val="18"/>
                <w:szCs w:val="18"/>
              </w:rPr>
              <w:t>2014-2020 European Regional Development Fund (ERDF)/Cohesion Fund (CF) (30 programmes in 15 Member States and two European territorial cooperation programmes)</w:t>
            </w:r>
          </w:p>
        </w:tc>
        <w:tc>
          <w:tcPr>
            <w:tcW w:w="851" w:type="dxa"/>
            <w:vAlign w:val="center"/>
          </w:tcPr>
          <w:p>
            <w:pPr>
              <w:keepNext/>
              <w:spacing w:before="100" w:beforeAutospacing="1" w:afterAutospacing="1" w:line="26" w:lineRule="atLeast"/>
              <w:jc w:val="center"/>
              <w:rPr>
                <w:b/>
                <w:strike/>
                <w:noProof/>
                <w:color w:val="000000" w:themeColor="text1"/>
                <w:sz w:val="18"/>
                <w:szCs w:val="18"/>
              </w:rPr>
            </w:pPr>
            <w:r>
              <w:rPr>
                <w:noProof/>
                <w:color w:val="000000" w:themeColor="text1"/>
                <w:sz w:val="18"/>
                <w:szCs w:val="18"/>
              </w:rPr>
              <w:t>REGIO</w:t>
            </w:r>
          </w:p>
        </w:tc>
        <w:tc>
          <w:tcPr>
            <w:tcW w:w="1275" w:type="dxa"/>
            <w:vAlign w:val="center"/>
          </w:tcPr>
          <w:p>
            <w:pPr>
              <w:keepNext/>
              <w:spacing w:before="100" w:beforeAutospacing="1" w:afterAutospacing="1" w:line="26" w:lineRule="atLeast"/>
              <w:jc w:val="center"/>
              <w:rPr>
                <w:b/>
                <w:strike/>
                <w:noProof/>
                <w:color w:val="000000" w:themeColor="text1"/>
                <w:sz w:val="18"/>
                <w:szCs w:val="18"/>
              </w:rPr>
            </w:pPr>
            <w:r>
              <w:rPr>
                <w:noProof/>
                <w:color w:val="000000" w:themeColor="text1"/>
                <w:sz w:val="18"/>
                <w:szCs w:val="18"/>
              </w:rPr>
              <w:t>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219.9</w:t>
            </w:r>
          </w:p>
        </w:tc>
      </w:tr>
      <w:tr>
        <w:trPr>
          <w:jc w:val="center"/>
        </w:trPr>
        <w:tc>
          <w:tcPr>
            <w:tcW w:w="1526" w:type="dxa"/>
            <w:tcBorders>
              <w:top w:val="nil"/>
              <w:bottom w:val="nil"/>
            </w:tcBorders>
          </w:tcPr>
          <w:p>
            <w:pPr>
              <w:keepNext/>
              <w:spacing w:before="100" w:beforeAutospacing="1" w:afterAutospacing="1" w:line="26" w:lineRule="atLeast"/>
              <w:rPr>
                <w:b/>
                <w:strike/>
                <w:noProof/>
                <w:color w:val="000000" w:themeColor="text1"/>
                <w:sz w:val="18"/>
                <w:szCs w:val="18"/>
              </w:rPr>
            </w:pPr>
          </w:p>
          <w:p>
            <w:pPr>
              <w:keepNext/>
              <w:spacing w:before="100" w:beforeAutospacing="1" w:afterAutospacing="1" w:line="26" w:lineRule="atLeast"/>
              <w:rPr>
                <w:b/>
                <w:strike/>
                <w:noProof/>
                <w:color w:val="000000" w:themeColor="text1"/>
                <w:sz w:val="18"/>
                <w:szCs w:val="18"/>
              </w:rPr>
            </w:pPr>
          </w:p>
        </w:tc>
        <w:tc>
          <w:tcPr>
            <w:tcW w:w="4960" w:type="dxa"/>
            <w:vAlign w:val="center"/>
          </w:tcPr>
          <w:p>
            <w:pPr>
              <w:keepNext/>
              <w:spacing w:before="100" w:beforeAutospacing="1" w:line="26" w:lineRule="atLeast"/>
              <w:rPr>
                <w:b/>
                <w:strike/>
                <w:noProof/>
                <w:color w:val="000000" w:themeColor="text1"/>
                <w:sz w:val="18"/>
                <w:szCs w:val="18"/>
              </w:rPr>
            </w:pPr>
            <w:r>
              <w:rPr>
                <w:noProof/>
                <w:color w:val="000000" w:themeColor="text1"/>
                <w:sz w:val="18"/>
                <w:szCs w:val="18"/>
              </w:rPr>
              <w:t>2014-2020 European Social Fund (ESF), youth employment initiative (YEI), Fund for European Aid to the Most Deprived (FEAD) (28 programmes in nine Member States)</w:t>
            </w:r>
          </w:p>
        </w:tc>
        <w:tc>
          <w:tcPr>
            <w:tcW w:w="851" w:type="dxa"/>
            <w:vAlign w:val="center"/>
          </w:tcPr>
          <w:p>
            <w:pPr>
              <w:keepNext/>
              <w:spacing w:before="100" w:beforeAutospacing="1" w:afterAutospacing="1" w:line="26" w:lineRule="atLeast"/>
              <w:jc w:val="center"/>
              <w:rPr>
                <w:b/>
                <w:strike/>
                <w:noProof/>
                <w:color w:val="000000" w:themeColor="text1"/>
                <w:sz w:val="18"/>
                <w:szCs w:val="18"/>
              </w:rPr>
            </w:pPr>
            <w:r>
              <w:rPr>
                <w:noProof/>
                <w:color w:val="000000" w:themeColor="text1"/>
                <w:sz w:val="18"/>
                <w:szCs w:val="18"/>
              </w:rPr>
              <w:t>EMPL</w:t>
            </w:r>
          </w:p>
        </w:tc>
        <w:tc>
          <w:tcPr>
            <w:tcW w:w="1275" w:type="dxa"/>
            <w:vAlign w:val="center"/>
          </w:tcPr>
          <w:p>
            <w:pPr>
              <w:keepNext/>
              <w:spacing w:before="100" w:beforeAutospacing="1" w:afterAutospacing="1" w:line="26" w:lineRule="atLeast"/>
              <w:jc w:val="center"/>
              <w:rPr>
                <w:b/>
                <w:strike/>
                <w:noProof/>
                <w:color w:val="000000" w:themeColor="text1"/>
                <w:sz w:val="18"/>
                <w:szCs w:val="18"/>
              </w:rPr>
            </w:pPr>
            <w:r>
              <w:rPr>
                <w:noProof/>
                <w:color w:val="000000" w:themeColor="text1"/>
                <w:sz w:val="18"/>
                <w:szCs w:val="18"/>
              </w:rPr>
              <w:t>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63.0</w:t>
            </w:r>
          </w:p>
        </w:tc>
      </w:tr>
      <w:tr>
        <w:trPr>
          <w:jc w:val="center"/>
        </w:trPr>
        <w:tc>
          <w:tcPr>
            <w:tcW w:w="1526" w:type="dxa"/>
            <w:tcBorders>
              <w:top w:val="nil"/>
              <w:bottom w:val="single" w:sz="4" w:space="0" w:color="auto"/>
            </w:tcBorders>
          </w:tcPr>
          <w:p>
            <w:pPr>
              <w:keepNext/>
              <w:spacing w:before="100" w:beforeAutospacing="1" w:afterAutospacing="1" w:line="26" w:lineRule="atLeast"/>
              <w:rPr>
                <w:b/>
                <w:strike/>
                <w:noProof/>
                <w:color w:val="000000" w:themeColor="text1"/>
                <w:sz w:val="18"/>
                <w:szCs w:val="18"/>
              </w:rPr>
            </w:pPr>
          </w:p>
        </w:tc>
        <w:tc>
          <w:tcPr>
            <w:tcW w:w="4960" w:type="dxa"/>
            <w:vAlign w:val="center"/>
          </w:tcPr>
          <w:p>
            <w:pPr>
              <w:keepNext/>
              <w:spacing w:before="100" w:beforeAutospacing="1" w:afterAutospacing="1" w:line="26" w:lineRule="atLeast"/>
              <w:rPr>
                <w:noProof/>
                <w:color w:val="000000" w:themeColor="text1"/>
                <w:sz w:val="18"/>
                <w:szCs w:val="18"/>
              </w:rPr>
            </w:pPr>
            <w:r>
              <w:rPr>
                <w:noProof/>
                <w:color w:val="000000" w:themeColor="text1"/>
                <w:sz w:val="18"/>
                <w:szCs w:val="18"/>
              </w:rPr>
              <w:t>2014-2020 management and control systems for the Asylum, Migration and Integration Fund (AMIF) (one Member State) and the Internal Security Fund (ISF) (two Member States)</w:t>
            </w:r>
          </w:p>
        </w:tc>
        <w:tc>
          <w:tcPr>
            <w:tcW w:w="851"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HOME</w:t>
            </w:r>
          </w:p>
        </w:tc>
        <w:tc>
          <w:tcPr>
            <w:tcW w:w="1275"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1.4</w:t>
            </w:r>
          </w:p>
        </w:tc>
      </w:tr>
      <w:tr>
        <w:trPr>
          <w:trHeight w:val="361"/>
          <w:jc w:val="center"/>
        </w:trPr>
        <w:tc>
          <w:tcPr>
            <w:tcW w:w="1526" w:type="dxa"/>
            <w:tcBorders>
              <w:bottom w:val="nil"/>
            </w:tcBorders>
          </w:tcPr>
          <w:p>
            <w:pPr>
              <w:keepNext/>
              <w:spacing w:before="100" w:beforeAutospacing="1" w:afterAutospacing="1" w:line="26" w:lineRule="atLeast"/>
              <w:rPr>
                <w:b/>
                <w:strike/>
                <w:noProof/>
                <w:color w:val="000000" w:themeColor="text1"/>
                <w:sz w:val="18"/>
                <w:szCs w:val="18"/>
              </w:rPr>
            </w:pPr>
            <w:r>
              <w:rPr>
                <w:b/>
                <w:noProof/>
                <w:color w:val="000000" w:themeColor="text1"/>
                <w:sz w:val="18"/>
                <w:szCs w:val="18"/>
              </w:rPr>
              <w:t>External</w:t>
            </w:r>
            <w:r>
              <w:rPr>
                <w:b/>
                <w:noProof/>
                <w:color w:val="000000" w:themeColor="text1"/>
                <w:sz w:val="18"/>
                <w:szCs w:val="18"/>
              </w:rPr>
              <w:br/>
              <w:t>relations</w:t>
            </w:r>
          </w:p>
        </w:tc>
        <w:tc>
          <w:tcPr>
            <w:tcW w:w="4960" w:type="dxa"/>
            <w:vAlign w:val="center"/>
          </w:tcPr>
          <w:p>
            <w:pPr>
              <w:keepNext/>
              <w:spacing w:before="100" w:beforeAutospacing="1" w:afterAutospacing="1" w:line="26" w:lineRule="atLeast"/>
              <w:rPr>
                <w:noProof/>
                <w:sz w:val="18"/>
                <w:szCs w:val="18"/>
              </w:rPr>
            </w:pPr>
            <w:r>
              <w:rPr>
                <w:noProof/>
                <w:sz w:val="18"/>
                <w:szCs w:val="18"/>
              </w:rPr>
              <w:t>Direct management grants — cross-delegation</w:t>
            </w:r>
          </w:p>
        </w:tc>
        <w:tc>
          <w:tcPr>
            <w:tcW w:w="851"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DEVCO</w:t>
            </w:r>
          </w:p>
        </w:tc>
        <w:tc>
          <w:tcPr>
            <w:tcW w:w="1275"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0.7</w:t>
            </w:r>
          </w:p>
        </w:tc>
      </w:tr>
      <w:tr>
        <w:trPr>
          <w:jc w:val="center"/>
        </w:trPr>
        <w:tc>
          <w:tcPr>
            <w:tcW w:w="1526" w:type="dxa"/>
            <w:tcBorders>
              <w:top w:val="nil"/>
              <w:bottom w:val="nil"/>
            </w:tcBorders>
          </w:tcPr>
          <w:p>
            <w:pPr>
              <w:keepNext/>
              <w:spacing w:before="100" w:beforeAutospacing="1" w:afterAutospacing="1" w:line="26" w:lineRule="atLeast"/>
              <w:rPr>
                <w:b/>
                <w:strike/>
                <w:noProof/>
                <w:color w:val="000000" w:themeColor="text1"/>
                <w:sz w:val="18"/>
                <w:szCs w:val="18"/>
              </w:rPr>
            </w:pPr>
          </w:p>
        </w:tc>
        <w:tc>
          <w:tcPr>
            <w:tcW w:w="4960" w:type="dxa"/>
            <w:vAlign w:val="center"/>
          </w:tcPr>
          <w:p>
            <w:pPr>
              <w:keepNext/>
              <w:spacing w:before="100" w:beforeAutospacing="1" w:afterAutospacing="1" w:line="26" w:lineRule="atLeast"/>
              <w:rPr>
                <w:b/>
                <w:strike/>
                <w:noProof/>
                <w:sz w:val="18"/>
                <w:szCs w:val="18"/>
              </w:rPr>
            </w:pPr>
            <w:r>
              <w:rPr>
                <w:noProof/>
                <w:sz w:val="18"/>
                <w:szCs w:val="18"/>
              </w:rPr>
              <w:t>Programmes managed by the African Union Commission (AUC) involving a significant level of procurement</w:t>
            </w:r>
          </w:p>
        </w:tc>
        <w:tc>
          <w:tcPr>
            <w:tcW w:w="851" w:type="dxa"/>
            <w:vAlign w:val="center"/>
          </w:tcPr>
          <w:p>
            <w:pPr>
              <w:keepNext/>
              <w:spacing w:before="100" w:beforeAutospacing="1" w:afterAutospacing="1" w:line="26" w:lineRule="atLeast"/>
              <w:jc w:val="center"/>
              <w:rPr>
                <w:b/>
                <w:strike/>
                <w:noProof/>
                <w:color w:val="000000" w:themeColor="text1"/>
                <w:sz w:val="18"/>
                <w:szCs w:val="18"/>
              </w:rPr>
            </w:pPr>
            <w:r>
              <w:rPr>
                <w:noProof/>
                <w:color w:val="000000" w:themeColor="text1"/>
                <w:sz w:val="18"/>
                <w:szCs w:val="18"/>
              </w:rPr>
              <w:t>DEVCO</w:t>
            </w:r>
          </w:p>
        </w:tc>
        <w:tc>
          <w:tcPr>
            <w:tcW w:w="1275" w:type="dxa"/>
            <w:vAlign w:val="center"/>
          </w:tcPr>
          <w:p>
            <w:pPr>
              <w:keepNext/>
              <w:spacing w:before="100" w:beforeAutospacing="1" w:afterAutospacing="1" w:line="26" w:lineRule="atLeast"/>
              <w:jc w:val="center"/>
              <w:rPr>
                <w:b/>
                <w:strike/>
                <w:noProof/>
                <w:color w:val="000000" w:themeColor="text1"/>
                <w:sz w:val="18"/>
                <w:szCs w:val="18"/>
              </w:rPr>
            </w:pPr>
            <w:r>
              <w:rPr>
                <w:noProof/>
                <w:color w:val="000000" w:themeColor="text1"/>
                <w:sz w:val="18"/>
                <w:szCs w:val="18"/>
              </w:rPr>
              <w:t>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5.0</w:t>
            </w:r>
          </w:p>
        </w:tc>
      </w:tr>
      <w:tr>
        <w:trPr>
          <w:trHeight w:val="301"/>
          <w:jc w:val="center"/>
        </w:trPr>
        <w:tc>
          <w:tcPr>
            <w:tcW w:w="1526" w:type="dxa"/>
            <w:tcBorders>
              <w:top w:val="nil"/>
              <w:bottom w:val="nil"/>
            </w:tcBorders>
          </w:tcPr>
          <w:p>
            <w:pPr>
              <w:keepNext/>
              <w:spacing w:before="100" w:beforeAutospacing="1" w:afterAutospacing="1" w:line="26" w:lineRule="atLeast"/>
              <w:rPr>
                <w:b/>
                <w:strike/>
                <w:noProof/>
                <w:color w:val="000000" w:themeColor="text1"/>
                <w:sz w:val="18"/>
                <w:szCs w:val="18"/>
              </w:rPr>
            </w:pPr>
          </w:p>
        </w:tc>
        <w:tc>
          <w:tcPr>
            <w:tcW w:w="4960" w:type="dxa"/>
            <w:vAlign w:val="center"/>
          </w:tcPr>
          <w:p>
            <w:pPr>
              <w:keepNext/>
              <w:spacing w:before="100" w:beforeAutospacing="1" w:afterAutospacing="1" w:line="26" w:lineRule="atLeast"/>
              <w:rPr>
                <w:b/>
                <w:strike/>
                <w:noProof/>
                <w:sz w:val="18"/>
                <w:szCs w:val="18"/>
              </w:rPr>
            </w:pPr>
            <w:r>
              <w:rPr>
                <w:noProof/>
                <w:sz w:val="18"/>
                <w:szCs w:val="18"/>
              </w:rPr>
              <w:t>Instrument for Cooperation with Industrialised Countries (ICI)</w:t>
            </w:r>
          </w:p>
        </w:tc>
        <w:tc>
          <w:tcPr>
            <w:tcW w:w="851" w:type="dxa"/>
            <w:vAlign w:val="center"/>
          </w:tcPr>
          <w:p>
            <w:pPr>
              <w:keepNext/>
              <w:spacing w:before="100" w:beforeAutospacing="1" w:afterAutospacing="1" w:line="26" w:lineRule="atLeast"/>
              <w:jc w:val="center"/>
              <w:rPr>
                <w:b/>
                <w:strike/>
                <w:noProof/>
                <w:color w:val="000000" w:themeColor="text1"/>
                <w:sz w:val="18"/>
                <w:szCs w:val="18"/>
              </w:rPr>
            </w:pPr>
            <w:r>
              <w:rPr>
                <w:noProof/>
                <w:color w:val="000000" w:themeColor="text1"/>
                <w:sz w:val="18"/>
                <w:szCs w:val="18"/>
              </w:rPr>
              <w:t>FPI</w:t>
            </w:r>
          </w:p>
        </w:tc>
        <w:tc>
          <w:tcPr>
            <w:tcW w:w="1275" w:type="dxa"/>
            <w:vAlign w:val="center"/>
          </w:tcPr>
          <w:p>
            <w:pPr>
              <w:keepNext/>
              <w:spacing w:before="100" w:beforeAutospacing="1" w:afterAutospacing="1" w:line="26" w:lineRule="atLeast"/>
              <w:jc w:val="center"/>
              <w:rPr>
                <w:b/>
                <w:strike/>
                <w:noProof/>
                <w:color w:val="000000" w:themeColor="text1"/>
                <w:sz w:val="18"/>
                <w:szCs w:val="18"/>
              </w:rPr>
            </w:pPr>
            <w:r>
              <w:rPr>
                <w:noProof/>
                <w:color w:val="000000" w:themeColor="text1"/>
                <w:sz w:val="18"/>
                <w:szCs w:val="18"/>
              </w:rPr>
              <w:t>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2.6</w:t>
            </w:r>
          </w:p>
        </w:tc>
      </w:tr>
      <w:tr>
        <w:trPr>
          <w:jc w:val="center"/>
        </w:trPr>
        <w:tc>
          <w:tcPr>
            <w:tcW w:w="1526" w:type="dxa"/>
            <w:tcBorders>
              <w:top w:val="nil"/>
              <w:bottom w:val="nil"/>
            </w:tcBorders>
          </w:tcPr>
          <w:p>
            <w:pPr>
              <w:keepNext/>
              <w:spacing w:before="100" w:beforeAutospacing="1" w:afterAutospacing="1" w:line="26" w:lineRule="atLeast"/>
              <w:rPr>
                <w:b/>
                <w:strike/>
                <w:noProof/>
                <w:color w:val="000000" w:themeColor="text1"/>
                <w:sz w:val="18"/>
                <w:szCs w:val="18"/>
              </w:rPr>
            </w:pPr>
          </w:p>
        </w:tc>
        <w:tc>
          <w:tcPr>
            <w:tcW w:w="4960" w:type="dxa"/>
            <w:vAlign w:val="center"/>
          </w:tcPr>
          <w:p>
            <w:pPr>
              <w:keepNext/>
              <w:spacing w:before="100" w:beforeAutospacing="1" w:afterAutospacing="1" w:line="26" w:lineRule="atLeast"/>
              <w:rPr>
                <w:noProof/>
                <w:sz w:val="18"/>
                <w:szCs w:val="18"/>
              </w:rPr>
            </w:pPr>
            <w:r>
              <w:rPr>
                <w:noProof/>
                <w:sz w:val="18"/>
                <w:szCs w:val="18"/>
              </w:rPr>
              <w:t>Direct management grants</w:t>
            </w:r>
          </w:p>
        </w:tc>
        <w:tc>
          <w:tcPr>
            <w:tcW w:w="851"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NEAR</w:t>
            </w:r>
          </w:p>
        </w:tc>
        <w:tc>
          <w:tcPr>
            <w:tcW w:w="1275" w:type="dxa"/>
            <w:vAlign w:val="center"/>
          </w:tcPr>
          <w:p>
            <w:pPr>
              <w:keepNext/>
              <w:spacing w:before="100" w:beforeAutospacing="1" w:afterAutospacing="1" w:line="26" w:lineRule="atLeast"/>
              <w:jc w:val="center"/>
              <w:rPr>
                <w:noProof/>
                <w:color w:val="000000" w:themeColor="text1"/>
                <w:sz w:val="18"/>
                <w:szCs w:val="18"/>
                <w:u w:val="single"/>
              </w:rPr>
            </w:pPr>
            <w:r>
              <w:rPr>
                <w:noProof/>
                <w:color w:val="000000" w:themeColor="text1"/>
                <w:sz w:val="18"/>
                <w:szCs w:val="18"/>
              </w:rPr>
              <w:t>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8.1</w:t>
            </w:r>
          </w:p>
        </w:tc>
      </w:tr>
      <w:tr>
        <w:trPr>
          <w:jc w:val="center"/>
        </w:trPr>
        <w:tc>
          <w:tcPr>
            <w:tcW w:w="1526" w:type="dxa"/>
            <w:tcBorders>
              <w:top w:val="nil"/>
            </w:tcBorders>
          </w:tcPr>
          <w:p>
            <w:pPr>
              <w:keepNext/>
              <w:spacing w:before="100" w:beforeAutospacing="1" w:afterAutospacing="1" w:line="26" w:lineRule="atLeast"/>
              <w:rPr>
                <w:b/>
                <w:strike/>
                <w:noProof/>
                <w:color w:val="000000" w:themeColor="text1"/>
                <w:sz w:val="18"/>
                <w:szCs w:val="18"/>
              </w:rPr>
            </w:pPr>
          </w:p>
        </w:tc>
        <w:tc>
          <w:tcPr>
            <w:tcW w:w="4960" w:type="dxa"/>
            <w:vAlign w:val="center"/>
          </w:tcPr>
          <w:p>
            <w:pPr>
              <w:keepNext/>
              <w:spacing w:before="100" w:beforeAutospacing="1" w:afterAutospacing="1" w:line="26" w:lineRule="atLeast"/>
              <w:rPr>
                <w:noProof/>
                <w:sz w:val="18"/>
                <w:szCs w:val="18"/>
              </w:rPr>
            </w:pPr>
            <w:r>
              <w:rPr>
                <w:noProof/>
                <w:sz w:val="18"/>
                <w:szCs w:val="18"/>
              </w:rPr>
              <w:t>Projects in Libya and Syria for which no assurance building is possible (no staff access to projects or auditors’ access to documents)</w:t>
            </w:r>
          </w:p>
        </w:tc>
        <w:tc>
          <w:tcPr>
            <w:tcW w:w="851"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NEAR</w:t>
            </w:r>
          </w:p>
        </w:tc>
        <w:tc>
          <w:tcPr>
            <w:tcW w:w="1275"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Non-quantified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w:t>
            </w:r>
          </w:p>
        </w:tc>
      </w:tr>
      <w:tr>
        <w:trPr>
          <w:jc w:val="center"/>
        </w:trPr>
        <w:tc>
          <w:tcPr>
            <w:tcW w:w="1526" w:type="dxa"/>
            <w:vMerge w:val="restart"/>
          </w:tcPr>
          <w:p>
            <w:pPr>
              <w:keepNext/>
              <w:spacing w:before="100" w:beforeAutospacing="1" w:afterAutospacing="1" w:line="26" w:lineRule="atLeast"/>
              <w:rPr>
                <w:b/>
                <w:noProof/>
                <w:color w:val="000000" w:themeColor="text1"/>
                <w:sz w:val="18"/>
                <w:szCs w:val="18"/>
              </w:rPr>
            </w:pPr>
            <w:r>
              <w:rPr>
                <w:b/>
                <w:noProof/>
                <w:color w:val="000000" w:themeColor="text1"/>
                <w:sz w:val="18"/>
                <w:szCs w:val="18"/>
              </w:rPr>
              <w:t>Research,</w:t>
            </w:r>
            <w:r>
              <w:rPr>
                <w:noProof/>
                <w:color w:val="000000" w:themeColor="text1"/>
                <w:sz w:val="18"/>
                <w:szCs w:val="18"/>
              </w:rPr>
              <w:t xml:space="preserve"> </w:t>
            </w:r>
            <w:r>
              <w:rPr>
                <w:b/>
                <w:noProof/>
                <w:color w:val="000000" w:themeColor="text1"/>
                <w:sz w:val="18"/>
                <w:szCs w:val="18"/>
              </w:rPr>
              <w:t>industry, space, energy and transport</w:t>
            </w:r>
          </w:p>
        </w:tc>
        <w:tc>
          <w:tcPr>
            <w:tcW w:w="4960" w:type="dxa"/>
            <w:vAlign w:val="center"/>
          </w:tcPr>
          <w:p>
            <w:pPr>
              <w:keepNext/>
              <w:spacing w:before="100" w:beforeAutospacing="1" w:afterAutospacing="1" w:line="26" w:lineRule="atLeast"/>
              <w:rPr>
                <w:noProof/>
                <w:sz w:val="18"/>
                <w:szCs w:val="18"/>
              </w:rPr>
            </w:pPr>
            <w:r>
              <w:rPr>
                <w:noProof/>
                <w:sz w:val="18"/>
                <w:szCs w:val="18"/>
              </w:rPr>
              <w:t>Research Fund for Coal and Steel (RFCS)</w:t>
            </w:r>
          </w:p>
        </w:tc>
        <w:tc>
          <w:tcPr>
            <w:tcW w:w="851"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RTD</w:t>
            </w:r>
          </w:p>
        </w:tc>
        <w:tc>
          <w:tcPr>
            <w:tcW w:w="1275"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2.3</w:t>
            </w:r>
          </w:p>
        </w:tc>
      </w:tr>
      <w:tr>
        <w:trPr>
          <w:jc w:val="center"/>
        </w:trPr>
        <w:tc>
          <w:tcPr>
            <w:tcW w:w="1526" w:type="dxa"/>
            <w:vMerge/>
            <w:tcBorders>
              <w:bottom w:val="single" w:sz="4" w:space="0" w:color="auto"/>
            </w:tcBorders>
          </w:tcPr>
          <w:p>
            <w:pPr>
              <w:keepNext/>
              <w:spacing w:before="100" w:beforeAutospacing="1" w:afterAutospacing="1" w:line="26" w:lineRule="atLeast"/>
              <w:rPr>
                <w:b/>
                <w:noProof/>
                <w:color w:val="000000" w:themeColor="text1"/>
                <w:sz w:val="18"/>
                <w:szCs w:val="18"/>
              </w:rPr>
            </w:pPr>
          </w:p>
        </w:tc>
        <w:tc>
          <w:tcPr>
            <w:tcW w:w="4960" w:type="dxa"/>
            <w:vAlign w:val="center"/>
          </w:tcPr>
          <w:p>
            <w:pPr>
              <w:keepNext/>
              <w:spacing w:before="100" w:beforeAutospacing="1" w:afterAutospacing="1" w:line="26" w:lineRule="atLeast"/>
              <w:rPr>
                <w:noProof/>
                <w:sz w:val="18"/>
                <w:szCs w:val="18"/>
              </w:rPr>
            </w:pPr>
            <w:r>
              <w:rPr>
                <w:noProof/>
                <w:sz w:val="18"/>
                <w:szCs w:val="18"/>
              </w:rPr>
              <w:t>Competitiveness of small and medium-sized enterprises (COSME) grants</w:t>
            </w:r>
          </w:p>
        </w:tc>
        <w:tc>
          <w:tcPr>
            <w:tcW w:w="851"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EASME</w:t>
            </w:r>
          </w:p>
        </w:tc>
        <w:tc>
          <w:tcPr>
            <w:tcW w:w="1275" w:type="dxa"/>
            <w:vAlign w:val="center"/>
          </w:tcPr>
          <w:p>
            <w:pPr>
              <w:keepNext/>
              <w:spacing w:before="100" w:beforeAutospacing="1" w:afterAutospacing="1" w:line="26" w:lineRule="atLeast"/>
              <w:jc w:val="center"/>
              <w:rPr>
                <w:noProof/>
                <w:color w:val="000000" w:themeColor="text1"/>
                <w:sz w:val="18"/>
                <w:szCs w:val="18"/>
              </w:rPr>
            </w:pPr>
            <w:r>
              <w:rPr>
                <w:b/>
                <w:noProof/>
                <w:color w:val="E48C32"/>
                <w:sz w:val="18"/>
                <w:szCs w:val="18"/>
              </w:rPr>
              <w:t>New</w:t>
            </w:r>
            <w:r>
              <w:rPr>
                <w:noProof/>
                <w:color w:val="E48C32"/>
                <w:sz w:val="18"/>
                <w:szCs w:val="18"/>
              </w:rPr>
              <w:t xml:space="preserve"> </w:t>
            </w:r>
            <w:r>
              <w:rPr>
                <w:noProof/>
                <w:color w:val="000000" w:themeColor="text1"/>
                <w:sz w:val="18"/>
                <w:szCs w:val="18"/>
              </w:rPr>
              <w:t>Quantified</w:t>
            </w:r>
          </w:p>
        </w:tc>
        <w:tc>
          <w:tcPr>
            <w:tcW w:w="993" w:type="dxa"/>
          </w:tcPr>
          <w:p>
            <w:pPr>
              <w:keepNext/>
              <w:spacing w:before="100" w:beforeAutospacing="1" w:afterAutospacing="1" w:line="26" w:lineRule="atLeast"/>
              <w:jc w:val="right"/>
              <w:rPr>
                <w:b/>
                <w:noProof/>
                <w:color w:val="FF0000"/>
                <w:sz w:val="18"/>
                <w:szCs w:val="18"/>
              </w:rPr>
            </w:pPr>
            <w:r>
              <w:rPr>
                <w:noProof/>
                <w:color w:val="000000" w:themeColor="text1"/>
                <w:sz w:val="18"/>
                <w:szCs w:val="18"/>
              </w:rPr>
              <w:t>1.6</w:t>
            </w:r>
          </w:p>
        </w:tc>
      </w:tr>
      <w:tr>
        <w:trPr>
          <w:jc w:val="center"/>
        </w:trPr>
        <w:tc>
          <w:tcPr>
            <w:tcW w:w="1526" w:type="dxa"/>
            <w:tcBorders>
              <w:bottom w:val="nil"/>
            </w:tcBorders>
          </w:tcPr>
          <w:p>
            <w:pPr>
              <w:keepNext/>
              <w:spacing w:before="100" w:beforeAutospacing="1" w:afterAutospacing="1" w:line="26" w:lineRule="atLeast"/>
              <w:rPr>
                <w:b/>
                <w:noProof/>
                <w:color w:val="000000" w:themeColor="text1"/>
                <w:sz w:val="18"/>
                <w:szCs w:val="18"/>
              </w:rPr>
            </w:pPr>
            <w:r>
              <w:rPr>
                <w:b/>
                <w:noProof/>
                <w:color w:val="000000" w:themeColor="text1"/>
                <w:sz w:val="18"/>
                <w:szCs w:val="18"/>
              </w:rPr>
              <w:t>Other internal policies</w:t>
            </w:r>
          </w:p>
        </w:tc>
        <w:tc>
          <w:tcPr>
            <w:tcW w:w="4960" w:type="dxa"/>
            <w:vAlign w:val="center"/>
          </w:tcPr>
          <w:p>
            <w:pPr>
              <w:keepNext/>
              <w:spacing w:before="100" w:beforeAutospacing="1" w:afterAutospacing="1" w:line="26" w:lineRule="atLeast"/>
              <w:rPr>
                <w:noProof/>
                <w:sz w:val="18"/>
                <w:szCs w:val="18"/>
              </w:rPr>
            </w:pPr>
            <w:r>
              <w:rPr>
                <w:noProof/>
                <w:sz w:val="18"/>
                <w:szCs w:val="18"/>
              </w:rPr>
              <w:t>Internal control system partially functioning</w:t>
            </w:r>
          </w:p>
        </w:tc>
        <w:tc>
          <w:tcPr>
            <w:tcW w:w="851"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EACEA</w:t>
            </w:r>
          </w:p>
        </w:tc>
        <w:tc>
          <w:tcPr>
            <w:tcW w:w="1275"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Non-quantified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w:t>
            </w:r>
          </w:p>
        </w:tc>
      </w:tr>
      <w:tr>
        <w:trPr>
          <w:jc w:val="center"/>
        </w:trPr>
        <w:tc>
          <w:tcPr>
            <w:tcW w:w="1526" w:type="dxa"/>
            <w:tcBorders>
              <w:top w:val="nil"/>
              <w:bottom w:val="nil"/>
            </w:tcBorders>
          </w:tcPr>
          <w:p>
            <w:pPr>
              <w:keepNext/>
              <w:spacing w:before="100" w:beforeAutospacing="1" w:afterAutospacing="1" w:line="26" w:lineRule="atLeast"/>
              <w:rPr>
                <w:b/>
                <w:noProof/>
                <w:color w:val="000000" w:themeColor="text1"/>
                <w:sz w:val="18"/>
                <w:szCs w:val="18"/>
              </w:rPr>
            </w:pPr>
          </w:p>
        </w:tc>
        <w:tc>
          <w:tcPr>
            <w:tcW w:w="4960" w:type="dxa"/>
            <w:vAlign w:val="center"/>
          </w:tcPr>
          <w:p>
            <w:pPr>
              <w:keepNext/>
              <w:spacing w:before="100" w:beforeAutospacing="1" w:afterAutospacing="1" w:line="26" w:lineRule="atLeast"/>
              <w:rPr>
                <w:strike/>
                <w:noProof/>
                <w:sz w:val="18"/>
                <w:szCs w:val="18"/>
              </w:rPr>
            </w:pPr>
            <w:r>
              <w:rPr>
                <w:noProof/>
                <w:sz w:val="18"/>
                <w:szCs w:val="18"/>
              </w:rPr>
              <w:t>European Asylum Support Office (EASO) — management and control systems weaknesses</w:t>
            </w:r>
          </w:p>
        </w:tc>
        <w:tc>
          <w:tcPr>
            <w:tcW w:w="851"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HOME</w:t>
            </w:r>
          </w:p>
        </w:tc>
        <w:tc>
          <w:tcPr>
            <w:tcW w:w="1275"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Non-quantified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w:t>
            </w:r>
          </w:p>
        </w:tc>
      </w:tr>
      <w:tr>
        <w:trPr>
          <w:jc w:val="center"/>
        </w:trPr>
        <w:tc>
          <w:tcPr>
            <w:tcW w:w="1526" w:type="dxa"/>
            <w:tcBorders>
              <w:top w:val="nil"/>
              <w:bottom w:val="nil"/>
            </w:tcBorders>
          </w:tcPr>
          <w:p>
            <w:pPr>
              <w:keepNext/>
              <w:spacing w:before="100" w:beforeAutospacing="1" w:afterAutospacing="1" w:line="26" w:lineRule="atLeast"/>
              <w:rPr>
                <w:b/>
                <w:noProof/>
                <w:color w:val="000000" w:themeColor="text1"/>
                <w:sz w:val="18"/>
                <w:szCs w:val="18"/>
              </w:rPr>
            </w:pPr>
          </w:p>
        </w:tc>
        <w:tc>
          <w:tcPr>
            <w:tcW w:w="4960" w:type="dxa"/>
            <w:vAlign w:val="center"/>
          </w:tcPr>
          <w:p>
            <w:pPr>
              <w:keepNext/>
              <w:spacing w:before="100" w:beforeAutospacing="1" w:afterAutospacing="1" w:line="26" w:lineRule="atLeast"/>
              <w:rPr>
                <w:noProof/>
                <w:sz w:val="18"/>
                <w:szCs w:val="18"/>
              </w:rPr>
            </w:pPr>
            <w:r>
              <w:rPr>
                <w:noProof/>
                <w:sz w:val="18"/>
                <w:szCs w:val="18"/>
              </w:rPr>
              <w:t>European Border and Coast Guard Agency (Frontex) — procurement and control system weaknesses</w:t>
            </w:r>
          </w:p>
        </w:tc>
        <w:tc>
          <w:tcPr>
            <w:tcW w:w="851"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HOME</w:t>
            </w:r>
          </w:p>
        </w:tc>
        <w:tc>
          <w:tcPr>
            <w:tcW w:w="1275" w:type="dxa"/>
            <w:vAlign w:val="center"/>
          </w:tcPr>
          <w:p>
            <w:pPr>
              <w:keepNext/>
              <w:spacing w:before="100" w:beforeAutospacing="1" w:afterAutospacing="1" w:line="26" w:lineRule="atLeast"/>
              <w:jc w:val="center"/>
              <w:rPr>
                <w:noProof/>
                <w:color w:val="000000" w:themeColor="text1"/>
                <w:sz w:val="18"/>
                <w:szCs w:val="18"/>
              </w:rPr>
            </w:pPr>
            <w:r>
              <w:rPr>
                <w:b/>
                <w:noProof/>
                <w:color w:val="E48C32"/>
                <w:sz w:val="18"/>
                <w:szCs w:val="18"/>
              </w:rPr>
              <w:t>New</w:t>
            </w:r>
            <w:r>
              <w:rPr>
                <w:noProof/>
                <w:color w:val="E48C32"/>
                <w:sz w:val="18"/>
                <w:szCs w:val="18"/>
              </w:rPr>
              <w:t xml:space="preserve"> </w:t>
            </w:r>
            <w:r>
              <w:rPr>
                <w:noProof/>
                <w:color w:val="000000" w:themeColor="text1"/>
                <w:sz w:val="18"/>
                <w:szCs w:val="18"/>
              </w:rPr>
              <w:br/>
              <w:t>Non-quantified</w:t>
            </w:r>
          </w:p>
        </w:tc>
        <w:tc>
          <w:tcPr>
            <w:tcW w:w="993" w:type="dxa"/>
          </w:tcPr>
          <w:p>
            <w:pPr>
              <w:keepNext/>
              <w:spacing w:before="100" w:beforeAutospacing="1" w:afterAutospacing="1" w:line="26" w:lineRule="atLeast"/>
              <w:jc w:val="right"/>
              <w:rPr>
                <w:b/>
                <w:noProof/>
                <w:color w:val="FF0000"/>
                <w:sz w:val="18"/>
                <w:szCs w:val="18"/>
              </w:rPr>
            </w:pPr>
            <w:r>
              <w:rPr>
                <w:noProof/>
                <w:color w:val="000000" w:themeColor="text1"/>
                <w:sz w:val="18"/>
                <w:szCs w:val="18"/>
              </w:rPr>
              <w:t>-</w:t>
            </w:r>
          </w:p>
        </w:tc>
      </w:tr>
      <w:tr>
        <w:trPr>
          <w:jc w:val="center"/>
        </w:trPr>
        <w:tc>
          <w:tcPr>
            <w:tcW w:w="1526" w:type="dxa"/>
            <w:tcBorders>
              <w:top w:val="nil"/>
              <w:bottom w:val="nil"/>
            </w:tcBorders>
          </w:tcPr>
          <w:p>
            <w:pPr>
              <w:keepNext/>
              <w:spacing w:before="100" w:beforeAutospacing="1" w:afterAutospacing="1" w:line="26" w:lineRule="atLeast"/>
              <w:rPr>
                <w:b/>
                <w:noProof/>
                <w:color w:val="000000" w:themeColor="text1"/>
                <w:sz w:val="18"/>
                <w:szCs w:val="18"/>
              </w:rPr>
            </w:pPr>
          </w:p>
        </w:tc>
        <w:tc>
          <w:tcPr>
            <w:tcW w:w="4960" w:type="dxa"/>
            <w:vAlign w:val="center"/>
          </w:tcPr>
          <w:p>
            <w:pPr>
              <w:keepNext/>
              <w:spacing w:before="100" w:beforeAutospacing="1" w:afterAutospacing="1" w:line="26" w:lineRule="atLeast"/>
              <w:rPr>
                <w:noProof/>
                <w:color w:val="000000" w:themeColor="text1"/>
                <w:sz w:val="18"/>
                <w:szCs w:val="18"/>
              </w:rPr>
            </w:pPr>
            <w:r>
              <w:rPr>
                <w:noProof/>
                <w:color w:val="000000" w:themeColor="text1"/>
                <w:sz w:val="18"/>
                <w:szCs w:val="18"/>
              </w:rPr>
              <w:t>Non-research grant programmes</w:t>
            </w:r>
          </w:p>
        </w:tc>
        <w:tc>
          <w:tcPr>
            <w:tcW w:w="851"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HOME</w:t>
            </w:r>
          </w:p>
        </w:tc>
        <w:tc>
          <w:tcPr>
            <w:tcW w:w="1275"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4.8</w:t>
            </w:r>
          </w:p>
        </w:tc>
      </w:tr>
      <w:tr>
        <w:trPr>
          <w:jc w:val="center"/>
        </w:trPr>
        <w:tc>
          <w:tcPr>
            <w:tcW w:w="1526" w:type="dxa"/>
            <w:tcBorders>
              <w:top w:val="nil"/>
              <w:bottom w:val="nil"/>
            </w:tcBorders>
          </w:tcPr>
          <w:p>
            <w:pPr>
              <w:keepNext/>
              <w:spacing w:before="100" w:beforeAutospacing="1" w:afterAutospacing="1" w:line="26" w:lineRule="atLeast"/>
              <w:rPr>
                <w:b/>
                <w:noProof/>
                <w:color w:val="000000" w:themeColor="text1"/>
                <w:sz w:val="18"/>
                <w:szCs w:val="18"/>
              </w:rPr>
            </w:pPr>
          </w:p>
        </w:tc>
        <w:tc>
          <w:tcPr>
            <w:tcW w:w="4960" w:type="dxa"/>
            <w:vAlign w:val="center"/>
          </w:tcPr>
          <w:p>
            <w:pPr>
              <w:keepNext/>
              <w:spacing w:before="100" w:beforeAutospacing="1" w:afterAutospacing="1" w:line="26" w:lineRule="atLeast"/>
              <w:rPr>
                <w:noProof/>
                <w:color w:val="000000" w:themeColor="text1"/>
                <w:sz w:val="18"/>
                <w:szCs w:val="18"/>
              </w:rPr>
            </w:pPr>
            <w:r>
              <w:rPr>
                <w:noProof/>
                <w:color w:val="000000" w:themeColor="text1"/>
                <w:sz w:val="18"/>
                <w:szCs w:val="18"/>
              </w:rPr>
              <w:t>Non-research grant programmes</w:t>
            </w:r>
          </w:p>
        </w:tc>
        <w:tc>
          <w:tcPr>
            <w:tcW w:w="851"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JUST</w:t>
            </w:r>
          </w:p>
        </w:tc>
        <w:tc>
          <w:tcPr>
            <w:tcW w:w="1275"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1.5</w:t>
            </w:r>
          </w:p>
        </w:tc>
      </w:tr>
      <w:tr>
        <w:trPr>
          <w:jc w:val="center"/>
        </w:trPr>
        <w:tc>
          <w:tcPr>
            <w:tcW w:w="1526" w:type="dxa"/>
            <w:tcBorders>
              <w:top w:val="nil"/>
              <w:bottom w:val="single" w:sz="4" w:space="0" w:color="auto"/>
            </w:tcBorders>
          </w:tcPr>
          <w:p>
            <w:pPr>
              <w:keepNext/>
              <w:spacing w:before="100" w:beforeAutospacing="1" w:afterAutospacing="1" w:line="26" w:lineRule="atLeast"/>
              <w:rPr>
                <w:b/>
                <w:noProof/>
                <w:color w:val="000000" w:themeColor="text1"/>
                <w:sz w:val="18"/>
                <w:szCs w:val="18"/>
              </w:rPr>
            </w:pPr>
          </w:p>
        </w:tc>
        <w:tc>
          <w:tcPr>
            <w:tcW w:w="4960" w:type="dxa"/>
            <w:vAlign w:val="center"/>
          </w:tcPr>
          <w:p>
            <w:pPr>
              <w:keepNext/>
              <w:spacing w:before="100" w:beforeAutospacing="1" w:afterAutospacing="1" w:line="26" w:lineRule="atLeast"/>
              <w:rPr>
                <w:noProof/>
                <w:color w:val="000000" w:themeColor="text1"/>
                <w:sz w:val="18"/>
                <w:szCs w:val="18"/>
              </w:rPr>
            </w:pPr>
            <w:r>
              <w:rPr>
                <w:noProof/>
                <w:color w:val="000000" w:themeColor="text1"/>
                <w:sz w:val="18"/>
                <w:szCs w:val="18"/>
              </w:rPr>
              <w:t>EU Registry Emissions Trading System (EU ETS) — significant security weakness remaining</w:t>
            </w:r>
          </w:p>
        </w:tc>
        <w:tc>
          <w:tcPr>
            <w:tcW w:w="851"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CLIMA</w:t>
            </w:r>
          </w:p>
        </w:tc>
        <w:tc>
          <w:tcPr>
            <w:tcW w:w="1275"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Non-quantified</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w:t>
            </w:r>
          </w:p>
        </w:tc>
      </w:tr>
      <w:tr>
        <w:trPr>
          <w:jc w:val="center"/>
        </w:trPr>
        <w:tc>
          <w:tcPr>
            <w:tcW w:w="1526" w:type="dxa"/>
          </w:tcPr>
          <w:p>
            <w:pPr>
              <w:spacing w:before="100" w:beforeAutospacing="1" w:afterAutospacing="1" w:line="26" w:lineRule="atLeast"/>
              <w:rPr>
                <w:b/>
                <w:noProof/>
                <w:color w:val="000000" w:themeColor="text1"/>
                <w:sz w:val="18"/>
                <w:szCs w:val="18"/>
              </w:rPr>
            </w:pPr>
            <w:r>
              <w:rPr>
                <w:b/>
                <w:noProof/>
                <w:color w:val="000000" w:themeColor="text1"/>
                <w:sz w:val="18"/>
                <w:szCs w:val="18"/>
              </w:rPr>
              <w:t>Other services and administration</w:t>
            </w:r>
          </w:p>
        </w:tc>
        <w:tc>
          <w:tcPr>
            <w:tcW w:w="4960" w:type="dxa"/>
            <w:vAlign w:val="center"/>
          </w:tcPr>
          <w:p>
            <w:pPr>
              <w:spacing w:before="100" w:beforeAutospacing="1" w:afterAutospacing="1" w:line="26" w:lineRule="atLeast"/>
              <w:rPr>
                <w:noProof/>
                <w:color w:val="000000" w:themeColor="text1"/>
                <w:sz w:val="18"/>
                <w:szCs w:val="18"/>
              </w:rPr>
            </w:pPr>
            <w:r>
              <w:rPr>
                <w:noProof/>
                <w:color w:val="000000" w:themeColor="text1"/>
                <w:sz w:val="18"/>
                <w:szCs w:val="18"/>
              </w:rPr>
              <w:t>Direct management grants</w:t>
            </w:r>
          </w:p>
          <w:p>
            <w:pPr>
              <w:spacing w:before="100" w:beforeAutospacing="1" w:afterAutospacing="1" w:line="26" w:lineRule="atLeast"/>
              <w:rPr>
                <w:noProof/>
                <w:color w:val="000000" w:themeColor="text1"/>
                <w:sz w:val="18"/>
                <w:szCs w:val="18"/>
              </w:rPr>
            </w:pPr>
          </w:p>
        </w:tc>
        <w:tc>
          <w:tcPr>
            <w:tcW w:w="851" w:type="dxa"/>
            <w:vAlign w:val="center"/>
          </w:tcPr>
          <w:p>
            <w:pPr>
              <w:spacing w:before="100" w:beforeAutospacing="1" w:afterAutospacing="1" w:line="26" w:lineRule="atLeast"/>
              <w:jc w:val="center"/>
              <w:rPr>
                <w:noProof/>
                <w:color w:val="000000" w:themeColor="text1"/>
                <w:sz w:val="18"/>
                <w:szCs w:val="18"/>
              </w:rPr>
            </w:pPr>
            <w:r>
              <w:rPr>
                <w:noProof/>
                <w:color w:val="000000" w:themeColor="text1"/>
                <w:sz w:val="18"/>
                <w:szCs w:val="18"/>
              </w:rPr>
              <w:t>SRSS</w:t>
            </w:r>
          </w:p>
        </w:tc>
        <w:tc>
          <w:tcPr>
            <w:tcW w:w="1275" w:type="dxa"/>
            <w:vAlign w:val="center"/>
          </w:tcPr>
          <w:p>
            <w:pPr>
              <w:spacing w:before="100" w:beforeAutospacing="1" w:afterAutospacing="1" w:line="26" w:lineRule="atLeast"/>
              <w:jc w:val="center"/>
              <w:rPr>
                <w:noProof/>
                <w:color w:val="000000" w:themeColor="text1"/>
                <w:sz w:val="18"/>
                <w:szCs w:val="18"/>
              </w:rPr>
            </w:pPr>
            <w:r>
              <w:rPr>
                <w:noProof/>
                <w:color w:val="000000" w:themeColor="text1"/>
                <w:sz w:val="18"/>
                <w:szCs w:val="18"/>
              </w:rPr>
              <w:t>2017: Non-quantified</w:t>
            </w:r>
          </w:p>
          <w:p>
            <w:pPr>
              <w:spacing w:before="100" w:beforeAutospacing="1" w:afterAutospacing="1" w:line="26" w:lineRule="atLeast"/>
              <w:jc w:val="center"/>
              <w:rPr>
                <w:noProof/>
                <w:color w:val="000000" w:themeColor="text1"/>
                <w:sz w:val="18"/>
                <w:szCs w:val="18"/>
              </w:rPr>
            </w:pPr>
            <w:r>
              <w:rPr>
                <w:noProof/>
                <w:color w:val="E48C32"/>
                <w:sz w:val="18"/>
                <w:szCs w:val="18"/>
              </w:rPr>
              <w:t>2018: Quantified</w:t>
            </w:r>
          </w:p>
        </w:tc>
        <w:tc>
          <w:tcPr>
            <w:tcW w:w="993" w:type="dxa"/>
          </w:tcPr>
          <w:p>
            <w:pPr>
              <w:spacing w:before="100" w:beforeAutospacing="1" w:afterAutospacing="1" w:line="26" w:lineRule="atLeast"/>
              <w:jc w:val="right"/>
              <w:rPr>
                <w:noProof/>
                <w:color w:val="000000" w:themeColor="text1"/>
                <w:sz w:val="18"/>
                <w:szCs w:val="18"/>
              </w:rPr>
            </w:pPr>
            <w:r>
              <w:rPr>
                <w:noProof/>
                <w:color w:val="000000" w:themeColor="text1"/>
                <w:sz w:val="18"/>
                <w:szCs w:val="18"/>
              </w:rPr>
              <w:t>0.3</w:t>
            </w:r>
          </w:p>
        </w:tc>
      </w:tr>
    </w:tbl>
    <w:p>
      <w:pPr>
        <w:pStyle w:val="AnnexTabletitle"/>
        <w:keepNext/>
        <w:rPr>
          <w:bCs/>
          <w:noProof/>
          <w:sz w:val="18"/>
          <w:szCs w:val="18"/>
        </w:rPr>
      </w:pPr>
      <w:r>
        <w:rPr>
          <w:noProof/>
        </w:rPr>
        <w:t>Table</w:t>
      </w:r>
      <w:r>
        <w:rPr>
          <w:rFonts w:ascii="Calibri" w:hAnsi="Calibri" w:cs="Calibri"/>
          <w:noProof/>
        </w:rPr>
        <w:t> B</w:t>
      </w:r>
      <w:r>
        <w:rPr>
          <w:noProof/>
        </w:rPr>
        <w:t xml:space="preserve">: Reservations related to the programmes for the period 2007-2013 </w:t>
      </w:r>
    </w:p>
    <w:tbl>
      <w:tblPr>
        <w:tblStyle w:val="TableGrid"/>
        <w:tblW w:w="5191" w:type="pct"/>
        <w:tblInd w:w="-34" w:type="dxa"/>
        <w:tblLayout w:type="fixed"/>
        <w:tblLook w:val="04A0" w:firstRow="1" w:lastRow="0" w:firstColumn="1" w:lastColumn="0" w:noHBand="0" w:noVBand="1"/>
      </w:tblPr>
      <w:tblGrid>
        <w:gridCol w:w="1561"/>
        <w:gridCol w:w="567"/>
        <w:gridCol w:w="4394"/>
        <w:gridCol w:w="851"/>
        <w:gridCol w:w="1275"/>
        <w:gridCol w:w="993"/>
      </w:tblGrid>
      <w:tr>
        <w:tc>
          <w:tcPr>
            <w:tcW w:w="1560" w:type="dxa"/>
            <w:shd w:val="clear" w:color="auto" w:fill="E48C32"/>
          </w:tcPr>
          <w:p>
            <w:pPr>
              <w:keepNext/>
              <w:spacing w:line="26" w:lineRule="atLeast"/>
              <w:jc w:val="center"/>
              <w:rPr>
                <w:b/>
                <w:noProof/>
                <w:color w:val="FFFFFF"/>
                <w:sz w:val="18"/>
                <w:szCs w:val="18"/>
              </w:rPr>
            </w:pPr>
            <w:r>
              <w:rPr>
                <w:b/>
                <w:noProof/>
                <w:color w:val="FFFFFF"/>
                <w:sz w:val="18"/>
                <w:szCs w:val="18"/>
              </w:rPr>
              <w:t>Policy area</w:t>
            </w:r>
          </w:p>
        </w:tc>
        <w:tc>
          <w:tcPr>
            <w:tcW w:w="567" w:type="dxa"/>
            <w:shd w:val="clear" w:color="auto" w:fill="E48C32"/>
          </w:tcPr>
          <w:p>
            <w:pPr>
              <w:keepNext/>
              <w:spacing w:line="26" w:lineRule="atLeast"/>
              <w:jc w:val="center"/>
              <w:rPr>
                <w:b/>
                <w:noProof/>
                <w:color w:val="FFFFFF"/>
                <w:sz w:val="18"/>
                <w:szCs w:val="18"/>
              </w:rPr>
            </w:pPr>
          </w:p>
        </w:tc>
        <w:tc>
          <w:tcPr>
            <w:tcW w:w="4394" w:type="dxa"/>
            <w:shd w:val="clear" w:color="auto" w:fill="E48C32"/>
          </w:tcPr>
          <w:p>
            <w:pPr>
              <w:keepNext/>
              <w:spacing w:line="26" w:lineRule="atLeast"/>
              <w:jc w:val="center"/>
              <w:rPr>
                <w:b/>
                <w:noProof/>
                <w:color w:val="FFFFFF"/>
                <w:sz w:val="18"/>
                <w:szCs w:val="18"/>
              </w:rPr>
            </w:pPr>
            <w:r>
              <w:rPr>
                <w:b/>
                <w:noProof/>
                <w:color w:val="FFFFFF"/>
                <w:sz w:val="18"/>
                <w:szCs w:val="18"/>
              </w:rPr>
              <w:t>Description of reservation</w:t>
            </w:r>
          </w:p>
        </w:tc>
        <w:tc>
          <w:tcPr>
            <w:tcW w:w="851" w:type="dxa"/>
            <w:shd w:val="clear" w:color="auto" w:fill="E48C32"/>
          </w:tcPr>
          <w:p>
            <w:pPr>
              <w:keepNext/>
              <w:spacing w:line="26" w:lineRule="atLeast"/>
              <w:jc w:val="center"/>
              <w:rPr>
                <w:b/>
                <w:noProof/>
                <w:color w:val="FFFFFF"/>
                <w:sz w:val="18"/>
                <w:szCs w:val="18"/>
              </w:rPr>
            </w:pPr>
            <w:r>
              <w:rPr>
                <w:b/>
                <w:noProof/>
                <w:color w:val="FFFFFF"/>
                <w:sz w:val="18"/>
                <w:szCs w:val="18"/>
              </w:rPr>
              <w:t>Dept.</w:t>
            </w:r>
            <w:r>
              <w:rPr>
                <w:rFonts w:cs="Calibri"/>
                <w:b/>
                <w:noProof/>
                <w:color w:val="FFFFFF"/>
                <w:sz w:val="18"/>
                <w:szCs w:val="18"/>
              </w:rPr>
              <w:t> </w:t>
            </w:r>
          </w:p>
        </w:tc>
        <w:tc>
          <w:tcPr>
            <w:tcW w:w="1275" w:type="dxa"/>
            <w:shd w:val="clear" w:color="auto" w:fill="E48C32"/>
          </w:tcPr>
          <w:p>
            <w:pPr>
              <w:keepNext/>
              <w:spacing w:line="26" w:lineRule="atLeast"/>
              <w:jc w:val="center"/>
              <w:rPr>
                <w:b/>
                <w:noProof/>
                <w:color w:val="FFFFFF"/>
                <w:sz w:val="18"/>
                <w:szCs w:val="18"/>
              </w:rPr>
            </w:pPr>
            <w:r>
              <w:rPr>
                <w:b/>
                <w:noProof/>
                <w:color w:val="FFFFFF"/>
                <w:sz w:val="18"/>
                <w:szCs w:val="18"/>
              </w:rPr>
              <w:t>Impact on legality and regularity</w:t>
            </w:r>
          </w:p>
        </w:tc>
        <w:tc>
          <w:tcPr>
            <w:tcW w:w="993" w:type="dxa"/>
            <w:shd w:val="clear" w:color="auto" w:fill="E48C32"/>
          </w:tcPr>
          <w:p>
            <w:pPr>
              <w:keepNext/>
              <w:spacing w:line="26" w:lineRule="atLeast"/>
              <w:jc w:val="center"/>
              <w:rPr>
                <w:b/>
                <w:noProof/>
                <w:color w:val="FFFFFF"/>
                <w:sz w:val="18"/>
                <w:szCs w:val="18"/>
              </w:rPr>
            </w:pPr>
            <w:r>
              <w:rPr>
                <w:b/>
                <w:noProof/>
                <w:color w:val="FFFFFF"/>
                <w:sz w:val="18"/>
                <w:szCs w:val="18"/>
              </w:rPr>
              <w:t>Exposure (EUR millions)</w:t>
            </w:r>
          </w:p>
        </w:tc>
      </w:tr>
      <w:tr>
        <w:trPr>
          <w:trHeight w:val="450"/>
        </w:trPr>
        <w:tc>
          <w:tcPr>
            <w:tcW w:w="1560" w:type="dxa"/>
            <w:tcBorders>
              <w:bottom w:val="single" w:sz="4" w:space="0" w:color="auto"/>
            </w:tcBorders>
          </w:tcPr>
          <w:p>
            <w:pPr>
              <w:keepNext/>
              <w:spacing w:before="100" w:beforeAutospacing="1" w:afterAutospacing="1" w:line="26" w:lineRule="atLeast"/>
              <w:ind w:right="-108"/>
              <w:rPr>
                <w:b/>
                <w:strike/>
                <w:noProof/>
                <w:sz w:val="18"/>
                <w:szCs w:val="18"/>
              </w:rPr>
            </w:pPr>
            <w:r>
              <w:rPr>
                <w:b/>
                <w:noProof/>
                <w:sz w:val="18"/>
                <w:szCs w:val="18"/>
              </w:rPr>
              <w:t>Agriculture</w:t>
            </w:r>
          </w:p>
        </w:tc>
        <w:tc>
          <w:tcPr>
            <w:tcW w:w="567" w:type="dxa"/>
            <w:tcBorders>
              <w:bottom w:val="single" w:sz="4" w:space="0" w:color="auto"/>
            </w:tcBorders>
            <w:shd w:val="clear" w:color="auto" w:fill="auto"/>
          </w:tcPr>
          <w:p>
            <w:pPr>
              <w:keepNext/>
              <w:spacing w:before="100" w:beforeAutospacing="1" w:afterAutospacing="1" w:line="26" w:lineRule="atLeast"/>
              <w:rPr>
                <w:b/>
                <w:noProof/>
                <w:sz w:val="18"/>
                <w:szCs w:val="18"/>
              </w:rPr>
            </w:pPr>
          </w:p>
        </w:tc>
        <w:tc>
          <w:tcPr>
            <w:tcW w:w="4394" w:type="dxa"/>
            <w:shd w:val="clear" w:color="auto" w:fill="auto"/>
          </w:tcPr>
          <w:p>
            <w:pPr>
              <w:keepNext/>
              <w:spacing w:before="100" w:beforeAutospacing="1" w:afterAutospacing="1" w:line="26" w:lineRule="atLeast"/>
              <w:rPr>
                <w:b/>
                <w:strike/>
                <w:noProof/>
                <w:sz w:val="18"/>
                <w:szCs w:val="18"/>
              </w:rPr>
            </w:pPr>
            <w:r>
              <w:rPr>
                <w:noProof/>
                <w:sz w:val="18"/>
                <w:szCs w:val="18"/>
              </w:rPr>
              <w:t>(none)</w:t>
            </w:r>
          </w:p>
        </w:tc>
        <w:tc>
          <w:tcPr>
            <w:tcW w:w="851" w:type="dxa"/>
            <w:shd w:val="clear" w:color="auto" w:fill="auto"/>
            <w:vAlign w:val="center"/>
          </w:tcPr>
          <w:p>
            <w:pPr>
              <w:keepNext/>
              <w:spacing w:before="100" w:beforeAutospacing="1" w:afterAutospacing="1" w:line="26" w:lineRule="atLeast"/>
              <w:jc w:val="center"/>
              <w:rPr>
                <w:b/>
                <w:strike/>
                <w:noProof/>
                <w:sz w:val="18"/>
                <w:szCs w:val="18"/>
              </w:rPr>
            </w:pPr>
          </w:p>
        </w:tc>
        <w:tc>
          <w:tcPr>
            <w:tcW w:w="1275" w:type="dxa"/>
            <w:shd w:val="clear" w:color="auto" w:fill="auto"/>
            <w:vAlign w:val="center"/>
          </w:tcPr>
          <w:p>
            <w:pPr>
              <w:keepNext/>
              <w:spacing w:before="100" w:beforeAutospacing="1" w:afterAutospacing="1" w:line="26" w:lineRule="atLeast"/>
              <w:jc w:val="center"/>
              <w:rPr>
                <w:b/>
                <w:strike/>
                <w:noProof/>
                <w:sz w:val="18"/>
                <w:szCs w:val="18"/>
              </w:rPr>
            </w:pPr>
          </w:p>
        </w:tc>
        <w:tc>
          <w:tcPr>
            <w:tcW w:w="993" w:type="dxa"/>
          </w:tcPr>
          <w:p>
            <w:pPr>
              <w:keepNext/>
              <w:spacing w:before="100" w:beforeAutospacing="1" w:afterAutospacing="1" w:line="26" w:lineRule="atLeast"/>
              <w:jc w:val="right"/>
              <w:rPr>
                <w:b/>
                <w:strike/>
                <w:noProof/>
                <w:sz w:val="18"/>
                <w:szCs w:val="18"/>
              </w:rPr>
            </w:pPr>
          </w:p>
        </w:tc>
      </w:tr>
      <w:tr>
        <w:tc>
          <w:tcPr>
            <w:tcW w:w="1560" w:type="dxa"/>
            <w:tcBorders>
              <w:bottom w:val="nil"/>
            </w:tcBorders>
          </w:tcPr>
          <w:p>
            <w:pPr>
              <w:keepNext/>
              <w:spacing w:before="100" w:beforeAutospacing="1" w:afterAutospacing="1" w:line="26" w:lineRule="atLeast"/>
              <w:rPr>
                <w:b/>
                <w:noProof/>
                <w:sz w:val="18"/>
                <w:szCs w:val="18"/>
              </w:rPr>
            </w:pPr>
            <w:r>
              <w:rPr>
                <w:b/>
                <w:noProof/>
                <w:sz w:val="18"/>
                <w:szCs w:val="18"/>
              </w:rPr>
              <w:t>Cohesion, migration and fisheries</w:t>
            </w:r>
          </w:p>
          <w:p>
            <w:pPr>
              <w:keepNext/>
              <w:spacing w:before="100" w:beforeAutospacing="1" w:afterAutospacing="1" w:line="26" w:lineRule="atLeast"/>
              <w:rPr>
                <w:b/>
                <w:noProof/>
                <w:sz w:val="18"/>
                <w:szCs w:val="18"/>
              </w:rPr>
            </w:pPr>
          </w:p>
          <w:p>
            <w:pPr>
              <w:keepNext/>
              <w:spacing w:before="100" w:beforeAutospacing="1" w:afterAutospacing="1" w:line="26" w:lineRule="atLeast"/>
              <w:rPr>
                <w:b/>
                <w:strike/>
                <w:noProof/>
                <w:sz w:val="18"/>
                <w:szCs w:val="18"/>
              </w:rPr>
            </w:pPr>
          </w:p>
        </w:tc>
        <w:tc>
          <w:tcPr>
            <w:tcW w:w="567" w:type="dxa"/>
            <w:tcBorders>
              <w:bottom w:val="nil"/>
            </w:tcBorders>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b/>
                <w:strike/>
                <w:noProof/>
                <w:sz w:val="18"/>
                <w:szCs w:val="18"/>
              </w:rPr>
            </w:pPr>
            <w:r>
              <w:rPr>
                <w:noProof/>
                <w:sz w:val="18"/>
                <w:szCs w:val="18"/>
              </w:rPr>
              <w:t>2007-2013 European Regional Development Fund/Cohesion Fund/Instrument for Pre-Accession (16 programmes in seven Member States, plus one European territorial cooperation programme and one cross-border cooperation programme)</w:t>
            </w:r>
          </w:p>
        </w:tc>
        <w:tc>
          <w:tcPr>
            <w:tcW w:w="851" w:type="dxa"/>
            <w:vAlign w:val="center"/>
          </w:tcPr>
          <w:p>
            <w:pPr>
              <w:keepNext/>
              <w:spacing w:before="100" w:beforeAutospacing="1" w:afterAutospacing="1" w:line="26" w:lineRule="atLeast"/>
              <w:jc w:val="center"/>
              <w:rPr>
                <w:b/>
                <w:strike/>
                <w:noProof/>
                <w:sz w:val="18"/>
                <w:szCs w:val="18"/>
              </w:rPr>
            </w:pPr>
            <w:r>
              <w:rPr>
                <w:noProof/>
                <w:sz w:val="18"/>
                <w:szCs w:val="18"/>
              </w:rPr>
              <w:t>REGIO</w:t>
            </w:r>
          </w:p>
        </w:tc>
        <w:tc>
          <w:tcPr>
            <w:tcW w:w="1275"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2017: Quantified</w:t>
            </w:r>
          </w:p>
          <w:p>
            <w:pPr>
              <w:keepNext/>
              <w:spacing w:before="100" w:beforeAutospacing="1" w:afterAutospacing="1" w:line="26" w:lineRule="atLeast"/>
              <w:jc w:val="center"/>
              <w:rPr>
                <w:b/>
                <w:strike/>
                <w:noProof/>
                <w:sz w:val="18"/>
                <w:szCs w:val="18"/>
              </w:rPr>
            </w:pPr>
            <w:r>
              <w:rPr>
                <w:b/>
                <w:noProof/>
                <w:color w:val="E48C32"/>
                <w:sz w:val="18"/>
                <w:szCs w:val="18"/>
              </w:rPr>
              <w:t xml:space="preserve">2018: Non-quantified </w:t>
            </w:r>
          </w:p>
        </w:tc>
        <w:tc>
          <w:tcPr>
            <w:tcW w:w="993" w:type="dxa"/>
          </w:tcPr>
          <w:p>
            <w:pPr>
              <w:keepNext/>
              <w:spacing w:before="100" w:beforeAutospacing="1" w:afterAutospacing="1" w:line="26" w:lineRule="atLeast"/>
              <w:jc w:val="right"/>
              <w:rPr>
                <w:noProof/>
                <w:color w:val="000000" w:themeColor="text1"/>
                <w:sz w:val="18"/>
                <w:szCs w:val="18"/>
              </w:rPr>
            </w:pPr>
            <w:r>
              <w:rPr>
                <w:noProof/>
                <w:color w:val="000000" w:themeColor="text1"/>
                <w:sz w:val="18"/>
                <w:szCs w:val="18"/>
              </w:rPr>
              <w:t>-</w:t>
            </w:r>
          </w:p>
        </w:tc>
      </w:tr>
      <w:tr>
        <w:tc>
          <w:tcPr>
            <w:tcW w:w="1560" w:type="dxa"/>
            <w:tcBorders>
              <w:top w:val="nil"/>
              <w:bottom w:val="nil"/>
            </w:tcBorders>
          </w:tcPr>
          <w:p>
            <w:pPr>
              <w:keepNext/>
              <w:spacing w:before="100" w:beforeAutospacing="1" w:afterAutospacing="1" w:line="26" w:lineRule="atLeast"/>
              <w:rPr>
                <w:b/>
                <w:strike/>
                <w:noProof/>
                <w:sz w:val="18"/>
                <w:szCs w:val="18"/>
              </w:rPr>
            </w:pPr>
          </w:p>
        </w:tc>
        <w:tc>
          <w:tcPr>
            <w:tcW w:w="567" w:type="dxa"/>
            <w:tcBorders>
              <w:bottom w:val="nil"/>
            </w:tcBorders>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b/>
                <w:strike/>
                <w:noProof/>
                <w:sz w:val="18"/>
                <w:szCs w:val="18"/>
              </w:rPr>
            </w:pPr>
            <w:r>
              <w:rPr>
                <w:noProof/>
                <w:sz w:val="18"/>
                <w:szCs w:val="18"/>
              </w:rPr>
              <w:t>2007-2013 European Social Fund (14 programmes in six Member States)</w:t>
            </w:r>
          </w:p>
        </w:tc>
        <w:tc>
          <w:tcPr>
            <w:tcW w:w="851" w:type="dxa"/>
            <w:vAlign w:val="center"/>
          </w:tcPr>
          <w:p>
            <w:pPr>
              <w:keepNext/>
              <w:spacing w:before="100" w:beforeAutospacing="1" w:afterAutospacing="1" w:line="26" w:lineRule="atLeast"/>
              <w:jc w:val="center"/>
              <w:rPr>
                <w:b/>
                <w:strike/>
                <w:noProof/>
                <w:sz w:val="18"/>
                <w:szCs w:val="18"/>
              </w:rPr>
            </w:pPr>
            <w:r>
              <w:rPr>
                <w:noProof/>
                <w:sz w:val="18"/>
                <w:szCs w:val="18"/>
              </w:rPr>
              <w:t>EMPL</w:t>
            </w:r>
          </w:p>
        </w:tc>
        <w:tc>
          <w:tcPr>
            <w:tcW w:w="1275" w:type="dxa"/>
            <w:vAlign w:val="center"/>
          </w:tcPr>
          <w:p>
            <w:pPr>
              <w:keepNext/>
              <w:spacing w:before="100" w:beforeAutospacing="1" w:afterAutospacing="1" w:line="26" w:lineRule="atLeast"/>
              <w:jc w:val="center"/>
              <w:rPr>
                <w:noProof/>
                <w:color w:val="000000" w:themeColor="text1"/>
                <w:sz w:val="18"/>
                <w:szCs w:val="18"/>
              </w:rPr>
            </w:pPr>
            <w:r>
              <w:rPr>
                <w:noProof/>
                <w:color w:val="000000" w:themeColor="text1"/>
                <w:sz w:val="18"/>
                <w:szCs w:val="18"/>
              </w:rPr>
              <w:t>2017: Quantified</w:t>
            </w:r>
          </w:p>
          <w:p>
            <w:pPr>
              <w:keepNext/>
              <w:spacing w:before="100" w:beforeAutospacing="1" w:afterAutospacing="1" w:line="26" w:lineRule="atLeast"/>
              <w:jc w:val="center"/>
              <w:rPr>
                <w:b/>
                <w:strike/>
                <w:noProof/>
                <w:sz w:val="18"/>
                <w:szCs w:val="18"/>
              </w:rPr>
            </w:pPr>
            <w:r>
              <w:rPr>
                <w:b/>
                <w:noProof/>
                <w:color w:val="E48C32"/>
                <w:sz w:val="18"/>
                <w:szCs w:val="18"/>
              </w:rPr>
              <w:t xml:space="preserve">2018: Non-quantified </w:t>
            </w:r>
          </w:p>
        </w:tc>
        <w:tc>
          <w:tcPr>
            <w:tcW w:w="993" w:type="dxa"/>
          </w:tcPr>
          <w:p>
            <w:pPr>
              <w:keepNext/>
              <w:spacing w:before="100" w:beforeAutospacing="1" w:afterAutospacing="1" w:line="26" w:lineRule="atLeast"/>
              <w:jc w:val="right"/>
              <w:rPr>
                <w:noProof/>
                <w:sz w:val="18"/>
                <w:szCs w:val="18"/>
              </w:rPr>
            </w:pPr>
            <w:r>
              <w:rPr>
                <w:noProof/>
                <w:color w:val="000000" w:themeColor="text1"/>
                <w:sz w:val="18"/>
                <w:szCs w:val="18"/>
              </w:rPr>
              <w:t>-</w:t>
            </w:r>
          </w:p>
        </w:tc>
      </w:tr>
      <w:tr>
        <w:tc>
          <w:tcPr>
            <w:tcW w:w="1560" w:type="dxa"/>
            <w:tcBorders>
              <w:top w:val="nil"/>
              <w:bottom w:val="nil"/>
            </w:tcBorders>
          </w:tcPr>
          <w:p>
            <w:pPr>
              <w:keepNext/>
              <w:spacing w:before="100" w:beforeAutospacing="1" w:afterAutospacing="1" w:line="26" w:lineRule="atLeast"/>
              <w:rPr>
                <w:b/>
                <w:strike/>
                <w:noProof/>
                <w:sz w:val="18"/>
                <w:szCs w:val="18"/>
              </w:rPr>
            </w:pPr>
          </w:p>
        </w:tc>
        <w:tc>
          <w:tcPr>
            <w:tcW w:w="567" w:type="dxa"/>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2007-2013 European Fisheries Fund (EFF) (one programme in one Member State)</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MARE</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Non-quantified</w:t>
            </w:r>
          </w:p>
        </w:tc>
        <w:tc>
          <w:tcPr>
            <w:tcW w:w="993" w:type="dxa"/>
          </w:tcPr>
          <w:p>
            <w:pPr>
              <w:keepNext/>
              <w:spacing w:before="100" w:beforeAutospacing="1" w:afterAutospacing="1" w:line="26" w:lineRule="atLeast"/>
              <w:jc w:val="right"/>
              <w:rPr>
                <w:noProof/>
                <w:sz w:val="18"/>
                <w:szCs w:val="18"/>
              </w:rPr>
            </w:pPr>
            <w:r>
              <w:rPr>
                <w:noProof/>
                <w:sz w:val="18"/>
                <w:szCs w:val="18"/>
              </w:rPr>
              <w:t>-</w:t>
            </w:r>
          </w:p>
        </w:tc>
      </w:tr>
      <w:tr>
        <w:tc>
          <w:tcPr>
            <w:tcW w:w="1560" w:type="dxa"/>
            <w:tcBorders>
              <w:top w:val="nil"/>
            </w:tcBorders>
          </w:tcPr>
          <w:p>
            <w:pPr>
              <w:keepNext/>
              <w:spacing w:before="100" w:beforeAutospacing="1" w:afterAutospacing="1" w:line="26" w:lineRule="atLeast"/>
              <w:rPr>
                <w:b/>
                <w:strike/>
                <w:noProof/>
                <w:sz w:val="18"/>
                <w:szCs w:val="18"/>
              </w:rPr>
            </w:pPr>
          </w:p>
        </w:tc>
        <w:tc>
          <w:tcPr>
            <w:tcW w:w="567" w:type="dxa"/>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 xml:space="preserve">2007-2013 solidarity and management of migration flows (SOLID) general programme: </w:t>
            </w:r>
            <w:r>
              <w:rPr>
                <w:noProof/>
                <w:sz w:val="18"/>
                <w:szCs w:val="18"/>
              </w:rPr>
              <w:br/>
              <w:t>European Integration Fund (EIF) in three Member States</w:t>
            </w:r>
            <w:r>
              <w:rPr>
                <w:noProof/>
                <w:sz w:val="18"/>
                <w:szCs w:val="18"/>
              </w:rPr>
              <w:br/>
              <w:t>European Refugee Fund (ERF) in six Member States</w:t>
            </w:r>
            <w:r>
              <w:rPr>
                <w:noProof/>
                <w:sz w:val="18"/>
                <w:szCs w:val="18"/>
              </w:rPr>
              <w:br/>
              <w:t>European Return Fund (RF) in two Member States</w:t>
            </w:r>
            <w:r>
              <w:rPr>
                <w:noProof/>
                <w:sz w:val="18"/>
                <w:szCs w:val="18"/>
              </w:rPr>
              <w:br/>
              <w:t>External Borders Fund (EBF) in seven Member States</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HOME</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Quantified for EIF Germany. Non-quantified for the others</w:t>
            </w:r>
          </w:p>
        </w:tc>
        <w:tc>
          <w:tcPr>
            <w:tcW w:w="993" w:type="dxa"/>
          </w:tcPr>
          <w:p>
            <w:pPr>
              <w:keepNext/>
              <w:spacing w:before="100" w:beforeAutospacing="1" w:afterAutospacing="1" w:line="26" w:lineRule="atLeast"/>
              <w:jc w:val="right"/>
              <w:rPr>
                <w:noProof/>
                <w:sz w:val="18"/>
                <w:szCs w:val="18"/>
              </w:rPr>
            </w:pPr>
            <w:r>
              <w:rPr>
                <w:noProof/>
                <w:sz w:val="18"/>
                <w:szCs w:val="18"/>
              </w:rPr>
              <w:t>0.1</w:t>
            </w:r>
          </w:p>
        </w:tc>
      </w:tr>
      <w:tr>
        <w:tc>
          <w:tcPr>
            <w:tcW w:w="1560" w:type="dxa"/>
            <w:tcBorders>
              <w:bottom w:val="single" w:sz="4" w:space="0" w:color="auto"/>
            </w:tcBorders>
          </w:tcPr>
          <w:p>
            <w:pPr>
              <w:keepNext/>
              <w:spacing w:before="100" w:beforeAutospacing="1" w:afterAutospacing="1" w:line="26" w:lineRule="atLeast"/>
              <w:rPr>
                <w:b/>
                <w:strike/>
                <w:noProof/>
                <w:sz w:val="18"/>
                <w:szCs w:val="18"/>
              </w:rPr>
            </w:pPr>
            <w:r>
              <w:rPr>
                <w:b/>
                <w:noProof/>
                <w:sz w:val="18"/>
                <w:szCs w:val="18"/>
              </w:rPr>
              <w:t>External</w:t>
            </w:r>
            <w:r>
              <w:rPr>
                <w:b/>
                <w:noProof/>
                <w:sz w:val="18"/>
                <w:szCs w:val="18"/>
              </w:rPr>
              <w:br/>
              <w:t>relations</w:t>
            </w:r>
          </w:p>
        </w:tc>
        <w:tc>
          <w:tcPr>
            <w:tcW w:w="567" w:type="dxa"/>
            <w:tcBorders>
              <w:bottom w:val="single" w:sz="4" w:space="0" w:color="auto"/>
            </w:tcBorders>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(none)</w:t>
            </w:r>
          </w:p>
        </w:tc>
        <w:tc>
          <w:tcPr>
            <w:tcW w:w="851" w:type="dxa"/>
            <w:shd w:val="clear" w:color="auto" w:fill="auto"/>
            <w:vAlign w:val="center"/>
          </w:tcPr>
          <w:p>
            <w:pPr>
              <w:keepNext/>
              <w:spacing w:before="100" w:beforeAutospacing="1" w:afterAutospacing="1" w:line="26" w:lineRule="atLeast"/>
              <w:jc w:val="center"/>
              <w:rPr>
                <w:noProof/>
                <w:sz w:val="18"/>
                <w:szCs w:val="18"/>
              </w:rPr>
            </w:pPr>
          </w:p>
        </w:tc>
        <w:tc>
          <w:tcPr>
            <w:tcW w:w="1275" w:type="dxa"/>
            <w:shd w:val="clear" w:color="auto" w:fill="auto"/>
            <w:vAlign w:val="center"/>
          </w:tcPr>
          <w:p>
            <w:pPr>
              <w:keepNext/>
              <w:spacing w:before="100" w:beforeAutospacing="1" w:afterAutospacing="1" w:line="26" w:lineRule="atLeast"/>
              <w:jc w:val="center"/>
              <w:rPr>
                <w:noProof/>
                <w:sz w:val="18"/>
                <w:szCs w:val="18"/>
              </w:rPr>
            </w:pPr>
          </w:p>
        </w:tc>
        <w:tc>
          <w:tcPr>
            <w:tcW w:w="993" w:type="dxa"/>
          </w:tcPr>
          <w:p>
            <w:pPr>
              <w:keepNext/>
              <w:spacing w:before="100" w:beforeAutospacing="1" w:afterAutospacing="1" w:line="26" w:lineRule="atLeast"/>
              <w:jc w:val="right"/>
              <w:rPr>
                <w:noProof/>
                <w:sz w:val="18"/>
                <w:szCs w:val="18"/>
              </w:rPr>
            </w:pPr>
          </w:p>
        </w:tc>
      </w:tr>
      <w:tr>
        <w:trPr>
          <w:trHeight w:val="20"/>
        </w:trPr>
        <w:tc>
          <w:tcPr>
            <w:tcW w:w="1560" w:type="dxa"/>
            <w:tcBorders>
              <w:bottom w:val="nil"/>
            </w:tcBorders>
          </w:tcPr>
          <w:p>
            <w:pPr>
              <w:keepNext/>
              <w:spacing w:line="26" w:lineRule="atLeast"/>
              <w:rPr>
                <w:b/>
                <w:strike/>
                <w:noProof/>
                <w:sz w:val="18"/>
                <w:szCs w:val="18"/>
              </w:rPr>
            </w:pPr>
            <w:r>
              <w:rPr>
                <w:b/>
                <w:noProof/>
                <w:sz w:val="18"/>
                <w:szCs w:val="18"/>
              </w:rPr>
              <w:t>Research,</w:t>
            </w:r>
            <w:r>
              <w:rPr>
                <w:noProof/>
                <w:sz w:val="18"/>
                <w:szCs w:val="18"/>
              </w:rPr>
              <w:t xml:space="preserve"> </w:t>
            </w:r>
            <w:r>
              <w:rPr>
                <w:b/>
                <w:noProof/>
                <w:sz w:val="18"/>
                <w:szCs w:val="18"/>
              </w:rPr>
              <w:t>industry, space, energy and transport</w:t>
            </w:r>
          </w:p>
        </w:tc>
        <w:tc>
          <w:tcPr>
            <w:tcW w:w="567" w:type="dxa"/>
            <w:tcBorders>
              <w:bottom w:val="nil"/>
            </w:tcBorders>
            <w:shd w:val="clear" w:color="auto" w:fill="auto"/>
          </w:tcPr>
          <w:p>
            <w:pPr>
              <w:keepNext/>
              <w:spacing w:line="26" w:lineRule="atLeast"/>
              <w:rPr>
                <w:b/>
                <w:noProof/>
                <w:sz w:val="18"/>
                <w:szCs w:val="18"/>
              </w:rPr>
            </w:pPr>
            <w:r>
              <w:rPr>
                <w:b/>
                <w:noProof/>
                <w:sz w:val="18"/>
                <w:szCs w:val="18"/>
              </w:rPr>
              <w:t>FP7</w:t>
            </w: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Research FP7 — incl. cross-delegation</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RTD</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Quantified</w:t>
            </w:r>
          </w:p>
        </w:tc>
        <w:tc>
          <w:tcPr>
            <w:tcW w:w="993" w:type="dxa"/>
          </w:tcPr>
          <w:p>
            <w:pPr>
              <w:keepNext/>
              <w:spacing w:before="100" w:beforeAutospacing="1" w:afterAutospacing="1" w:line="26" w:lineRule="atLeast"/>
              <w:jc w:val="right"/>
              <w:rPr>
                <w:noProof/>
                <w:sz w:val="18"/>
                <w:szCs w:val="18"/>
              </w:rPr>
            </w:pPr>
            <w:r>
              <w:rPr>
                <w:noProof/>
                <w:sz w:val="18"/>
                <w:szCs w:val="18"/>
              </w:rPr>
              <w:t>23.1</w:t>
            </w:r>
          </w:p>
        </w:tc>
      </w:tr>
      <w:tr>
        <w:tc>
          <w:tcPr>
            <w:tcW w:w="1560" w:type="dxa"/>
            <w:tcBorders>
              <w:top w:val="nil"/>
              <w:bottom w:val="nil"/>
            </w:tcBorders>
          </w:tcPr>
          <w:p>
            <w:pPr>
              <w:keepNext/>
              <w:spacing w:before="100" w:beforeAutospacing="1" w:afterAutospacing="1" w:line="26" w:lineRule="atLeast"/>
              <w:rPr>
                <w:b/>
                <w:noProof/>
                <w:sz w:val="18"/>
                <w:szCs w:val="18"/>
              </w:rPr>
            </w:pPr>
          </w:p>
        </w:tc>
        <w:tc>
          <w:tcPr>
            <w:tcW w:w="567" w:type="dxa"/>
            <w:tcBorders>
              <w:top w:val="nil"/>
              <w:bottom w:val="nil"/>
            </w:tcBorders>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Research FP7 — incl. funds paid to association for Active and Assistive Living and ECSEL joint undertaking - the Public-Private Partnership for Electronic Components and Systems</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CNECT</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Quantified</w:t>
            </w:r>
          </w:p>
        </w:tc>
        <w:tc>
          <w:tcPr>
            <w:tcW w:w="993" w:type="dxa"/>
          </w:tcPr>
          <w:p>
            <w:pPr>
              <w:keepNext/>
              <w:spacing w:before="100" w:beforeAutospacing="1" w:afterAutospacing="1" w:line="26" w:lineRule="atLeast"/>
              <w:jc w:val="right"/>
              <w:rPr>
                <w:noProof/>
                <w:sz w:val="18"/>
                <w:szCs w:val="18"/>
              </w:rPr>
            </w:pPr>
            <w:r>
              <w:rPr>
                <w:noProof/>
                <w:sz w:val="18"/>
                <w:szCs w:val="18"/>
              </w:rPr>
              <w:t>5.0</w:t>
            </w:r>
          </w:p>
        </w:tc>
      </w:tr>
      <w:tr>
        <w:tc>
          <w:tcPr>
            <w:tcW w:w="1560" w:type="dxa"/>
            <w:tcBorders>
              <w:top w:val="nil"/>
              <w:bottom w:val="nil"/>
            </w:tcBorders>
          </w:tcPr>
          <w:p>
            <w:pPr>
              <w:keepNext/>
              <w:spacing w:before="100" w:beforeAutospacing="1" w:afterAutospacing="1" w:line="26" w:lineRule="atLeast"/>
              <w:rPr>
                <w:b/>
                <w:noProof/>
                <w:sz w:val="18"/>
                <w:szCs w:val="18"/>
              </w:rPr>
            </w:pPr>
          </w:p>
        </w:tc>
        <w:tc>
          <w:tcPr>
            <w:tcW w:w="567" w:type="dxa"/>
            <w:tcBorders>
              <w:top w:val="nil"/>
              <w:bottom w:val="nil"/>
            </w:tcBorders>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Research FP7 — incl. FP7 funds paid to European Global Navigation Satellite Systems agency and cross-delegation</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GROW</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Quantified</w:t>
            </w:r>
          </w:p>
        </w:tc>
        <w:tc>
          <w:tcPr>
            <w:tcW w:w="993" w:type="dxa"/>
          </w:tcPr>
          <w:p>
            <w:pPr>
              <w:keepNext/>
              <w:spacing w:before="100" w:beforeAutospacing="1" w:afterAutospacing="1" w:line="26" w:lineRule="atLeast"/>
              <w:jc w:val="right"/>
              <w:rPr>
                <w:noProof/>
                <w:sz w:val="18"/>
                <w:szCs w:val="18"/>
              </w:rPr>
            </w:pPr>
            <w:r>
              <w:rPr>
                <w:noProof/>
                <w:sz w:val="18"/>
                <w:szCs w:val="18"/>
              </w:rPr>
              <w:t>0.1</w:t>
            </w:r>
          </w:p>
        </w:tc>
      </w:tr>
      <w:tr>
        <w:tc>
          <w:tcPr>
            <w:tcW w:w="1560" w:type="dxa"/>
            <w:tcBorders>
              <w:top w:val="nil"/>
              <w:bottom w:val="nil"/>
            </w:tcBorders>
          </w:tcPr>
          <w:p>
            <w:pPr>
              <w:keepNext/>
              <w:spacing w:before="100" w:beforeAutospacing="1" w:afterAutospacing="1" w:line="26" w:lineRule="atLeast"/>
              <w:rPr>
                <w:b/>
                <w:noProof/>
                <w:sz w:val="18"/>
                <w:szCs w:val="18"/>
              </w:rPr>
            </w:pPr>
          </w:p>
        </w:tc>
        <w:tc>
          <w:tcPr>
            <w:tcW w:w="567" w:type="dxa"/>
            <w:tcBorders>
              <w:top w:val="nil"/>
              <w:bottom w:val="nil"/>
            </w:tcBorders>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Research FP7</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HOME</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Quantified</w:t>
            </w:r>
          </w:p>
        </w:tc>
        <w:tc>
          <w:tcPr>
            <w:tcW w:w="993" w:type="dxa"/>
          </w:tcPr>
          <w:p>
            <w:pPr>
              <w:keepNext/>
              <w:spacing w:before="100" w:beforeAutospacing="1" w:afterAutospacing="1" w:line="26" w:lineRule="atLeast"/>
              <w:jc w:val="right"/>
              <w:rPr>
                <w:noProof/>
                <w:sz w:val="18"/>
                <w:szCs w:val="18"/>
              </w:rPr>
            </w:pPr>
            <w:r>
              <w:rPr>
                <w:noProof/>
                <w:sz w:val="18"/>
                <w:szCs w:val="18"/>
              </w:rPr>
              <w:t>0.2</w:t>
            </w:r>
          </w:p>
        </w:tc>
      </w:tr>
      <w:tr>
        <w:tc>
          <w:tcPr>
            <w:tcW w:w="1560" w:type="dxa"/>
            <w:tcBorders>
              <w:top w:val="nil"/>
              <w:bottom w:val="nil"/>
            </w:tcBorders>
          </w:tcPr>
          <w:p>
            <w:pPr>
              <w:keepNext/>
              <w:spacing w:before="100" w:beforeAutospacing="1" w:afterAutospacing="1" w:line="26" w:lineRule="atLeast"/>
              <w:rPr>
                <w:b/>
                <w:noProof/>
                <w:sz w:val="18"/>
                <w:szCs w:val="18"/>
              </w:rPr>
            </w:pPr>
          </w:p>
        </w:tc>
        <w:tc>
          <w:tcPr>
            <w:tcW w:w="567" w:type="dxa"/>
            <w:tcBorders>
              <w:top w:val="nil"/>
              <w:bottom w:val="nil"/>
            </w:tcBorders>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Research FP7</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ENER</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Quantified</w:t>
            </w:r>
          </w:p>
        </w:tc>
        <w:tc>
          <w:tcPr>
            <w:tcW w:w="993" w:type="dxa"/>
          </w:tcPr>
          <w:p>
            <w:pPr>
              <w:keepNext/>
              <w:spacing w:before="100" w:beforeAutospacing="1" w:afterAutospacing="1" w:line="26" w:lineRule="atLeast"/>
              <w:jc w:val="right"/>
              <w:rPr>
                <w:noProof/>
                <w:sz w:val="18"/>
                <w:szCs w:val="18"/>
              </w:rPr>
            </w:pPr>
            <w:r>
              <w:rPr>
                <w:noProof/>
                <w:sz w:val="18"/>
                <w:szCs w:val="18"/>
              </w:rPr>
              <w:t>2.9</w:t>
            </w:r>
          </w:p>
        </w:tc>
      </w:tr>
      <w:tr>
        <w:tc>
          <w:tcPr>
            <w:tcW w:w="1560" w:type="dxa"/>
            <w:tcBorders>
              <w:top w:val="nil"/>
              <w:bottom w:val="nil"/>
            </w:tcBorders>
          </w:tcPr>
          <w:p>
            <w:pPr>
              <w:keepNext/>
              <w:spacing w:before="100" w:beforeAutospacing="1" w:afterAutospacing="1" w:line="26" w:lineRule="atLeast"/>
              <w:rPr>
                <w:b/>
                <w:noProof/>
                <w:sz w:val="18"/>
                <w:szCs w:val="18"/>
              </w:rPr>
            </w:pPr>
          </w:p>
        </w:tc>
        <w:tc>
          <w:tcPr>
            <w:tcW w:w="567" w:type="dxa"/>
            <w:tcBorders>
              <w:top w:val="nil"/>
              <w:bottom w:val="nil"/>
            </w:tcBorders>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Research FP7</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MOVE</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Quantified</w:t>
            </w:r>
          </w:p>
        </w:tc>
        <w:tc>
          <w:tcPr>
            <w:tcW w:w="993" w:type="dxa"/>
          </w:tcPr>
          <w:p>
            <w:pPr>
              <w:keepNext/>
              <w:spacing w:before="100" w:beforeAutospacing="1" w:afterAutospacing="1" w:line="26" w:lineRule="atLeast"/>
              <w:jc w:val="right"/>
              <w:rPr>
                <w:noProof/>
                <w:sz w:val="18"/>
                <w:szCs w:val="18"/>
              </w:rPr>
            </w:pPr>
            <w:r>
              <w:rPr>
                <w:noProof/>
                <w:sz w:val="18"/>
                <w:szCs w:val="18"/>
              </w:rPr>
              <w:t>0.2</w:t>
            </w:r>
          </w:p>
        </w:tc>
      </w:tr>
      <w:tr>
        <w:tc>
          <w:tcPr>
            <w:tcW w:w="1560" w:type="dxa"/>
            <w:tcBorders>
              <w:top w:val="nil"/>
              <w:bottom w:val="nil"/>
            </w:tcBorders>
          </w:tcPr>
          <w:p>
            <w:pPr>
              <w:keepNext/>
              <w:spacing w:before="100" w:beforeAutospacing="1" w:afterAutospacing="1" w:line="26" w:lineRule="atLeast"/>
              <w:rPr>
                <w:b/>
                <w:noProof/>
                <w:sz w:val="18"/>
                <w:szCs w:val="18"/>
              </w:rPr>
            </w:pPr>
          </w:p>
        </w:tc>
        <w:tc>
          <w:tcPr>
            <w:tcW w:w="567" w:type="dxa"/>
            <w:tcBorders>
              <w:top w:val="nil"/>
              <w:bottom w:val="nil"/>
            </w:tcBorders>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Research FP7 — Space and security</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REA</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Quantified</w:t>
            </w:r>
          </w:p>
        </w:tc>
        <w:tc>
          <w:tcPr>
            <w:tcW w:w="993" w:type="dxa"/>
          </w:tcPr>
          <w:p>
            <w:pPr>
              <w:keepNext/>
              <w:spacing w:before="100" w:beforeAutospacing="1" w:afterAutospacing="1" w:line="26" w:lineRule="atLeast"/>
              <w:jc w:val="right"/>
              <w:rPr>
                <w:noProof/>
                <w:sz w:val="18"/>
                <w:szCs w:val="18"/>
              </w:rPr>
            </w:pPr>
            <w:r>
              <w:rPr>
                <w:noProof/>
                <w:sz w:val="18"/>
                <w:szCs w:val="18"/>
              </w:rPr>
              <w:t>3.4</w:t>
            </w:r>
          </w:p>
        </w:tc>
      </w:tr>
      <w:tr>
        <w:tc>
          <w:tcPr>
            <w:tcW w:w="1560" w:type="dxa"/>
            <w:tcBorders>
              <w:top w:val="nil"/>
              <w:bottom w:val="nil"/>
            </w:tcBorders>
          </w:tcPr>
          <w:p>
            <w:pPr>
              <w:keepNext/>
              <w:spacing w:before="100" w:beforeAutospacing="1" w:afterAutospacing="1" w:line="26" w:lineRule="atLeast"/>
              <w:rPr>
                <w:b/>
                <w:noProof/>
                <w:sz w:val="18"/>
                <w:szCs w:val="18"/>
              </w:rPr>
            </w:pPr>
          </w:p>
        </w:tc>
        <w:tc>
          <w:tcPr>
            <w:tcW w:w="567" w:type="dxa"/>
            <w:tcBorders>
              <w:top w:val="nil"/>
              <w:bottom w:val="single" w:sz="4" w:space="0" w:color="auto"/>
            </w:tcBorders>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Research FP7 — Small and medium-sized enterprises</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REA</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Quantified</w:t>
            </w:r>
          </w:p>
        </w:tc>
        <w:tc>
          <w:tcPr>
            <w:tcW w:w="993" w:type="dxa"/>
          </w:tcPr>
          <w:p>
            <w:pPr>
              <w:keepNext/>
              <w:spacing w:before="100" w:beforeAutospacing="1" w:afterAutospacing="1" w:line="26" w:lineRule="atLeast"/>
              <w:jc w:val="right"/>
              <w:rPr>
                <w:noProof/>
                <w:sz w:val="18"/>
                <w:szCs w:val="18"/>
              </w:rPr>
            </w:pPr>
            <w:r>
              <w:rPr>
                <w:noProof/>
                <w:sz w:val="18"/>
                <w:szCs w:val="18"/>
              </w:rPr>
              <w:t>1.2</w:t>
            </w:r>
          </w:p>
        </w:tc>
      </w:tr>
      <w:tr>
        <w:tc>
          <w:tcPr>
            <w:tcW w:w="1560" w:type="dxa"/>
            <w:tcBorders>
              <w:top w:val="nil"/>
              <w:bottom w:val="nil"/>
            </w:tcBorders>
          </w:tcPr>
          <w:p>
            <w:pPr>
              <w:keepNext/>
              <w:spacing w:before="100" w:beforeAutospacing="1" w:afterAutospacing="1" w:line="26" w:lineRule="atLeast"/>
              <w:rPr>
                <w:b/>
                <w:noProof/>
                <w:sz w:val="18"/>
                <w:szCs w:val="18"/>
              </w:rPr>
            </w:pPr>
          </w:p>
        </w:tc>
        <w:tc>
          <w:tcPr>
            <w:tcW w:w="567" w:type="dxa"/>
            <w:tcBorders>
              <w:bottom w:val="nil"/>
            </w:tcBorders>
            <w:shd w:val="clear" w:color="auto" w:fill="auto"/>
          </w:tcPr>
          <w:p>
            <w:pPr>
              <w:keepNext/>
              <w:spacing w:before="100" w:beforeAutospacing="1" w:afterAutospacing="1" w:line="26" w:lineRule="atLeast"/>
              <w:rPr>
                <w:b/>
                <w:noProof/>
                <w:sz w:val="18"/>
                <w:szCs w:val="18"/>
              </w:rPr>
            </w:pPr>
            <w:r>
              <w:rPr>
                <w:b/>
                <w:noProof/>
                <w:sz w:val="18"/>
                <w:szCs w:val="18"/>
              </w:rPr>
              <w:t>CIP</w:t>
            </w: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Competitiveness and innovation programme (CIP)</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GROW</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Quantified</w:t>
            </w:r>
          </w:p>
        </w:tc>
        <w:tc>
          <w:tcPr>
            <w:tcW w:w="993" w:type="dxa"/>
          </w:tcPr>
          <w:p>
            <w:pPr>
              <w:keepNext/>
              <w:spacing w:before="100" w:beforeAutospacing="1" w:afterAutospacing="1" w:line="26" w:lineRule="atLeast"/>
              <w:jc w:val="right"/>
              <w:rPr>
                <w:noProof/>
                <w:sz w:val="18"/>
                <w:szCs w:val="18"/>
              </w:rPr>
            </w:pPr>
            <w:r>
              <w:rPr>
                <w:noProof/>
                <w:sz w:val="18"/>
                <w:szCs w:val="18"/>
              </w:rPr>
              <w:t>0.1</w:t>
            </w:r>
          </w:p>
        </w:tc>
      </w:tr>
      <w:tr>
        <w:tc>
          <w:tcPr>
            <w:tcW w:w="1560" w:type="dxa"/>
            <w:tcBorders>
              <w:top w:val="nil"/>
              <w:bottom w:val="nil"/>
            </w:tcBorders>
          </w:tcPr>
          <w:p>
            <w:pPr>
              <w:keepNext/>
              <w:spacing w:before="100" w:beforeAutospacing="1" w:afterAutospacing="1" w:line="26" w:lineRule="atLeast"/>
              <w:rPr>
                <w:b/>
                <w:noProof/>
                <w:sz w:val="18"/>
                <w:szCs w:val="18"/>
              </w:rPr>
            </w:pPr>
          </w:p>
        </w:tc>
        <w:tc>
          <w:tcPr>
            <w:tcW w:w="567" w:type="dxa"/>
            <w:tcBorders>
              <w:top w:val="nil"/>
              <w:bottom w:val="nil"/>
            </w:tcBorders>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Competitiveness and innovation programme ICT policy support programme (PSP)</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CNECT</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Quantified</w:t>
            </w:r>
          </w:p>
        </w:tc>
        <w:tc>
          <w:tcPr>
            <w:tcW w:w="993" w:type="dxa"/>
          </w:tcPr>
          <w:p>
            <w:pPr>
              <w:keepNext/>
              <w:spacing w:before="100" w:beforeAutospacing="1" w:afterAutospacing="1" w:line="26" w:lineRule="atLeast"/>
              <w:jc w:val="right"/>
              <w:rPr>
                <w:noProof/>
                <w:sz w:val="18"/>
                <w:szCs w:val="18"/>
              </w:rPr>
            </w:pPr>
            <w:r>
              <w:rPr>
                <w:noProof/>
                <w:sz w:val="18"/>
                <w:szCs w:val="18"/>
              </w:rPr>
              <w:t>1.1</w:t>
            </w:r>
          </w:p>
        </w:tc>
      </w:tr>
      <w:tr>
        <w:tc>
          <w:tcPr>
            <w:tcW w:w="1560" w:type="dxa"/>
            <w:tcBorders>
              <w:top w:val="nil"/>
              <w:bottom w:val="nil"/>
            </w:tcBorders>
          </w:tcPr>
          <w:p>
            <w:pPr>
              <w:keepNext/>
              <w:spacing w:before="100" w:beforeAutospacing="1" w:afterAutospacing="1" w:line="26" w:lineRule="atLeast"/>
              <w:rPr>
                <w:b/>
                <w:noProof/>
                <w:sz w:val="18"/>
                <w:szCs w:val="18"/>
              </w:rPr>
            </w:pPr>
          </w:p>
        </w:tc>
        <w:tc>
          <w:tcPr>
            <w:tcW w:w="567" w:type="dxa"/>
            <w:tcBorders>
              <w:top w:val="nil"/>
              <w:bottom w:val="nil"/>
            </w:tcBorders>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Competitiveness and innovation programme intelligent energy Europe (IEE II)</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EASME</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Quantified</w:t>
            </w:r>
          </w:p>
        </w:tc>
        <w:tc>
          <w:tcPr>
            <w:tcW w:w="993" w:type="dxa"/>
          </w:tcPr>
          <w:p>
            <w:pPr>
              <w:keepNext/>
              <w:spacing w:before="100" w:beforeAutospacing="1" w:afterAutospacing="1" w:line="26" w:lineRule="atLeast"/>
              <w:jc w:val="right"/>
              <w:rPr>
                <w:noProof/>
                <w:sz w:val="18"/>
                <w:szCs w:val="18"/>
              </w:rPr>
            </w:pPr>
            <w:r>
              <w:rPr>
                <w:noProof/>
                <w:sz w:val="18"/>
                <w:szCs w:val="18"/>
              </w:rPr>
              <w:t>0.5</w:t>
            </w:r>
          </w:p>
        </w:tc>
      </w:tr>
      <w:tr>
        <w:tc>
          <w:tcPr>
            <w:tcW w:w="1560" w:type="dxa"/>
            <w:tcBorders>
              <w:top w:val="nil"/>
              <w:bottom w:val="nil"/>
            </w:tcBorders>
          </w:tcPr>
          <w:p>
            <w:pPr>
              <w:keepNext/>
              <w:spacing w:before="100" w:beforeAutospacing="1" w:afterAutospacing="1" w:line="26" w:lineRule="atLeast"/>
              <w:rPr>
                <w:b/>
                <w:noProof/>
                <w:sz w:val="18"/>
                <w:szCs w:val="18"/>
              </w:rPr>
            </w:pPr>
          </w:p>
        </w:tc>
        <w:tc>
          <w:tcPr>
            <w:tcW w:w="567" w:type="dxa"/>
            <w:tcBorders>
              <w:top w:val="nil"/>
              <w:bottom w:val="nil"/>
            </w:tcBorders>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Competitiveness and innovation programme eco-innovation</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EASME</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Quantified</w:t>
            </w:r>
          </w:p>
        </w:tc>
        <w:tc>
          <w:tcPr>
            <w:tcW w:w="993" w:type="dxa"/>
          </w:tcPr>
          <w:p>
            <w:pPr>
              <w:keepNext/>
              <w:spacing w:before="100" w:beforeAutospacing="1" w:afterAutospacing="1" w:line="26" w:lineRule="atLeast"/>
              <w:jc w:val="right"/>
              <w:rPr>
                <w:noProof/>
                <w:sz w:val="18"/>
                <w:szCs w:val="18"/>
              </w:rPr>
            </w:pPr>
            <w:r>
              <w:rPr>
                <w:noProof/>
                <w:sz w:val="18"/>
                <w:szCs w:val="18"/>
              </w:rPr>
              <w:t>0.9</w:t>
            </w:r>
          </w:p>
        </w:tc>
      </w:tr>
      <w:tr>
        <w:tc>
          <w:tcPr>
            <w:tcW w:w="1560" w:type="dxa"/>
            <w:tcBorders>
              <w:bottom w:val="nil"/>
            </w:tcBorders>
          </w:tcPr>
          <w:p>
            <w:pPr>
              <w:keepNext/>
              <w:spacing w:before="100" w:beforeAutospacing="1" w:afterAutospacing="1" w:line="26" w:lineRule="atLeast"/>
              <w:rPr>
                <w:b/>
                <w:noProof/>
                <w:sz w:val="18"/>
                <w:szCs w:val="18"/>
              </w:rPr>
            </w:pPr>
            <w:r>
              <w:rPr>
                <w:b/>
                <w:noProof/>
                <w:sz w:val="18"/>
                <w:szCs w:val="18"/>
              </w:rPr>
              <w:t>Other internal policies</w:t>
            </w:r>
          </w:p>
        </w:tc>
        <w:tc>
          <w:tcPr>
            <w:tcW w:w="567" w:type="dxa"/>
            <w:tcBorders>
              <w:bottom w:val="nil"/>
            </w:tcBorders>
            <w:shd w:val="clear" w:color="auto" w:fill="auto"/>
          </w:tcPr>
          <w:p>
            <w:pPr>
              <w:keepNext/>
              <w:spacing w:before="100" w:beforeAutospacing="1" w:afterAutospacing="1" w:line="26" w:lineRule="atLeast"/>
              <w:rPr>
                <w:b/>
                <w:noProof/>
                <w:sz w:val="18"/>
                <w:szCs w:val="18"/>
              </w:rPr>
            </w:pPr>
            <w:r>
              <w:rPr>
                <w:b/>
                <w:noProof/>
                <w:sz w:val="18"/>
                <w:szCs w:val="18"/>
              </w:rPr>
              <w:t>EAC</w:t>
            </w: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2007-2013 lifelong learning programme (LLP)</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EACEA</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Quantified</w:t>
            </w:r>
          </w:p>
        </w:tc>
        <w:tc>
          <w:tcPr>
            <w:tcW w:w="993" w:type="dxa"/>
          </w:tcPr>
          <w:p>
            <w:pPr>
              <w:keepNext/>
              <w:spacing w:before="100" w:beforeAutospacing="1" w:afterAutospacing="1" w:line="26" w:lineRule="atLeast"/>
              <w:jc w:val="right"/>
              <w:rPr>
                <w:noProof/>
                <w:sz w:val="18"/>
                <w:szCs w:val="18"/>
              </w:rPr>
            </w:pPr>
            <w:r>
              <w:rPr>
                <w:noProof/>
                <w:sz w:val="18"/>
                <w:szCs w:val="18"/>
              </w:rPr>
              <w:t>0.1</w:t>
            </w:r>
          </w:p>
        </w:tc>
      </w:tr>
      <w:tr>
        <w:tc>
          <w:tcPr>
            <w:tcW w:w="1560" w:type="dxa"/>
            <w:tcBorders>
              <w:top w:val="nil"/>
              <w:bottom w:val="nil"/>
            </w:tcBorders>
          </w:tcPr>
          <w:p>
            <w:pPr>
              <w:keepNext/>
              <w:spacing w:before="100" w:beforeAutospacing="1" w:afterAutospacing="1" w:line="26" w:lineRule="atLeast"/>
              <w:rPr>
                <w:b/>
                <w:noProof/>
                <w:sz w:val="18"/>
                <w:szCs w:val="18"/>
              </w:rPr>
            </w:pPr>
          </w:p>
        </w:tc>
        <w:tc>
          <w:tcPr>
            <w:tcW w:w="567" w:type="dxa"/>
            <w:tcBorders>
              <w:top w:val="nil"/>
              <w:bottom w:val="nil"/>
            </w:tcBorders>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2007-2013 culture programme</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EACEA</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Quantified</w:t>
            </w:r>
          </w:p>
        </w:tc>
        <w:tc>
          <w:tcPr>
            <w:tcW w:w="993" w:type="dxa"/>
          </w:tcPr>
          <w:p>
            <w:pPr>
              <w:keepNext/>
              <w:spacing w:before="100" w:beforeAutospacing="1" w:afterAutospacing="1" w:line="26" w:lineRule="atLeast"/>
              <w:jc w:val="right"/>
              <w:rPr>
                <w:noProof/>
                <w:sz w:val="18"/>
                <w:szCs w:val="18"/>
              </w:rPr>
            </w:pPr>
            <w:r>
              <w:rPr>
                <w:noProof/>
                <w:sz w:val="18"/>
                <w:szCs w:val="18"/>
              </w:rPr>
              <w:t>1.7</w:t>
            </w:r>
          </w:p>
        </w:tc>
      </w:tr>
      <w:tr>
        <w:tc>
          <w:tcPr>
            <w:tcW w:w="1560" w:type="dxa"/>
            <w:tcBorders>
              <w:top w:val="nil"/>
            </w:tcBorders>
          </w:tcPr>
          <w:p>
            <w:pPr>
              <w:keepNext/>
              <w:spacing w:before="100" w:beforeAutospacing="1" w:afterAutospacing="1" w:line="26" w:lineRule="atLeast"/>
              <w:rPr>
                <w:b/>
                <w:noProof/>
                <w:sz w:val="18"/>
                <w:szCs w:val="18"/>
              </w:rPr>
            </w:pPr>
          </w:p>
        </w:tc>
        <w:tc>
          <w:tcPr>
            <w:tcW w:w="567" w:type="dxa"/>
            <w:tcBorders>
              <w:top w:val="nil"/>
            </w:tcBorders>
            <w:shd w:val="clear" w:color="auto" w:fill="auto"/>
          </w:tcPr>
          <w:p>
            <w:pPr>
              <w:keepNext/>
              <w:spacing w:before="100" w:beforeAutospacing="1" w:afterAutospacing="1" w:line="26" w:lineRule="atLeast"/>
              <w:rPr>
                <w:b/>
                <w:noProof/>
                <w:sz w:val="18"/>
                <w:szCs w:val="18"/>
              </w:rPr>
            </w:pPr>
          </w:p>
        </w:tc>
        <w:tc>
          <w:tcPr>
            <w:tcW w:w="4394" w:type="dxa"/>
            <w:shd w:val="clear" w:color="auto" w:fill="auto"/>
            <w:vAlign w:val="center"/>
          </w:tcPr>
          <w:p>
            <w:pPr>
              <w:keepNext/>
              <w:spacing w:before="100" w:beforeAutospacing="1" w:afterAutospacing="1" w:line="26" w:lineRule="atLeast"/>
              <w:rPr>
                <w:noProof/>
                <w:sz w:val="18"/>
                <w:szCs w:val="18"/>
              </w:rPr>
            </w:pPr>
            <w:r>
              <w:rPr>
                <w:noProof/>
                <w:sz w:val="18"/>
                <w:szCs w:val="18"/>
              </w:rPr>
              <w:t>2007-2013 tempus programme</w:t>
            </w:r>
          </w:p>
        </w:tc>
        <w:tc>
          <w:tcPr>
            <w:tcW w:w="851" w:type="dxa"/>
            <w:vAlign w:val="center"/>
          </w:tcPr>
          <w:p>
            <w:pPr>
              <w:keepNext/>
              <w:spacing w:before="100" w:beforeAutospacing="1" w:afterAutospacing="1" w:line="26" w:lineRule="atLeast"/>
              <w:jc w:val="center"/>
              <w:rPr>
                <w:noProof/>
                <w:sz w:val="18"/>
                <w:szCs w:val="18"/>
              </w:rPr>
            </w:pPr>
            <w:r>
              <w:rPr>
                <w:noProof/>
                <w:sz w:val="18"/>
                <w:szCs w:val="18"/>
              </w:rPr>
              <w:t>EACEA</w:t>
            </w:r>
          </w:p>
        </w:tc>
        <w:tc>
          <w:tcPr>
            <w:tcW w:w="1275" w:type="dxa"/>
            <w:vAlign w:val="center"/>
          </w:tcPr>
          <w:p>
            <w:pPr>
              <w:keepNext/>
              <w:spacing w:before="100" w:beforeAutospacing="1" w:afterAutospacing="1" w:line="26" w:lineRule="atLeast"/>
              <w:jc w:val="center"/>
              <w:rPr>
                <w:noProof/>
                <w:sz w:val="18"/>
                <w:szCs w:val="18"/>
              </w:rPr>
            </w:pPr>
            <w:r>
              <w:rPr>
                <w:noProof/>
                <w:sz w:val="18"/>
                <w:szCs w:val="18"/>
              </w:rPr>
              <w:t>Quantified</w:t>
            </w:r>
          </w:p>
        </w:tc>
        <w:tc>
          <w:tcPr>
            <w:tcW w:w="993" w:type="dxa"/>
          </w:tcPr>
          <w:p>
            <w:pPr>
              <w:keepNext/>
              <w:spacing w:before="100" w:beforeAutospacing="1" w:afterAutospacing="1" w:line="26" w:lineRule="atLeast"/>
              <w:jc w:val="right"/>
              <w:rPr>
                <w:noProof/>
                <w:sz w:val="18"/>
                <w:szCs w:val="18"/>
              </w:rPr>
            </w:pPr>
            <w:r>
              <w:rPr>
                <w:noProof/>
                <w:sz w:val="18"/>
                <w:szCs w:val="18"/>
              </w:rPr>
              <w:t>0.9</w:t>
            </w:r>
          </w:p>
        </w:tc>
      </w:tr>
      <w:tr>
        <w:tc>
          <w:tcPr>
            <w:tcW w:w="1560" w:type="dxa"/>
            <w:tcBorders>
              <w:bottom w:val="single" w:sz="4" w:space="0" w:color="auto"/>
            </w:tcBorders>
          </w:tcPr>
          <w:p>
            <w:pPr>
              <w:spacing w:before="100" w:beforeAutospacing="1" w:afterAutospacing="1" w:line="26" w:lineRule="atLeast"/>
              <w:rPr>
                <w:b/>
                <w:noProof/>
                <w:sz w:val="18"/>
                <w:szCs w:val="18"/>
              </w:rPr>
            </w:pPr>
            <w:r>
              <w:rPr>
                <w:b/>
                <w:noProof/>
                <w:sz w:val="18"/>
                <w:szCs w:val="18"/>
              </w:rPr>
              <w:t>Other services and administration</w:t>
            </w:r>
          </w:p>
        </w:tc>
        <w:tc>
          <w:tcPr>
            <w:tcW w:w="567" w:type="dxa"/>
            <w:tcBorders>
              <w:bottom w:val="single" w:sz="4" w:space="0" w:color="auto"/>
            </w:tcBorders>
            <w:shd w:val="clear" w:color="auto" w:fill="auto"/>
          </w:tcPr>
          <w:p>
            <w:pPr>
              <w:spacing w:before="100" w:beforeAutospacing="1" w:afterAutospacing="1" w:line="26" w:lineRule="atLeast"/>
              <w:rPr>
                <w:b/>
                <w:noProof/>
                <w:sz w:val="18"/>
                <w:szCs w:val="18"/>
              </w:rPr>
            </w:pPr>
          </w:p>
        </w:tc>
        <w:tc>
          <w:tcPr>
            <w:tcW w:w="4394" w:type="dxa"/>
            <w:tcBorders>
              <w:bottom w:val="single" w:sz="4" w:space="0" w:color="auto"/>
            </w:tcBorders>
            <w:shd w:val="clear" w:color="auto" w:fill="auto"/>
            <w:vAlign w:val="center"/>
          </w:tcPr>
          <w:p>
            <w:pPr>
              <w:spacing w:before="100" w:beforeAutospacing="1" w:afterAutospacing="1" w:line="26" w:lineRule="atLeast"/>
              <w:rPr>
                <w:noProof/>
                <w:sz w:val="18"/>
                <w:szCs w:val="18"/>
              </w:rPr>
            </w:pPr>
            <w:r>
              <w:rPr>
                <w:noProof/>
                <w:sz w:val="18"/>
                <w:szCs w:val="18"/>
              </w:rPr>
              <w:t>(none)</w:t>
            </w:r>
          </w:p>
        </w:tc>
        <w:tc>
          <w:tcPr>
            <w:tcW w:w="851" w:type="dxa"/>
            <w:tcBorders>
              <w:bottom w:val="single" w:sz="4" w:space="0" w:color="auto"/>
            </w:tcBorders>
            <w:shd w:val="clear" w:color="auto" w:fill="auto"/>
            <w:vAlign w:val="center"/>
          </w:tcPr>
          <w:p>
            <w:pPr>
              <w:spacing w:before="100" w:beforeAutospacing="1" w:afterAutospacing="1" w:line="26" w:lineRule="atLeast"/>
              <w:jc w:val="center"/>
              <w:rPr>
                <w:noProof/>
                <w:sz w:val="18"/>
                <w:szCs w:val="18"/>
              </w:rPr>
            </w:pPr>
          </w:p>
        </w:tc>
        <w:tc>
          <w:tcPr>
            <w:tcW w:w="1275" w:type="dxa"/>
            <w:tcBorders>
              <w:bottom w:val="single" w:sz="4" w:space="0" w:color="auto"/>
            </w:tcBorders>
            <w:shd w:val="clear" w:color="auto" w:fill="auto"/>
            <w:vAlign w:val="center"/>
          </w:tcPr>
          <w:p>
            <w:pPr>
              <w:spacing w:before="100" w:beforeAutospacing="1" w:afterAutospacing="1" w:line="26" w:lineRule="atLeast"/>
              <w:jc w:val="center"/>
              <w:rPr>
                <w:noProof/>
                <w:sz w:val="18"/>
                <w:szCs w:val="18"/>
              </w:rPr>
            </w:pPr>
          </w:p>
        </w:tc>
        <w:tc>
          <w:tcPr>
            <w:tcW w:w="993" w:type="dxa"/>
            <w:tcBorders>
              <w:bottom w:val="single" w:sz="4" w:space="0" w:color="auto"/>
            </w:tcBorders>
          </w:tcPr>
          <w:p>
            <w:pPr>
              <w:spacing w:before="100" w:beforeAutospacing="1" w:afterAutospacing="1" w:line="26" w:lineRule="atLeast"/>
              <w:jc w:val="right"/>
              <w:rPr>
                <w:noProof/>
                <w:sz w:val="18"/>
                <w:szCs w:val="18"/>
              </w:rPr>
            </w:pPr>
          </w:p>
        </w:tc>
      </w:tr>
    </w:tbl>
    <w:p>
      <w:pPr>
        <w:spacing w:line="26" w:lineRule="atLeast"/>
        <w:rPr>
          <w:b/>
          <w:bCs/>
          <w:noProof/>
          <w:sz w:val="18"/>
          <w:szCs w:val="18"/>
        </w:rPr>
      </w:pPr>
    </w:p>
    <w:p>
      <w:pPr>
        <w:keepNext/>
        <w:spacing w:line="26" w:lineRule="atLeast"/>
        <w:rPr>
          <w:b/>
          <w:bCs/>
          <w:noProof/>
          <w:sz w:val="18"/>
          <w:szCs w:val="18"/>
        </w:rPr>
      </w:pPr>
      <w:r>
        <w:rPr>
          <w:b/>
          <w:noProof/>
        </w:rPr>
        <w:t>Table</w:t>
      </w:r>
      <w:r>
        <w:rPr>
          <w:rFonts w:ascii="Calibri" w:hAnsi="Calibri" w:cs="Calibri"/>
          <w:b/>
          <w:noProof/>
        </w:rPr>
        <w:t> C</w:t>
      </w:r>
      <w:r>
        <w:rPr>
          <w:b/>
          <w:noProof/>
        </w:rPr>
        <w:t xml:space="preserve">: Reservation related to the revenue side of the EU budget </w:t>
      </w:r>
    </w:p>
    <w:tbl>
      <w:tblPr>
        <w:tblStyle w:val="TableGrid"/>
        <w:tblW w:w="9070" w:type="dxa"/>
        <w:jc w:val="center"/>
        <w:tblLayout w:type="fixed"/>
        <w:tblLook w:val="04A0" w:firstRow="1" w:lastRow="0" w:firstColumn="1" w:lastColumn="0" w:noHBand="0" w:noVBand="1"/>
      </w:tblPr>
      <w:tblGrid>
        <w:gridCol w:w="1444"/>
        <w:gridCol w:w="4660"/>
        <w:gridCol w:w="812"/>
        <w:gridCol w:w="1209"/>
        <w:gridCol w:w="945"/>
      </w:tblGrid>
      <w:tr>
        <w:trPr>
          <w:trHeight w:val="365"/>
          <w:jc w:val="center"/>
        </w:trPr>
        <w:tc>
          <w:tcPr>
            <w:tcW w:w="1526" w:type="dxa"/>
            <w:shd w:val="clear" w:color="auto" w:fill="E48C32"/>
            <w:tcMar>
              <w:left w:w="57" w:type="dxa"/>
              <w:right w:w="57" w:type="dxa"/>
            </w:tcMar>
          </w:tcPr>
          <w:p>
            <w:pPr>
              <w:keepNext/>
              <w:spacing w:line="26" w:lineRule="atLeast"/>
              <w:jc w:val="center"/>
              <w:rPr>
                <w:b/>
                <w:noProof/>
                <w:color w:val="FFFFFF"/>
                <w:sz w:val="18"/>
                <w:szCs w:val="18"/>
              </w:rPr>
            </w:pPr>
            <w:r>
              <w:rPr>
                <w:b/>
                <w:noProof/>
                <w:color w:val="FFFFFF"/>
                <w:sz w:val="18"/>
                <w:szCs w:val="18"/>
              </w:rPr>
              <w:t>Policy area</w:t>
            </w:r>
          </w:p>
        </w:tc>
        <w:tc>
          <w:tcPr>
            <w:tcW w:w="4960" w:type="dxa"/>
            <w:shd w:val="clear" w:color="auto" w:fill="E48C32"/>
            <w:tcMar>
              <w:left w:w="57" w:type="dxa"/>
              <w:right w:w="57" w:type="dxa"/>
            </w:tcMar>
          </w:tcPr>
          <w:p>
            <w:pPr>
              <w:keepNext/>
              <w:spacing w:line="26" w:lineRule="atLeast"/>
              <w:jc w:val="center"/>
              <w:rPr>
                <w:b/>
                <w:noProof/>
                <w:color w:val="FFFFFF"/>
                <w:sz w:val="18"/>
                <w:szCs w:val="18"/>
              </w:rPr>
            </w:pPr>
            <w:r>
              <w:rPr>
                <w:b/>
                <w:noProof/>
                <w:color w:val="FFFFFF"/>
                <w:sz w:val="18"/>
                <w:szCs w:val="18"/>
              </w:rPr>
              <w:t>Description of reservation</w:t>
            </w:r>
          </w:p>
        </w:tc>
        <w:tc>
          <w:tcPr>
            <w:tcW w:w="851" w:type="dxa"/>
            <w:shd w:val="clear" w:color="auto" w:fill="E48C32"/>
            <w:tcMar>
              <w:left w:w="57" w:type="dxa"/>
              <w:right w:w="57" w:type="dxa"/>
            </w:tcMar>
          </w:tcPr>
          <w:p>
            <w:pPr>
              <w:keepNext/>
              <w:spacing w:line="26" w:lineRule="atLeast"/>
              <w:jc w:val="center"/>
              <w:rPr>
                <w:b/>
                <w:noProof/>
                <w:color w:val="FFFFFF"/>
                <w:sz w:val="18"/>
                <w:szCs w:val="18"/>
              </w:rPr>
            </w:pPr>
            <w:r>
              <w:rPr>
                <w:b/>
                <w:noProof/>
                <w:color w:val="FFFFFF"/>
                <w:sz w:val="18"/>
                <w:szCs w:val="18"/>
              </w:rPr>
              <w:t>Dept.</w:t>
            </w:r>
          </w:p>
        </w:tc>
        <w:tc>
          <w:tcPr>
            <w:tcW w:w="1275" w:type="dxa"/>
            <w:shd w:val="clear" w:color="auto" w:fill="E48C32"/>
            <w:tcMar>
              <w:left w:w="57" w:type="dxa"/>
              <w:right w:w="57" w:type="dxa"/>
            </w:tcMar>
          </w:tcPr>
          <w:p>
            <w:pPr>
              <w:keepNext/>
              <w:spacing w:line="26" w:lineRule="atLeast"/>
              <w:jc w:val="center"/>
              <w:rPr>
                <w:b/>
                <w:noProof/>
                <w:color w:val="FFFFFF"/>
                <w:sz w:val="18"/>
                <w:szCs w:val="18"/>
              </w:rPr>
            </w:pPr>
            <w:r>
              <w:rPr>
                <w:b/>
                <w:noProof/>
                <w:color w:val="FFFFFF"/>
                <w:sz w:val="18"/>
                <w:szCs w:val="18"/>
              </w:rPr>
              <w:t>Impact on legality and regularity</w:t>
            </w:r>
          </w:p>
        </w:tc>
        <w:tc>
          <w:tcPr>
            <w:tcW w:w="993" w:type="dxa"/>
            <w:shd w:val="clear" w:color="auto" w:fill="E48C32"/>
            <w:tcMar>
              <w:left w:w="57" w:type="dxa"/>
              <w:right w:w="57" w:type="dxa"/>
            </w:tcMar>
          </w:tcPr>
          <w:p>
            <w:pPr>
              <w:keepNext/>
              <w:spacing w:line="26" w:lineRule="atLeast"/>
              <w:jc w:val="center"/>
              <w:rPr>
                <w:b/>
                <w:noProof/>
                <w:color w:val="FFFFFF"/>
                <w:sz w:val="18"/>
                <w:szCs w:val="18"/>
              </w:rPr>
            </w:pPr>
            <w:r>
              <w:rPr>
                <w:b/>
                <w:noProof/>
                <w:color w:val="FFFFFF"/>
                <w:sz w:val="18"/>
                <w:szCs w:val="18"/>
              </w:rPr>
              <w:t>Exposure (EUR millions)</w:t>
            </w:r>
          </w:p>
        </w:tc>
      </w:tr>
      <w:tr>
        <w:trPr>
          <w:trHeight w:val="365"/>
          <w:jc w:val="center"/>
        </w:trPr>
        <w:tc>
          <w:tcPr>
            <w:tcW w:w="1526" w:type="dxa"/>
          </w:tcPr>
          <w:p>
            <w:pPr>
              <w:keepNext/>
              <w:spacing w:before="100" w:beforeAutospacing="1" w:afterAutospacing="1" w:line="26" w:lineRule="atLeast"/>
              <w:rPr>
                <w:b/>
                <w:noProof/>
                <w:color w:val="000000"/>
                <w:sz w:val="18"/>
                <w:szCs w:val="18"/>
              </w:rPr>
            </w:pPr>
          </w:p>
          <w:p>
            <w:pPr>
              <w:keepNext/>
              <w:spacing w:before="100" w:beforeAutospacing="1" w:afterAutospacing="1" w:line="26" w:lineRule="atLeast"/>
              <w:rPr>
                <w:b/>
                <w:noProof/>
                <w:color w:val="000000"/>
                <w:sz w:val="18"/>
                <w:szCs w:val="18"/>
              </w:rPr>
            </w:pPr>
            <w:r>
              <w:rPr>
                <w:b/>
                <w:noProof/>
                <w:color w:val="000000"/>
                <w:sz w:val="18"/>
                <w:szCs w:val="18"/>
              </w:rPr>
              <w:t>Revenue</w:t>
            </w:r>
          </w:p>
        </w:tc>
        <w:tc>
          <w:tcPr>
            <w:tcW w:w="4960" w:type="dxa"/>
          </w:tcPr>
          <w:p>
            <w:pPr>
              <w:keepNext/>
              <w:spacing w:before="100" w:beforeAutospacing="1" w:afterAutospacing="1" w:line="26" w:lineRule="atLeast"/>
              <w:rPr>
                <w:noProof/>
                <w:color w:val="000000"/>
                <w:sz w:val="18"/>
                <w:szCs w:val="18"/>
              </w:rPr>
            </w:pPr>
            <w:r>
              <w:rPr>
                <w:noProof/>
                <w:color w:val="000000"/>
                <w:sz w:val="18"/>
                <w:szCs w:val="18"/>
              </w:rPr>
              <w:t>Inaccuracy of the traditional own resources (TOR) amounts transferred to the EU budget</w:t>
            </w:r>
          </w:p>
          <w:p>
            <w:pPr>
              <w:keepNext/>
              <w:spacing w:before="100" w:beforeAutospacing="1" w:afterAutospacing="1" w:line="26" w:lineRule="atLeast"/>
              <w:rPr>
                <w:noProof/>
                <w:color w:val="000000"/>
                <w:sz w:val="18"/>
                <w:szCs w:val="18"/>
              </w:rPr>
            </w:pPr>
          </w:p>
        </w:tc>
        <w:tc>
          <w:tcPr>
            <w:tcW w:w="851" w:type="dxa"/>
          </w:tcPr>
          <w:p>
            <w:pPr>
              <w:keepNext/>
              <w:spacing w:before="100" w:beforeAutospacing="1" w:after="100" w:afterAutospacing="1" w:line="26" w:lineRule="atLeast"/>
              <w:jc w:val="center"/>
              <w:rPr>
                <w:noProof/>
                <w:color w:val="000000"/>
                <w:sz w:val="18"/>
                <w:szCs w:val="18"/>
              </w:rPr>
            </w:pPr>
          </w:p>
          <w:p>
            <w:pPr>
              <w:keepNext/>
              <w:spacing w:before="100" w:beforeAutospacing="1" w:after="100" w:afterAutospacing="1" w:line="26" w:lineRule="atLeast"/>
              <w:jc w:val="center"/>
              <w:rPr>
                <w:noProof/>
                <w:color w:val="000000"/>
                <w:sz w:val="18"/>
                <w:szCs w:val="18"/>
              </w:rPr>
            </w:pPr>
            <w:r>
              <w:rPr>
                <w:noProof/>
                <w:color w:val="000000"/>
                <w:sz w:val="18"/>
                <w:szCs w:val="18"/>
              </w:rPr>
              <w:t>BUDG</w:t>
            </w:r>
          </w:p>
        </w:tc>
        <w:tc>
          <w:tcPr>
            <w:tcW w:w="1275" w:type="dxa"/>
          </w:tcPr>
          <w:p>
            <w:pPr>
              <w:keepNext/>
              <w:spacing w:before="100" w:beforeAutospacing="1" w:afterAutospacing="1" w:line="26" w:lineRule="atLeast"/>
              <w:jc w:val="center"/>
              <w:rPr>
                <w:noProof/>
                <w:color w:val="000000"/>
                <w:sz w:val="18"/>
                <w:szCs w:val="18"/>
              </w:rPr>
            </w:pPr>
            <w:r>
              <w:rPr>
                <w:noProof/>
                <w:color w:val="000000"/>
                <w:sz w:val="18"/>
                <w:szCs w:val="18"/>
              </w:rPr>
              <w:t>2017: Quantified</w:t>
            </w:r>
          </w:p>
          <w:p>
            <w:pPr>
              <w:keepNext/>
              <w:spacing w:before="100" w:beforeAutospacing="1" w:afterAutospacing="1" w:line="26" w:lineRule="atLeast"/>
              <w:jc w:val="center"/>
              <w:rPr>
                <w:b/>
                <w:noProof/>
                <w:color w:val="000000"/>
                <w:sz w:val="18"/>
                <w:szCs w:val="18"/>
              </w:rPr>
            </w:pPr>
            <w:r>
              <w:rPr>
                <w:b/>
                <w:noProof/>
                <w:color w:val="E48C32"/>
                <w:sz w:val="18"/>
                <w:szCs w:val="18"/>
              </w:rPr>
              <w:t>2018: Non-quantified</w:t>
            </w:r>
          </w:p>
        </w:tc>
        <w:tc>
          <w:tcPr>
            <w:tcW w:w="993" w:type="dxa"/>
          </w:tcPr>
          <w:p>
            <w:pPr>
              <w:keepNext/>
              <w:spacing w:before="100" w:beforeAutospacing="1" w:afterAutospacing="1" w:line="26" w:lineRule="atLeast"/>
              <w:jc w:val="right"/>
              <w:rPr>
                <w:noProof/>
                <w:color w:val="000000"/>
                <w:sz w:val="18"/>
                <w:szCs w:val="18"/>
              </w:rPr>
            </w:pPr>
            <w:r>
              <w:rPr>
                <w:noProof/>
                <w:color w:val="000000" w:themeColor="text1"/>
                <w:sz w:val="18"/>
                <w:szCs w:val="18"/>
              </w:rPr>
              <w:t>-</w:t>
            </w:r>
          </w:p>
        </w:tc>
      </w:tr>
    </w:tbl>
    <w:p>
      <w:pPr>
        <w:pStyle w:val="Source-Table-Chart-PhotoCaption"/>
        <w:rPr>
          <w:i/>
          <w:noProof/>
        </w:rPr>
      </w:pPr>
      <w:r>
        <w:rPr>
          <w:i/>
          <w:noProof/>
        </w:rPr>
        <w:t xml:space="preserve">Source: </w:t>
      </w:r>
      <w:r>
        <w:rPr>
          <w:noProof/>
        </w:rPr>
        <w:t>Commission annual activity reports.</w:t>
      </w:r>
    </w:p>
    <w:p>
      <w:pPr>
        <w:pStyle w:val="Title1Annexes"/>
        <w:rPr>
          <w:noProof/>
        </w:rPr>
      </w:pPr>
      <w:bookmarkStart w:id="73" w:name="_Toc6304471"/>
      <w:bookmarkStart w:id="74" w:name="_Toc8386193"/>
      <w:bookmarkStart w:id="75" w:name="_Toc11679102"/>
      <w:bookmarkEnd w:id="63"/>
      <w:bookmarkEnd w:id="64"/>
      <w:bookmarkEnd w:id="65"/>
      <w:bookmarkEnd w:id="66"/>
      <w:r>
        <w:rPr>
          <w:noProof/>
        </w:rPr>
        <w:t xml:space="preserve">Annex 4: </w:t>
      </w:r>
      <w:r>
        <w:rPr>
          <w:noProof/>
        </w:rPr>
        <w:br/>
        <w:t>Multiannual control cycle protects the EU budget</w:t>
      </w:r>
      <w:bookmarkEnd w:id="67"/>
      <w:bookmarkEnd w:id="68"/>
      <w:bookmarkEnd w:id="69"/>
      <w:bookmarkEnd w:id="70"/>
      <w:bookmarkEnd w:id="71"/>
      <w:bookmarkEnd w:id="73"/>
      <w:bookmarkEnd w:id="74"/>
      <w:bookmarkEnd w:id="75"/>
    </w:p>
    <w:p>
      <w:pPr>
        <w:pStyle w:val="BodyText1spaceafter"/>
        <w:rPr>
          <w:color w:val="auto"/>
          <w:szCs w:val="20"/>
        </w:rPr>
      </w:pPr>
      <w:r>
        <w:rPr>
          <w:color w:val="auto"/>
          <w:szCs w:val="20"/>
        </w:rPr>
        <w:t>This annex describes the functioning of the preventive and corrective mechanisms foreseen in EU legislation and the actions taken by the Commission services to protect the EU budget from illegal or irregular expenditure. It also provides a best estimate of the effects these mechanisms generate and indicates how Member States are involved and impacted. The following information focuses primarily on the results of the Commission’s supervisory role, but also provides an insight into the results of Member States’ controls.</w:t>
      </w:r>
    </w:p>
    <w:p>
      <w:pPr>
        <w:pStyle w:val="BodyText1spaceafter"/>
        <w:rPr>
          <w:iCs/>
          <w:color w:val="auto"/>
          <w:szCs w:val="20"/>
        </w:rPr>
      </w:pPr>
      <w:r>
        <w:rPr>
          <w:rStyle w:val="Emphasis"/>
          <w:i w:val="0"/>
        </w:rPr>
        <w:t xml:space="preserve">When implementing the EU budget it is especially important to prevent, or detect and subsequently correct system weaknesses leading to errors, irregularities or fraud. The Commission and — for programmes under shared management — Member State authorities take preventive and corrective measures (i.e. financial corrections and recoveries) as provided </w:t>
      </w:r>
      <w:r>
        <w:rPr>
          <w:rStyle w:val="Emphasis"/>
          <w:i w:val="0"/>
          <w:iCs w:val="0"/>
        </w:rPr>
        <w:t>for</w:t>
      </w:r>
      <w:r>
        <w:rPr>
          <w:rStyle w:val="Emphasis"/>
          <w:i w:val="0"/>
        </w:rPr>
        <w:t xml:space="preserve"> in EU legislation to protect the EU budget from illegal or irregular expenditure — see also subsection</w:t>
      </w:r>
      <w:r>
        <w:rPr>
          <w:rStyle w:val="Emphasis"/>
          <w:rFonts w:ascii="Calibri" w:hAnsi="Calibri" w:cs="Calibri"/>
          <w:i w:val="0"/>
        </w:rPr>
        <w:t> </w:t>
      </w:r>
      <w:r>
        <w:rPr>
          <w:rStyle w:val="Emphasis"/>
          <w:i w:val="0"/>
        </w:rPr>
        <w:t>2 above and Annex</w:t>
      </w:r>
      <w:r>
        <w:rPr>
          <w:rStyle w:val="Emphasis"/>
          <w:rFonts w:ascii="Calibri" w:hAnsi="Calibri" w:cs="Calibri"/>
          <w:i w:val="0"/>
        </w:rPr>
        <w:t> </w:t>
      </w:r>
      <w:r>
        <w:rPr>
          <w:rStyle w:val="Emphasis"/>
          <w:i w:val="0"/>
        </w:rPr>
        <w:t>2.</w:t>
      </w:r>
    </w:p>
    <w:p>
      <w:pPr>
        <w:pStyle w:val="BOX2Orange-new"/>
      </w:pPr>
      <w:r>
        <w:t>The primary objective of financial corrections and recoveries is to ensure that only expenditure in accordance with the legal framework is financed by the EU budget.</w:t>
      </w:r>
    </w:p>
    <w:p>
      <w:pPr>
        <w:pStyle w:val="Annex4-subheading1"/>
        <w:rPr>
          <w:noProof/>
        </w:rPr>
      </w:pPr>
      <w:r>
        <w:rPr>
          <w:noProof/>
        </w:rPr>
        <w:t>Ex ante controls</w:t>
      </w:r>
    </w:p>
    <w:p>
      <w:pPr>
        <w:pStyle w:val="BodyText1spaceafter"/>
        <w:rPr>
          <w:rStyle w:val="Emphasis"/>
          <w:i w:val="0"/>
        </w:rPr>
      </w:pPr>
      <w:r>
        <w:rPr>
          <w:rStyle w:val="Emphasis"/>
          <w:i w:val="0"/>
        </w:rPr>
        <w:t>Prevention is the first line of defence against errors. The Commission’s key preventive mechanisms include interrupting and suspending payments</w:t>
      </w:r>
      <w:r>
        <w:rPr>
          <w:rStyle w:val="Emphasis"/>
          <w:rFonts w:ascii="Calibri" w:hAnsi="Calibri" w:cs="Calibri"/>
          <w:i w:val="0"/>
        </w:rPr>
        <w:t> </w:t>
      </w:r>
      <w:r>
        <w:rPr>
          <w:rStyle w:val="Emphasis"/>
          <w:i w:val="0"/>
        </w:rPr>
        <w:t>(</w:t>
      </w:r>
      <w:r>
        <w:rPr>
          <w:iCs/>
        </w:rPr>
        <w:footnoteReference w:id="29"/>
      </w:r>
      <w:r>
        <w:rPr>
          <w:rStyle w:val="Emphasis"/>
          <w:i w:val="0"/>
        </w:rPr>
        <w:t xml:space="preserve">) as well as carrying out </w:t>
      </w:r>
      <w:r>
        <w:rPr>
          <w:rStyle w:val="Emphasis"/>
        </w:rPr>
        <w:t>ex ante</w:t>
      </w:r>
      <w:r>
        <w:rPr>
          <w:rStyle w:val="Emphasis"/>
          <w:i w:val="0"/>
        </w:rPr>
        <w:t xml:space="preserve"> controls leading to the rejection of ineligible amounts before the Commission accepts expenditure and makes payments. The Commission focuses more and more on such preventive measures with a view to better protecting the EU budget. These also serve as incentives for Member States to reduce irregular payments. </w:t>
      </w:r>
      <w:r>
        <w:rPr>
          <w:rStyle w:val="BOLDORANGEAnnexes"/>
        </w:rPr>
        <w:t>In 2018, the preventive measures confirmed amounted to EUR</w:t>
      </w:r>
      <w:r>
        <w:rPr>
          <w:rStyle w:val="BOLDORANGEAnnexes"/>
          <w:rFonts w:ascii="Calibri" w:hAnsi="Calibri" w:cs="Calibri"/>
        </w:rPr>
        <w:t> </w:t>
      </w:r>
      <w:r>
        <w:rPr>
          <w:rStyle w:val="BOLDORANGEAnnexes"/>
        </w:rPr>
        <w:t>449</w:t>
      </w:r>
      <w:r>
        <w:rPr>
          <w:rStyle w:val="BOLDORANGEAnnexes"/>
          <w:rFonts w:ascii="Calibri" w:hAnsi="Calibri" w:cs="Calibri"/>
        </w:rPr>
        <w:t> </w:t>
      </w:r>
      <w:r>
        <w:rPr>
          <w:rStyle w:val="BOLDORANGEAnnexes"/>
        </w:rPr>
        <w:t>million and the preventive measures implemented amounted to EUR 551</w:t>
      </w:r>
      <w:r>
        <w:rPr>
          <w:rStyle w:val="BOLDORANGEAnnexes"/>
          <w:rFonts w:ascii="Calibri" w:hAnsi="Calibri" w:cs="Calibri"/>
        </w:rPr>
        <w:t> </w:t>
      </w:r>
      <w:r>
        <w:rPr>
          <w:rStyle w:val="BOLDORANGEAnnexes"/>
        </w:rPr>
        <w:t>million</w:t>
      </w:r>
      <w:r>
        <w:rPr>
          <w:rStyle w:val="Emphasis"/>
          <w:i w:val="0"/>
        </w:rPr>
        <w:t xml:space="preserve">. These include </w:t>
      </w:r>
      <w:r>
        <w:rPr>
          <w:rStyle w:val="Emphasis"/>
        </w:rPr>
        <w:t>ex ante</w:t>
      </w:r>
      <w:r>
        <w:rPr>
          <w:rStyle w:val="Emphasis"/>
          <w:i w:val="0"/>
        </w:rPr>
        <w:t xml:space="preserve"> controls such as deductions before payment/acceptance by the Commission, Member State deductions from new expenditure declared to the Commission (‘at source’ deductions) and other </w:t>
      </w:r>
      <w:r>
        <w:rPr>
          <w:rStyle w:val="Emphasis"/>
        </w:rPr>
        <w:t>ex ante</w:t>
      </w:r>
      <w:r>
        <w:rPr>
          <w:rStyle w:val="Emphasis"/>
          <w:i w:val="0"/>
        </w:rPr>
        <w:t xml:space="preserve"> adjustments which, if not performed, would otherwise have led to expenditure being incurred that was not in line with the legal framework.</w:t>
      </w:r>
    </w:p>
    <w:p>
      <w:pPr>
        <w:pStyle w:val="Annex4-subheading1"/>
        <w:rPr>
          <w:noProof/>
        </w:rPr>
      </w:pPr>
      <w:r>
        <w:rPr>
          <w:noProof/>
        </w:rPr>
        <w:t>Ex post controls</w:t>
      </w:r>
    </w:p>
    <w:p>
      <w:pPr>
        <w:pStyle w:val="BodyText"/>
        <w:spacing w:after="240"/>
        <w:jc w:val="both"/>
        <w:rPr>
          <w:rStyle w:val="Emphasis"/>
          <w:i w:val="0"/>
          <w:noProof/>
        </w:rPr>
      </w:pPr>
      <w:r>
        <w:rPr>
          <w:rStyle w:val="Emphasis"/>
          <w:i w:val="0"/>
          <w:noProof/>
        </w:rPr>
        <w:t xml:space="preserve">Where preventive mechanisms are not effective, the Commission, as part of its supervisory role, applies corrective mechanisms. The Commission’s main corrective mechanisms include </w:t>
      </w:r>
      <w:r>
        <w:rPr>
          <w:rStyle w:val="Emphasis"/>
          <w:noProof/>
        </w:rPr>
        <w:t>ex post</w:t>
      </w:r>
      <w:r>
        <w:rPr>
          <w:rStyle w:val="Emphasis"/>
          <w:i w:val="0"/>
          <w:noProof/>
        </w:rPr>
        <w:t xml:space="preserve"> controls on amounts it has accepted and paid out. In shared management, these lead to financial corrections and, in direct and indirect management, they result in recoveries from final recipients. </w:t>
      </w:r>
      <w:r>
        <w:rPr>
          <w:rStyle w:val="BOLDORANGEAnnexes"/>
          <w:rFonts w:eastAsia="Calibri"/>
          <w:noProof/>
          <w:lang w:eastAsia="fr-BE"/>
        </w:rPr>
        <w:t>In 2018, the corrective measures confirmed amounted to EUR</w:t>
      </w:r>
      <w:r>
        <w:rPr>
          <w:rStyle w:val="BOLDORANGEAnnexes"/>
          <w:rFonts w:ascii="Calibri" w:eastAsia="Calibri" w:hAnsi="Calibri" w:cs="Calibri"/>
          <w:noProof/>
          <w:lang w:eastAsia="fr-BE"/>
        </w:rPr>
        <w:t> </w:t>
      </w:r>
      <w:r>
        <w:rPr>
          <w:rStyle w:val="BOLDORANGEAnnexes"/>
          <w:rFonts w:eastAsia="Calibri"/>
          <w:noProof/>
          <w:lang w:eastAsia="fr-BE"/>
        </w:rPr>
        <w:t>1.2</w:t>
      </w:r>
      <w:r>
        <w:rPr>
          <w:rStyle w:val="BOLDORANGEAnnexes"/>
          <w:rFonts w:ascii="Calibri" w:eastAsia="Calibri" w:hAnsi="Calibri" w:cs="Calibri"/>
          <w:noProof/>
          <w:lang w:eastAsia="fr-BE"/>
        </w:rPr>
        <w:t> </w:t>
      </w:r>
      <w:r>
        <w:rPr>
          <w:rStyle w:val="BOLDORANGEAnnexes"/>
          <w:rFonts w:eastAsia="Calibri"/>
          <w:noProof/>
          <w:lang w:eastAsia="fr-BE"/>
        </w:rPr>
        <w:t>billion and the corrective measures implemented amounted to EUR 2.6</w:t>
      </w:r>
      <w:r>
        <w:rPr>
          <w:rStyle w:val="BOLDORANGEAnnexes"/>
          <w:rFonts w:ascii="Calibri" w:eastAsia="Calibri" w:hAnsi="Calibri" w:cs="Calibri"/>
          <w:noProof/>
          <w:lang w:eastAsia="fr-BE"/>
        </w:rPr>
        <w:t> </w:t>
      </w:r>
      <w:r>
        <w:rPr>
          <w:rStyle w:val="BOLDORANGEAnnexes"/>
          <w:rFonts w:eastAsia="Calibri"/>
          <w:noProof/>
          <w:lang w:eastAsia="fr-BE"/>
        </w:rPr>
        <w:t>billion.</w:t>
      </w:r>
      <w:r>
        <w:rPr>
          <w:rStyle w:val="Emphasis"/>
          <w:i w:val="0"/>
          <w:noProof/>
        </w:rPr>
        <w:t xml:space="preserve"> These include the recovery orders issued, the implementation of the results of the </w:t>
      </w:r>
      <w:r>
        <w:rPr>
          <w:rStyle w:val="Emphasis"/>
          <w:noProof/>
        </w:rPr>
        <w:t>ex post</w:t>
      </w:r>
      <w:r>
        <w:rPr>
          <w:rStyle w:val="Emphasis"/>
          <w:i w:val="0"/>
          <w:noProof/>
        </w:rPr>
        <w:t xml:space="preserve"> controls in cost claims and invoices, the financial corrections applied and the replacement of expenditure (‘withdrawals’).</w:t>
      </w:r>
    </w:p>
    <w:p>
      <w:pPr>
        <w:pStyle w:val="Annex4-subheading2"/>
        <w:rPr>
          <w:noProof/>
        </w:rPr>
      </w:pPr>
      <w:r>
        <w:rPr>
          <w:noProof/>
        </w:rPr>
        <w:t>From confirmation to implementation</w:t>
      </w:r>
    </w:p>
    <w:p>
      <w:pPr>
        <w:pStyle w:val="BodyText1"/>
        <w:spacing w:after="240"/>
      </w:pPr>
      <w:r>
        <w:rPr>
          <w:rStyle w:val="Emphasis"/>
          <w:i w:val="0"/>
        </w:rPr>
        <w:t xml:space="preserve">The workflow of preventive and corrective mechanisms applied by the Commission entails two significant steps, the confirmation and the implementation phases. </w:t>
      </w:r>
      <w:r>
        <w:t>F</w:t>
      </w:r>
      <w:r>
        <w:rPr>
          <w:szCs w:val="20"/>
        </w:rPr>
        <w:t xml:space="preserve">or example, a deduction before the acceptance of expenditure is </w:t>
      </w:r>
      <w:r>
        <w:rPr>
          <w:rStyle w:val="BOLDORANGEAnnexes"/>
          <w:rFonts w:eastAsia="Calibri"/>
        </w:rPr>
        <w:t>confirmed</w:t>
      </w:r>
      <w:r>
        <w:rPr>
          <w:szCs w:val="20"/>
        </w:rPr>
        <w:t xml:space="preserve"> as soon as it is decided by the relevant Commission services, while a financial correction is confirmed once it is accepted by the Member State or decided by an official Commission decision. </w:t>
      </w:r>
    </w:p>
    <w:p>
      <w:pPr>
        <w:pStyle w:val="BodyText1spaceafter"/>
        <w:rPr>
          <w:rStyle w:val="Emphasis"/>
          <w:rFonts w:eastAsiaTheme="minorHAnsi"/>
          <w:i w:val="0"/>
          <w:color w:val="auto"/>
          <w:lang w:eastAsia="en-US"/>
        </w:rPr>
      </w:pPr>
      <w:r>
        <w:rPr>
          <w:rStyle w:val="Emphasis"/>
          <w:i w:val="0"/>
        </w:rPr>
        <w:t xml:space="preserve">Some preventive and corrective mechanisms are implemented during the year in which they were confirmed, but in most cases the beneficiary of the spending programme has, based on EU legislation, time to comment or provide additional material on proposed corrections/deductions/rejections. Once such an adversarial process is finalised the Commission needs to recover the amount corresponding to the correction proposed and thus the implementation takes place one or often several years after confirmation. </w:t>
      </w:r>
    </w:p>
    <w:p>
      <w:pPr>
        <w:pStyle w:val="BodyText1spaceafter"/>
        <w:rPr>
          <w:color w:val="auto"/>
          <w:szCs w:val="20"/>
        </w:rPr>
      </w:pPr>
      <w:r>
        <w:rPr>
          <w:rStyle w:val="Emphasis"/>
          <w:i w:val="0"/>
        </w:rPr>
        <w:t xml:space="preserve">A financial correction is considered </w:t>
      </w:r>
      <w:r>
        <w:rPr>
          <w:rStyle w:val="BOLDORANGEAnnexes"/>
        </w:rPr>
        <w:t>implemented</w:t>
      </w:r>
      <w:r>
        <w:rPr>
          <w:rStyle w:val="Emphasis"/>
          <w:i w:val="0"/>
        </w:rPr>
        <w:t xml:space="preserve"> when the correction has been applied and recorded in the Commission accounts, which means the financial transaction was validated by the responsible authorising officer in the following cases: deduction of the financial correction from the amounts declared by the Member State in an interim or final payment claim, a recovery order and/or decommitment </w:t>
      </w:r>
      <w:r>
        <w:rPr>
          <w:rStyle w:val="Emphasis"/>
          <w:i w:val="0"/>
          <w:iCs w:val="0"/>
        </w:rPr>
        <w:t>of the commitment appropriation(s)</w:t>
      </w:r>
      <w:r>
        <w:rPr>
          <w:rStyle w:val="Emphasis"/>
          <w:i w:val="0"/>
        </w:rPr>
        <w:t xml:space="preserve"> corresponding to the financial correction amount</w:t>
      </w:r>
      <w:r>
        <w:rPr>
          <w:rStyle w:val="fnRef"/>
          <w:rFonts w:ascii="Calibri" w:hAnsi="Calibri" w:cs="Calibri"/>
        </w:rPr>
        <w:t> </w:t>
      </w:r>
      <w:r>
        <w:rPr>
          <w:rStyle w:val="fnRef"/>
        </w:rPr>
        <w:t>(</w:t>
      </w:r>
      <w:r>
        <w:rPr>
          <w:rStyle w:val="fnRefNo"/>
        </w:rPr>
        <w:footnoteReference w:id="30"/>
      </w:r>
      <w:r>
        <w:rPr>
          <w:rStyle w:val="fnRef"/>
        </w:rPr>
        <w:t>).</w:t>
      </w:r>
    </w:p>
    <w:p>
      <w:pPr>
        <w:pStyle w:val="Annex4-subheading1"/>
        <w:rPr>
          <w:noProof/>
        </w:rPr>
      </w:pPr>
      <w:r>
        <w:rPr>
          <w:noProof/>
        </w:rPr>
        <w:t>Key considerations for the protection of the EU budget</w:t>
      </w:r>
    </w:p>
    <w:p>
      <w:pPr>
        <w:pStyle w:val="BodyText1spaceafter"/>
        <w:rPr>
          <w:color w:val="auto"/>
          <w:szCs w:val="20"/>
        </w:rPr>
      </w:pPr>
      <w:r>
        <w:rPr>
          <w:color w:val="auto"/>
          <w:szCs w:val="20"/>
        </w:rPr>
        <w:t xml:space="preserve">One important objective of the Commission is to ensure cost-effectiveness when designing and implementing management and control systems which prevent or identify and correct errors. Control strategies should therefore consider a higher level of scrutiny and frequency in riskier areas and ensure cost-effectiveness. </w:t>
      </w:r>
    </w:p>
    <w:p>
      <w:pPr>
        <w:pStyle w:val="BodyText1spaceafter"/>
        <w:rPr>
          <w:color w:val="auto"/>
          <w:szCs w:val="20"/>
        </w:rPr>
      </w:pPr>
      <w:r>
        <w:rPr>
          <w:rStyle w:val="Bodytext21"/>
          <w:rFonts w:ascii="EC Square Sans Pro" w:hAnsi="EC Square Sans Pro"/>
          <w:color w:val="auto"/>
          <w:sz w:val="20"/>
          <w:szCs w:val="20"/>
          <w:lang w:val="en-GB"/>
        </w:rPr>
        <w:t xml:space="preserve">In </w:t>
      </w:r>
      <w:r>
        <w:rPr>
          <w:rStyle w:val="BOLDORANGEAnnexes"/>
        </w:rPr>
        <w:t>2018</w:t>
      </w:r>
      <w:r>
        <w:rPr>
          <w:rStyle w:val="Bodytext2Bold"/>
          <w:rFonts w:ascii="EC Square Sans Pro" w:hAnsi="EC Square Sans Pro"/>
          <w:b w:val="0"/>
          <w:color w:val="auto"/>
          <w:sz w:val="20"/>
          <w:lang w:val="en-GB"/>
        </w:rPr>
        <w:t>,</w:t>
      </w:r>
      <w:r>
        <w:rPr>
          <w:rStyle w:val="Bodytext2Bold"/>
          <w:rFonts w:ascii="EC Square Sans Pro" w:hAnsi="EC Square Sans Pro"/>
          <w:b w:val="0"/>
          <w:color w:val="auto"/>
          <w:sz w:val="20"/>
          <w:szCs w:val="20"/>
          <w:lang w:val="en-GB"/>
        </w:rPr>
        <w:t xml:space="preserve"> the </w:t>
      </w:r>
      <w:r>
        <w:rPr>
          <w:rStyle w:val="Bodytext21"/>
          <w:rFonts w:ascii="EC Square Sans Pro" w:hAnsi="EC Square Sans Pro"/>
          <w:color w:val="auto"/>
          <w:sz w:val="20"/>
          <w:szCs w:val="20"/>
          <w:lang w:val="en-GB"/>
        </w:rPr>
        <w:t xml:space="preserve">financial corrections and recoveries </w:t>
      </w:r>
      <w:r>
        <w:rPr>
          <w:rStyle w:val="BOLDORANGEAnnexes"/>
        </w:rPr>
        <w:t>confirmed</w:t>
      </w:r>
      <w:r>
        <w:rPr>
          <w:rStyle w:val="Bodytext2Bold"/>
          <w:rFonts w:ascii="EC Square Sans Pro" w:hAnsi="EC Square Sans Pro"/>
          <w:b w:val="0"/>
          <w:color w:val="auto"/>
          <w:sz w:val="20"/>
          <w:szCs w:val="20"/>
          <w:lang w:val="en-GB"/>
        </w:rPr>
        <w:t xml:space="preserve"> </w:t>
      </w:r>
      <w:r>
        <w:rPr>
          <w:rStyle w:val="Bodytext21"/>
          <w:rFonts w:ascii="EC Square Sans Pro" w:hAnsi="EC Square Sans Pro"/>
          <w:color w:val="auto"/>
          <w:sz w:val="20"/>
          <w:szCs w:val="20"/>
          <w:lang w:val="en-GB"/>
        </w:rPr>
        <w:t xml:space="preserve">amount to </w:t>
      </w:r>
      <w:r>
        <w:rPr>
          <w:rStyle w:val="BOLDORANGEAnnexes"/>
        </w:rPr>
        <w:t>EUR 1 671</w:t>
      </w:r>
      <w:r>
        <w:rPr>
          <w:rStyle w:val="BOLDORANGEAnnexes"/>
          <w:rFonts w:ascii="Calibri" w:hAnsi="Calibri" w:cs="Calibri"/>
        </w:rPr>
        <w:t> </w:t>
      </w:r>
      <w:r>
        <w:rPr>
          <w:rStyle w:val="BOLDORANGEAnnexes"/>
        </w:rPr>
        <w:t>million</w:t>
      </w:r>
      <w:r>
        <w:rPr>
          <w:rStyle w:val="Bodytext2Bold"/>
          <w:rFonts w:ascii="EC Square Sans Pro" w:hAnsi="EC Square Sans Pro"/>
          <w:b w:val="0"/>
          <w:color w:val="auto"/>
          <w:sz w:val="20"/>
          <w:lang w:val="en-GB"/>
        </w:rPr>
        <w:t>.</w:t>
      </w:r>
      <w:r>
        <w:rPr>
          <w:rStyle w:val="Bodytext2Bold"/>
          <w:rFonts w:ascii="EC Square Sans Pro" w:hAnsi="EC Square Sans Pro"/>
          <w:color w:val="auto"/>
          <w:sz w:val="20"/>
          <w:szCs w:val="20"/>
          <w:lang w:val="en-GB"/>
        </w:rPr>
        <w:t xml:space="preserve"> </w:t>
      </w:r>
      <w:r>
        <w:rPr>
          <w:rStyle w:val="Bodytext21"/>
          <w:rFonts w:ascii="EC Square Sans Pro" w:hAnsi="EC Square Sans Pro"/>
          <w:color w:val="auto"/>
          <w:sz w:val="20"/>
          <w:szCs w:val="20"/>
          <w:lang w:val="en-GB"/>
        </w:rPr>
        <w:t xml:space="preserve">During </w:t>
      </w:r>
      <w:r>
        <w:rPr>
          <w:rStyle w:val="BOLDORANGEAnnexes"/>
        </w:rPr>
        <w:t>the 2012-2018</w:t>
      </w:r>
      <w:r>
        <w:rPr>
          <w:rStyle w:val="Bodytext2Bold"/>
          <w:rFonts w:ascii="EC Square Sans Pro" w:hAnsi="EC Square Sans Pro"/>
          <w:b w:val="0"/>
          <w:color w:val="auto"/>
          <w:sz w:val="20"/>
          <w:szCs w:val="20"/>
          <w:lang w:val="en-GB"/>
        </w:rPr>
        <w:t xml:space="preserve"> </w:t>
      </w:r>
      <w:r>
        <w:rPr>
          <w:rStyle w:val="BOLDORANGEAnnexes"/>
        </w:rPr>
        <w:t xml:space="preserve">period </w:t>
      </w:r>
      <w:r>
        <w:rPr>
          <w:rStyle w:val="Bodytext21"/>
          <w:rFonts w:ascii="EC Square Sans Pro" w:hAnsi="EC Square Sans Pro"/>
          <w:color w:val="auto"/>
          <w:sz w:val="20"/>
          <w:szCs w:val="20"/>
          <w:lang w:val="en-GB"/>
        </w:rPr>
        <w:t xml:space="preserve">the </w:t>
      </w:r>
      <w:r>
        <w:rPr>
          <w:rStyle w:val="BOLDORANGEAnnexes"/>
        </w:rPr>
        <w:t>average amount of confirmed</w:t>
      </w:r>
      <w:r>
        <w:rPr>
          <w:rStyle w:val="Bodytext2Bold"/>
          <w:rFonts w:ascii="EC Square Sans Pro" w:hAnsi="EC Square Sans Pro"/>
          <w:b w:val="0"/>
          <w:color w:val="auto"/>
          <w:sz w:val="20"/>
          <w:szCs w:val="20"/>
          <w:lang w:val="en-GB"/>
        </w:rPr>
        <w:t xml:space="preserve"> </w:t>
      </w:r>
      <w:r>
        <w:rPr>
          <w:rStyle w:val="BOLDORANGEAnnexes"/>
        </w:rPr>
        <w:t>financial corrections and recoveries</w:t>
      </w:r>
      <w:r>
        <w:rPr>
          <w:rStyle w:val="Bodytext2Bold"/>
          <w:rFonts w:ascii="EC Square Sans Pro" w:hAnsi="EC Square Sans Pro"/>
          <w:b w:val="0"/>
          <w:color w:val="auto"/>
          <w:sz w:val="20"/>
          <w:szCs w:val="20"/>
          <w:lang w:val="en-GB"/>
        </w:rPr>
        <w:t xml:space="preserve"> </w:t>
      </w:r>
      <w:r>
        <w:rPr>
          <w:rStyle w:val="Bodytext21"/>
          <w:rFonts w:ascii="EC Square Sans Pro" w:hAnsi="EC Square Sans Pro"/>
          <w:color w:val="auto"/>
          <w:sz w:val="20"/>
          <w:szCs w:val="20"/>
          <w:lang w:val="en-GB"/>
        </w:rPr>
        <w:t xml:space="preserve">was </w:t>
      </w:r>
      <w:r>
        <w:rPr>
          <w:rStyle w:val="BOLDORANGEAnnexes"/>
        </w:rPr>
        <w:t>EUR 3 234</w:t>
      </w:r>
      <w:r>
        <w:rPr>
          <w:rStyle w:val="BOLDORANGEAnnexes"/>
          <w:rFonts w:ascii="Calibri" w:hAnsi="Calibri" w:cs="Calibri"/>
        </w:rPr>
        <w:t> </w:t>
      </w:r>
      <w:r>
        <w:rPr>
          <w:rStyle w:val="BOLDORANGEAnnexes"/>
        </w:rPr>
        <w:t>million,</w:t>
      </w:r>
      <w:r>
        <w:rPr>
          <w:rStyle w:val="Bodytext2Bold"/>
          <w:rFonts w:ascii="EC Square Sans Pro" w:hAnsi="EC Square Sans Pro"/>
          <w:b w:val="0"/>
          <w:color w:val="auto"/>
          <w:sz w:val="20"/>
          <w:szCs w:val="20"/>
          <w:lang w:val="en-GB"/>
        </w:rPr>
        <w:t xml:space="preserve"> </w:t>
      </w:r>
      <w:r>
        <w:rPr>
          <w:rStyle w:val="Bodytext21"/>
          <w:rFonts w:ascii="EC Square Sans Pro" w:hAnsi="EC Square Sans Pro"/>
          <w:color w:val="auto"/>
          <w:sz w:val="20"/>
          <w:szCs w:val="20"/>
          <w:lang w:val="en-GB"/>
        </w:rPr>
        <w:t xml:space="preserve">which </w:t>
      </w:r>
      <w:r>
        <w:rPr>
          <w:rStyle w:val="BOLDORANGEAnnexes"/>
        </w:rPr>
        <w:t>represents 2.3% of the average amount of payments</w:t>
      </w:r>
      <w:r>
        <w:rPr>
          <w:rStyle w:val="Bodytext2Bold"/>
          <w:rFonts w:ascii="EC Square Sans Pro" w:hAnsi="EC Square Sans Pro"/>
          <w:b w:val="0"/>
          <w:color w:val="auto"/>
          <w:sz w:val="20"/>
          <w:szCs w:val="20"/>
          <w:lang w:val="en-GB"/>
        </w:rPr>
        <w:t xml:space="preserve"> </w:t>
      </w:r>
      <w:r>
        <w:rPr>
          <w:rStyle w:val="Bodytext21"/>
          <w:rFonts w:ascii="EC Square Sans Pro" w:hAnsi="EC Square Sans Pro"/>
          <w:color w:val="auto"/>
          <w:sz w:val="20"/>
          <w:szCs w:val="20"/>
          <w:lang w:val="en-GB"/>
        </w:rPr>
        <w:t xml:space="preserve">made from the </w:t>
      </w:r>
      <w:r>
        <w:rPr>
          <w:rStyle w:val="Bodytext21"/>
          <w:rFonts w:ascii="EC Square Sans Pro" w:hAnsi="EC Square Sans Pro"/>
          <w:color w:val="auto"/>
          <w:sz w:val="20"/>
          <w:szCs w:val="20"/>
          <w:lang w:val="en-GB" w:eastAsia="fr-FR" w:bidi="fr-FR"/>
        </w:rPr>
        <w:t xml:space="preserve">EU </w:t>
      </w:r>
      <w:r>
        <w:rPr>
          <w:rStyle w:val="Bodytext21"/>
          <w:rFonts w:ascii="EC Square Sans Pro" w:hAnsi="EC Square Sans Pro"/>
          <w:color w:val="auto"/>
          <w:sz w:val="20"/>
          <w:szCs w:val="20"/>
          <w:lang w:val="en-GB"/>
        </w:rPr>
        <w:t>budget</w:t>
      </w:r>
      <w:r>
        <w:rPr>
          <w:rFonts w:cs="Arial"/>
          <w:color w:val="auto"/>
          <w:szCs w:val="20"/>
        </w:rPr>
        <w:t>. The figures reported confirm the positive results of the</w:t>
      </w:r>
      <w:r>
        <w:rPr>
          <w:color w:val="auto"/>
          <w:szCs w:val="20"/>
        </w:rPr>
        <w:t xml:space="preserve"> multiannual preventive and corrective activities undertaken by the Commission and the Member States by demonstrating that these activities ensure that the EU budget is protected from expenditure in breach of law.</w:t>
      </w:r>
    </w:p>
    <w:p>
      <w:pPr>
        <w:pStyle w:val="BodyText1spaceafter"/>
        <w:rPr>
          <w:color w:val="auto"/>
          <w:szCs w:val="20"/>
        </w:rPr>
      </w:pPr>
      <w:r>
        <w:rPr>
          <w:color w:val="auto"/>
          <w:szCs w:val="20"/>
        </w:rPr>
        <w:t>Under shared management the Member States are primarily responsible for identifying and recovering from beneficiaries any amounts unduly paid. Controls carried out by Member States represent the first layer of control in the activities to protect the EU budget. The Commission can apply preventive measures and/or financial corrections on the basis of irregularities or serious deficiencies identified by Member State authorities on the basis of its own verifications and audits, OLAF investigations or as a result of audits by the European Court of Auditors.</w:t>
      </w:r>
    </w:p>
    <w:p>
      <w:pPr>
        <w:pStyle w:val="BodyText1spaceafter"/>
        <w:rPr>
          <w:color w:val="auto"/>
          <w:szCs w:val="20"/>
        </w:rPr>
      </w:pPr>
      <w:r>
        <w:rPr>
          <w:color w:val="auto"/>
          <w:szCs w:val="20"/>
        </w:rPr>
        <w:t xml:space="preserve">For the </w:t>
      </w:r>
      <w:r>
        <w:rPr>
          <w:rStyle w:val="BOLDORANGEAnnexes"/>
        </w:rPr>
        <w:t>Cohesion Fund</w:t>
      </w:r>
      <w:r>
        <w:rPr>
          <w:color w:val="auto"/>
          <w:szCs w:val="20"/>
        </w:rPr>
        <w:t xml:space="preserve"> and the </w:t>
      </w:r>
      <w:r>
        <w:rPr>
          <w:rStyle w:val="BOLDORANGEAnnexes"/>
        </w:rPr>
        <w:t>European Agricultural Fund for Rural Development</w:t>
      </w:r>
      <w:r>
        <w:rPr>
          <w:rFonts w:eastAsia="Times New Roman"/>
          <w:color w:val="auto"/>
          <w:szCs w:val="20"/>
        </w:rPr>
        <w:t xml:space="preserve"> (EAFRD)</w:t>
      </w:r>
      <w:r>
        <w:rPr>
          <w:color w:val="auto"/>
          <w:szCs w:val="20"/>
        </w:rPr>
        <w:t>, the vast majority of the financial corrections confirmed/implemented in 2018 relate to the 2007-2013 programme period. The corrections confirmed or implemented during the year relate to errors and irregularities detected in 2018 or in previous years. Overall, 96.2% of the total financial corrections decided have been implemented by the end of 2018.</w:t>
      </w:r>
    </w:p>
    <w:p>
      <w:pPr>
        <w:pStyle w:val="Annex4-subheading1"/>
        <w:rPr>
          <w:noProof/>
        </w:rPr>
      </w:pPr>
      <w:bookmarkStart w:id="76" w:name="_Toc479609261"/>
      <w:bookmarkStart w:id="77" w:name="_Toc479611808"/>
      <w:bookmarkStart w:id="78" w:name="_Toc479693356"/>
      <w:bookmarkStart w:id="79" w:name="_Toc479700590"/>
      <w:r>
        <w:rPr>
          <w:noProof/>
        </w:rPr>
        <w:t>Agriculture and rural development</w:t>
      </w:r>
      <w:bookmarkEnd w:id="76"/>
      <w:bookmarkEnd w:id="77"/>
      <w:bookmarkEnd w:id="78"/>
      <w:bookmarkEnd w:id="79"/>
    </w:p>
    <w:p>
      <w:pPr>
        <w:pStyle w:val="BodyText1spaceafter"/>
        <w:rPr>
          <w:color w:val="auto"/>
          <w:szCs w:val="20"/>
        </w:rPr>
      </w:pPr>
      <w:r>
        <w:rPr>
          <w:color w:val="auto"/>
          <w:szCs w:val="20"/>
        </w:rPr>
        <w:t xml:space="preserve">For the </w:t>
      </w:r>
      <w:r>
        <w:rPr>
          <w:rStyle w:val="BOLDORANGEAnnexes"/>
        </w:rPr>
        <w:t>European Agricultural Guarantee Fund</w:t>
      </w:r>
      <w:r>
        <w:rPr>
          <w:rFonts w:eastAsia="Times New Roman"/>
          <w:color w:val="auto"/>
          <w:szCs w:val="20"/>
        </w:rPr>
        <w:t xml:space="preserve"> (EAGF)</w:t>
      </w:r>
      <w:r>
        <w:rPr>
          <w:color w:val="auto"/>
          <w:szCs w:val="20"/>
        </w:rPr>
        <w:t>, the average correction rate for Commission financial corrections under conformity clearance of accounts for the period 1999 to end 2018 was 1.7% of expenditure (all of which are net financial corrections).</w:t>
      </w:r>
    </w:p>
    <w:p>
      <w:pPr>
        <w:pStyle w:val="BodyText1spaceafter"/>
        <w:rPr>
          <w:color w:val="auto"/>
          <w:szCs w:val="20"/>
        </w:rPr>
      </w:pPr>
      <w:r>
        <w:rPr>
          <w:color w:val="auto"/>
          <w:szCs w:val="20"/>
        </w:rPr>
        <w:t>Net corrections leading to a reimbursement to the EU budget are characteristic for agriculture and rural development (European Agricultural Guarantee Fund and European Agricultural Fund for Rural Development). In 2018 the main corrections related notably to specific deficiencies in the Integrated Administration and Control System (IACS) in some Member States and insufficient checks of the reasonableness of costs for investment measures and application of the public procurement rules under rural development, to negligence in the management of recoveries and other debts, and to deficiencies in the control system for pre-recognition of producer organisations and operational programmes for fruit and vegetables.</w:t>
      </w:r>
    </w:p>
    <w:p>
      <w:pPr>
        <w:pStyle w:val="BodyText1spaceafter"/>
        <w:rPr>
          <w:color w:val="auto"/>
          <w:szCs w:val="20"/>
        </w:rPr>
      </w:pPr>
      <w:r>
        <w:rPr>
          <w:color w:val="auto"/>
          <w:szCs w:val="20"/>
        </w:rPr>
        <w:t>The Commission applies a number of available preventive instruments such as the interruption, suspension and reduction of EU financing with a view to better protecting the EU budget and giving incentives to Member States to reduce irregular payments. In 2018, the Commission has issued common agricultural policy-related decisions for interruptions of EUR</w:t>
      </w:r>
      <w:r>
        <w:rPr>
          <w:rStyle w:val="Bodytext2Bold"/>
          <w:rFonts w:ascii="Calibri" w:hAnsi="Calibri" w:cs="Calibri"/>
          <w:b w:val="0"/>
          <w:color w:val="auto"/>
          <w:sz w:val="20"/>
          <w:szCs w:val="20"/>
          <w:lang w:val="en-GB"/>
        </w:rPr>
        <w:t> </w:t>
      </w:r>
      <w:r>
        <w:rPr>
          <w:color w:val="auto"/>
          <w:szCs w:val="20"/>
        </w:rPr>
        <w:t>11</w:t>
      </w:r>
      <w:r>
        <w:rPr>
          <w:rFonts w:ascii="Calibri" w:hAnsi="Calibri" w:cs="Calibri"/>
          <w:color w:val="auto"/>
          <w:szCs w:val="20"/>
        </w:rPr>
        <w:t> </w:t>
      </w:r>
      <w:r>
        <w:rPr>
          <w:color w:val="auto"/>
          <w:szCs w:val="20"/>
        </w:rPr>
        <w:t>million, for the reduction of payments of EUR</w:t>
      </w:r>
      <w:r>
        <w:rPr>
          <w:rStyle w:val="Bodytext2Bold"/>
          <w:rFonts w:ascii="Calibri" w:hAnsi="Calibri" w:cs="Calibri"/>
          <w:b w:val="0"/>
          <w:color w:val="auto"/>
          <w:sz w:val="20"/>
          <w:szCs w:val="20"/>
          <w:lang w:val="en-GB"/>
        </w:rPr>
        <w:t> </w:t>
      </w:r>
      <w:r>
        <w:rPr>
          <w:color w:val="auto"/>
          <w:szCs w:val="20"/>
        </w:rPr>
        <w:t>58</w:t>
      </w:r>
      <w:r>
        <w:rPr>
          <w:rFonts w:ascii="Calibri" w:hAnsi="Calibri" w:cs="Calibri"/>
          <w:color w:val="auto"/>
          <w:szCs w:val="20"/>
        </w:rPr>
        <w:t> </w:t>
      </w:r>
      <w:r>
        <w:rPr>
          <w:color w:val="auto"/>
          <w:szCs w:val="20"/>
        </w:rPr>
        <w:t>million, and for suspensions of EUR</w:t>
      </w:r>
      <w:r>
        <w:rPr>
          <w:rStyle w:val="Bodytext2Bold"/>
          <w:rFonts w:ascii="Calibri" w:hAnsi="Calibri" w:cs="Calibri"/>
          <w:b w:val="0"/>
          <w:color w:val="auto"/>
          <w:sz w:val="20"/>
          <w:szCs w:val="20"/>
          <w:lang w:val="en-GB"/>
        </w:rPr>
        <w:t> </w:t>
      </w:r>
      <w:r>
        <w:rPr>
          <w:color w:val="auto"/>
          <w:szCs w:val="20"/>
        </w:rPr>
        <w:t>11</w:t>
      </w:r>
      <w:r>
        <w:rPr>
          <w:rFonts w:ascii="Calibri" w:hAnsi="Calibri" w:cs="Calibri"/>
          <w:color w:val="auto"/>
          <w:szCs w:val="20"/>
        </w:rPr>
        <w:t> </w:t>
      </w:r>
      <w:r>
        <w:rPr>
          <w:color w:val="auto"/>
          <w:szCs w:val="20"/>
        </w:rPr>
        <w:t>million.</w:t>
      </w:r>
    </w:p>
    <w:p>
      <w:pPr>
        <w:pStyle w:val="BodyText1spaceafter"/>
        <w:rPr>
          <w:color w:val="auto"/>
          <w:szCs w:val="20"/>
        </w:rPr>
      </w:pPr>
      <w:r>
        <w:rPr>
          <w:color w:val="auto"/>
          <w:szCs w:val="20"/>
        </w:rPr>
        <w:t xml:space="preserve">As regards the </w:t>
      </w:r>
      <w:r>
        <w:rPr>
          <w:rStyle w:val="BOLDORANGEAnnexes"/>
        </w:rPr>
        <w:t xml:space="preserve">European Agricultural Guarantee Fund </w:t>
      </w:r>
      <w:r>
        <w:rPr>
          <w:rFonts w:eastAsia="Times New Roman"/>
          <w:color w:val="auto"/>
          <w:szCs w:val="20"/>
        </w:rPr>
        <w:t>(EAGF)</w:t>
      </w:r>
      <w:r>
        <w:rPr>
          <w:color w:val="auto"/>
          <w:szCs w:val="20"/>
        </w:rPr>
        <w:t>, Member States where IACS, including the Land Parcel Identification Systems, does not reach the necessary quality level are required to put in place appropriate action plans while facing the risk of financing suspensions should the action plan not be properly implemented.</w:t>
      </w:r>
    </w:p>
    <w:p>
      <w:pPr>
        <w:pStyle w:val="BodyText1spaceafter"/>
        <w:rPr>
          <w:color w:val="auto"/>
          <w:szCs w:val="20"/>
        </w:rPr>
      </w:pPr>
      <w:r>
        <w:rPr>
          <w:color w:val="auto"/>
          <w:szCs w:val="20"/>
        </w:rPr>
        <w:t xml:space="preserve">For the </w:t>
      </w:r>
      <w:r>
        <w:rPr>
          <w:rStyle w:val="BOLDORANGEAnnexes"/>
        </w:rPr>
        <w:t xml:space="preserve">European Agricultural Fund for Rural Development </w:t>
      </w:r>
      <w:r>
        <w:rPr>
          <w:color w:val="auto"/>
          <w:szCs w:val="20"/>
        </w:rPr>
        <w:t xml:space="preserve">(EAFRD), the Commission interrupts payments in case of problems and has also recourse to suspensions and reductions. </w:t>
      </w:r>
    </w:p>
    <w:p>
      <w:pPr>
        <w:pStyle w:val="BodyText1spaceafter"/>
        <w:rPr>
          <w:color w:val="auto"/>
          <w:szCs w:val="20"/>
        </w:rPr>
      </w:pPr>
      <w:r>
        <w:rPr>
          <w:color w:val="auto"/>
          <w:szCs w:val="20"/>
        </w:rPr>
        <w:t>In general, the Commission has launched an ambitious simplification process intended to reduce complexity and administrative burden which has already and will continue to contribute to bringing the risk of error further down.</w:t>
      </w:r>
    </w:p>
    <w:p>
      <w:pPr>
        <w:pStyle w:val="BodyText1spaceafter"/>
        <w:rPr>
          <w:color w:val="auto"/>
          <w:szCs w:val="20"/>
        </w:rPr>
      </w:pPr>
      <w:r>
        <w:rPr>
          <w:color w:val="auto"/>
          <w:szCs w:val="20"/>
        </w:rPr>
        <w:t>In addition to the financial corrections, Member States’ own reductions before payments to beneficiaries amounted to EUR</w:t>
      </w:r>
      <w:r>
        <w:rPr>
          <w:rStyle w:val="Bodytext2Bold"/>
          <w:rFonts w:ascii="Calibri" w:hAnsi="Calibri" w:cs="Calibri"/>
          <w:b w:val="0"/>
          <w:color w:val="auto"/>
          <w:sz w:val="20"/>
          <w:szCs w:val="20"/>
          <w:lang w:val="en-GB"/>
        </w:rPr>
        <w:t> </w:t>
      </w:r>
      <w:r>
        <w:rPr>
          <w:color w:val="auto"/>
          <w:szCs w:val="20"/>
        </w:rPr>
        <w:t>521</w:t>
      </w:r>
      <w:r>
        <w:rPr>
          <w:rStyle w:val="Bodytext2Bold"/>
          <w:rFonts w:ascii="Calibri" w:hAnsi="Calibri" w:cs="Calibri"/>
          <w:b w:val="0"/>
          <w:color w:val="auto"/>
          <w:sz w:val="20"/>
          <w:szCs w:val="20"/>
          <w:lang w:val="en-GB"/>
        </w:rPr>
        <w:t> </w:t>
      </w:r>
      <w:r>
        <w:rPr>
          <w:color w:val="auto"/>
          <w:szCs w:val="20"/>
        </w:rPr>
        <w:t>million at the end of the 2018 financial year.</w:t>
      </w:r>
    </w:p>
    <w:p>
      <w:pPr>
        <w:pStyle w:val="Annex4-subheading1"/>
        <w:rPr>
          <w:noProof/>
        </w:rPr>
      </w:pPr>
      <w:bookmarkStart w:id="80" w:name="_Toc479609262"/>
      <w:bookmarkStart w:id="81" w:name="_Toc479611809"/>
      <w:bookmarkStart w:id="82" w:name="_Toc479693357"/>
      <w:bookmarkStart w:id="83" w:name="_Toc479700591"/>
      <w:bookmarkStart w:id="84" w:name="_Toc480559529"/>
      <w:bookmarkStart w:id="85" w:name="_Toc480559699"/>
      <w:bookmarkStart w:id="86" w:name="_Toc480559979"/>
      <w:bookmarkStart w:id="87" w:name="_Toc480799697"/>
      <w:bookmarkStart w:id="88" w:name="_Toc480969171"/>
      <w:bookmarkStart w:id="89" w:name="_Toc480971010"/>
      <w:bookmarkStart w:id="90" w:name="_Toc480975093"/>
      <w:bookmarkStart w:id="91" w:name="_Toc480975262"/>
      <w:bookmarkStart w:id="92" w:name="_Toc480983323"/>
      <w:r>
        <w:rPr>
          <w:noProof/>
        </w:rPr>
        <w:t>Cohesion</w:t>
      </w:r>
      <w:bookmarkEnd w:id="80"/>
      <w:bookmarkEnd w:id="81"/>
      <w:bookmarkEnd w:id="82"/>
      <w:bookmarkEnd w:id="83"/>
      <w:bookmarkEnd w:id="84"/>
      <w:bookmarkEnd w:id="85"/>
      <w:bookmarkEnd w:id="86"/>
      <w:bookmarkEnd w:id="87"/>
      <w:bookmarkEnd w:id="88"/>
      <w:bookmarkEnd w:id="89"/>
      <w:bookmarkEnd w:id="90"/>
      <w:bookmarkEnd w:id="91"/>
      <w:bookmarkEnd w:id="92"/>
    </w:p>
    <w:p>
      <w:pPr>
        <w:pStyle w:val="BodyText1spaceafter"/>
        <w:rPr>
          <w:szCs w:val="20"/>
        </w:rPr>
      </w:pPr>
      <w:r>
        <w:rPr>
          <w:szCs w:val="20"/>
        </w:rPr>
        <w:t xml:space="preserve">As regards the 2007-2013 funds of the </w:t>
      </w:r>
      <w:r>
        <w:rPr>
          <w:rStyle w:val="BOLDORANGEAnnexes"/>
        </w:rPr>
        <w:t>European Regional Development Fund</w:t>
      </w:r>
      <w:r>
        <w:rPr>
          <w:szCs w:val="20"/>
        </w:rPr>
        <w:t xml:space="preserve"> (ERDF), </w:t>
      </w:r>
      <w:r>
        <w:rPr>
          <w:rStyle w:val="BOLDORANGEAnnexes"/>
        </w:rPr>
        <w:t>Cohesion Fund</w:t>
      </w:r>
      <w:r>
        <w:rPr>
          <w:szCs w:val="20"/>
        </w:rPr>
        <w:t xml:space="preserve"> (CF) and </w:t>
      </w:r>
      <w:r>
        <w:rPr>
          <w:rStyle w:val="BOLDORANGEAnnexes"/>
        </w:rPr>
        <w:t>European Social Fund</w:t>
      </w:r>
      <w:r>
        <w:rPr>
          <w:szCs w:val="20"/>
        </w:rPr>
        <w:t xml:space="preserve"> (ESF), at the end of 2018 the combined rate of financial corrections, based on Commission supervision work only, was 2.0% of the allocations made. </w:t>
      </w:r>
    </w:p>
    <w:p>
      <w:pPr>
        <w:pStyle w:val="BodyText1spaceafter"/>
        <w:rPr>
          <w:szCs w:val="20"/>
        </w:rPr>
      </w:pPr>
      <w:r>
        <w:rPr>
          <w:szCs w:val="20"/>
        </w:rPr>
        <w:t>For cohesion policy, net corrections are rather the exception, due to the different legal framework and budget management type (reinforced preventive mechanism). Where the Commission identifies individual irregularities (including the ones of systemic nature) or serious deficiencies in the Member State management and control systems, it can apply financial corrections with the purpose of restoring a situation where all or part of the expenditure declared for co-financing from the European Regional Development Fund, Cohesion Fund or European Social Fund</w:t>
      </w:r>
      <w:r>
        <w:rPr>
          <w:b/>
          <w:bCs/>
          <w:szCs w:val="20"/>
        </w:rPr>
        <w:t xml:space="preserve"> </w:t>
      </w:r>
      <w:r>
        <w:rPr>
          <w:szCs w:val="20"/>
        </w:rPr>
        <w:t>and reimbursed by the Commission is in line with the applicable rules.</w:t>
      </w:r>
    </w:p>
    <w:p>
      <w:pPr>
        <w:pStyle w:val="BodyText1spaceafter"/>
        <w:rPr>
          <w:szCs w:val="20"/>
        </w:rPr>
      </w:pPr>
      <w:r>
        <w:rPr>
          <w:szCs w:val="20"/>
        </w:rPr>
        <w:t xml:space="preserve">During the </w:t>
      </w:r>
      <w:r>
        <w:rPr>
          <w:rStyle w:val="BOLDORANGEAnnexes"/>
        </w:rPr>
        <w:t>2000-2006</w:t>
      </w:r>
      <w:r>
        <w:rPr>
          <w:szCs w:val="20"/>
        </w:rPr>
        <w:t xml:space="preserve"> and </w:t>
      </w:r>
      <w:r>
        <w:rPr>
          <w:rStyle w:val="BOLDORANGEAnnexes"/>
        </w:rPr>
        <w:t>2007-2013 programming periods</w:t>
      </w:r>
      <w:r>
        <w:rPr>
          <w:szCs w:val="20"/>
        </w:rPr>
        <w:t xml:space="preserve">, Member States were able to replace irregular expenditure with new expenditure if they took the necessary corrective actions and applied the related financial correction. If the Member State did not have such additional expenditure to declare, the financial correction resulted in a net correction (loss of EU assistance). In contrast, a Commission financial correction decision always had a direct and net impact on the Member State: it had to pay the amount back and its envelope was reduced (i.e. the Member State could spend less money throughout the programme period). For European Social Fund, under an ongoing closure process there are still 28 programmes to be fully closed for the 2000-2006 programming period with outstanding ongoing pending recoveries and administrative and judicial proceedings at the Member State level, mainly for Germany and Italy. The closure is in progress for 31 programmes for the 2007-2013 programming period and appears to be faster than the closure of the 2000-2006 programming period. </w:t>
      </w:r>
    </w:p>
    <w:p>
      <w:pPr>
        <w:pStyle w:val="BodyText1spaceafter"/>
        <w:rPr>
          <w:szCs w:val="20"/>
        </w:rPr>
      </w:pPr>
      <w:r>
        <w:rPr>
          <w:szCs w:val="20"/>
        </w:rPr>
        <w:t>The European Court of Auditors assessed the effectiveness of the preventive and corrective measures taken by the Commission in the cohesion policy for the 2007-2013 period</w:t>
      </w:r>
      <w:r>
        <w:rPr>
          <w:rFonts w:ascii="Calibri" w:hAnsi="Calibri" w:cs="Calibri"/>
          <w:szCs w:val="20"/>
        </w:rPr>
        <w:t> </w:t>
      </w:r>
      <w:r>
        <w:rPr>
          <w:szCs w:val="20"/>
        </w:rPr>
        <w:t>(</w:t>
      </w:r>
      <w:r>
        <w:rPr>
          <w:szCs w:val="20"/>
          <w:vertAlign w:val="superscript"/>
        </w:rPr>
        <w:footnoteReference w:id="31"/>
      </w:r>
      <w:r>
        <w:rPr>
          <w:szCs w:val="20"/>
        </w:rPr>
        <w:t>) and concluded that, overall, the Commission had made effective use of the measures at its disposal to protect the EU budget from irregular expenditure and that the Commission’s corrective measures put pressure on Member States to address weaknesses in their management and control systems.</w:t>
      </w:r>
    </w:p>
    <w:p>
      <w:pPr>
        <w:pStyle w:val="BodyText1spaceafter"/>
        <w:rPr>
          <w:szCs w:val="20"/>
        </w:rPr>
      </w:pPr>
      <w:r>
        <w:rPr>
          <w:szCs w:val="20"/>
        </w:rPr>
        <w:t xml:space="preserve">The regulatory provisions for the </w:t>
      </w:r>
      <w:r>
        <w:rPr>
          <w:rStyle w:val="BOLDORANGEAnnexes"/>
        </w:rPr>
        <w:t>2014-2020 programming period</w:t>
      </w:r>
      <w:r>
        <w:rPr>
          <w:szCs w:val="20"/>
        </w:rPr>
        <w:t xml:space="preserve"> significantly strengthen the Commission’s position on protecting the EU budget from irregular expenditure. </w:t>
      </w:r>
    </w:p>
    <w:p>
      <w:pPr>
        <w:pStyle w:val="BodyText1spaceafter"/>
        <w:rPr>
          <w:szCs w:val="20"/>
        </w:rPr>
      </w:pPr>
      <w:r>
        <w:rPr>
          <w:szCs w:val="20"/>
        </w:rPr>
        <w:t>This is mainly due to the set-up of the new assurance model for the 2014-2020 programming period, which reduces the risk of having a material level of error in the accounts submitted on a yearly basis. In fact, the new legal framework foresees an increased accountability for programme managing authorities which have to apply sound management verifications on time for the submission of programme accounts each year. During the accounting year the Commission retains 10% of each interim payment until the finalisation of the national control cycle. Member States have the opportunity to correct the declared expenditure during the accounting year by withdrawing the irregular expenditure and replacing it with the new regular one. In addition, financial corrections in the accounts as preventive or corrective measures provides more assurance.</w:t>
      </w:r>
    </w:p>
    <w:p>
      <w:pPr>
        <w:pStyle w:val="BodyText1spaceafter"/>
        <w:rPr>
          <w:szCs w:val="20"/>
        </w:rPr>
      </w:pPr>
      <w:r>
        <w:rPr>
          <w:szCs w:val="20"/>
        </w:rPr>
        <w:t>The timely identification of deficiencies in the functioning of the management and control system and in the reporting of reliable error rates is in the Member States’ best interest, since the Commission shall make net financial corrections in case Member States have not appropriately addressed them before submitting annual accounts to the Commission.</w:t>
      </w:r>
    </w:p>
    <w:p>
      <w:pPr>
        <w:pStyle w:val="BodyText1spaceafter"/>
        <w:rPr>
          <w:szCs w:val="20"/>
        </w:rPr>
      </w:pPr>
      <w:r>
        <w:rPr>
          <w:szCs w:val="20"/>
        </w:rPr>
        <w:t>For the period 2014-2020, the Member States have applied themselves in 2018 financial corrections totalling EUR</w:t>
      </w:r>
      <w:r>
        <w:rPr>
          <w:rStyle w:val="Bodytext2Bold"/>
          <w:rFonts w:ascii="Calibri" w:hAnsi="Calibri" w:cs="Calibri"/>
          <w:b w:val="0"/>
          <w:color w:val="auto"/>
          <w:sz w:val="20"/>
          <w:szCs w:val="20"/>
          <w:lang w:val="en-GB"/>
        </w:rPr>
        <w:t> </w:t>
      </w:r>
      <w:r>
        <w:rPr>
          <w:szCs w:val="20"/>
        </w:rPr>
        <w:t>163</w:t>
      </w:r>
      <w:r>
        <w:rPr>
          <w:rFonts w:ascii="Arial" w:hAnsi="Arial" w:cs="Arial"/>
          <w:szCs w:val="20"/>
        </w:rPr>
        <w:t> </w:t>
      </w:r>
      <w:r>
        <w:rPr>
          <w:szCs w:val="20"/>
        </w:rPr>
        <w:t xml:space="preserve">million for the </w:t>
      </w:r>
      <w:r>
        <w:rPr>
          <w:rStyle w:val="BOLDORANGEAnnexes"/>
        </w:rPr>
        <w:t>European Regional Development Fund/Cohesion Fund</w:t>
      </w:r>
      <w:r>
        <w:rPr>
          <w:szCs w:val="20"/>
        </w:rPr>
        <w:t xml:space="preserve">, while the financial corrections imposed for the </w:t>
      </w:r>
      <w:r>
        <w:rPr>
          <w:rStyle w:val="BOLDORANGEAnnexes"/>
        </w:rPr>
        <w:t xml:space="preserve">European Social Fund/youth employment initiative </w:t>
      </w:r>
      <w:r>
        <w:rPr>
          <w:rStyle w:val="BOLDORANGEAnnexes"/>
          <w:b w:val="0"/>
          <w:color w:val="auto"/>
        </w:rPr>
        <w:t xml:space="preserve">and the </w:t>
      </w:r>
      <w:r>
        <w:rPr>
          <w:rStyle w:val="BOLDORANGEAnnexes"/>
        </w:rPr>
        <w:t>Fund for European Aid to the Most Deprived</w:t>
      </w:r>
      <w:r>
        <w:rPr>
          <w:szCs w:val="20"/>
        </w:rPr>
        <w:t xml:space="preserve"> amounted to EUR</w:t>
      </w:r>
      <w:r>
        <w:rPr>
          <w:rStyle w:val="Bodytext2Bold"/>
          <w:rFonts w:ascii="Calibri" w:hAnsi="Calibri" w:cs="Calibri"/>
          <w:b w:val="0"/>
          <w:color w:val="auto"/>
          <w:sz w:val="20"/>
          <w:szCs w:val="20"/>
          <w:lang w:val="en-GB"/>
        </w:rPr>
        <w:t> </w:t>
      </w:r>
      <w:r>
        <w:rPr>
          <w:szCs w:val="20"/>
        </w:rPr>
        <w:t>147</w:t>
      </w:r>
      <w:r>
        <w:rPr>
          <w:rStyle w:val="Bodytext2Bold"/>
          <w:rFonts w:ascii="Calibri" w:hAnsi="Calibri" w:cs="Calibri"/>
          <w:b w:val="0"/>
          <w:color w:val="auto"/>
          <w:sz w:val="20"/>
          <w:szCs w:val="20"/>
          <w:lang w:val="en-GB"/>
        </w:rPr>
        <w:t> </w:t>
      </w:r>
      <w:r>
        <w:rPr>
          <w:szCs w:val="20"/>
        </w:rPr>
        <w:t xml:space="preserve">million. </w:t>
      </w:r>
    </w:p>
    <w:p>
      <w:pPr>
        <w:pStyle w:val="BodyText1spaceafter"/>
      </w:pPr>
      <w:r>
        <w:t>In addition, Member States have deducted from the accounts significant amounts which were under ongoing assessment of legality and regularity.</w:t>
      </w:r>
    </w:p>
    <w:p>
      <w:pPr>
        <w:pStyle w:val="Annex4-subheading1"/>
        <w:rPr>
          <w:noProof/>
        </w:rPr>
      </w:pPr>
      <w:bookmarkStart w:id="93" w:name="_Toc479609263"/>
      <w:bookmarkStart w:id="94" w:name="_Toc479611810"/>
      <w:bookmarkStart w:id="95" w:name="_Toc479693358"/>
      <w:bookmarkStart w:id="96" w:name="_Toc479700592"/>
      <w:bookmarkStart w:id="97" w:name="_Toc480559530"/>
      <w:bookmarkStart w:id="98" w:name="_Toc480559700"/>
      <w:bookmarkStart w:id="99" w:name="_Toc480559980"/>
      <w:bookmarkStart w:id="100" w:name="_Toc480799698"/>
      <w:bookmarkStart w:id="101" w:name="_Toc480969172"/>
      <w:bookmarkStart w:id="102" w:name="_Toc480971011"/>
      <w:bookmarkStart w:id="103" w:name="_Toc480975094"/>
      <w:bookmarkStart w:id="104" w:name="_Toc480975263"/>
      <w:bookmarkStart w:id="105" w:name="_Toc480983324"/>
      <w:r>
        <w:rPr>
          <w:noProof/>
        </w:rPr>
        <w:t>Direct and indirect management</w:t>
      </w:r>
      <w:bookmarkEnd w:id="93"/>
      <w:bookmarkEnd w:id="94"/>
      <w:bookmarkEnd w:id="95"/>
      <w:bookmarkEnd w:id="96"/>
      <w:bookmarkEnd w:id="97"/>
      <w:bookmarkEnd w:id="98"/>
      <w:bookmarkEnd w:id="99"/>
      <w:bookmarkEnd w:id="100"/>
      <w:bookmarkEnd w:id="101"/>
      <w:bookmarkEnd w:id="102"/>
      <w:bookmarkEnd w:id="103"/>
      <w:bookmarkEnd w:id="104"/>
      <w:bookmarkEnd w:id="105"/>
    </w:p>
    <w:p>
      <w:pPr>
        <w:pStyle w:val="BodyText1spaceafter"/>
      </w:pPr>
      <w:r>
        <w:t xml:space="preserve">The Commission has established a control framework in direct and indirect management which focuses on </w:t>
      </w:r>
      <w:r>
        <w:rPr>
          <w:i/>
        </w:rPr>
        <w:t>ex</w:t>
      </w:r>
      <w:r>
        <w:rPr>
          <w:rFonts w:ascii="Calibri" w:hAnsi="Calibri"/>
          <w:i/>
        </w:rPr>
        <w:t> </w:t>
      </w:r>
      <w:r>
        <w:rPr>
          <w:i/>
        </w:rPr>
        <w:t>ante</w:t>
      </w:r>
      <w:r>
        <w:t xml:space="preserve"> checks on payments, in-depth </w:t>
      </w:r>
      <w:r>
        <w:rPr>
          <w:i/>
        </w:rPr>
        <w:t>ex</w:t>
      </w:r>
      <w:r>
        <w:rPr>
          <w:rFonts w:ascii="Calibri" w:hAnsi="Calibri"/>
          <w:i/>
        </w:rPr>
        <w:t> </w:t>
      </w:r>
      <w:r>
        <w:rPr>
          <w:i/>
        </w:rPr>
        <w:t>post</w:t>
      </w:r>
      <w:r>
        <w:t xml:space="preserve"> checks carried out at the beneficiaries’ premises after costs have been incurred and declared, and verification missions to international organisations. Net corrections leading to a reimbursement to the EU budget are characteristic for direct and indirect management.</w:t>
      </w:r>
    </w:p>
    <w:p>
      <w:pPr>
        <w:pStyle w:val="BodyText1spaceafter"/>
      </w:pPr>
      <w:r>
        <w:t>Specific control frameworks are put in place for spending under direct and indirect management primarily covering the grant management process, because this addresses existing risks.</w:t>
      </w:r>
    </w:p>
    <w:p>
      <w:pPr>
        <w:pStyle w:val="Annex4-H2"/>
      </w:pPr>
      <w:bookmarkStart w:id="106" w:name="_Toc484626480"/>
      <w:bookmarkStart w:id="107" w:name="_Toc512866522"/>
      <w:bookmarkStart w:id="108" w:name="_Toc8386194"/>
      <w:r>
        <w:t>1.</w:t>
      </w:r>
      <w:r>
        <w:tab/>
        <w:t>Financial corrections and recoveries at end 201</w:t>
      </w:r>
      <w:bookmarkEnd w:id="106"/>
      <w:r>
        <w:t>8</w:t>
      </w:r>
      <w:bookmarkEnd w:id="107"/>
      <w:bookmarkEnd w:id="108"/>
    </w:p>
    <w:p>
      <w:pPr>
        <w:pStyle w:val="Annex4-H3"/>
        <w:rPr>
          <w:color w:val="FF0000"/>
        </w:rPr>
      </w:pPr>
      <w:bookmarkStart w:id="109" w:name="_Toc456258161"/>
      <w:bookmarkStart w:id="110" w:name="_Toc456686569"/>
      <w:bookmarkStart w:id="111" w:name="_Toc484626481"/>
      <w:bookmarkStart w:id="112" w:name="_Toc512866523"/>
      <w:bookmarkStart w:id="113" w:name="_Toc8386195"/>
      <w:r>
        <w:t>1.1.</w:t>
      </w:r>
      <w:r>
        <w:tab/>
        <w:t>Financial corrections and recoveries overview for</w:t>
      </w:r>
      <w:bookmarkEnd w:id="109"/>
      <w:bookmarkEnd w:id="110"/>
      <w:bookmarkEnd w:id="111"/>
      <w:bookmarkEnd w:id="112"/>
      <w:r>
        <w:t xml:space="preserve"> 2018</w:t>
      </w:r>
      <w:bookmarkEnd w:id="113"/>
      <w:r>
        <w:rPr>
          <w:color w:val="FF0000"/>
        </w:rPr>
        <w:t xml:space="preserve"> </w:t>
      </w:r>
    </w:p>
    <w:p>
      <w:pPr>
        <w:pStyle w:val="BodyText1spaceafter"/>
        <w:spacing w:after="0"/>
        <w:rPr>
          <w:color w:val="auto"/>
          <w:szCs w:val="20"/>
        </w:rPr>
      </w:pPr>
      <w:r>
        <w:rPr>
          <w:rStyle w:val="Emphasis"/>
          <w:i w:val="0"/>
        </w:rPr>
        <w:t>The table below provides a complete picture (including one-off measures) of all the preventive and corrective measures confirmed and implemented during 2018 to protect the EU budget — EUR</w:t>
      </w:r>
      <w:r>
        <w:rPr>
          <w:rStyle w:val="Emphasis"/>
          <w:rFonts w:ascii="Calibri" w:hAnsi="Calibri" w:cs="Calibri"/>
          <w:i w:val="0"/>
        </w:rPr>
        <w:t> </w:t>
      </w:r>
      <w:r>
        <w:rPr>
          <w:rStyle w:val="Emphasis"/>
          <w:i w:val="0"/>
        </w:rPr>
        <w:t>1.7</w:t>
      </w:r>
      <w:r>
        <w:rPr>
          <w:rStyle w:val="Emphasis"/>
          <w:rFonts w:ascii="Calibri" w:hAnsi="Calibri" w:cs="Calibri"/>
          <w:i w:val="0"/>
        </w:rPr>
        <w:t> </w:t>
      </w:r>
      <w:r>
        <w:rPr>
          <w:rStyle w:val="Emphasis"/>
          <w:i w:val="0"/>
        </w:rPr>
        <w:t>billion confirmed and EUR</w:t>
      </w:r>
      <w:r>
        <w:rPr>
          <w:rStyle w:val="Emphasis"/>
          <w:rFonts w:ascii="Calibri" w:hAnsi="Calibri" w:cs="Calibri"/>
          <w:i w:val="0"/>
        </w:rPr>
        <w:t> </w:t>
      </w:r>
      <w:r>
        <w:rPr>
          <w:rStyle w:val="Emphasis"/>
          <w:i w:val="0"/>
        </w:rPr>
        <w:t>3.2</w:t>
      </w:r>
      <w:r>
        <w:rPr>
          <w:rStyle w:val="Emphasis"/>
          <w:rFonts w:ascii="Calibri" w:hAnsi="Calibri" w:cs="Calibri"/>
          <w:i w:val="0"/>
        </w:rPr>
        <w:t> </w:t>
      </w:r>
      <w:r>
        <w:rPr>
          <w:rStyle w:val="Emphasis"/>
          <w:i w:val="0"/>
        </w:rPr>
        <w:t>billion implemented. These amounts cover preventive actions and corrective actions made during 2018, irrespective of the year in which the initial expenditure was made.</w:t>
      </w:r>
    </w:p>
    <w:tbl>
      <w:tblPr>
        <w:tblW w:w="9781" w:type="dxa"/>
        <w:tblInd w:w="108" w:type="dxa"/>
        <w:tblLayout w:type="fixed"/>
        <w:tblLook w:val="04A0" w:firstRow="1" w:lastRow="0" w:firstColumn="1" w:lastColumn="0" w:noHBand="0" w:noVBand="1"/>
      </w:tblPr>
      <w:tblGrid>
        <w:gridCol w:w="2552"/>
        <w:gridCol w:w="803"/>
        <w:gridCol w:w="803"/>
        <w:gridCol w:w="803"/>
        <w:gridCol w:w="803"/>
        <w:gridCol w:w="804"/>
        <w:gridCol w:w="803"/>
        <w:gridCol w:w="803"/>
        <w:gridCol w:w="803"/>
        <w:gridCol w:w="804"/>
      </w:tblGrid>
      <w:tr>
        <w:trPr>
          <w:trHeight w:val="300"/>
        </w:trPr>
        <w:tc>
          <w:tcPr>
            <w:tcW w:w="2552" w:type="dxa"/>
            <w:tcBorders>
              <w:top w:val="single" w:sz="8" w:space="0" w:color="auto"/>
              <w:left w:val="single" w:sz="8" w:space="0" w:color="auto"/>
              <w:bottom w:val="single" w:sz="8" w:space="0" w:color="000000"/>
              <w:right w:val="single" w:sz="8" w:space="0" w:color="auto"/>
            </w:tcBorders>
            <w:shd w:val="clear" w:color="auto" w:fill="E48C32"/>
            <w:noWrap/>
            <w:tcMar>
              <w:left w:w="57" w:type="dxa"/>
              <w:right w:w="57" w:type="dxa"/>
            </w:tcMar>
            <w:vAlign w:val="center"/>
            <w:hideMark/>
          </w:tcPr>
          <w:p>
            <w:pPr>
              <w:keepNext/>
              <w:jc w:val="center"/>
              <w:rPr>
                <w:rFonts w:cs="Arial"/>
                <w:b/>
                <w:noProof/>
                <w:color w:val="FFFFFF"/>
                <w:sz w:val="13"/>
              </w:rPr>
            </w:pPr>
            <w:r>
              <w:rPr>
                <w:rFonts w:cs="Arial"/>
                <w:b/>
                <w:noProof/>
                <w:color w:val="FFFFFF"/>
                <w:sz w:val="13"/>
              </w:rPr>
              <w:t xml:space="preserve">Heading </w:t>
            </w:r>
          </w:p>
          <w:p>
            <w:pPr>
              <w:keepNext/>
              <w:jc w:val="center"/>
              <w:rPr>
                <w:rFonts w:cs="Arial"/>
                <w:b/>
                <w:noProof/>
                <w:color w:val="FFFFFF"/>
                <w:sz w:val="13"/>
              </w:rPr>
            </w:pPr>
            <w:r>
              <w:rPr>
                <w:rFonts w:cs="Arial"/>
                <w:b/>
                <w:noProof/>
                <w:color w:val="FFFFFF"/>
                <w:sz w:val="13"/>
              </w:rPr>
              <w:t>multi-annual financial framework</w:t>
            </w:r>
          </w:p>
        </w:tc>
        <w:tc>
          <w:tcPr>
            <w:tcW w:w="803" w:type="dxa"/>
            <w:tcBorders>
              <w:top w:val="single" w:sz="8" w:space="0" w:color="auto"/>
              <w:left w:val="single" w:sz="8" w:space="0" w:color="auto"/>
              <w:bottom w:val="single" w:sz="8" w:space="0" w:color="000000"/>
              <w:right w:val="single" w:sz="8" w:space="0" w:color="auto"/>
            </w:tcBorders>
            <w:shd w:val="clear" w:color="auto" w:fill="E48C32"/>
            <w:tcMar>
              <w:left w:w="57" w:type="dxa"/>
              <w:right w:w="57" w:type="dxa"/>
            </w:tcMar>
            <w:vAlign w:val="center"/>
            <w:hideMark/>
          </w:tcPr>
          <w:p>
            <w:pPr>
              <w:keepNext/>
              <w:jc w:val="center"/>
              <w:rPr>
                <w:b/>
                <w:noProof/>
                <w:color w:val="FFFFFF"/>
                <w:sz w:val="12"/>
              </w:rPr>
            </w:pPr>
            <w:r>
              <w:rPr>
                <w:b/>
                <w:noProof/>
                <w:color w:val="FFFFFF"/>
                <w:sz w:val="12"/>
              </w:rPr>
              <w:t xml:space="preserve">Total EU budget payments in </w:t>
            </w:r>
            <w:r>
              <w:rPr>
                <w:rFonts w:cs="Arial"/>
                <w:b/>
                <w:noProof/>
                <w:color w:val="FFFFFF"/>
                <w:sz w:val="12"/>
                <w:szCs w:val="12"/>
              </w:rPr>
              <w:t>2018</w:t>
            </w:r>
          </w:p>
        </w:tc>
        <w:tc>
          <w:tcPr>
            <w:tcW w:w="803" w:type="dxa"/>
            <w:tcBorders>
              <w:top w:val="single" w:sz="8" w:space="0" w:color="auto"/>
              <w:left w:val="single" w:sz="8" w:space="0" w:color="auto"/>
              <w:bottom w:val="single" w:sz="8" w:space="0" w:color="000000"/>
              <w:right w:val="single" w:sz="4" w:space="0" w:color="auto"/>
            </w:tcBorders>
            <w:shd w:val="clear" w:color="auto" w:fill="E48C32"/>
            <w:tcMar>
              <w:left w:w="57" w:type="dxa"/>
              <w:right w:w="57" w:type="dxa"/>
            </w:tcMar>
            <w:vAlign w:val="center"/>
            <w:hideMark/>
          </w:tcPr>
          <w:p>
            <w:pPr>
              <w:keepNext/>
              <w:jc w:val="center"/>
              <w:rPr>
                <w:b/>
                <w:noProof/>
                <w:color w:val="FFFFFF"/>
                <w:sz w:val="12"/>
              </w:rPr>
            </w:pPr>
            <w:r>
              <w:rPr>
                <w:b/>
                <w:noProof/>
                <w:color w:val="FFFFFF"/>
                <w:sz w:val="12"/>
              </w:rPr>
              <w:t xml:space="preserve">Total financial corrections </w:t>
            </w:r>
            <w:r>
              <w:rPr>
                <w:b/>
                <w:noProof/>
                <w:color w:val="FFFFFF"/>
                <w:sz w:val="12"/>
                <w:u w:val="single"/>
              </w:rPr>
              <w:t>confirmed</w:t>
            </w:r>
            <w:r>
              <w:rPr>
                <w:b/>
                <w:noProof/>
                <w:color w:val="FFFFFF"/>
                <w:sz w:val="12"/>
              </w:rPr>
              <w:t xml:space="preserve"> in </w:t>
            </w:r>
            <w:r>
              <w:rPr>
                <w:rFonts w:cs="Arial"/>
                <w:b/>
                <w:noProof/>
                <w:color w:val="FFFFFF"/>
                <w:sz w:val="12"/>
                <w:szCs w:val="12"/>
              </w:rPr>
              <w:t>2018</w:t>
            </w:r>
          </w:p>
        </w:tc>
        <w:tc>
          <w:tcPr>
            <w:tcW w:w="803" w:type="dxa"/>
            <w:tcBorders>
              <w:top w:val="single" w:sz="8" w:space="0" w:color="auto"/>
              <w:left w:val="single" w:sz="4" w:space="0" w:color="auto"/>
              <w:bottom w:val="single" w:sz="8" w:space="0" w:color="000000"/>
              <w:right w:val="single" w:sz="4" w:space="0" w:color="auto"/>
            </w:tcBorders>
            <w:shd w:val="clear" w:color="auto" w:fill="E48C32"/>
            <w:tcMar>
              <w:left w:w="57" w:type="dxa"/>
              <w:right w:w="57" w:type="dxa"/>
            </w:tcMar>
            <w:vAlign w:val="center"/>
            <w:hideMark/>
          </w:tcPr>
          <w:p>
            <w:pPr>
              <w:keepNext/>
              <w:jc w:val="center"/>
              <w:rPr>
                <w:b/>
                <w:noProof/>
                <w:color w:val="FFFFFF"/>
                <w:sz w:val="12"/>
              </w:rPr>
            </w:pPr>
            <w:r>
              <w:rPr>
                <w:b/>
                <w:noProof/>
                <w:color w:val="FFFFFF"/>
                <w:sz w:val="12"/>
              </w:rPr>
              <w:t xml:space="preserve">Total recoveries </w:t>
            </w:r>
            <w:r>
              <w:rPr>
                <w:b/>
                <w:noProof/>
                <w:color w:val="FFFFFF"/>
                <w:sz w:val="12"/>
                <w:u w:val="single"/>
              </w:rPr>
              <w:t>confirmed</w:t>
            </w:r>
            <w:r>
              <w:rPr>
                <w:b/>
                <w:noProof/>
                <w:color w:val="FFFFFF"/>
                <w:sz w:val="12"/>
              </w:rPr>
              <w:t xml:space="preserve"> in </w:t>
            </w:r>
            <w:r>
              <w:rPr>
                <w:rFonts w:cs="Arial"/>
                <w:b/>
                <w:noProof/>
                <w:color w:val="FFFFFF"/>
                <w:sz w:val="12"/>
                <w:szCs w:val="12"/>
              </w:rPr>
              <w:t>2018</w:t>
            </w:r>
          </w:p>
        </w:tc>
        <w:tc>
          <w:tcPr>
            <w:tcW w:w="803" w:type="dxa"/>
            <w:tcBorders>
              <w:top w:val="single" w:sz="8" w:space="0" w:color="auto"/>
              <w:left w:val="single" w:sz="4" w:space="0" w:color="auto"/>
              <w:bottom w:val="single" w:sz="8" w:space="0" w:color="000000"/>
              <w:right w:val="single" w:sz="4" w:space="0" w:color="auto"/>
            </w:tcBorders>
            <w:shd w:val="clear" w:color="auto" w:fill="E48C32"/>
            <w:tcMar>
              <w:left w:w="57" w:type="dxa"/>
              <w:right w:w="57" w:type="dxa"/>
            </w:tcMar>
            <w:vAlign w:val="center"/>
            <w:hideMark/>
          </w:tcPr>
          <w:p>
            <w:pPr>
              <w:keepNext/>
              <w:jc w:val="center"/>
              <w:rPr>
                <w:b/>
                <w:noProof/>
                <w:color w:val="FFFFFF"/>
                <w:sz w:val="12"/>
              </w:rPr>
            </w:pPr>
            <w:r>
              <w:rPr>
                <w:b/>
                <w:noProof/>
                <w:color w:val="FFFFFF"/>
                <w:sz w:val="12"/>
              </w:rPr>
              <w:t xml:space="preserve">Total financial corrections and recoveries </w:t>
            </w:r>
            <w:r>
              <w:rPr>
                <w:b/>
                <w:noProof/>
                <w:color w:val="FFFFFF"/>
                <w:sz w:val="12"/>
                <w:u w:val="single"/>
              </w:rPr>
              <w:t>confirmed</w:t>
            </w:r>
            <w:r>
              <w:rPr>
                <w:b/>
                <w:noProof/>
                <w:color w:val="FFFFFF"/>
                <w:sz w:val="12"/>
              </w:rPr>
              <w:t xml:space="preserve"> in </w:t>
            </w:r>
            <w:r>
              <w:rPr>
                <w:rFonts w:cs="Arial"/>
                <w:b/>
                <w:noProof/>
                <w:color w:val="FFFFFF"/>
                <w:sz w:val="12"/>
                <w:szCs w:val="12"/>
              </w:rPr>
              <w:t>2018</w:t>
            </w:r>
          </w:p>
        </w:tc>
        <w:tc>
          <w:tcPr>
            <w:tcW w:w="804" w:type="dxa"/>
            <w:tcBorders>
              <w:top w:val="single" w:sz="8" w:space="0" w:color="auto"/>
              <w:left w:val="single" w:sz="4" w:space="0" w:color="auto"/>
              <w:bottom w:val="single" w:sz="8" w:space="0" w:color="000000"/>
              <w:right w:val="single" w:sz="8" w:space="0" w:color="auto"/>
            </w:tcBorders>
            <w:shd w:val="clear" w:color="auto" w:fill="E48C32"/>
            <w:tcMar>
              <w:left w:w="57" w:type="dxa"/>
              <w:right w:w="57" w:type="dxa"/>
            </w:tcMar>
            <w:vAlign w:val="center"/>
            <w:hideMark/>
          </w:tcPr>
          <w:p>
            <w:pPr>
              <w:keepNext/>
              <w:jc w:val="center"/>
              <w:rPr>
                <w:b/>
                <w:noProof/>
                <w:color w:val="FFFFFF"/>
                <w:sz w:val="12"/>
              </w:rPr>
            </w:pPr>
            <w:r>
              <w:rPr>
                <w:b/>
                <w:noProof/>
                <w:color w:val="FFFFFF"/>
                <w:sz w:val="12"/>
              </w:rPr>
              <w:t>% of payments of the EU budget</w:t>
            </w:r>
          </w:p>
        </w:tc>
        <w:tc>
          <w:tcPr>
            <w:tcW w:w="803" w:type="dxa"/>
            <w:tcBorders>
              <w:top w:val="single" w:sz="8" w:space="0" w:color="auto"/>
              <w:left w:val="nil"/>
              <w:bottom w:val="single" w:sz="8" w:space="0" w:color="000000"/>
              <w:right w:val="single" w:sz="4" w:space="0" w:color="auto"/>
            </w:tcBorders>
            <w:shd w:val="clear" w:color="auto" w:fill="E48C32"/>
            <w:tcMar>
              <w:left w:w="57" w:type="dxa"/>
              <w:right w:w="57" w:type="dxa"/>
            </w:tcMar>
            <w:vAlign w:val="center"/>
            <w:hideMark/>
          </w:tcPr>
          <w:p>
            <w:pPr>
              <w:keepNext/>
              <w:jc w:val="center"/>
              <w:rPr>
                <w:b/>
                <w:noProof/>
                <w:color w:val="FFFFFF"/>
                <w:sz w:val="12"/>
              </w:rPr>
            </w:pPr>
            <w:r>
              <w:rPr>
                <w:b/>
                <w:noProof/>
                <w:color w:val="FFFFFF"/>
                <w:sz w:val="12"/>
              </w:rPr>
              <w:t xml:space="preserve">Total financial corrections </w:t>
            </w:r>
            <w:r>
              <w:rPr>
                <w:b/>
                <w:noProof/>
                <w:color w:val="FFFFFF"/>
                <w:sz w:val="12"/>
                <w:u w:val="single"/>
              </w:rPr>
              <w:t>implemented</w:t>
            </w:r>
            <w:r>
              <w:rPr>
                <w:b/>
                <w:noProof/>
                <w:color w:val="FFFFFF"/>
                <w:sz w:val="12"/>
              </w:rPr>
              <w:t xml:space="preserve"> in </w:t>
            </w:r>
            <w:r>
              <w:rPr>
                <w:rFonts w:cs="Arial"/>
                <w:b/>
                <w:noProof/>
                <w:color w:val="FFFFFF"/>
                <w:sz w:val="12"/>
                <w:szCs w:val="12"/>
              </w:rPr>
              <w:t>2018</w:t>
            </w:r>
          </w:p>
        </w:tc>
        <w:tc>
          <w:tcPr>
            <w:tcW w:w="803" w:type="dxa"/>
            <w:tcBorders>
              <w:top w:val="single" w:sz="8" w:space="0" w:color="auto"/>
              <w:left w:val="single" w:sz="4" w:space="0" w:color="auto"/>
              <w:bottom w:val="single" w:sz="8" w:space="0" w:color="000000"/>
              <w:right w:val="single" w:sz="4" w:space="0" w:color="auto"/>
            </w:tcBorders>
            <w:shd w:val="clear" w:color="auto" w:fill="E48C32"/>
            <w:tcMar>
              <w:left w:w="57" w:type="dxa"/>
              <w:right w:w="57" w:type="dxa"/>
            </w:tcMar>
            <w:vAlign w:val="center"/>
            <w:hideMark/>
          </w:tcPr>
          <w:p>
            <w:pPr>
              <w:keepNext/>
              <w:jc w:val="center"/>
              <w:rPr>
                <w:b/>
                <w:noProof/>
                <w:color w:val="FFFFFF"/>
                <w:sz w:val="12"/>
              </w:rPr>
            </w:pPr>
            <w:r>
              <w:rPr>
                <w:b/>
                <w:noProof/>
                <w:color w:val="FFFFFF"/>
                <w:sz w:val="12"/>
              </w:rPr>
              <w:t xml:space="preserve">Total recoveries </w:t>
            </w:r>
            <w:r>
              <w:rPr>
                <w:b/>
                <w:noProof/>
                <w:color w:val="FFFFFF"/>
                <w:sz w:val="12"/>
                <w:u w:val="single"/>
              </w:rPr>
              <w:t>implemented</w:t>
            </w:r>
            <w:r>
              <w:rPr>
                <w:b/>
                <w:noProof/>
                <w:color w:val="FFFFFF"/>
                <w:sz w:val="12"/>
              </w:rPr>
              <w:t xml:space="preserve"> in </w:t>
            </w:r>
            <w:r>
              <w:rPr>
                <w:rFonts w:cs="Arial"/>
                <w:b/>
                <w:noProof/>
                <w:color w:val="FFFFFF"/>
                <w:sz w:val="12"/>
                <w:szCs w:val="12"/>
              </w:rPr>
              <w:t>2018</w:t>
            </w:r>
          </w:p>
        </w:tc>
        <w:tc>
          <w:tcPr>
            <w:tcW w:w="803" w:type="dxa"/>
            <w:tcBorders>
              <w:top w:val="single" w:sz="8" w:space="0" w:color="auto"/>
              <w:left w:val="single" w:sz="4" w:space="0" w:color="auto"/>
              <w:bottom w:val="single" w:sz="8" w:space="0" w:color="000000"/>
              <w:right w:val="single" w:sz="4" w:space="0" w:color="auto"/>
            </w:tcBorders>
            <w:shd w:val="clear" w:color="auto" w:fill="E48C32"/>
            <w:tcMar>
              <w:left w:w="57" w:type="dxa"/>
              <w:right w:w="57" w:type="dxa"/>
            </w:tcMar>
            <w:vAlign w:val="center"/>
            <w:hideMark/>
          </w:tcPr>
          <w:p>
            <w:pPr>
              <w:keepNext/>
              <w:jc w:val="center"/>
              <w:rPr>
                <w:b/>
                <w:noProof/>
                <w:color w:val="FFFFFF"/>
                <w:sz w:val="12"/>
              </w:rPr>
            </w:pPr>
            <w:r>
              <w:rPr>
                <w:b/>
                <w:noProof/>
                <w:color w:val="FFFFFF"/>
                <w:sz w:val="12"/>
              </w:rPr>
              <w:t xml:space="preserve">Total financial corrections and recoveries </w:t>
            </w:r>
            <w:r>
              <w:rPr>
                <w:b/>
                <w:noProof/>
                <w:color w:val="FFFFFF"/>
                <w:sz w:val="12"/>
                <w:u w:val="single"/>
              </w:rPr>
              <w:t>implemented</w:t>
            </w:r>
            <w:r>
              <w:rPr>
                <w:b/>
                <w:noProof/>
                <w:color w:val="FFFFFF"/>
                <w:sz w:val="12"/>
              </w:rPr>
              <w:t xml:space="preserve"> in </w:t>
            </w:r>
            <w:r>
              <w:rPr>
                <w:rFonts w:cs="Arial"/>
                <w:b/>
                <w:noProof/>
                <w:color w:val="FFFFFF"/>
                <w:sz w:val="12"/>
                <w:szCs w:val="12"/>
              </w:rPr>
              <w:t>2018</w:t>
            </w:r>
          </w:p>
        </w:tc>
        <w:tc>
          <w:tcPr>
            <w:tcW w:w="804" w:type="dxa"/>
            <w:tcBorders>
              <w:top w:val="single" w:sz="8" w:space="0" w:color="auto"/>
              <w:left w:val="single" w:sz="4" w:space="0" w:color="auto"/>
              <w:bottom w:val="single" w:sz="8" w:space="0" w:color="000000"/>
              <w:right w:val="single" w:sz="8" w:space="0" w:color="auto"/>
            </w:tcBorders>
            <w:shd w:val="clear" w:color="auto" w:fill="E48C32"/>
            <w:tcMar>
              <w:left w:w="57" w:type="dxa"/>
              <w:right w:w="57" w:type="dxa"/>
            </w:tcMar>
            <w:vAlign w:val="center"/>
            <w:hideMark/>
          </w:tcPr>
          <w:p>
            <w:pPr>
              <w:keepNext/>
              <w:jc w:val="center"/>
              <w:rPr>
                <w:b/>
                <w:noProof/>
                <w:color w:val="FFFFFF"/>
                <w:sz w:val="12"/>
              </w:rPr>
            </w:pPr>
            <w:r>
              <w:rPr>
                <w:b/>
                <w:noProof/>
                <w:color w:val="FFFFFF"/>
                <w:sz w:val="12"/>
              </w:rPr>
              <w:t>% of payments of the EU budget</w:t>
            </w:r>
          </w:p>
        </w:tc>
      </w:tr>
      <w:tr>
        <w:trPr>
          <w:trHeight w:val="404"/>
        </w:trPr>
        <w:tc>
          <w:tcPr>
            <w:tcW w:w="2552" w:type="dxa"/>
            <w:tcBorders>
              <w:top w:val="nil"/>
              <w:left w:val="single" w:sz="8" w:space="0" w:color="auto"/>
              <w:bottom w:val="single" w:sz="4" w:space="0" w:color="auto"/>
              <w:right w:val="single" w:sz="8" w:space="0" w:color="auto"/>
            </w:tcBorders>
            <w:shd w:val="clear" w:color="000000" w:fill="D9D9D9"/>
            <w:vAlign w:val="center"/>
            <w:hideMark/>
          </w:tcPr>
          <w:p>
            <w:pPr>
              <w:keepNext/>
              <w:rPr>
                <w:rFonts w:cs="Arial"/>
                <w:b/>
                <w:i/>
                <w:noProof/>
                <w:color w:val="000000"/>
                <w:sz w:val="14"/>
              </w:rPr>
            </w:pPr>
            <w:r>
              <w:rPr>
                <w:rFonts w:cs="Arial"/>
                <w:b/>
                <w:i/>
                <w:noProof/>
                <w:color w:val="000000"/>
                <w:sz w:val="14"/>
              </w:rPr>
              <w:t>Smart and inclusive growth</w:t>
            </w:r>
          </w:p>
        </w:tc>
        <w:tc>
          <w:tcPr>
            <w:tcW w:w="803" w:type="dxa"/>
            <w:tcBorders>
              <w:top w:val="nil"/>
              <w:left w:val="nil"/>
              <w:bottom w:val="single" w:sz="4" w:space="0" w:color="auto"/>
              <w:right w:val="single" w:sz="8" w:space="0" w:color="auto"/>
            </w:tcBorders>
            <w:shd w:val="clear" w:color="000000" w:fill="D9D9D9"/>
            <w:hideMark/>
          </w:tcPr>
          <w:p>
            <w:pPr>
              <w:keepNext/>
              <w:jc w:val="right"/>
              <w:rPr>
                <w:rFonts w:cs="Arial"/>
                <w:b/>
                <w:i/>
                <w:noProof/>
                <w:sz w:val="14"/>
              </w:rPr>
            </w:pPr>
            <w:r>
              <w:rPr>
                <w:rFonts w:cs="Verdana"/>
                <w:b/>
                <w:bCs/>
                <w:i/>
                <w:iCs/>
                <w:noProof/>
                <w:sz w:val="14"/>
                <w:szCs w:val="16"/>
              </w:rPr>
              <w:t>75</w:t>
            </w:r>
            <w:r>
              <w:rPr>
                <w:rFonts w:ascii="Calibri" w:hAnsi="Calibri" w:cs="Calibri"/>
                <w:b/>
                <w:bCs/>
                <w:i/>
                <w:iCs/>
                <w:noProof/>
                <w:sz w:val="14"/>
                <w:szCs w:val="16"/>
              </w:rPr>
              <w:t> </w:t>
            </w:r>
            <w:r>
              <w:rPr>
                <w:rFonts w:cs="Verdana"/>
                <w:b/>
                <w:bCs/>
                <w:i/>
                <w:iCs/>
                <w:noProof/>
                <w:sz w:val="14"/>
                <w:szCs w:val="16"/>
              </w:rPr>
              <w:t>876</w:t>
            </w:r>
          </w:p>
        </w:tc>
        <w:tc>
          <w:tcPr>
            <w:tcW w:w="803" w:type="dxa"/>
            <w:tcBorders>
              <w:top w:val="nil"/>
              <w:left w:val="single" w:sz="8" w:space="0" w:color="auto"/>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411</w:t>
            </w:r>
          </w:p>
        </w:tc>
        <w:tc>
          <w:tcPr>
            <w:tcW w:w="803" w:type="dxa"/>
            <w:tcBorders>
              <w:top w:val="nil"/>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210</w:t>
            </w:r>
          </w:p>
        </w:tc>
        <w:tc>
          <w:tcPr>
            <w:tcW w:w="803" w:type="dxa"/>
            <w:tcBorders>
              <w:top w:val="nil"/>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620</w:t>
            </w:r>
          </w:p>
        </w:tc>
        <w:tc>
          <w:tcPr>
            <w:tcW w:w="804" w:type="dxa"/>
            <w:tcBorders>
              <w:top w:val="nil"/>
              <w:left w:val="nil"/>
              <w:bottom w:val="single" w:sz="4" w:space="0" w:color="auto"/>
              <w:right w:val="single" w:sz="8" w:space="0" w:color="auto"/>
            </w:tcBorders>
            <w:shd w:val="clear" w:color="000000" w:fill="D9D9D9"/>
            <w:hideMark/>
          </w:tcPr>
          <w:p>
            <w:pPr>
              <w:keepNext/>
              <w:jc w:val="right"/>
              <w:rPr>
                <w:rFonts w:eastAsia="Calibri" w:cs="Arial"/>
                <w:b/>
                <w:i/>
                <w:noProof/>
                <w:sz w:val="14"/>
              </w:rPr>
            </w:pPr>
            <w:r>
              <w:rPr>
                <w:rFonts w:cs="Verdana"/>
                <w:b/>
                <w:bCs/>
                <w:i/>
                <w:iCs/>
                <w:noProof/>
                <w:sz w:val="14"/>
                <w:szCs w:val="16"/>
              </w:rPr>
              <w:t>0.8</w:t>
            </w:r>
          </w:p>
        </w:tc>
        <w:tc>
          <w:tcPr>
            <w:tcW w:w="803" w:type="dxa"/>
            <w:tcBorders>
              <w:top w:val="nil"/>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1</w:t>
            </w:r>
            <w:r>
              <w:rPr>
                <w:rFonts w:ascii="Calibri" w:hAnsi="Calibri" w:cs="Calibri"/>
                <w:b/>
                <w:bCs/>
                <w:i/>
                <w:iCs/>
                <w:noProof/>
                <w:sz w:val="14"/>
                <w:szCs w:val="16"/>
              </w:rPr>
              <w:t> </w:t>
            </w:r>
            <w:r>
              <w:rPr>
                <w:rFonts w:cs="Verdana"/>
                <w:b/>
                <w:bCs/>
                <w:i/>
                <w:iCs/>
                <w:noProof/>
                <w:sz w:val="14"/>
                <w:szCs w:val="16"/>
              </w:rPr>
              <w:t>067</w:t>
            </w:r>
          </w:p>
        </w:tc>
        <w:tc>
          <w:tcPr>
            <w:tcW w:w="803" w:type="dxa"/>
            <w:tcBorders>
              <w:top w:val="nil"/>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206</w:t>
            </w:r>
          </w:p>
        </w:tc>
        <w:tc>
          <w:tcPr>
            <w:tcW w:w="803" w:type="dxa"/>
            <w:tcBorders>
              <w:top w:val="nil"/>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1</w:t>
            </w:r>
            <w:r>
              <w:rPr>
                <w:rFonts w:ascii="Calibri" w:hAnsi="Calibri" w:cs="Calibri"/>
                <w:b/>
                <w:bCs/>
                <w:i/>
                <w:iCs/>
                <w:noProof/>
                <w:sz w:val="14"/>
                <w:szCs w:val="16"/>
              </w:rPr>
              <w:t> </w:t>
            </w:r>
            <w:r>
              <w:rPr>
                <w:rFonts w:cs="Verdana"/>
                <w:b/>
                <w:bCs/>
                <w:i/>
                <w:iCs/>
                <w:noProof/>
                <w:sz w:val="14"/>
                <w:szCs w:val="16"/>
              </w:rPr>
              <w:t>273</w:t>
            </w:r>
          </w:p>
        </w:tc>
        <w:tc>
          <w:tcPr>
            <w:tcW w:w="804" w:type="dxa"/>
            <w:tcBorders>
              <w:top w:val="nil"/>
              <w:left w:val="nil"/>
              <w:bottom w:val="single" w:sz="4" w:space="0" w:color="auto"/>
              <w:right w:val="single" w:sz="8" w:space="0" w:color="auto"/>
            </w:tcBorders>
            <w:shd w:val="clear" w:color="000000" w:fill="D9D9D9"/>
            <w:hideMark/>
          </w:tcPr>
          <w:p>
            <w:pPr>
              <w:keepNext/>
              <w:jc w:val="right"/>
              <w:rPr>
                <w:rFonts w:eastAsia="Calibri" w:cs="Arial"/>
                <w:b/>
                <w:i/>
                <w:noProof/>
                <w:sz w:val="14"/>
              </w:rPr>
            </w:pPr>
            <w:r>
              <w:rPr>
                <w:rFonts w:cs="Verdana"/>
                <w:b/>
                <w:bCs/>
                <w:i/>
                <w:iCs/>
                <w:noProof/>
                <w:sz w:val="14"/>
                <w:szCs w:val="16"/>
              </w:rPr>
              <w:t>1.7</w:t>
            </w:r>
          </w:p>
        </w:tc>
      </w:tr>
      <w:tr>
        <w:trPr>
          <w:trHeight w:val="227"/>
        </w:trPr>
        <w:tc>
          <w:tcPr>
            <w:tcW w:w="2552" w:type="dxa"/>
            <w:tcBorders>
              <w:top w:val="nil"/>
              <w:left w:val="single" w:sz="8" w:space="0" w:color="auto"/>
              <w:bottom w:val="nil"/>
              <w:right w:val="single" w:sz="8" w:space="0" w:color="auto"/>
            </w:tcBorders>
            <w:shd w:val="clear" w:color="auto" w:fill="auto"/>
            <w:noWrap/>
            <w:vAlign w:val="center"/>
            <w:hideMark/>
          </w:tcPr>
          <w:p>
            <w:pPr>
              <w:keepNext/>
              <w:contextualSpacing/>
              <w:rPr>
                <w:rFonts w:cs="Arial"/>
                <w:i/>
                <w:noProof/>
                <w:color w:val="000000"/>
                <w:sz w:val="14"/>
              </w:rPr>
            </w:pPr>
            <w:r>
              <w:rPr>
                <w:rFonts w:cs="Arial"/>
                <w:i/>
                <w:noProof/>
                <w:color w:val="000000"/>
                <w:sz w:val="14"/>
              </w:rPr>
              <w:t>ERDF</w:t>
            </w:r>
          </w:p>
        </w:tc>
        <w:tc>
          <w:tcPr>
            <w:tcW w:w="803" w:type="dxa"/>
            <w:tcBorders>
              <w:top w:val="nil"/>
              <w:left w:val="nil"/>
              <w:bottom w:val="nil"/>
              <w:right w:val="single" w:sz="8" w:space="0" w:color="auto"/>
            </w:tcBorders>
            <w:shd w:val="clear" w:color="auto" w:fill="auto"/>
          </w:tcPr>
          <w:p>
            <w:pPr>
              <w:keepNext/>
              <w:contextualSpacing/>
              <w:jc w:val="right"/>
              <w:rPr>
                <w:rFonts w:cs="Arial"/>
                <w:noProof/>
                <w:sz w:val="14"/>
              </w:rPr>
            </w:pPr>
            <w:r>
              <w:rPr>
                <w:rFonts w:cs="Verdana"/>
                <w:noProof/>
                <w:sz w:val="14"/>
                <w:szCs w:val="16"/>
              </w:rPr>
              <w:t>30</w:t>
            </w:r>
            <w:r>
              <w:rPr>
                <w:rFonts w:ascii="Calibri" w:hAnsi="Calibri" w:cs="Calibri"/>
                <w:noProof/>
                <w:sz w:val="14"/>
                <w:szCs w:val="16"/>
              </w:rPr>
              <w:t> </w:t>
            </w:r>
            <w:r>
              <w:rPr>
                <w:rFonts w:cs="Verdana"/>
                <w:noProof/>
                <w:sz w:val="14"/>
                <w:szCs w:val="16"/>
              </w:rPr>
              <w:t>070</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286</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w:t>
            </w:r>
            <w:r>
              <w:rPr>
                <w:rFonts w:cs="Arial"/>
                <w:noProof/>
                <w:sz w:val="14"/>
                <w:szCs w:val="16"/>
              </w:rPr>
              <w:t>–</w:t>
            </w:r>
            <w:r>
              <w:rPr>
                <w:rFonts w:cs="Verdana"/>
                <w:noProof/>
                <w:sz w:val="14"/>
                <w:szCs w:val="16"/>
              </w:rPr>
              <w:t xml:space="preserve"> </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  286 </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rPr>
            </w:pPr>
            <w:r>
              <w:rPr>
                <w:rFonts w:cs="Verdana"/>
                <w:i/>
                <w:iCs/>
                <w:noProof/>
                <w:sz w:val="14"/>
                <w:szCs w:val="16"/>
              </w:rPr>
              <w:t>1.0</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1</w:t>
            </w:r>
            <w:r>
              <w:rPr>
                <w:rFonts w:ascii="Calibri" w:hAnsi="Calibri" w:cs="Calibri"/>
                <w:noProof/>
                <w:sz w:val="14"/>
                <w:szCs w:val="16"/>
              </w:rPr>
              <w:t> </w:t>
            </w:r>
            <w:r>
              <w:rPr>
                <w:rFonts w:cs="Verdana"/>
                <w:noProof/>
                <w:sz w:val="14"/>
                <w:szCs w:val="16"/>
              </w:rPr>
              <w:t xml:space="preserve">007 </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 </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1</w:t>
            </w:r>
            <w:r>
              <w:rPr>
                <w:rFonts w:ascii="Calibri" w:hAnsi="Calibri" w:cs="Calibri"/>
                <w:b/>
                <w:bCs/>
                <w:noProof/>
                <w:sz w:val="14"/>
                <w:szCs w:val="16"/>
              </w:rPr>
              <w:t> </w:t>
            </w:r>
            <w:r>
              <w:rPr>
                <w:rFonts w:cs="Verdana"/>
                <w:b/>
                <w:bCs/>
                <w:noProof/>
                <w:sz w:val="14"/>
                <w:szCs w:val="16"/>
              </w:rPr>
              <w:t xml:space="preserve">007 </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rPr>
            </w:pPr>
            <w:r>
              <w:rPr>
                <w:rFonts w:cs="Verdana"/>
                <w:i/>
                <w:iCs/>
                <w:noProof/>
                <w:sz w:val="14"/>
                <w:szCs w:val="16"/>
              </w:rPr>
              <w:t>3.3</w:t>
            </w:r>
          </w:p>
        </w:tc>
      </w:tr>
      <w:tr>
        <w:trPr>
          <w:trHeight w:val="227"/>
        </w:trPr>
        <w:tc>
          <w:tcPr>
            <w:tcW w:w="2552" w:type="dxa"/>
            <w:tcBorders>
              <w:top w:val="nil"/>
              <w:left w:val="single" w:sz="8" w:space="0" w:color="auto"/>
              <w:bottom w:val="nil"/>
              <w:right w:val="single" w:sz="8" w:space="0" w:color="auto"/>
            </w:tcBorders>
            <w:shd w:val="clear" w:color="auto" w:fill="auto"/>
            <w:noWrap/>
            <w:vAlign w:val="center"/>
            <w:hideMark/>
          </w:tcPr>
          <w:p>
            <w:pPr>
              <w:keepNext/>
              <w:contextualSpacing/>
              <w:rPr>
                <w:rFonts w:cs="Arial"/>
                <w:i/>
                <w:noProof/>
                <w:color w:val="000000"/>
                <w:sz w:val="14"/>
              </w:rPr>
            </w:pPr>
            <w:r>
              <w:rPr>
                <w:rFonts w:cs="Arial"/>
                <w:i/>
                <w:noProof/>
                <w:color w:val="000000"/>
                <w:sz w:val="14"/>
              </w:rPr>
              <w:t>Cohesion Fund</w:t>
            </w:r>
          </w:p>
        </w:tc>
        <w:tc>
          <w:tcPr>
            <w:tcW w:w="803" w:type="dxa"/>
            <w:tcBorders>
              <w:top w:val="nil"/>
              <w:left w:val="nil"/>
              <w:bottom w:val="nil"/>
              <w:right w:val="single" w:sz="8" w:space="0" w:color="auto"/>
            </w:tcBorders>
            <w:shd w:val="clear" w:color="auto" w:fill="auto"/>
            <w:noWrap/>
          </w:tcPr>
          <w:p>
            <w:pPr>
              <w:keepNext/>
              <w:contextualSpacing/>
              <w:jc w:val="right"/>
              <w:rPr>
                <w:rFonts w:cs="Arial"/>
                <w:noProof/>
                <w:sz w:val="14"/>
              </w:rPr>
            </w:pPr>
            <w:r>
              <w:rPr>
                <w:rFonts w:cs="Verdana"/>
                <w:noProof/>
                <w:sz w:val="14"/>
                <w:szCs w:val="16"/>
              </w:rPr>
              <w:t>9</w:t>
            </w:r>
            <w:r>
              <w:rPr>
                <w:rFonts w:ascii="Calibri" w:hAnsi="Calibri" w:cs="Calibri"/>
                <w:noProof/>
                <w:sz w:val="14"/>
                <w:szCs w:val="16"/>
              </w:rPr>
              <w:t> </w:t>
            </w:r>
            <w:r>
              <w:rPr>
                <w:rFonts w:cs="Verdana"/>
                <w:noProof/>
                <w:sz w:val="14"/>
                <w:szCs w:val="16"/>
              </w:rPr>
              <w:t>252</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90</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 </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  90 </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rPr>
            </w:pPr>
            <w:r>
              <w:rPr>
                <w:rFonts w:cs="Verdana"/>
                <w:i/>
                <w:iCs/>
                <w:noProof/>
                <w:sz w:val="14"/>
                <w:szCs w:val="16"/>
              </w:rPr>
              <w:t>1.0</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48 </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 </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48 </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rPr>
            </w:pPr>
            <w:r>
              <w:rPr>
                <w:rFonts w:cs="Verdana"/>
                <w:i/>
                <w:iCs/>
                <w:noProof/>
                <w:sz w:val="14"/>
                <w:szCs w:val="16"/>
              </w:rPr>
              <w:t>0.5</w:t>
            </w:r>
          </w:p>
        </w:tc>
      </w:tr>
      <w:tr>
        <w:trPr>
          <w:trHeight w:val="227"/>
        </w:trPr>
        <w:tc>
          <w:tcPr>
            <w:tcW w:w="2552" w:type="dxa"/>
            <w:tcBorders>
              <w:top w:val="nil"/>
              <w:left w:val="single" w:sz="8" w:space="0" w:color="auto"/>
              <w:bottom w:val="nil"/>
              <w:right w:val="single" w:sz="8" w:space="0" w:color="auto"/>
            </w:tcBorders>
            <w:shd w:val="clear" w:color="auto" w:fill="auto"/>
            <w:noWrap/>
            <w:vAlign w:val="center"/>
            <w:hideMark/>
          </w:tcPr>
          <w:p>
            <w:pPr>
              <w:keepNext/>
              <w:contextualSpacing/>
              <w:rPr>
                <w:rFonts w:cs="Arial"/>
                <w:i/>
                <w:noProof/>
                <w:color w:val="000000"/>
                <w:sz w:val="14"/>
              </w:rPr>
            </w:pPr>
            <w:r>
              <w:rPr>
                <w:rFonts w:cs="Arial"/>
                <w:i/>
                <w:noProof/>
                <w:color w:val="000000"/>
                <w:sz w:val="14"/>
              </w:rPr>
              <w:t>ESF</w:t>
            </w:r>
          </w:p>
        </w:tc>
        <w:tc>
          <w:tcPr>
            <w:tcW w:w="803" w:type="dxa"/>
            <w:tcBorders>
              <w:top w:val="nil"/>
              <w:left w:val="nil"/>
              <w:bottom w:val="nil"/>
              <w:right w:val="single" w:sz="8" w:space="0" w:color="auto"/>
            </w:tcBorders>
            <w:shd w:val="clear" w:color="auto" w:fill="auto"/>
          </w:tcPr>
          <w:p>
            <w:pPr>
              <w:keepNext/>
              <w:contextualSpacing/>
              <w:jc w:val="right"/>
              <w:rPr>
                <w:rFonts w:cs="Arial"/>
                <w:noProof/>
                <w:sz w:val="14"/>
              </w:rPr>
            </w:pPr>
            <w:r>
              <w:rPr>
                <w:rFonts w:cs="Verdana"/>
                <w:noProof/>
                <w:sz w:val="14"/>
                <w:szCs w:val="16"/>
              </w:rPr>
              <w:t>13</w:t>
            </w:r>
            <w:r>
              <w:rPr>
                <w:rFonts w:ascii="Calibri" w:hAnsi="Calibri" w:cs="Calibri"/>
                <w:noProof/>
                <w:sz w:val="14"/>
                <w:szCs w:val="16"/>
              </w:rPr>
              <w:t> </w:t>
            </w:r>
            <w:r>
              <w:rPr>
                <w:rFonts w:cs="Verdana"/>
                <w:noProof/>
                <w:sz w:val="14"/>
                <w:szCs w:val="16"/>
              </w:rPr>
              <w:t>932</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34</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 </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  34 </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szCs w:val="14"/>
              </w:rPr>
            </w:pPr>
            <w:r>
              <w:rPr>
                <w:rFonts w:cs="Verdana"/>
                <w:i/>
                <w:iCs/>
                <w:noProof/>
                <w:sz w:val="14"/>
                <w:szCs w:val="16"/>
              </w:rPr>
              <w:t>0.2</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12 </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 </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12 </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rPr>
            </w:pPr>
            <w:r>
              <w:rPr>
                <w:rFonts w:cs="Verdana"/>
                <w:i/>
                <w:noProof/>
                <w:sz w:val="14"/>
                <w:szCs w:val="16"/>
              </w:rPr>
              <w:t>0.1</w:t>
            </w:r>
          </w:p>
        </w:tc>
      </w:tr>
      <w:tr>
        <w:trPr>
          <w:trHeight w:val="227"/>
        </w:trPr>
        <w:tc>
          <w:tcPr>
            <w:tcW w:w="2552" w:type="dxa"/>
            <w:tcBorders>
              <w:top w:val="nil"/>
              <w:left w:val="single" w:sz="8" w:space="0" w:color="auto"/>
              <w:bottom w:val="nil"/>
              <w:right w:val="single" w:sz="8" w:space="0" w:color="auto"/>
            </w:tcBorders>
            <w:shd w:val="clear" w:color="auto" w:fill="auto"/>
            <w:noWrap/>
            <w:vAlign w:val="center"/>
            <w:hideMark/>
          </w:tcPr>
          <w:p>
            <w:pPr>
              <w:keepNext/>
              <w:contextualSpacing/>
              <w:rPr>
                <w:rFonts w:cs="Arial"/>
                <w:i/>
                <w:noProof/>
                <w:color w:val="000000"/>
                <w:sz w:val="14"/>
              </w:rPr>
            </w:pPr>
            <w:r>
              <w:rPr>
                <w:rFonts w:cs="Arial"/>
                <w:i/>
                <w:noProof/>
                <w:color w:val="000000"/>
                <w:sz w:val="14"/>
              </w:rPr>
              <w:t>Internal policies</w:t>
            </w:r>
          </w:p>
        </w:tc>
        <w:tc>
          <w:tcPr>
            <w:tcW w:w="803" w:type="dxa"/>
            <w:tcBorders>
              <w:top w:val="nil"/>
              <w:left w:val="nil"/>
              <w:bottom w:val="nil"/>
              <w:right w:val="single" w:sz="8" w:space="0" w:color="auto"/>
            </w:tcBorders>
            <w:shd w:val="clear" w:color="auto" w:fill="auto"/>
          </w:tcPr>
          <w:p>
            <w:pPr>
              <w:keepNext/>
              <w:contextualSpacing/>
              <w:jc w:val="right"/>
              <w:rPr>
                <w:rFonts w:cs="Arial"/>
                <w:noProof/>
                <w:sz w:val="14"/>
              </w:rPr>
            </w:pPr>
            <w:r>
              <w:rPr>
                <w:rFonts w:cs="Verdana"/>
                <w:noProof/>
                <w:sz w:val="14"/>
                <w:szCs w:val="16"/>
              </w:rPr>
              <w:t>22</w:t>
            </w:r>
            <w:r>
              <w:rPr>
                <w:rFonts w:ascii="Calibri" w:hAnsi="Calibri" w:cs="Calibri"/>
                <w:noProof/>
                <w:sz w:val="14"/>
                <w:szCs w:val="16"/>
              </w:rPr>
              <w:t> </w:t>
            </w:r>
            <w:r>
              <w:rPr>
                <w:rFonts w:cs="Verdana"/>
                <w:noProof/>
                <w:sz w:val="14"/>
                <w:szCs w:val="16"/>
              </w:rPr>
              <w:t>622</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N/A </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210 </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  210 </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szCs w:val="14"/>
              </w:rPr>
            </w:pPr>
            <w:r>
              <w:rPr>
                <w:rFonts w:cs="Verdana"/>
                <w:i/>
                <w:iCs/>
                <w:noProof/>
                <w:sz w:val="14"/>
                <w:szCs w:val="16"/>
              </w:rPr>
              <w:t>0.9</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N/A </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206 </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  206 </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rPr>
            </w:pPr>
            <w:r>
              <w:rPr>
                <w:rFonts w:cs="Verdana"/>
                <w:i/>
                <w:iCs/>
                <w:noProof/>
                <w:sz w:val="14"/>
                <w:szCs w:val="16"/>
              </w:rPr>
              <w:t>0.9</w:t>
            </w:r>
          </w:p>
        </w:tc>
      </w:tr>
      <w:tr>
        <w:trPr>
          <w:trHeight w:val="579"/>
        </w:trPr>
        <w:tc>
          <w:tcPr>
            <w:tcW w:w="2552" w:type="dxa"/>
            <w:tcBorders>
              <w:top w:val="single" w:sz="4" w:space="0" w:color="auto"/>
              <w:left w:val="single" w:sz="8" w:space="0" w:color="auto"/>
              <w:bottom w:val="single" w:sz="4" w:space="0" w:color="auto"/>
              <w:right w:val="single" w:sz="8" w:space="0" w:color="auto"/>
            </w:tcBorders>
            <w:shd w:val="clear" w:color="000000" w:fill="D9D9D9"/>
            <w:vAlign w:val="center"/>
            <w:hideMark/>
          </w:tcPr>
          <w:p>
            <w:pPr>
              <w:keepNext/>
              <w:rPr>
                <w:rFonts w:cs="Arial"/>
                <w:b/>
                <w:i/>
                <w:noProof/>
                <w:color w:val="000000"/>
                <w:sz w:val="14"/>
              </w:rPr>
            </w:pPr>
            <w:r>
              <w:rPr>
                <w:rFonts w:cs="Arial"/>
                <w:b/>
                <w:i/>
                <w:noProof/>
                <w:color w:val="000000"/>
                <w:sz w:val="14"/>
              </w:rPr>
              <w:t>Sustainable growth: natural resources</w:t>
            </w:r>
          </w:p>
        </w:tc>
        <w:tc>
          <w:tcPr>
            <w:tcW w:w="803" w:type="dxa"/>
            <w:tcBorders>
              <w:top w:val="single" w:sz="4" w:space="0" w:color="auto"/>
              <w:left w:val="nil"/>
              <w:bottom w:val="single" w:sz="4" w:space="0" w:color="auto"/>
              <w:right w:val="single" w:sz="8" w:space="0" w:color="auto"/>
            </w:tcBorders>
            <w:shd w:val="clear" w:color="000000" w:fill="D9D9D9"/>
            <w:hideMark/>
          </w:tcPr>
          <w:p>
            <w:pPr>
              <w:keepNext/>
              <w:jc w:val="right"/>
              <w:rPr>
                <w:rFonts w:cs="Arial"/>
                <w:b/>
                <w:i/>
                <w:noProof/>
                <w:sz w:val="14"/>
              </w:rPr>
            </w:pPr>
            <w:r>
              <w:rPr>
                <w:rFonts w:cs="Verdana"/>
                <w:b/>
                <w:bCs/>
                <w:i/>
                <w:iCs/>
                <w:noProof/>
                <w:sz w:val="14"/>
                <w:szCs w:val="16"/>
              </w:rPr>
              <w:t>58</w:t>
            </w:r>
            <w:r>
              <w:rPr>
                <w:rFonts w:ascii="Calibri" w:hAnsi="Calibri" w:cs="Calibri"/>
                <w:b/>
                <w:bCs/>
                <w:i/>
                <w:iCs/>
                <w:noProof/>
                <w:sz w:val="14"/>
                <w:szCs w:val="16"/>
              </w:rPr>
              <w:t> </w:t>
            </w:r>
            <w:r>
              <w:rPr>
                <w:rFonts w:cs="Verdana"/>
                <w:b/>
                <w:bCs/>
                <w:i/>
                <w:iCs/>
                <w:noProof/>
                <w:sz w:val="14"/>
                <w:szCs w:val="16"/>
              </w:rPr>
              <w:t>046</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501</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334</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835</w:t>
            </w:r>
          </w:p>
        </w:tc>
        <w:tc>
          <w:tcPr>
            <w:tcW w:w="804" w:type="dxa"/>
            <w:tcBorders>
              <w:top w:val="single" w:sz="4" w:space="0" w:color="auto"/>
              <w:left w:val="nil"/>
              <w:bottom w:val="single" w:sz="4" w:space="0" w:color="auto"/>
              <w:right w:val="single" w:sz="8" w:space="0" w:color="auto"/>
            </w:tcBorders>
            <w:shd w:val="clear" w:color="000000" w:fill="D9D9D9"/>
            <w:hideMark/>
          </w:tcPr>
          <w:p>
            <w:pPr>
              <w:keepNext/>
              <w:jc w:val="right"/>
              <w:rPr>
                <w:rFonts w:eastAsia="Calibri" w:cs="Arial"/>
                <w:b/>
                <w:bCs/>
                <w:i/>
                <w:iCs/>
                <w:noProof/>
                <w:sz w:val="14"/>
                <w:szCs w:val="14"/>
              </w:rPr>
            </w:pPr>
            <w:r>
              <w:rPr>
                <w:rFonts w:cs="Verdana"/>
                <w:b/>
                <w:bCs/>
                <w:i/>
                <w:iCs/>
                <w:noProof/>
                <w:sz w:val="14"/>
                <w:szCs w:val="16"/>
              </w:rPr>
              <w:t>1.4</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1</w:t>
            </w:r>
            <w:r>
              <w:rPr>
                <w:rFonts w:ascii="Calibri" w:hAnsi="Calibri" w:cs="Calibri"/>
                <w:b/>
                <w:bCs/>
                <w:i/>
                <w:iCs/>
                <w:noProof/>
                <w:sz w:val="14"/>
                <w:szCs w:val="16"/>
              </w:rPr>
              <w:t> </w:t>
            </w:r>
            <w:r>
              <w:rPr>
                <w:rFonts w:cs="Verdana"/>
                <w:b/>
                <w:bCs/>
                <w:i/>
                <w:iCs/>
                <w:noProof/>
                <w:sz w:val="14"/>
                <w:szCs w:val="16"/>
              </w:rPr>
              <w:t>219</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463</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1</w:t>
            </w:r>
            <w:r>
              <w:rPr>
                <w:rFonts w:ascii="Calibri" w:hAnsi="Calibri" w:cs="Calibri"/>
                <w:b/>
                <w:bCs/>
                <w:i/>
                <w:iCs/>
                <w:noProof/>
                <w:sz w:val="14"/>
                <w:szCs w:val="16"/>
              </w:rPr>
              <w:t> </w:t>
            </w:r>
            <w:r>
              <w:rPr>
                <w:rFonts w:cs="Verdana"/>
                <w:b/>
                <w:bCs/>
                <w:i/>
                <w:iCs/>
                <w:noProof/>
                <w:sz w:val="14"/>
                <w:szCs w:val="16"/>
              </w:rPr>
              <w:t>682</w:t>
            </w:r>
          </w:p>
        </w:tc>
        <w:tc>
          <w:tcPr>
            <w:tcW w:w="804" w:type="dxa"/>
            <w:tcBorders>
              <w:top w:val="single" w:sz="4" w:space="0" w:color="auto"/>
              <w:left w:val="nil"/>
              <w:bottom w:val="single" w:sz="4" w:space="0" w:color="auto"/>
              <w:right w:val="single" w:sz="8" w:space="0" w:color="auto"/>
            </w:tcBorders>
            <w:shd w:val="clear" w:color="000000" w:fill="D9D9D9"/>
            <w:hideMark/>
          </w:tcPr>
          <w:p>
            <w:pPr>
              <w:keepNext/>
              <w:jc w:val="right"/>
              <w:rPr>
                <w:rFonts w:eastAsia="Calibri" w:cs="Arial"/>
                <w:b/>
                <w:i/>
                <w:noProof/>
                <w:sz w:val="14"/>
              </w:rPr>
            </w:pPr>
            <w:r>
              <w:rPr>
                <w:rFonts w:cs="Verdana"/>
                <w:b/>
                <w:bCs/>
                <w:i/>
                <w:iCs/>
                <w:noProof/>
                <w:sz w:val="14"/>
                <w:szCs w:val="16"/>
              </w:rPr>
              <w:t>2.9</w:t>
            </w:r>
          </w:p>
        </w:tc>
      </w:tr>
      <w:tr>
        <w:trPr>
          <w:trHeight w:val="227"/>
        </w:trPr>
        <w:tc>
          <w:tcPr>
            <w:tcW w:w="2552" w:type="dxa"/>
            <w:tcBorders>
              <w:top w:val="nil"/>
              <w:left w:val="single" w:sz="8" w:space="0" w:color="auto"/>
              <w:bottom w:val="nil"/>
              <w:right w:val="single" w:sz="8" w:space="0" w:color="auto"/>
            </w:tcBorders>
            <w:shd w:val="clear" w:color="auto" w:fill="auto"/>
            <w:noWrap/>
            <w:vAlign w:val="center"/>
            <w:hideMark/>
          </w:tcPr>
          <w:p>
            <w:pPr>
              <w:keepNext/>
              <w:contextualSpacing/>
              <w:rPr>
                <w:rFonts w:cs="Arial"/>
                <w:i/>
                <w:noProof/>
                <w:color w:val="000000"/>
                <w:sz w:val="14"/>
              </w:rPr>
            </w:pPr>
            <w:r>
              <w:rPr>
                <w:rFonts w:cs="Arial"/>
                <w:i/>
                <w:noProof/>
                <w:color w:val="000000"/>
                <w:sz w:val="14"/>
              </w:rPr>
              <w:t>European Agricultural Guarantee Fund</w:t>
            </w:r>
          </w:p>
        </w:tc>
        <w:tc>
          <w:tcPr>
            <w:tcW w:w="803" w:type="dxa"/>
            <w:tcBorders>
              <w:top w:val="nil"/>
              <w:left w:val="nil"/>
              <w:bottom w:val="nil"/>
              <w:right w:val="single" w:sz="8" w:space="0" w:color="auto"/>
            </w:tcBorders>
            <w:shd w:val="clear" w:color="auto" w:fill="auto"/>
          </w:tcPr>
          <w:p>
            <w:pPr>
              <w:keepNext/>
              <w:contextualSpacing/>
              <w:jc w:val="right"/>
              <w:rPr>
                <w:rFonts w:cs="Arial"/>
                <w:noProof/>
                <w:sz w:val="14"/>
              </w:rPr>
            </w:pPr>
            <w:r>
              <w:rPr>
                <w:rFonts w:cs="Verdana"/>
                <w:noProof/>
                <w:sz w:val="14"/>
                <w:szCs w:val="16"/>
              </w:rPr>
              <w:t>44</w:t>
            </w:r>
            <w:r>
              <w:rPr>
                <w:rFonts w:ascii="Calibri" w:hAnsi="Calibri" w:cs="Calibri"/>
                <w:noProof/>
                <w:sz w:val="14"/>
                <w:szCs w:val="16"/>
              </w:rPr>
              <w:t> </w:t>
            </w:r>
            <w:r>
              <w:rPr>
                <w:rFonts w:cs="Verdana"/>
                <w:noProof/>
                <w:sz w:val="14"/>
                <w:szCs w:val="16"/>
              </w:rPr>
              <w:t>310</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306</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138</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  445 </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szCs w:val="14"/>
              </w:rPr>
            </w:pPr>
            <w:r>
              <w:rPr>
                <w:rFonts w:cs="Verdana"/>
                <w:i/>
                <w:iCs/>
                <w:noProof/>
                <w:sz w:val="14"/>
                <w:szCs w:val="16"/>
              </w:rPr>
              <w:t>1.0</w:t>
            </w:r>
          </w:p>
        </w:tc>
        <w:tc>
          <w:tcPr>
            <w:tcW w:w="803" w:type="dxa"/>
            <w:tcBorders>
              <w:top w:val="nil"/>
              <w:left w:val="nil"/>
              <w:bottom w:val="nil"/>
              <w:right w:val="single" w:sz="4" w:space="0" w:color="auto"/>
            </w:tcBorders>
            <w:shd w:val="clear" w:color="000000" w:fill="FFFFFF"/>
            <w:hideMark/>
          </w:tcPr>
          <w:p>
            <w:pPr>
              <w:keepNext/>
              <w:contextualSpacing/>
              <w:jc w:val="right"/>
              <w:rPr>
                <w:rFonts w:cs="Arial"/>
                <w:noProof/>
                <w:sz w:val="14"/>
              </w:rPr>
            </w:pPr>
            <w:r>
              <w:rPr>
                <w:rFonts w:cs="Verdana"/>
                <w:noProof/>
                <w:sz w:val="14"/>
                <w:szCs w:val="16"/>
              </w:rPr>
              <w:t xml:space="preserve"> 832</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132</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 964</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rPr>
            </w:pPr>
            <w:r>
              <w:rPr>
                <w:rFonts w:cs="Verdana"/>
                <w:i/>
                <w:iCs/>
                <w:noProof/>
                <w:sz w:val="14"/>
                <w:szCs w:val="16"/>
              </w:rPr>
              <w:t>2.2</w:t>
            </w:r>
          </w:p>
        </w:tc>
      </w:tr>
      <w:tr>
        <w:trPr>
          <w:trHeight w:val="227"/>
        </w:trPr>
        <w:tc>
          <w:tcPr>
            <w:tcW w:w="2552" w:type="dxa"/>
            <w:tcBorders>
              <w:top w:val="nil"/>
              <w:left w:val="single" w:sz="8" w:space="0" w:color="auto"/>
              <w:bottom w:val="nil"/>
              <w:right w:val="single" w:sz="8" w:space="0" w:color="auto"/>
            </w:tcBorders>
            <w:shd w:val="clear" w:color="auto" w:fill="auto"/>
            <w:noWrap/>
            <w:vAlign w:val="center"/>
            <w:hideMark/>
          </w:tcPr>
          <w:p>
            <w:pPr>
              <w:keepNext/>
              <w:contextualSpacing/>
              <w:rPr>
                <w:rFonts w:cs="Arial"/>
                <w:i/>
                <w:noProof/>
                <w:color w:val="000000"/>
                <w:sz w:val="14"/>
              </w:rPr>
            </w:pPr>
            <w:r>
              <w:rPr>
                <w:rFonts w:cs="Arial"/>
                <w:i/>
                <w:noProof/>
                <w:color w:val="000000"/>
                <w:sz w:val="14"/>
              </w:rPr>
              <w:t>Rural development</w:t>
            </w:r>
          </w:p>
        </w:tc>
        <w:tc>
          <w:tcPr>
            <w:tcW w:w="803" w:type="dxa"/>
            <w:tcBorders>
              <w:top w:val="nil"/>
              <w:left w:val="nil"/>
              <w:bottom w:val="nil"/>
              <w:right w:val="single" w:sz="8" w:space="0" w:color="auto"/>
            </w:tcBorders>
            <w:shd w:val="clear" w:color="auto" w:fill="auto"/>
          </w:tcPr>
          <w:p>
            <w:pPr>
              <w:keepNext/>
              <w:contextualSpacing/>
              <w:jc w:val="right"/>
              <w:rPr>
                <w:rFonts w:cs="Arial"/>
                <w:noProof/>
                <w:sz w:val="14"/>
              </w:rPr>
            </w:pPr>
            <w:r>
              <w:rPr>
                <w:rFonts w:cs="Verdana"/>
                <w:noProof/>
                <w:sz w:val="14"/>
                <w:szCs w:val="16"/>
              </w:rPr>
              <w:t>12</w:t>
            </w:r>
            <w:r>
              <w:rPr>
                <w:rFonts w:ascii="Calibri" w:hAnsi="Calibri" w:cs="Calibri"/>
                <w:noProof/>
                <w:sz w:val="14"/>
                <w:szCs w:val="16"/>
              </w:rPr>
              <w:t> </w:t>
            </w:r>
            <w:r>
              <w:rPr>
                <w:rFonts w:cs="Verdana"/>
                <w:noProof/>
                <w:sz w:val="14"/>
                <w:szCs w:val="16"/>
              </w:rPr>
              <w:t>467</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195</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178</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  372 </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szCs w:val="14"/>
              </w:rPr>
            </w:pPr>
            <w:r>
              <w:rPr>
                <w:rFonts w:cs="Verdana"/>
                <w:i/>
                <w:iCs/>
                <w:noProof/>
                <w:sz w:val="14"/>
                <w:szCs w:val="16"/>
              </w:rPr>
              <w:t>3.0</w:t>
            </w:r>
          </w:p>
        </w:tc>
        <w:tc>
          <w:tcPr>
            <w:tcW w:w="803" w:type="dxa"/>
            <w:tcBorders>
              <w:top w:val="nil"/>
              <w:left w:val="nil"/>
              <w:bottom w:val="nil"/>
              <w:right w:val="single" w:sz="4" w:space="0" w:color="auto"/>
            </w:tcBorders>
            <w:shd w:val="clear" w:color="000000" w:fill="FFFFFF"/>
            <w:hideMark/>
          </w:tcPr>
          <w:p>
            <w:pPr>
              <w:keepNext/>
              <w:contextualSpacing/>
              <w:jc w:val="right"/>
              <w:rPr>
                <w:rFonts w:cs="Arial"/>
                <w:noProof/>
                <w:sz w:val="14"/>
              </w:rPr>
            </w:pPr>
            <w:r>
              <w:rPr>
                <w:rFonts w:cs="Verdana"/>
                <w:noProof/>
                <w:sz w:val="14"/>
                <w:szCs w:val="16"/>
              </w:rPr>
              <w:t xml:space="preserve"> 387</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315</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 702</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rPr>
            </w:pPr>
            <w:r>
              <w:rPr>
                <w:rFonts w:cs="Verdana"/>
                <w:i/>
                <w:iCs/>
                <w:noProof/>
                <w:sz w:val="14"/>
                <w:szCs w:val="16"/>
              </w:rPr>
              <w:t>5.6</w:t>
            </w:r>
          </w:p>
        </w:tc>
      </w:tr>
      <w:tr>
        <w:trPr>
          <w:trHeight w:val="227"/>
        </w:trPr>
        <w:tc>
          <w:tcPr>
            <w:tcW w:w="2552" w:type="dxa"/>
            <w:tcBorders>
              <w:top w:val="nil"/>
              <w:left w:val="single" w:sz="8" w:space="0" w:color="auto"/>
              <w:bottom w:val="nil"/>
              <w:right w:val="single" w:sz="8" w:space="0" w:color="auto"/>
            </w:tcBorders>
            <w:shd w:val="clear" w:color="auto" w:fill="auto"/>
            <w:noWrap/>
            <w:vAlign w:val="center"/>
            <w:hideMark/>
          </w:tcPr>
          <w:p>
            <w:pPr>
              <w:keepNext/>
              <w:contextualSpacing/>
              <w:rPr>
                <w:rFonts w:cs="Arial"/>
                <w:i/>
                <w:noProof/>
                <w:color w:val="000000"/>
                <w:sz w:val="14"/>
              </w:rPr>
            </w:pPr>
            <w:r>
              <w:rPr>
                <w:rFonts w:cs="Arial"/>
                <w:i/>
                <w:noProof/>
                <w:color w:val="000000"/>
                <w:sz w:val="14"/>
              </w:rPr>
              <w:t>Financial Instrument for Fisheries Guidance /</w:t>
            </w:r>
            <w:r>
              <w:rPr>
                <w:noProof/>
              </w:rPr>
              <w:t xml:space="preserve"> </w:t>
            </w:r>
            <w:r>
              <w:rPr>
                <w:rFonts w:cs="Arial"/>
                <w:i/>
                <w:noProof/>
                <w:color w:val="000000"/>
                <w:sz w:val="14"/>
              </w:rPr>
              <w:t>European Fisheries Fund</w:t>
            </w:r>
          </w:p>
        </w:tc>
        <w:tc>
          <w:tcPr>
            <w:tcW w:w="803" w:type="dxa"/>
            <w:tcBorders>
              <w:top w:val="nil"/>
              <w:left w:val="nil"/>
              <w:bottom w:val="nil"/>
              <w:right w:val="single" w:sz="8" w:space="0" w:color="auto"/>
            </w:tcBorders>
            <w:shd w:val="clear" w:color="auto" w:fill="auto"/>
          </w:tcPr>
          <w:p>
            <w:pPr>
              <w:keepNext/>
              <w:contextualSpacing/>
              <w:jc w:val="right"/>
              <w:rPr>
                <w:rFonts w:cs="Arial"/>
                <w:noProof/>
                <w:sz w:val="14"/>
              </w:rPr>
            </w:pPr>
            <w:r>
              <w:rPr>
                <w:rFonts w:cs="Verdana"/>
                <w:noProof/>
                <w:sz w:val="14"/>
                <w:szCs w:val="16"/>
              </w:rPr>
              <w:t xml:space="preserve"> 786</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0</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0</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  – </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szCs w:val="14"/>
              </w:rPr>
            </w:pPr>
            <w:r>
              <w:rPr>
                <w:rFonts w:cs="Verdana"/>
                <w:i/>
                <w:iCs/>
                <w:noProof/>
                <w:sz w:val="14"/>
                <w:szCs w:val="16"/>
              </w:rPr>
              <w:t>0.0</w:t>
            </w:r>
          </w:p>
        </w:tc>
        <w:tc>
          <w:tcPr>
            <w:tcW w:w="803" w:type="dxa"/>
            <w:tcBorders>
              <w:top w:val="nil"/>
              <w:left w:val="nil"/>
              <w:bottom w:val="nil"/>
              <w:right w:val="single" w:sz="4" w:space="0" w:color="auto"/>
            </w:tcBorders>
            <w:shd w:val="clear" w:color="000000" w:fill="FFFFFF"/>
            <w:hideMark/>
          </w:tcPr>
          <w:p>
            <w:pPr>
              <w:keepNext/>
              <w:contextualSpacing/>
              <w:jc w:val="right"/>
              <w:rPr>
                <w:rFonts w:cs="Arial"/>
                <w:noProof/>
                <w:sz w:val="14"/>
              </w:rPr>
            </w:pPr>
            <w:r>
              <w:rPr>
                <w:rFonts w:cs="Verdana"/>
                <w:noProof/>
                <w:sz w:val="14"/>
                <w:szCs w:val="16"/>
              </w:rPr>
              <w:t xml:space="preserve"> 0</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0</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 0</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rPr>
            </w:pPr>
            <w:r>
              <w:rPr>
                <w:rFonts w:cs="Verdana"/>
                <w:i/>
                <w:iCs/>
                <w:noProof/>
                <w:sz w:val="14"/>
                <w:szCs w:val="16"/>
              </w:rPr>
              <w:t>0.0</w:t>
            </w:r>
          </w:p>
        </w:tc>
      </w:tr>
      <w:tr>
        <w:trPr>
          <w:trHeight w:val="227"/>
        </w:trPr>
        <w:tc>
          <w:tcPr>
            <w:tcW w:w="2552" w:type="dxa"/>
            <w:tcBorders>
              <w:top w:val="nil"/>
              <w:left w:val="single" w:sz="8" w:space="0" w:color="auto"/>
              <w:bottom w:val="nil"/>
              <w:right w:val="single" w:sz="8" w:space="0" w:color="auto"/>
            </w:tcBorders>
            <w:shd w:val="clear" w:color="auto" w:fill="auto"/>
            <w:noWrap/>
            <w:vAlign w:val="center"/>
            <w:hideMark/>
          </w:tcPr>
          <w:p>
            <w:pPr>
              <w:keepNext/>
              <w:contextualSpacing/>
              <w:rPr>
                <w:rFonts w:cs="Arial"/>
                <w:i/>
                <w:noProof/>
                <w:color w:val="000000"/>
                <w:sz w:val="14"/>
              </w:rPr>
            </w:pPr>
            <w:r>
              <w:rPr>
                <w:rFonts w:cs="Arial"/>
                <w:i/>
                <w:noProof/>
                <w:color w:val="000000"/>
                <w:sz w:val="14"/>
              </w:rPr>
              <w:t xml:space="preserve">European Agricultural Guidance and Guarantee Fund </w:t>
            </w:r>
          </w:p>
        </w:tc>
        <w:tc>
          <w:tcPr>
            <w:tcW w:w="803" w:type="dxa"/>
            <w:tcBorders>
              <w:top w:val="nil"/>
              <w:left w:val="nil"/>
              <w:bottom w:val="nil"/>
              <w:right w:val="single" w:sz="8" w:space="0" w:color="auto"/>
            </w:tcBorders>
            <w:shd w:val="clear" w:color="auto" w:fill="auto"/>
          </w:tcPr>
          <w:p>
            <w:pPr>
              <w:keepNext/>
              <w:contextualSpacing/>
              <w:jc w:val="right"/>
              <w:rPr>
                <w:rFonts w:cs="Arial"/>
                <w:noProof/>
                <w:sz w:val="14"/>
              </w:rPr>
            </w:pPr>
            <w:r>
              <w:rPr>
                <w:rFonts w:cs="Verdana"/>
                <w:noProof/>
                <w:sz w:val="14"/>
                <w:szCs w:val="16"/>
              </w:rPr>
              <w:t xml:space="preserve">  - </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0</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3</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  3 </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szCs w:val="14"/>
              </w:rPr>
            </w:pPr>
            <w:r>
              <w:rPr>
                <w:rFonts w:cs="Verdana"/>
                <w:i/>
                <w:iCs/>
                <w:noProof/>
                <w:sz w:val="14"/>
                <w:szCs w:val="16"/>
              </w:rPr>
              <w:t>N/A</w:t>
            </w:r>
          </w:p>
        </w:tc>
        <w:tc>
          <w:tcPr>
            <w:tcW w:w="803" w:type="dxa"/>
            <w:tcBorders>
              <w:top w:val="nil"/>
              <w:left w:val="nil"/>
              <w:bottom w:val="nil"/>
              <w:right w:val="single" w:sz="4" w:space="0" w:color="auto"/>
            </w:tcBorders>
            <w:shd w:val="clear" w:color="000000" w:fill="FFFFFF"/>
            <w:hideMark/>
          </w:tcPr>
          <w:p>
            <w:pPr>
              <w:keepNext/>
              <w:contextualSpacing/>
              <w:jc w:val="right"/>
              <w:rPr>
                <w:rFonts w:cs="Arial"/>
                <w:noProof/>
                <w:sz w:val="14"/>
              </w:rPr>
            </w:pPr>
            <w:r>
              <w:rPr>
                <w:rFonts w:cs="Verdana"/>
                <w:noProof/>
                <w:sz w:val="14"/>
                <w:szCs w:val="16"/>
              </w:rPr>
              <w:t xml:space="preserve">  - </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3</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 3</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rPr>
            </w:pPr>
            <w:r>
              <w:rPr>
                <w:rFonts w:cs="Verdana"/>
                <w:i/>
                <w:iCs/>
                <w:noProof/>
                <w:sz w:val="14"/>
                <w:szCs w:val="16"/>
              </w:rPr>
              <w:t>N/A</w:t>
            </w:r>
          </w:p>
        </w:tc>
      </w:tr>
      <w:tr>
        <w:trPr>
          <w:trHeight w:val="227"/>
        </w:trPr>
        <w:tc>
          <w:tcPr>
            <w:tcW w:w="2552" w:type="dxa"/>
            <w:tcBorders>
              <w:top w:val="nil"/>
              <w:left w:val="single" w:sz="8" w:space="0" w:color="auto"/>
              <w:bottom w:val="nil"/>
              <w:right w:val="single" w:sz="8" w:space="0" w:color="auto"/>
            </w:tcBorders>
            <w:shd w:val="clear" w:color="auto" w:fill="auto"/>
            <w:noWrap/>
            <w:vAlign w:val="center"/>
            <w:hideMark/>
          </w:tcPr>
          <w:p>
            <w:pPr>
              <w:keepNext/>
              <w:contextualSpacing/>
              <w:rPr>
                <w:rFonts w:cs="Arial"/>
                <w:i/>
                <w:noProof/>
                <w:color w:val="000000"/>
                <w:sz w:val="14"/>
              </w:rPr>
            </w:pPr>
            <w:r>
              <w:rPr>
                <w:rFonts w:cs="Arial"/>
                <w:i/>
                <w:noProof/>
                <w:color w:val="000000"/>
                <w:sz w:val="14"/>
              </w:rPr>
              <w:t>Internal policies</w:t>
            </w:r>
          </w:p>
        </w:tc>
        <w:tc>
          <w:tcPr>
            <w:tcW w:w="803" w:type="dxa"/>
            <w:tcBorders>
              <w:top w:val="nil"/>
              <w:left w:val="nil"/>
              <w:bottom w:val="nil"/>
              <w:right w:val="single" w:sz="8" w:space="0" w:color="auto"/>
            </w:tcBorders>
            <w:shd w:val="clear" w:color="auto" w:fill="auto"/>
          </w:tcPr>
          <w:p>
            <w:pPr>
              <w:keepNext/>
              <w:contextualSpacing/>
              <w:jc w:val="right"/>
              <w:rPr>
                <w:rFonts w:cs="Arial"/>
                <w:noProof/>
                <w:sz w:val="14"/>
              </w:rPr>
            </w:pPr>
            <w:r>
              <w:rPr>
                <w:rFonts w:cs="Verdana"/>
                <w:noProof/>
                <w:sz w:val="14"/>
                <w:szCs w:val="16"/>
              </w:rPr>
              <w:t xml:space="preserve"> 483</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N/A</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14</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  14 </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szCs w:val="14"/>
              </w:rPr>
            </w:pPr>
            <w:r>
              <w:rPr>
                <w:rFonts w:cs="Verdana"/>
                <w:i/>
                <w:iCs/>
                <w:noProof/>
                <w:sz w:val="14"/>
                <w:szCs w:val="16"/>
              </w:rPr>
              <w:t>3.0</w:t>
            </w:r>
          </w:p>
        </w:tc>
        <w:tc>
          <w:tcPr>
            <w:tcW w:w="803" w:type="dxa"/>
            <w:tcBorders>
              <w:top w:val="nil"/>
              <w:left w:val="nil"/>
              <w:bottom w:val="nil"/>
              <w:right w:val="single" w:sz="4" w:space="0" w:color="auto"/>
            </w:tcBorders>
            <w:shd w:val="clear" w:color="000000" w:fill="FFFFFF"/>
            <w:hideMark/>
          </w:tcPr>
          <w:p>
            <w:pPr>
              <w:keepNext/>
              <w:contextualSpacing/>
              <w:jc w:val="right"/>
              <w:rPr>
                <w:rFonts w:cs="Arial"/>
                <w:noProof/>
                <w:sz w:val="14"/>
              </w:rPr>
            </w:pPr>
            <w:r>
              <w:rPr>
                <w:rFonts w:cs="Verdana"/>
                <w:noProof/>
                <w:sz w:val="14"/>
                <w:szCs w:val="16"/>
              </w:rPr>
              <w:t>N/A</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noProof/>
                <w:sz w:val="14"/>
                <w:szCs w:val="16"/>
              </w:rPr>
              <w:t xml:space="preserve"> 13</w:t>
            </w:r>
          </w:p>
        </w:tc>
        <w:tc>
          <w:tcPr>
            <w:tcW w:w="803" w:type="dxa"/>
            <w:tcBorders>
              <w:top w:val="nil"/>
              <w:left w:val="nil"/>
              <w:bottom w:val="nil"/>
              <w:right w:val="single" w:sz="4" w:space="0" w:color="auto"/>
            </w:tcBorders>
            <w:shd w:val="clear" w:color="auto" w:fill="auto"/>
            <w:hideMark/>
          </w:tcPr>
          <w:p>
            <w:pPr>
              <w:keepNext/>
              <w:contextualSpacing/>
              <w:jc w:val="right"/>
              <w:rPr>
                <w:rFonts w:cs="Arial"/>
                <w:noProof/>
                <w:sz w:val="14"/>
              </w:rPr>
            </w:pPr>
            <w:r>
              <w:rPr>
                <w:rFonts w:cs="Verdana"/>
                <w:b/>
                <w:bCs/>
                <w:noProof/>
                <w:sz w:val="14"/>
                <w:szCs w:val="16"/>
              </w:rPr>
              <w:t xml:space="preserve">  13 </w:t>
            </w:r>
          </w:p>
        </w:tc>
        <w:tc>
          <w:tcPr>
            <w:tcW w:w="804" w:type="dxa"/>
            <w:tcBorders>
              <w:top w:val="nil"/>
              <w:left w:val="nil"/>
              <w:bottom w:val="nil"/>
              <w:right w:val="single" w:sz="8" w:space="0" w:color="auto"/>
            </w:tcBorders>
            <w:shd w:val="clear" w:color="auto" w:fill="auto"/>
          </w:tcPr>
          <w:p>
            <w:pPr>
              <w:keepNext/>
              <w:contextualSpacing/>
              <w:jc w:val="right"/>
              <w:rPr>
                <w:rFonts w:cs="Arial"/>
                <w:i/>
                <w:noProof/>
                <w:sz w:val="14"/>
              </w:rPr>
            </w:pPr>
            <w:r>
              <w:rPr>
                <w:rFonts w:cs="Verdana"/>
                <w:i/>
                <w:iCs/>
                <w:noProof/>
                <w:sz w:val="14"/>
                <w:szCs w:val="16"/>
              </w:rPr>
              <w:t>2.7</w:t>
            </w:r>
          </w:p>
        </w:tc>
      </w:tr>
      <w:tr>
        <w:trPr>
          <w:trHeight w:val="337"/>
        </w:trPr>
        <w:tc>
          <w:tcPr>
            <w:tcW w:w="2552" w:type="dxa"/>
            <w:tcBorders>
              <w:top w:val="single" w:sz="4" w:space="0" w:color="auto"/>
              <w:left w:val="single" w:sz="8" w:space="0" w:color="auto"/>
              <w:bottom w:val="single" w:sz="4" w:space="0" w:color="auto"/>
              <w:right w:val="single" w:sz="8" w:space="0" w:color="auto"/>
            </w:tcBorders>
            <w:shd w:val="clear" w:color="000000" w:fill="D9D9D9"/>
            <w:vAlign w:val="center"/>
            <w:hideMark/>
          </w:tcPr>
          <w:p>
            <w:pPr>
              <w:keepNext/>
              <w:rPr>
                <w:rFonts w:cs="Arial"/>
                <w:b/>
                <w:i/>
                <w:noProof/>
                <w:color w:val="000000"/>
                <w:sz w:val="14"/>
              </w:rPr>
            </w:pPr>
            <w:r>
              <w:rPr>
                <w:rFonts w:cs="Arial"/>
                <w:b/>
                <w:i/>
                <w:noProof/>
                <w:color w:val="000000"/>
                <w:sz w:val="14"/>
              </w:rPr>
              <w:t xml:space="preserve">Security and citizenship </w:t>
            </w:r>
          </w:p>
        </w:tc>
        <w:tc>
          <w:tcPr>
            <w:tcW w:w="803" w:type="dxa"/>
            <w:tcBorders>
              <w:top w:val="single" w:sz="4" w:space="0" w:color="auto"/>
              <w:left w:val="nil"/>
              <w:bottom w:val="single" w:sz="4" w:space="0" w:color="auto"/>
              <w:right w:val="single" w:sz="8" w:space="0" w:color="auto"/>
            </w:tcBorders>
            <w:shd w:val="clear" w:color="000000" w:fill="D9D9D9"/>
            <w:hideMark/>
          </w:tcPr>
          <w:p>
            <w:pPr>
              <w:keepNext/>
              <w:jc w:val="right"/>
              <w:rPr>
                <w:rFonts w:cs="Arial"/>
                <w:b/>
                <w:i/>
                <w:noProof/>
                <w:sz w:val="14"/>
              </w:rPr>
            </w:pPr>
            <w:r>
              <w:rPr>
                <w:rFonts w:cs="Verdana"/>
                <w:b/>
                <w:bCs/>
                <w:i/>
                <w:iCs/>
                <w:noProof/>
                <w:sz w:val="14"/>
                <w:szCs w:val="16"/>
              </w:rPr>
              <w:t>3</w:t>
            </w:r>
            <w:r>
              <w:rPr>
                <w:rFonts w:ascii="Calibri" w:hAnsi="Calibri" w:cs="Calibri"/>
                <w:b/>
                <w:bCs/>
                <w:i/>
                <w:iCs/>
                <w:noProof/>
                <w:sz w:val="14"/>
                <w:szCs w:val="16"/>
              </w:rPr>
              <w:t> </w:t>
            </w:r>
            <w:r>
              <w:rPr>
                <w:rFonts w:cs="Verdana"/>
                <w:b/>
                <w:bCs/>
                <w:i/>
                <w:iCs/>
                <w:noProof/>
                <w:sz w:val="14"/>
                <w:szCs w:val="16"/>
              </w:rPr>
              <w:t>108</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2</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24</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25</w:t>
            </w:r>
          </w:p>
        </w:tc>
        <w:tc>
          <w:tcPr>
            <w:tcW w:w="804" w:type="dxa"/>
            <w:tcBorders>
              <w:top w:val="single" w:sz="4" w:space="0" w:color="auto"/>
              <w:left w:val="nil"/>
              <w:bottom w:val="single" w:sz="4" w:space="0" w:color="auto"/>
              <w:right w:val="single" w:sz="8" w:space="0" w:color="auto"/>
            </w:tcBorders>
            <w:shd w:val="clear" w:color="000000" w:fill="D9D9D9"/>
            <w:hideMark/>
          </w:tcPr>
          <w:p>
            <w:pPr>
              <w:keepNext/>
              <w:jc w:val="right"/>
              <w:rPr>
                <w:rFonts w:eastAsia="Calibri" w:cs="Arial"/>
                <w:b/>
                <w:bCs/>
                <w:i/>
                <w:iCs/>
                <w:noProof/>
                <w:sz w:val="14"/>
                <w:szCs w:val="14"/>
              </w:rPr>
            </w:pPr>
            <w:r>
              <w:rPr>
                <w:rFonts w:cs="Verdana"/>
                <w:b/>
                <w:bCs/>
                <w:i/>
                <w:iCs/>
                <w:noProof/>
                <w:sz w:val="14"/>
                <w:szCs w:val="16"/>
              </w:rPr>
              <w:t>0.8</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2</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23</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25</w:t>
            </w:r>
          </w:p>
        </w:tc>
        <w:tc>
          <w:tcPr>
            <w:tcW w:w="804" w:type="dxa"/>
            <w:tcBorders>
              <w:top w:val="single" w:sz="4" w:space="0" w:color="auto"/>
              <w:left w:val="nil"/>
              <w:bottom w:val="single" w:sz="4" w:space="0" w:color="auto"/>
              <w:right w:val="single" w:sz="8" w:space="0" w:color="auto"/>
            </w:tcBorders>
            <w:shd w:val="clear" w:color="000000" w:fill="D9D9D9"/>
            <w:hideMark/>
          </w:tcPr>
          <w:p>
            <w:pPr>
              <w:keepNext/>
              <w:jc w:val="right"/>
              <w:rPr>
                <w:rFonts w:eastAsia="Calibri" w:cs="Arial"/>
                <w:b/>
                <w:i/>
                <w:noProof/>
                <w:sz w:val="14"/>
              </w:rPr>
            </w:pPr>
            <w:r>
              <w:rPr>
                <w:rFonts w:cs="Verdana"/>
                <w:b/>
                <w:bCs/>
                <w:i/>
                <w:iCs/>
                <w:noProof/>
                <w:sz w:val="14"/>
                <w:szCs w:val="16"/>
              </w:rPr>
              <w:t>0.8</w:t>
            </w:r>
          </w:p>
        </w:tc>
      </w:tr>
      <w:tr>
        <w:trPr>
          <w:trHeight w:val="227"/>
        </w:trPr>
        <w:tc>
          <w:tcPr>
            <w:tcW w:w="2552" w:type="dxa"/>
            <w:tcBorders>
              <w:top w:val="nil"/>
              <w:left w:val="single" w:sz="8" w:space="0" w:color="auto"/>
              <w:bottom w:val="nil"/>
              <w:right w:val="single" w:sz="8" w:space="0" w:color="auto"/>
            </w:tcBorders>
            <w:shd w:val="clear" w:color="auto" w:fill="auto"/>
            <w:noWrap/>
            <w:vAlign w:val="center"/>
            <w:hideMark/>
          </w:tcPr>
          <w:p>
            <w:pPr>
              <w:keepNext/>
              <w:rPr>
                <w:rFonts w:cs="Arial"/>
                <w:i/>
                <w:noProof/>
                <w:color w:val="000000"/>
                <w:sz w:val="14"/>
              </w:rPr>
            </w:pPr>
            <w:r>
              <w:rPr>
                <w:rFonts w:cs="Arial"/>
                <w:i/>
                <w:noProof/>
                <w:color w:val="000000"/>
                <w:sz w:val="14"/>
              </w:rPr>
              <w:t>Migration and home affairs</w:t>
            </w:r>
          </w:p>
        </w:tc>
        <w:tc>
          <w:tcPr>
            <w:tcW w:w="803" w:type="dxa"/>
            <w:tcBorders>
              <w:top w:val="nil"/>
              <w:left w:val="nil"/>
              <w:bottom w:val="nil"/>
              <w:right w:val="single" w:sz="8" w:space="0" w:color="auto"/>
            </w:tcBorders>
            <w:shd w:val="clear" w:color="auto" w:fill="auto"/>
            <w:hideMark/>
          </w:tcPr>
          <w:p>
            <w:pPr>
              <w:keepNext/>
              <w:jc w:val="right"/>
              <w:rPr>
                <w:rFonts w:cs="Arial"/>
                <w:noProof/>
                <w:sz w:val="14"/>
              </w:rPr>
            </w:pPr>
            <w:r>
              <w:rPr>
                <w:rFonts w:cs="Verdana"/>
                <w:noProof/>
                <w:sz w:val="14"/>
                <w:szCs w:val="16"/>
              </w:rPr>
              <w:t xml:space="preserve"> 801</w:t>
            </w:r>
          </w:p>
        </w:tc>
        <w:tc>
          <w:tcPr>
            <w:tcW w:w="803" w:type="dxa"/>
            <w:tcBorders>
              <w:top w:val="nil"/>
              <w:left w:val="nil"/>
              <w:bottom w:val="nil"/>
              <w:right w:val="single" w:sz="4" w:space="0" w:color="auto"/>
            </w:tcBorders>
            <w:shd w:val="clear" w:color="auto" w:fill="auto"/>
            <w:hideMark/>
          </w:tcPr>
          <w:p>
            <w:pPr>
              <w:keepNext/>
              <w:jc w:val="right"/>
              <w:rPr>
                <w:rFonts w:cs="Arial"/>
                <w:noProof/>
                <w:sz w:val="14"/>
              </w:rPr>
            </w:pPr>
            <w:r>
              <w:rPr>
                <w:rFonts w:cs="Verdana"/>
                <w:noProof/>
                <w:sz w:val="14"/>
                <w:szCs w:val="16"/>
              </w:rPr>
              <w:t xml:space="preserve"> 2</w:t>
            </w:r>
          </w:p>
        </w:tc>
        <w:tc>
          <w:tcPr>
            <w:tcW w:w="803" w:type="dxa"/>
            <w:tcBorders>
              <w:top w:val="nil"/>
              <w:left w:val="nil"/>
              <w:bottom w:val="nil"/>
              <w:right w:val="single" w:sz="4" w:space="0" w:color="auto"/>
            </w:tcBorders>
            <w:shd w:val="clear" w:color="auto" w:fill="auto"/>
            <w:hideMark/>
          </w:tcPr>
          <w:p>
            <w:pPr>
              <w:keepNext/>
              <w:jc w:val="right"/>
              <w:rPr>
                <w:rFonts w:cs="Arial"/>
                <w:noProof/>
                <w:sz w:val="14"/>
              </w:rPr>
            </w:pPr>
            <w:r>
              <w:rPr>
                <w:rFonts w:cs="Verdana"/>
                <w:noProof/>
                <w:sz w:val="14"/>
                <w:szCs w:val="16"/>
              </w:rPr>
              <w:t>–</w:t>
            </w:r>
          </w:p>
        </w:tc>
        <w:tc>
          <w:tcPr>
            <w:tcW w:w="803" w:type="dxa"/>
            <w:tcBorders>
              <w:top w:val="nil"/>
              <w:left w:val="nil"/>
              <w:bottom w:val="nil"/>
              <w:right w:val="single" w:sz="4" w:space="0" w:color="auto"/>
            </w:tcBorders>
            <w:shd w:val="clear" w:color="auto" w:fill="auto"/>
            <w:hideMark/>
          </w:tcPr>
          <w:p>
            <w:pPr>
              <w:keepNext/>
              <w:jc w:val="right"/>
              <w:rPr>
                <w:rFonts w:cs="Arial"/>
                <w:b/>
                <w:noProof/>
                <w:sz w:val="14"/>
              </w:rPr>
            </w:pPr>
            <w:r>
              <w:rPr>
                <w:rFonts w:cs="Verdana"/>
                <w:b/>
                <w:bCs/>
                <w:noProof/>
                <w:sz w:val="14"/>
                <w:szCs w:val="16"/>
              </w:rPr>
              <w:t xml:space="preserve">  2 </w:t>
            </w:r>
          </w:p>
        </w:tc>
        <w:tc>
          <w:tcPr>
            <w:tcW w:w="804" w:type="dxa"/>
            <w:tcBorders>
              <w:top w:val="nil"/>
              <w:left w:val="nil"/>
              <w:bottom w:val="nil"/>
              <w:right w:val="single" w:sz="8" w:space="0" w:color="auto"/>
            </w:tcBorders>
            <w:shd w:val="clear" w:color="auto" w:fill="auto"/>
            <w:noWrap/>
            <w:hideMark/>
          </w:tcPr>
          <w:p>
            <w:pPr>
              <w:keepNext/>
              <w:contextualSpacing/>
              <w:jc w:val="right"/>
              <w:rPr>
                <w:rFonts w:cs="Arial"/>
                <w:i/>
                <w:noProof/>
                <w:sz w:val="14"/>
                <w:szCs w:val="14"/>
              </w:rPr>
            </w:pPr>
            <w:r>
              <w:rPr>
                <w:rFonts w:cs="Verdana"/>
                <w:i/>
                <w:iCs/>
                <w:noProof/>
                <w:sz w:val="14"/>
                <w:szCs w:val="16"/>
              </w:rPr>
              <w:t>0.2</w:t>
            </w:r>
          </w:p>
        </w:tc>
        <w:tc>
          <w:tcPr>
            <w:tcW w:w="803" w:type="dxa"/>
            <w:tcBorders>
              <w:top w:val="nil"/>
              <w:left w:val="nil"/>
              <w:bottom w:val="nil"/>
              <w:right w:val="single" w:sz="4" w:space="0" w:color="auto"/>
            </w:tcBorders>
            <w:shd w:val="clear" w:color="000000" w:fill="FFFFFF"/>
            <w:noWrap/>
            <w:hideMark/>
          </w:tcPr>
          <w:p>
            <w:pPr>
              <w:keepNext/>
              <w:jc w:val="right"/>
              <w:rPr>
                <w:rFonts w:cs="Arial"/>
                <w:noProof/>
                <w:sz w:val="14"/>
              </w:rPr>
            </w:pPr>
            <w:r>
              <w:rPr>
                <w:rFonts w:cs="Verdana"/>
                <w:noProof/>
                <w:sz w:val="14"/>
                <w:szCs w:val="16"/>
              </w:rPr>
              <w:t xml:space="preserve"> 2</w:t>
            </w:r>
          </w:p>
        </w:tc>
        <w:tc>
          <w:tcPr>
            <w:tcW w:w="803" w:type="dxa"/>
            <w:tcBorders>
              <w:top w:val="nil"/>
              <w:left w:val="nil"/>
              <w:bottom w:val="nil"/>
              <w:right w:val="single" w:sz="4" w:space="0" w:color="auto"/>
            </w:tcBorders>
            <w:shd w:val="clear" w:color="auto" w:fill="auto"/>
            <w:hideMark/>
          </w:tcPr>
          <w:p>
            <w:pPr>
              <w:keepNext/>
              <w:jc w:val="right"/>
              <w:rPr>
                <w:rFonts w:cs="Arial"/>
                <w:noProof/>
                <w:sz w:val="14"/>
              </w:rPr>
            </w:pPr>
            <w:r>
              <w:rPr>
                <w:rFonts w:cs="Verdana"/>
                <w:noProof/>
                <w:sz w:val="14"/>
                <w:szCs w:val="16"/>
              </w:rPr>
              <w:t>–</w:t>
            </w:r>
          </w:p>
        </w:tc>
        <w:tc>
          <w:tcPr>
            <w:tcW w:w="803" w:type="dxa"/>
            <w:tcBorders>
              <w:top w:val="nil"/>
              <w:left w:val="nil"/>
              <w:bottom w:val="nil"/>
              <w:right w:val="single" w:sz="4" w:space="0" w:color="auto"/>
            </w:tcBorders>
            <w:shd w:val="clear" w:color="auto" w:fill="auto"/>
            <w:hideMark/>
          </w:tcPr>
          <w:p>
            <w:pPr>
              <w:keepNext/>
              <w:jc w:val="right"/>
              <w:rPr>
                <w:rFonts w:cs="Arial"/>
                <w:b/>
                <w:noProof/>
                <w:sz w:val="14"/>
              </w:rPr>
            </w:pPr>
            <w:r>
              <w:rPr>
                <w:rFonts w:cs="Verdana"/>
                <w:b/>
                <w:bCs/>
                <w:noProof/>
                <w:sz w:val="14"/>
                <w:szCs w:val="16"/>
              </w:rPr>
              <w:t xml:space="preserve"> 2</w:t>
            </w:r>
          </w:p>
        </w:tc>
        <w:tc>
          <w:tcPr>
            <w:tcW w:w="804" w:type="dxa"/>
            <w:tcBorders>
              <w:top w:val="nil"/>
              <w:left w:val="nil"/>
              <w:bottom w:val="nil"/>
              <w:right w:val="single" w:sz="8" w:space="0" w:color="auto"/>
            </w:tcBorders>
            <w:shd w:val="clear" w:color="auto" w:fill="auto"/>
            <w:noWrap/>
            <w:hideMark/>
          </w:tcPr>
          <w:p>
            <w:pPr>
              <w:keepNext/>
              <w:contextualSpacing/>
              <w:jc w:val="right"/>
              <w:rPr>
                <w:rFonts w:cs="Arial"/>
                <w:i/>
                <w:noProof/>
                <w:sz w:val="14"/>
              </w:rPr>
            </w:pPr>
            <w:r>
              <w:rPr>
                <w:rFonts w:cs="Verdana"/>
                <w:i/>
                <w:iCs/>
                <w:noProof/>
                <w:sz w:val="14"/>
                <w:szCs w:val="16"/>
              </w:rPr>
              <w:t>0.2</w:t>
            </w:r>
          </w:p>
        </w:tc>
      </w:tr>
      <w:tr>
        <w:trPr>
          <w:trHeight w:val="227"/>
        </w:trPr>
        <w:tc>
          <w:tcPr>
            <w:tcW w:w="2552" w:type="dxa"/>
            <w:tcBorders>
              <w:top w:val="nil"/>
              <w:left w:val="single" w:sz="8" w:space="0" w:color="auto"/>
              <w:bottom w:val="nil"/>
              <w:right w:val="single" w:sz="8" w:space="0" w:color="auto"/>
            </w:tcBorders>
            <w:shd w:val="clear" w:color="auto" w:fill="auto"/>
            <w:noWrap/>
            <w:vAlign w:val="center"/>
            <w:hideMark/>
          </w:tcPr>
          <w:p>
            <w:pPr>
              <w:keepNext/>
              <w:rPr>
                <w:rFonts w:cs="Arial"/>
                <w:i/>
                <w:noProof/>
                <w:color w:val="000000"/>
                <w:sz w:val="14"/>
              </w:rPr>
            </w:pPr>
            <w:r>
              <w:rPr>
                <w:rFonts w:cs="Arial"/>
                <w:i/>
                <w:noProof/>
                <w:color w:val="000000"/>
                <w:sz w:val="14"/>
              </w:rPr>
              <w:t>Internal policies</w:t>
            </w:r>
          </w:p>
        </w:tc>
        <w:tc>
          <w:tcPr>
            <w:tcW w:w="803" w:type="dxa"/>
            <w:tcBorders>
              <w:top w:val="nil"/>
              <w:left w:val="nil"/>
              <w:bottom w:val="nil"/>
              <w:right w:val="single" w:sz="8" w:space="0" w:color="auto"/>
            </w:tcBorders>
            <w:shd w:val="clear" w:color="auto" w:fill="auto"/>
            <w:hideMark/>
          </w:tcPr>
          <w:p>
            <w:pPr>
              <w:keepNext/>
              <w:jc w:val="right"/>
              <w:rPr>
                <w:rFonts w:cs="Arial"/>
                <w:noProof/>
                <w:sz w:val="14"/>
              </w:rPr>
            </w:pPr>
            <w:r>
              <w:rPr>
                <w:rFonts w:cs="Verdana"/>
                <w:noProof/>
                <w:sz w:val="14"/>
                <w:szCs w:val="16"/>
              </w:rPr>
              <w:t>2</w:t>
            </w:r>
            <w:r>
              <w:rPr>
                <w:rFonts w:ascii="Calibri" w:hAnsi="Calibri" w:cs="Calibri"/>
                <w:noProof/>
                <w:sz w:val="14"/>
                <w:szCs w:val="16"/>
              </w:rPr>
              <w:t> </w:t>
            </w:r>
            <w:r>
              <w:rPr>
                <w:rFonts w:cs="Verdana"/>
                <w:noProof/>
                <w:sz w:val="14"/>
                <w:szCs w:val="16"/>
              </w:rPr>
              <w:t>307</w:t>
            </w:r>
          </w:p>
        </w:tc>
        <w:tc>
          <w:tcPr>
            <w:tcW w:w="803" w:type="dxa"/>
            <w:tcBorders>
              <w:top w:val="nil"/>
              <w:left w:val="nil"/>
              <w:bottom w:val="nil"/>
              <w:right w:val="single" w:sz="4" w:space="0" w:color="auto"/>
            </w:tcBorders>
            <w:shd w:val="clear" w:color="auto" w:fill="auto"/>
            <w:hideMark/>
          </w:tcPr>
          <w:p>
            <w:pPr>
              <w:keepNext/>
              <w:jc w:val="right"/>
              <w:rPr>
                <w:rFonts w:cs="Arial"/>
                <w:noProof/>
                <w:sz w:val="14"/>
              </w:rPr>
            </w:pPr>
            <w:r>
              <w:rPr>
                <w:rFonts w:cs="Verdana"/>
                <w:noProof/>
                <w:sz w:val="14"/>
                <w:szCs w:val="16"/>
              </w:rPr>
              <w:t>N/A</w:t>
            </w:r>
          </w:p>
        </w:tc>
        <w:tc>
          <w:tcPr>
            <w:tcW w:w="803" w:type="dxa"/>
            <w:tcBorders>
              <w:top w:val="nil"/>
              <w:left w:val="nil"/>
              <w:bottom w:val="nil"/>
              <w:right w:val="single" w:sz="4" w:space="0" w:color="auto"/>
            </w:tcBorders>
            <w:shd w:val="clear" w:color="auto" w:fill="auto"/>
            <w:hideMark/>
          </w:tcPr>
          <w:p>
            <w:pPr>
              <w:keepNext/>
              <w:jc w:val="right"/>
              <w:rPr>
                <w:rFonts w:cs="Arial"/>
                <w:noProof/>
                <w:sz w:val="14"/>
              </w:rPr>
            </w:pPr>
            <w:r>
              <w:rPr>
                <w:rFonts w:cs="Verdana"/>
                <w:noProof/>
                <w:sz w:val="14"/>
                <w:szCs w:val="16"/>
              </w:rPr>
              <w:t xml:space="preserve"> 24</w:t>
            </w:r>
          </w:p>
        </w:tc>
        <w:tc>
          <w:tcPr>
            <w:tcW w:w="803" w:type="dxa"/>
            <w:tcBorders>
              <w:top w:val="nil"/>
              <w:left w:val="nil"/>
              <w:bottom w:val="nil"/>
              <w:right w:val="single" w:sz="4" w:space="0" w:color="auto"/>
            </w:tcBorders>
            <w:shd w:val="clear" w:color="auto" w:fill="auto"/>
            <w:hideMark/>
          </w:tcPr>
          <w:p>
            <w:pPr>
              <w:keepNext/>
              <w:jc w:val="right"/>
              <w:rPr>
                <w:rFonts w:cs="Arial"/>
                <w:b/>
                <w:noProof/>
                <w:sz w:val="14"/>
              </w:rPr>
            </w:pPr>
            <w:r>
              <w:rPr>
                <w:rFonts w:cs="Verdana"/>
                <w:b/>
                <w:bCs/>
                <w:noProof/>
                <w:sz w:val="14"/>
                <w:szCs w:val="16"/>
              </w:rPr>
              <w:t xml:space="preserve">  24 </w:t>
            </w:r>
          </w:p>
        </w:tc>
        <w:tc>
          <w:tcPr>
            <w:tcW w:w="804" w:type="dxa"/>
            <w:tcBorders>
              <w:top w:val="nil"/>
              <w:left w:val="nil"/>
              <w:bottom w:val="nil"/>
              <w:right w:val="single" w:sz="8" w:space="0" w:color="auto"/>
            </w:tcBorders>
            <w:shd w:val="clear" w:color="auto" w:fill="auto"/>
            <w:hideMark/>
          </w:tcPr>
          <w:p>
            <w:pPr>
              <w:keepNext/>
              <w:contextualSpacing/>
              <w:jc w:val="right"/>
              <w:rPr>
                <w:rFonts w:cs="Arial"/>
                <w:i/>
                <w:noProof/>
                <w:sz w:val="14"/>
                <w:szCs w:val="14"/>
              </w:rPr>
            </w:pPr>
            <w:r>
              <w:rPr>
                <w:rFonts w:cs="Verdana"/>
                <w:i/>
                <w:iCs/>
                <w:noProof/>
                <w:sz w:val="14"/>
                <w:szCs w:val="16"/>
              </w:rPr>
              <w:t>1.0</w:t>
            </w:r>
          </w:p>
        </w:tc>
        <w:tc>
          <w:tcPr>
            <w:tcW w:w="803" w:type="dxa"/>
            <w:tcBorders>
              <w:top w:val="nil"/>
              <w:left w:val="nil"/>
              <w:bottom w:val="nil"/>
              <w:right w:val="single" w:sz="4" w:space="0" w:color="auto"/>
            </w:tcBorders>
            <w:shd w:val="clear" w:color="000000" w:fill="FFFFFF"/>
            <w:hideMark/>
          </w:tcPr>
          <w:p>
            <w:pPr>
              <w:keepNext/>
              <w:jc w:val="right"/>
              <w:rPr>
                <w:rFonts w:cs="Arial"/>
                <w:noProof/>
                <w:sz w:val="14"/>
              </w:rPr>
            </w:pPr>
            <w:r>
              <w:rPr>
                <w:rFonts w:cs="Verdana"/>
                <w:noProof/>
                <w:sz w:val="14"/>
                <w:szCs w:val="16"/>
              </w:rPr>
              <w:t>N/A</w:t>
            </w:r>
          </w:p>
        </w:tc>
        <w:tc>
          <w:tcPr>
            <w:tcW w:w="803" w:type="dxa"/>
            <w:tcBorders>
              <w:top w:val="nil"/>
              <w:left w:val="nil"/>
              <w:bottom w:val="nil"/>
              <w:right w:val="single" w:sz="4" w:space="0" w:color="auto"/>
            </w:tcBorders>
            <w:shd w:val="clear" w:color="auto" w:fill="auto"/>
            <w:hideMark/>
          </w:tcPr>
          <w:p>
            <w:pPr>
              <w:keepNext/>
              <w:jc w:val="right"/>
              <w:rPr>
                <w:rFonts w:cs="Arial"/>
                <w:noProof/>
                <w:sz w:val="14"/>
              </w:rPr>
            </w:pPr>
            <w:r>
              <w:rPr>
                <w:rFonts w:cs="Verdana"/>
                <w:noProof/>
                <w:sz w:val="14"/>
                <w:szCs w:val="16"/>
              </w:rPr>
              <w:t xml:space="preserve"> 23</w:t>
            </w:r>
          </w:p>
        </w:tc>
        <w:tc>
          <w:tcPr>
            <w:tcW w:w="803" w:type="dxa"/>
            <w:tcBorders>
              <w:top w:val="nil"/>
              <w:left w:val="nil"/>
              <w:bottom w:val="nil"/>
              <w:right w:val="single" w:sz="4" w:space="0" w:color="auto"/>
            </w:tcBorders>
            <w:shd w:val="clear" w:color="auto" w:fill="auto"/>
            <w:hideMark/>
          </w:tcPr>
          <w:p>
            <w:pPr>
              <w:keepNext/>
              <w:jc w:val="right"/>
              <w:rPr>
                <w:rFonts w:cs="Arial"/>
                <w:b/>
                <w:noProof/>
                <w:sz w:val="14"/>
              </w:rPr>
            </w:pPr>
            <w:r>
              <w:rPr>
                <w:rFonts w:cs="Verdana"/>
                <w:b/>
                <w:bCs/>
                <w:noProof/>
                <w:sz w:val="14"/>
                <w:szCs w:val="16"/>
              </w:rPr>
              <w:t xml:space="preserve">  23 </w:t>
            </w:r>
          </w:p>
        </w:tc>
        <w:tc>
          <w:tcPr>
            <w:tcW w:w="804" w:type="dxa"/>
            <w:tcBorders>
              <w:top w:val="nil"/>
              <w:left w:val="nil"/>
              <w:bottom w:val="nil"/>
              <w:right w:val="single" w:sz="8" w:space="0" w:color="auto"/>
            </w:tcBorders>
            <w:shd w:val="clear" w:color="auto" w:fill="auto"/>
            <w:hideMark/>
          </w:tcPr>
          <w:p>
            <w:pPr>
              <w:keepNext/>
              <w:contextualSpacing/>
              <w:jc w:val="right"/>
              <w:rPr>
                <w:rFonts w:cs="Arial"/>
                <w:i/>
                <w:noProof/>
                <w:sz w:val="14"/>
              </w:rPr>
            </w:pPr>
            <w:r>
              <w:rPr>
                <w:rFonts w:cs="Verdana"/>
                <w:i/>
                <w:iCs/>
                <w:noProof/>
                <w:sz w:val="14"/>
                <w:szCs w:val="16"/>
              </w:rPr>
              <w:t>1.0</w:t>
            </w:r>
          </w:p>
        </w:tc>
      </w:tr>
      <w:tr>
        <w:trPr>
          <w:trHeight w:val="308"/>
        </w:trPr>
        <w:tc>
          <w:tcPr>
            <w:tcW w:w="2552" w:type="dxa"/>
            <w:tcBorders>
              <w:top w:val="single" w:sz="4" w:space="0" w:color="auto"/>
              <w:left w:val="single" w:sz="8" w:space="0" w:color="auto"/>
              <w:bottom w:val="single" w:sz="4" w:space="0" w:color="auto"/>
              <w:right w:val="single" w:sz="8" w:space="0" w:color="auto"/>
            </w:tcBorders>
            <w:shd w:val="clear" w:color="000000" w:fill="D9D9D9"/>
            <w:noWrap/>
            <w:vAlign w:val="center"/>
            <w:hideMark/>
          </w:tcPr>
          <w:p>
            <w:pPr>
              <w:keepNext/>
              <w:rPr>
                <w:rFonts w:cs="Arial"/>
                <w:b/>
                <w:i/>
                <w:noProof/>
                <w:color w:val="000000"/>
                <w:sz w:val="14"/>
              </w:rPr>
            </w:pPr>
            <w:r>
              <w:rPr>
                <w:rFonts w:cs="Arial"/>
                <w:b/>
                <w:i/>
                <w:noProof/>
                <w:color w:val="000000"/>
                <w:sz w:val="14"/>
              </w:rPr>
              <w:t xml:space="preserve">Global Europe </w:t>
            </w:r>
          </w:p>
        </w:tc>
        <w:tc>
          <w:tcPr>
            <w:tcW w:w="803" w:type="dxa"/>
            <w:tcBorders>
              <w:top w:val="single" w:sz="4" w:space="0" w:color="auto"/>
              <w:left w:val="nil"/>
              <w:bottom w:val="single" w:sz="4" w:space="0" w:color="auto"/>
              <w:right w:val="single" w:sz="8" w:space="0" w:color="auto"/>
            </w:tcBorders>
            <w:shd w:val="clear" w:color="000000" w:fill="D9D9D9"/>
            <w:hideMark/>
          </w:tcPr>
          <w:p>
            <w:pPr>
              <w:keepNext/>
              <w:jc w:val="right"/>
              <w:rPr>
                <w:rFonts w:cs="Arial"/>
                <w:b/>
                <w:i/>
                <w:noProof/>
                <w:sz w:val="14"/>
              </w:rPr>
            </w:pPr>
            <w:r>
              <w:rPr>
                <w:rFonts w:cs="Verdana"/>
                <w:b/>
                <w:bCs/>
                <w:i/>
                <w:iCs/>
                <w:noProof/>
                <w:sz w:val="14"/>
                <w:szCs w:val="16"/>
              </w:rPr>
              <w:t>9</w:t>
            </w:r>
            <w:r>
              <w:rPr>
                <w:rFonts w:ascii="Calibri" w:hAnsi="Calibri" w:cs="Calibri"/>
                <w:b/>
                <w:bCs/>
                <w:i/>
                <w:iCs/>
                <w:noProof/>
                <w:sz w:val="14"/>
                <w:szCs w:val="16"/>
              </w:rPr>
              <w:t> </w:t>
            </w:r>
            <w:r>
              <w:rPr>
                <w:rFonts w:cs="Verdana"/>
                <w:b/>
                <w:bCs/>
                <w:i/>
                <w:iCs/>
                <w:noProof/>
                <w:sz w:val="14"/>
                <w:szCs w:val="16"/>
              </w:rPr>
              <w:t>519</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N/A</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190</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190</w:t>
            </w:r>
          </w:p>
        </w:tc>
        <w:tc>
          <w:tcPr>
            <w:tcW w:w="804" w:type="dxa"/>
            <w:tcBorders>
              <w:top w:val="single" w:sz="4" w:space="0" w:color="auto"/>
              <w:left w:val="nil"/>
              <w:bottom w:val="single" w:sz="4" w:space="0" w:color="auto"/>
              <w:right w:val="single" w:sz="8" w:space="0" w:color="auto"/>
            </w:tcBorders>
            <w:shd w:val="clear" w:color="000000" w:fill="D9D9D9"/>
            <w:hideMark/>
          </w:tcPr>
          <w:p>
            <w:pPr>
              <w:keepNext/>
              <w:jc w:val="right"/>
              <w:rPr>
                <w:rFonts w:eastAsia="Calibri" w:cs="Arial"/>
                <w:b/>
                <w:bCs/>
                <w:i/>
                <w:iCs/>
                <w:noProof/>
                <w:sz w:val="14"/>
                <w:szCs w:val="14"/>
              </w:rPr>
            </w:pPr>
            <w:r>
              <w:rPr>
                <w:rFonts w:cs="Verdana"/>
                <w:b/>
                <w:bCs/>
                <w:i/>
                <w:iCs/>
                <w:noProof/>
                <w:sz w:val="14"/>
                <w:szCs w:val="16"/>
              </w:rPr>
              <w:t>2.0</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N/A</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180</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180</w:t>
            </w:r>
          </w:p>
        </w:tc>
        <w:tc>
          <w:tcPr>
            <w:tcW w:w="804" w:type="dxa"/>
            <w:tcBorders>
              <w:top w:val="single" w:sz="4" w:space="0" w:color="auto"/>
              <w:left w:val="nil"/>
              <w:bottom w:val="single" w:sz="4" w:space="0" w:color="auto"/>
              <w:right w:val="single" w:sz="8" w:space="0" w:color="auto"/>
            </w:tcBorders>
            <w:shd w:val="clear" w:color="000000" w:fill="D9D9D9"/>
            <w:hideMark/>
          </w:tcPr>
          <w:p>
            <w:pPr>
              <w:keepNext/>
              <w:jc w:val="right"/>
              <w:rPr>
                <w:rFonts w:eastAsia="Calibri" w:cs="Arial"/>
                <w:b/>
                <w:i/>
                <w:noProof/>
                <w:sz w:val="14"/>
              </w:rPr>
            </w:pPr>
            <w:r>
              <w:rPr>
                <w:rFonts w:cs="Verdana"/>
                <w:b/>
                <w:bCs/>
                <w:i/>
                <w:iCs/>
                <w:noProof/>
                <w:sz w:val="14"/>
                <w:szCs w:val="16"/>
              </w:rPr>
              <w:t>1.9</w:t>
            </w:r>
          </w:p>
        </w:tc>
      </w:tr>
      <w:tr>
        <w:trPr>
          <w:trHeight w:val="227"/>
        </w:trPr>
        <w:tc>
          <w:tcPr>
            <w:tcW w:w="2552" w:type="dxa"/>
            <w:tcBorders>
              <w:top w:val="nil"/>
              <w:left w:val="single" w:sz="8" w:space="0" w:color="auto"/>
              <w:bottom w:val="nil"/>
              <w:right w:val="single" w:sz="8" w:space="0" w:color="auto"/>
            </w:tcBorders>
            <w:shd w:val="clear" w:color="auto" w:fill="auto"/>
            <w:noWrap/>
            <w:vAlign w:val="center"/>
            <w:hideMark/>
          </w:tcPr>
          <w:p>
            <w:pPr>
              <w:keepNext/>
              <w:rPr>
                <w:rFonts w:cs="Arial"/>
                <w:i/>
                <w:noProof/>
                <w:color w:val="000000"/>
                <w:sz w:val="14"/>
              </w:rPr>
            </w:pPr>
            <w:r>
              <w:rPr>
                <w:rFonts w:cs="Arial"/>
                <w:i/>
                <w:noProof/>
                <w:color w:val="000000"/>
                <w:sz w:val="14"/>
              </w:rPr>
              <w:t>External policies</w:t>
            </w:r>
          </w:p>
        </w:tc>
        <w:tc>
          <w:tcPr>
            <w:tcW w:w="803" w:type="dxa"/>
            <w:tcBorders>
              <w:top w:val="nil"/>
              <w:left w:val="nil"/>
              <w:bottom w:val="nil"/>
              <w:right w:val="single" w:sz="8" w:space="0" w:color="auto"/>
            </w:tcBorders>
            <w:shd w:val="clear" w:color="auto" w:fill="auto"/>
            <w:hideMark/>
          </w:tcPr>
          <w:p>
            <w:pPr>
              <w:keepNext/>
              <w:jc w:val="right"/>
              <w:rPr>
                <w:rFonts w:cs="Arial"/>
                <w:noProof/>
                <w:sz w:val="14"/>
              </w:rPr>
            </w:pPr>
            <w:r>
              <w:rPr>
                <w:rFonts w:cs="Verdana"/>
                <w:noProof/>
                <w:sz w:val="14"/>
                <w:szCs w:val="16"/>
              </w:rPr>
              <w:t>9</w:t>
            </w:r>
            <w:r>
              <w:rPr>
                <w:rFonts w:ascii="Calibri" w:hAnsi="Calibri" w:cs="Calibri"/>
                <w:noProof/>
                <w:sz w:val="14"/>
                <w:szCs w:val="16"/>
              </w:rPr>
              <w:t> </w:t>
            </w:r>
            <w:r>
              <w:rPr>
                <w:rFonts w:cs="Verdana"/>
                <w:noProof/>
                <w:sz w:val="14"/>
                <w:szCs w:val="16"/>
              </w:rPr>
              <w:t>519</w:t>
            </w:r>
          </w:p>
        </w:tc>
        <w:tc>
          <w:tcPr>
            <w:tcW w:w="803" w:type="dxa"/>
            <w:tcBorders>
              <w:top w:val="nil"/>
              <w:left w:val="nil"/>
              <w:bottom w:val="nil"/>
              <w:right w:val="single" w:sz="4" w:space="0" w:color="auto"/>
            </w:tcBorders>
            <w:shd w:val="clear" w:color="auto" w:fill="auto"/>
            <w:hideMark/>
          </w:tcPr>
          <w:p>
            <w:pPr>
              <w:keepNext/>
              <w:jc w:val="right"/>
              <w:rPr>
                <w:rFonts w:cs="Arial"/>
                <w:noProof/>
                <w:sz w:val="14"/>
              </w:rPr>
            </w:pPr>
            <w:r>
              <w:rPr>
                <w:rFonts w:cs="Verdana"/>
                <w:noProof/>
                <w:sz w:val="14"/>
                <w:szCs w:val="16"/>
              </w:rPr>
              <w:t>N/A</w:t>
            </w:r>
          </w:p>
        </w:tc>
        <w:tc>
          <w:tcPr>
            <w:tcW w:w="803" w:type="dxa"/>
            <w:tcBorders>
              <w:top w:val="nil"/>
              <w:left w:val="nil"/>
              <w:bottom w:val="nil"/>
              <w:right w:val="single" w:sz="4" w:space="0" w:color="auto"/>
            </w:tcBorders>
            <w:shd w:val="clear" w:color="auto" w:fill="auto"/>
            <w:hideMark/>
          </w:tcPr>
          <w:p>
            <w:pPr>
              <w:keepNext/>
              <w:jc w:val="right"/>
              <w:rPr>
                <w:rFonts w:cs="Arial"/>
                <w:noProof/>
                <w:sz w:val="14"/>
              </w:rPr>
            </w:pPr>
            <w:r>
              <w:rPr>
                <w:rFonts w:cs="Verdana"/>
                <w:noProof/>
                <w:sz w:val="14"/>
                <w:szCs w:val="16"/>
              </w:rPr>
              <w:t xml:space="preserve"> 190</w:t>
            </w:r>
          </w:p>
        </w:tc>
        <w:tc>
          <w:tcPr>
            <w:tcW w:w="803" w:type="dxa"/>
            <w:tcBorders>
              <w:top w:val="nil"/>
              <w:left w:val="nil"/>
              <w:bottom w:val="nil"/>
              <w:right w:val="single" w:sz="4" w:space="0" w:color="auto"/>
            </w:tcBorders>
            <w:shd w:val="clear" w:color="auto" w:fill="auto"/>
            <w:hideMark/>
          </w:tcPr>
          <w:p>
            <w:pPr>
              <w:keepNext/>
              <w:jc w:val="right"/>
              <w:rPr>
                <w:rFonts w:cs="Arial"/>
                <w:b/>
                <w:noProof/>
                <w:sz w:val="14"/>
              </w:rPr>
            </w:pPr>
            <w:r>
              <w:rPr>
                <w:rFonts w:cs="Verdana"/>
                <w:b/>
                <w:bCs/>
                <w:noProof/>
                <w:sz w:val="14"/>
                <w:szCs w:val="16"/>
              </w:rPr>
              <w:t xml:space="preserve"> 190</w:t>
            </w:r>
          </w:p>
        </w:tc>
        <w:tc>
          <w:tcPr>
            <w:tcW w:w="804" w:type="dxa"/>
            <w:tcBorders>
              <w:top w:val="nil"/>
              <w:left w:val="nil"/>
              <w:bottom w:val="nil"/>
              <w:right w:val="single" w:sz="8" w:space="0" w:color="auto"/>
            </w:tcBorders>
            <w:shd w:val="clear" w:color="auto" w:fill="auto"/>
            <w:hideMark/>
          </w:tcPr>
          <w:p>
            <w:pPr>
              <w:keepNext/>
              <w:jc w:val="right"/>
              <w:rPr>
                <w:rFonts w:eastAsia="Calibri" w:cs="Arial"/>
                <w:i/>
                <w:iCs/>
                <w:noProof/>
                <w:sz w:val="14"/>
                <w:szCs w:val="14"/>
              </w:rPr>
            </w:pPr>
            <w:r>
              <w:rPr>
                <w:rFonts w:cs="Verdana"/>
                <w:i/>
                <w:iCs/>
                <w:noProof/>
                <w:sz w:val="14"/>
                <w:szCs w:val="16"/>
              </w:rPr>
              <w:t>2.0</w:t>
            </w:r>
          </w:p>
        </w:tc>
        <w:tc>
          <w:tcPr>
            <w:tcW w:w="803" w:type="dxa"/>
            <w:tcBorders>
              <w:top w:val="nil"/>
              <w:left w:val="nil"/>
              <w:bottom w:val="nil"/>
              <w:right w:val="single" w:sz="4" w:space="0" w:color="auto"/>
            </w:tcBorders>
            <w:shd w:val="clear" w:color="000000" w:fill="FFFFFF"/>
            <w:hideMark/>
          </w:tcPr>
          <w:p>
            <w:pPr>
              <w:keepNext/>
              <w:jc w:val="right"/>
              <w:rPr>
                <w:rFonts w:cs="Arial"/>
                <w:noProof/>
                <w:sz w:val="14"/>
              </w:rPr>
            </w:pPr>
            <w:r>
              <w:rPr>
                <w:rFonts w:cs="Verdana"/>
                <w:noProof/>
                <w:sz w:val="14"/>
                <w:szCs w:val="16"/>
              </w:rPr>
              <w:t>N/A</w:t>
            </w:r>
          </w:p>
        </w:tc>
        <w:tc>
          <w:tcPr>
            <w:tcW w:w="803" w:type="dxa"/>
            <w:tcBorders>
              <w:top w:val="nil"/>
              <w:left w:val="nil"/>
              <w:bottom w:val="nil"/>
              <w:right w:val="single" w:sz="4" w:space="0" w:color="auto"/>
            </w:tcBorders>
            <w:shd w:val="clear" w:color="auto" w:fill="auto"/>
            <w:hideMark/>
          </w:tcPr>
          <w:p>
            <w:pPr>
              <w:keepNext/>
              <w:jc w:val="right"/>
              <w:rPr>
                <w:rFonts w:cs="Arial"/>
                <w:noProof/>
                <w:sz w:val="14"/>
              </w:rPr>
            </w:pPr>
            <w:r>
              <w:rPr>
                <w:rFonts w:cs="Verdana"/>
                <w:noProof/>
                <w:sz w:val="14"/>
                <w:szCs w:val="16"/>
              </w:rPr>
              <w:t xml:space="preserve"> 180</w:t>
            </w:r>
          </w:p>
        </w:tc>
        <w:tc>
          <w:tcPr>
            <w:tcW w:w="803" w:type="dxa"/>
            <w:tcBorders>
              <w:top w:val="nil"/>
              <w:left w:val="nil"/>
              <w:bottom w:val="nil"/>
              <w:right w:val="single" w:sz="4" w:space="0" w:color="auto"/>
            </w:tcBorders>
            <w:shd w:val="clear" w:color="auto" w:fill="auto"/>
            <w:hideMark/>
          </w:tcPr>
          <w:p>
            <w:pPr>
              <w:keepNext/>
              <w:jc w:val="right"/>
              <w:rPr>
                <w:rFonts w:cs="Arial"/>
                <w:b/>
                <w:noProof/>
                <w:sz w:val="14"/>
              </w:rPr>
            </w:pPr>
            <w:r>
              <w:rPr>
                <w:rFonts w:cs="Verdana"/>
                <w:b/>
                <w:bCs/>
                <w:noProof/>
                <w:sz w:val="14"/>
                <w:szCs w:val="16"/>
              </w:rPr>
              <w:t xml:space="preserve"> 180</w:t>
            </w:r>
          </w:p>
        </w:tc>
        <w:tc>
          <w:tcPr>
            <w:tcW w:w="804" w:type="dxa"/>
            <w:tcBorders>
              <w:top w:val="nil"/>
              <w:left w:val="nil"/>
              <w:bottom w:val="nil"/>
              <w:right w:val="single" w:sz="8" w:space="0" w:color="auto"/>
            </w:tcBorders>
            <w:shd w:val="clear" w:color="auto" w:fill="auto"/>
            <w:hideMark/>
          </w:tcPr>
          <w:p>
            <w:pPr>
              <w:keepNext/>
              <w:jc w:val="right"/>
              <w:rPr>
                <w:rFonts w:eastAsia="Calibri" w:cs="Arial"/>
                <w:i/>
                <w:noProof/>
                <w:sz w:val="14"/>
              </w:rPr>
            </w:pPr>
            <w:r>
              <w:rPr>
                <w:rFonts w:cs="Verdana"/>
                <w:i/>
                <w:iCs/>
                <w:noProof/>
                <w:sz w:val="14"/>
                <w:szCs w:val="16"/>
              </w:rPr>
              <w:t>1.9</w:t>
            </w:r>
          </w:p>
        </w:tc>
      </w:tr>
      <w:tr>
        <w:trPr>
          <w:trHeight w:val="255"/>
        </w:trPr>
        <w:tc>
          <w:tcPr>
            <w:tcW w:w="2552" w:type="dxa"/>
            <w:tcBorders>
              <w:top w:val="single" w:sz="4" w:space="0" w:color="auto"/>
              <w:left w:val="single" w:sz="8" w:space="0" w:color="auto"/>
              <w:bottom w:val="single" w:sz="4" w:space="0" w:color="auto"/>
              <w:right w:val="single" w:sz="8" w:space="0" w:color="auto"/>
            </w:tcBorders>
            <w:shd w:val="clear" w:color="000000" w:fill="D9D9D9"/>
            <w:noWrap/>
            <w:vAlign w:val="center"/>
            <w:hideMark/>
          </w:tcPr>
          <w:p>
            <w:pPr>
              <w:keepNext/>
              <w:rPr>
                <w:rFonts w:cs="Arial"/>
                <w:b/>
                <w:i/>
                <w:noProof/>
                <w:color w:val="000000"/>
                <w:sz w:val="14"/>
              </w:rPr>
            </w:pPr>
            <w:r>
              <w:rPr>
                <w:rFonts w:cs="Arial"/>
                <w:b/>
                <w:i/>
                <w:noProof/>
                <w:color w:val="000000"/>
                <w:sz w:val="14"/>
              </w:rPr>
              <w:t xml:space="preserve">Administration </w:t>
            </w:r>
          </w:p>
        </w:tc>
        <w:tc>
          <w:tcPr>
            <w:tcW w:w="803" w:type="dxa"/>
            <w:tcBorders>
              <w:top w:val="single" w:sz="4" w:space="0" w:color="auto"/>
              <w:left w:val="nil"/>
              <w:bottom w:val="single" w:sz="4" w:space="0" w:color="auto"/>
              <w:right w:val="single" w:sz="8" w:space="0" w:color="auto"/>
            </w:tcBorders>
            <w:shd w:val="clear" w:color="000000" w:fill="D9D9D9"/>
            <w:hideMark/>
          </w:tcPr>
          <w:p>
            <w:pPr>
              <w:keepNext/>
              <w:jc w:val="right"/>
              <w:rPr>
                <w:rFonts w:cs="Arial"/>
                <w:b/>
                <w:i/>
                <w:noProof/>
                <w:sz w:val="14"/>
              </w:rPr>
            </w:pPr>
            <w:r>
              <w:rPr>
                <w:rFonts w:cs="Verdana"/>
                <w:b/>
                <w:bCs/>
                <w:i/>
                <w:iCs/>
                <w:noProof/>
                <w:sz w:val="14"/>
                <w:szCs w:val="16"/>
              </w:rPr>
              <w:t>9</w:t>
            </w:r>
            <w:r>
              <w:rPr>
                <w:rFonts w:ascii="Calibri" w:hAnsi="Calibri" w:cs="Calibri"/>
                <w:b/>
                <w:bCs/>
                <w:i/>
                <w:iCs/>
                <w:noProof/>
                <w:sz w:val="14"/>
                <w:szCs w:val="16"/>
              </w:rPr>
              <w:t> </w:t>
            </w:r>
            <w:r>
              <w:rPr>
                <w:rFonts w:cs="Verdana"/>
                <w:b/>
                <w:bCs/>
                <w:i/>
                <w:iCs/>
                <w:noProof/>
                <w:sz w:val="14"/>
                <w:szCs w:val="16"/>
              </w:rPr>
              <w:t>944</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N/A</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1</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1</w:t>
            </w:r>
          </w:p>
        </w:tc>
        <w:tc>
          <w:tcPr>
            <w:tcW w:w="804" w:type="dxa"/>
            <w:tcBorders>
              <w:top w:val="single" w:sz="4" w:space="0" w:color="auto"/>
              <w:left w:val="nil"/>
              <w:bottom w:val="single" w:sz="4" w:space="0" w:color="auto"/>
              <w:right w:val="single" w:sz="8" w:space="0" w:color="auto"/>
            </w:tcBorders>
            <w:shd w:val="clear" w:color="000000" w:fill="D9D9D9"/>
            <w:hideMark/>
          </w:tcPr>
          <w:p>
            <w:pPr>
              <w:keepNext/>
              <w:jc w:val="right"/>
              <w:rPr>
                <w:rFonts w:eastAsia="Calibri" w:cs="Arial"/>
                <w:b/>
                <w:bCs/>
                <w:i/>
                <w:iCs/>
                <w:noProof/>
                <w:sz w:val="14"/>
                <w:szCs w:val="14"/>
              </w:rPr>
            </w:pPr>
            <w:r>
              <w:rPr>
                <w:rFonts w:cs="Verdana"/>
                <w:b/>
                <w:bCs/>
                <w:i/>
                <w:iCs/>
                <w:noProof/>
                <w:sz w:val="14"/>
                <w:szCs w:val="16"/>
              </w:rPr>
              <w:t>0.0</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N/A</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1</w:t>
            </w:r>
          </w:p>
        </w:tc>
        <w:tc>
          <w:tcPr>
            <w:tcW w:w="803" w:type="dxa"/>
            <w:tcBorders>
              <w:top w:val="single" w:sz="4" w:space="0" w:color="auto"/>
              <w:left w:val="nil"/>
              <w:bottom w:val="single" w:sz="4" w:space="0" w:color="auto"/>
              <w:right w:val="single" w:sz="4" w:space="0" w:color="auto"/>
            </w:tcBorders>
            <w:shd w:val="clear" w:color="000000" w:fill="D9D9D9"/>
            <w:hideMark/>
          </w:tcPr>
          <w:p>
            <w:pPr>
              <w:keepNext/>
              <w:jc w:val="right"/>
              <w:rPr>
                <w:rFonts w:cs="Arial"/>
                <w:b/>
                <w:i/>
                <w:noProof/>
                <w:sz w:val="14"/>
              </w:rPr>
            </w:pPr>
            <w:r>
              <w:rPr>
                <w:rFonts w:cs="Verdana"/>
                <w:b/>
                <w:bCs/>
                <w:i/>
                <w:iCs/>
                <w:noProof/>
                <w:sz w:val="14"/>
                <w:szCs w:val="16"/>
              </w:rPr>
              <w:t xml:space="preserve"> 1</w:t>
            </w:r>
          </w:p>
        </w:tc>
        <w:tc>
          <w:tcPr>
            <w:tcW w:w="804" w:type="dxa"/>
            <w:tcBorders>
              <w:top w:val="single" w:sz="4" w:space="0" w:color="auto"/>
              <w:left w:val="nil"/>
              <w:bottom w:val="single" w:sz="4" w:space="0" w:color="auto"/>
              <w:right w:val="single" w:sz="8" w:space="0" w:color="auto"/>
            </w:tcBorders>
            <w:shd w:val="clear" w:color="000000" w:fill="D9D9D9"/>
            <w:hideMark/>
          </w:tcPr>
          <w:p>
            <w:pPr>
              <w:keepNext/>
              <w:jc w:val="right"/>
              <w:rPr>
                <w:rFonts w:eastAsia="Calibri" w:cs="Arial"/>
                <w:b/>
                <w:i/>
                <w:noProof/>
                <w:sz w:val="14"/>
              </w:rPr>
            </w:pPr>
            <w:r>
              <w:rPr>
                <w:rFonts w:cs="Verdana"/>
                <w:b/>
                <w:bCs/>
                <w:i/>
                <w:iCs/>
                <w:noProof/>
                <w:sz w:val="14"/>
                <w:szCs w:val="16"/>
              </w:rPr>
              <w:t>0.0</w:t>
            </w:r>
          </w:p>
        </w:tc>
      </w:tr>
      <w:tr>
        <w:trPr>
          <w:trHeight w:val="227"/>
        </w:trPr>
        <w:tc>
          <w:tcPr>
            <w:tcW w:w="2552" w:type="dxa"/>
            <w:tcBorders>
              <w:top w:val="nil"/>
              <w:left w:val="single" w:sz="8" w:space="0" w:color="auto"/>
              <w:bottom w:val="nil"/>
              <w:right w:val="single" w:sz="8" w:space="0" w:color="auto"/>
            </w:tcBorders>
            <w:shd w:val="clear" w:color="auto" w:fill="auto"/>
            <w:noWrap/>
            <w:vAlign w:val="center"/>
            <w:hideMark/>
          </w:tcPr>
          <w:p>
            <w:pPr>
              <w:keepNext/>
              <w:rPr>
                <w:rFonts w:cs="Arial"/>
                <w:i/>
                <w:noProof/>
                <w:color w:val="000000"/>
                <w:sz w:val="14"/>
              </w:rPr>
            </w:pPr>
            <w:r>
              <w:rPr>
                <w:rFonts w:cs="Arial"/>
                <w:i/>
                <w:noProof/>
                <w:color w:val="000000"/>
                <w:sz w:val="14"/>
              </w:rPr>
              <w:t>Administration</w:t>
            </w:r>
          </w:p>
        </w:tc>
        <w:tc>
          <w:tcPr>
            <w:tcW w:w="803" w:type="dxa"/>
            <w:tcBorders>
              <w:top w:val="nil"/>
              <w:left w:val="nil"/>
              <w:bottom w:val="nil"/>
              <w:right w:val="single" w:sz="8" w:space="0" w:color="auto"/>
            </w:tcBorders>
            <w:shd w:val="clear" w:color="auto" w:fill="auto"/>
            <w:hideMark/>
          </w:tcPr>
          <w:p>
            <w:pPr>
              <w:keepNext/>
              <w:jc w:val="right"/>
              <w:rPr>
                <w:rFonts w:cs="Arial"/>
                <w:noProof/>
                <w:sz w:val="14"/>
              </w:rPr>
            </w:pPr>
            <w:r>
              <w:rPr>
                <w:rFonts w:cs="Verdana"/>
                <w:noProof/>
                <w:sz w:val="14"/>
                <w:szCs w:val="16"/>
              </w:rPr>
              <w:t>9</w:t>
            </w:r>
            <w:r>
              <w:rPr>
                <w:rFonts w:ascii="Calibri" w:hAnsi="Calibri" w:cs="Calibri"/>
                <w:noProof/>
                <w:sz w:val="14"/>
                <w:szCs w:val="16"/>
              </w:rPr>
              <w:t> </w:t>
            </w:r>
            <w:r>
              <w:rPr>
                <w:rFonts w:cs="Verdana"/>
                <w:noProof/>
                <w:sz w:val="14"/>
                <w:szCs w:val="16"/>
              </w:rPr>
              <w:t xml:space="preserve">944 </w:t>
            </w:r>
          </w:p>
        </w:tc>
        <w:tc>
          <w:tcPr>
            <w:tcW w:w="803" w:type="dxa"/>
            <w:tcBorders>
              <w:top w:val="nil"/>
              <w:left w:val="nil"/>
              <w:bottom w:val="nil"/>
              <w:right w:val="single" w:sz="4" w:space="0" w:color="auto"/>
            </w:tcBorders>
            <w:shd w:val="clear" w:color="auto" w:fill="auto"/>
            <w:hideMark/>
          </w:tcPr>
          <w:p>
            <w:pPr>
              <w:keepNext/>
              <w:jc w:val="right"/>
              <w:rPr>
                <w:rFonts w:cs="Arial"/>
                <w:noProof/>
                <w:sz w:val="14"/>
              </w:rPr>
            </w:pPr>
            <w:r>
              <w:rPr>
                <w:rFonts w:cs="Verdana"/>
                <w:noProof/>
                <w:sz w:val="14"/>
                <w:szCs w:val="16"/>
              </w:rPr>
              <w:t>N/A</w:t>
            </w:r>
          </w:p>
        </w:tc>
        <w:tc>
          <w:tcPr>
            <w:tcW w:w="803" w:type="dxa"/>
            <w:tcBorders>
              <w:top w:val="nil"/>
              <w:left w:val="nil"/>
              <w:bottom w:val="nil"/>
              <w:right w:val="single" w:sz="4" w:space="0" w:color="auto"/>
            </w:tcBorders>
            <w:shd w:val="clear" w:color="auto" w:fill="auto"/>
            <w:hideMark/>
          </w:tcPr>
          <w:p>
            <w:pPr>
              <w:keepNext/>
              <w:jc w:val="right"/>
              <w:rPr>
                <w:rFonts w:cs="Arial"/>
                <w:noProof/>
                <w:sz w:val="14"/>
              </w:rPr>
            </w:pPr>
            <w:r>
              <w:rPr>
                <w:rFonts w:cs="Verdana"/>
                <w:noProof/>
                <w:sz w:val="14"/>
                <w:szCs w:val="16"/>
              </w:rPr>
              <w:t xml:space="preserve"> 1</w:t>
            </w:r>
          </w:p>
        </w:tc>
        <w:tc>
          <w:tcPr>
            <w:tcW w:w="803" w:type="dxa"/>
            <w:tcBorders>
              <w:top w:val="nil"/>
              <w:left w:val="nil"/>
              <w:bottom w:val="nil"/>
              <w:right w:val="single" w:sz="4" w:space="0" w:color="auto"/>
            </w:tcBorders>
            <w:shd w:val="clear" w:color="auto" w:fill="auto"/>
            <w:hideMark/>
          </w:tcPr>
          <w:p>
            <w:pPr>
              <w:keepNext/>
              <w:jc w:val="right"/>
              <w:rPr>
                <w:rFonts w:cs="Arial"/>
                <w:b/>
                <w:noProof/>
                <w:sz w:val="14"/>
              </w:rPr>
            </w:pPr>
            <w:r>
              <w:rPr>
                <w:rFonts w:cs="Verdana"/>
                <w:b/>
                <w:bCs/>
                <w:noProof/>
                <w:sz w:val="14"/>
                <w:szCs w:val="16"/>
              </w:rPr>
              <w:t xml:space="preserve"> 1</w:t>
            </w:r>
          </w:p>
        </w:tc>
        <w:tc>
          <w:tcPr>
            <w:tcW w:w="804" w:type="dxa"/>
            <w:tcBorders>
              <w:top w:val="nil"/>
              <w:left w:val="nil"/>
              <w:bottom w:val="single" w:sz="4" w:space="0" w:color="auto"/>
              <w:right w:val="single" w:sz="8" w:space="0" w:color="auto"/>
            </w:tcBorders>
            <w:shd w:val="clear" w:color="auto" w:fill="auto"/>
            <w:hideMark/>
          </w:tcPr>
          <w:p>
            <w:pPr>
              <w:keepNext/>
              <w:jc w:val="right"/>
              <w:rPr>
                <w:rFonts w:eastAsia="Calibri" w:cs="Arial"/>
                <w:i/>
                <w:iCs/>
                <w:noProof/>
                <w:sz w:val="14"/>
                <w:szCs w:val="14"/>
              </w:rPr>
            </w:pPr>
            <w:r>
              <w:rPr>
                <w:rFonts w:cs="Verdana"/>
                <w:i/>
                <w:iCs/>
                <w:noProof/>
                <w:sz w:val="14"/>
                <w:szCs w:val="16"/>
              </w:rPr>
              <w:t>0.0</w:t>
            </w:r>
          </w:p>
        </w:tc>
        <w:tc>
          <w:tcPr>
            <w:tcW w:w="803" w:type="dxa"/>
            <w:tcBorders>
              <w:top w:val="nil"/>
              <w:left w:val="nil"/>
              <w:bottom w:val="nil"/>
              <w:right w:val="single" w:sz="4" w:space="0" w:color="auto"/>
            </w:tcBorders>
            <w:shd w:val="clear" w:color="000000" w:fill="FFFFFF"/>
            <w:hideMark/>
          </w:tcPr>
          <w:p>
            <w:pPr>
              <w:keepNext/>
              <w:jc w:val="right"/>
              <w:rPr>
                <w:rFonts w:cs="Arial"/>
                <w:noProof/>
                <w:sz w:val="14"/>
              </w:rPr>
            </w:pPr>
            <w:r>
              <w:rPr>
                <w:rFonts w:cs="Verdana"/>
                <w:noProof/>
                <w:sz w:val="14"/>
                <w:szCs w:val="16"/>
              </w:rPr>
              <w:t>N/A</w:t>
            </w:r>
          </w:p>
        </w:tc>
        <w:tc>
          <w:tcPr>
            <w:tcW w:w="803" w:type="dxa"/>
            <w:tcBorders>
              <w:top w:val="nil"/>
              <w:left w:val="nil"/>
              <w:bottom w:val="nil"/>
              <w:right w:val="single" w:sz="4" w:space="0" w:color="auto"/>
            </w:tcBorders>
            <w:shd w:val="clear" w:color="auto" w:fill="auto"/>
            <w:hideMark/>
          </w:tcPr>
          <w:p>
            <w:pPr>
              <w:keepNext/>
              <w:jc w:val="right"/>
              <w:rPr>
                <w:rFonts w:cs="Arial"/>
                <w:noProof/>
                <w:sz w:val="14"/>
              </w:rPr>
            </w:pPr>
            <w:r>
              <w:rPr>
                <w:rFonts w:cs="Verdana"/>
                <w:noProof/>
                <w:sz w:val="14"/>
                <w:szCs w:val="16"/>
              </w:rPr>
              <w:t xml:space="preserve"> 1</w:t>
            </w:r>
          </w:p>
        </w:tc>
        <w:tc>
          <w:tcPr>
            <w:tcW w:w="803" w:type="dxa"/>
            <w:tcBorders>
              <w:top w:val="nil"/>
              <w:left w:val="nil"/>
              <w:bottom w:val="nil"/>
              <w:right w:val="single" w:sz="4" w:space="0" w:color="auto"/>
            </w:tcBorders>
            <w:shd w:val="clear" w:color="auto" w:fill="auto"/>
            <w:hideMark/>
          </w:tcPr>
          <w:p>
            <w:pPr>
              <w:keepNext/>
              <w:jc w:val="right"/>
              <w:rPr>
                <w:rFonts w:cs="Arial"/>
                <w:b/>
                <w:noProof/>
                <w:sz w:val="14"/>
              </w:rPr>
            </w:pPr>
            <w:r>
              <w:rPr>
                <w:rFonts w:cs="Verdana"/>
                <w:b/>
                <w:bCs/>
                <w:noProof/>
                <w:sz w:val="14"/>
                <w:szCs w:val="16"/>
              </w:rPr>
              <w:t xml:space="preserve"> 1</w:t>
            </w:r>
          </w:p>
        </w:tc>
        <w:tc>
          <w:tcPr>
            <w:tcW w:w="804" w:type="dxa"/>
            <w:tcBorders>
              <w:top w:val="nil"/>
              <w:left w:val="nil"/>
              <w:bottom w:val="single" w:sz="4" w:space="0" w:color="auto"/>
              <w:right w:val="single" w:sz="8" w:space="0" w:color="auto"/>
            </w:tcBorders>
            <w:shd w:val="clear" w:color="auto" w:fill="auto"/>
            <w:hideMark/>
          </w:tcPr>
          <w:p>
            <w:pPr>
              <w:keepNext/>
              <w:jc w:val="right"/>
              <w:rPr>
                <w:rFonts w:eastAsia="Calibri" w:cs="Arial"/>
                <w:i/>
                <w:noProof/>
                <w:sz w:val="14"/>
              </w:rPr>
            </w:pPr>
            <w:r>
              <w:rPr>
                <w:rFonts w:cs="Verdana"/>
                <w:i/>
                <w:iCs/>
                <w:noProof/>
                <w:sz w:val="14"/>
                <w:szCs w:val="16"/>
              </w:rPr>
              <w:t>0.0</w:t>
            </w:r>
          </w:p>
        </w:tc>
      </w:tr>
      <w:tr>
        <w:trPr>
          <w:trHeight w:val="323"/>
        </w:trPr>
        <w:tc>
          <w:tcPr>
            <w:tcW w:w="2552" w:type="dxa"/>
            <w:tcBorders>
              <w:top w:val="single" w:sz="4" w:space="0" w:color="auto"/>
              <w:left w:val="single" w:sz="8" w:space="0" w:color="auto"/>
              <w:bottom w:val="single" w:sz="8" w:space="0" w:color="auto"/>
              <w:right w:val="single" w:sz="8" w:space="0" w:color="auto"/>
            </w:tcBorders>
            <w:shd w:val="clear" w:color="000000" w:fill="D9D9D9"/>
            <w:noWrap/>
            <w:vAlign w:val="center"/>
            <w:hideMark/>
          </w:tcPr>
          <w:p>
            <w:pPr>
              <w:keepNext/>
              <w:rPr>
                <w:rFonts w:cs="Arial"/>
                <w:b/>
                <w:i/>
                <w:noProof/>
                <w:color w:val="000000"/>
                <w:sz w:val="14"/>
              </w:rPr>
            </w:pPr>
            <w:r>
              <w:rPr>
                <w:rFonts w:cs="Arial"/>
                <w:b/>
                <w:i/>
                <w:noProof/>
                <w:color w:val="000000"/>
                <w:sz w:val="14"/>
              </w:rPr>
              <w:t>Total</w:t>
            </w:r>
          </w:p>
        </w:tc>
        <w:tc>
          <w:tcPr>
            <w:tcW w:w="803" w:type="dxa"/>
            <w:tcBorders>
              <w:top w:val="single" w:sz="4" w:space="0" w:color="auto"/>
              <w:left w:val="nil"/>
              <w:bottom w:val="single" w:sz="8" w:space="0" w:color="auto"/>
              <w:right w:val="single" w:sz="8" w:space="0" w:color="auto"/>
            </w:tcBorders>
            <w:shd w:val="clear" w:color="000000" w:fill="D9D9D9"/>
            <w:noWrap/>
            <w:vAlign w:val="center"/>
            <w:hideMark/>
          </w:tcPr>
          <w:p>
            <w:pPr>
              <w:keepNext/>
              <w:jc w:val="right"/>
              <w:rPr>
                <w:rFonts w:cs="Arial"/>
                <w:b/>
                <w:i/>
                <w:noProof/>
                <w:sz w:val="14"/>
              </w:rPr>
            </w:pPr>
            <w:r>
              <w:rPr>
                <w:rFonts w:cs="Verdana"/>
                <w:b/>
                <w:bCs/>
                <w:noProof/>
                <w:sz w:val="14"/>
                <w:szCs w:val="16"/>
              </w:rPr>
              <w:t>156</w:t>
            </w:r>
            <w:r>
              <w:rPr>
                <w:rFonts w:ascii="Calibri" w:hAnsi="Calibri" w:cs="Calibri"/>
                <w:b/>
                <w:bCs/>
                <w:noProof/>
                <w:sz w:val="14"/>
                <w:szCs w:val="16"/>
              </w:rPr>
              <w:t> </w:t>
            </w:r>
            <w:r>
              <w:rPr>
                <w:rFonts w:cs="Verdana"/>
                <w:b/>
                <w:bCs/>
                <w:noProof/>
                <w:sz w:val="14"/>
                <w:szCs w:val="16"/>
              </w:rPr>
              <w:t>493*</w:t>
            </w:r>
          </w:p>
        </w:tc>
        <w:tc>
          <w:tcPr>
            <w:tcW w:w="803" w:type="dxa"/>
            <w:tcBorders>
              <w:top w:val="single" w:sz="4" w:space="0" w:color="auto"/>
              <w:left w:val="nil"/>
              <w:bottom w:val="single" w:sz="8" w:space="0" w:color="auto"/>
              <w:right w:val="nil"/>
            </w:tcBorders>
            <w:shd w:val="clear" w:color="000000" w:fill="D9D9D9"/>
            <w:noWrap/>
            <w:vAlign w:val="center"/>
            <w:hideMark/>
          </w:tcPr>
          <w:p>
            <w:pPr>
              <w:keepNext/>
              <w:jc w:val="right"/>
              <w:rPr>
                <w:rFonts w:cs="Arial"/>
                <w:b/>
                <w:i/>
                <w:noProof/>
                <w:sz w:val="14"/>
              </w:rPr>
            </w:pPr>
            <w:r>
              <w:rPr>
                <w:rFonts w:cs="Verdana"/>
                <w:b/>
                <w:bCs/>
                <w:noProof/>
                <w:sz w:val="14"/>
                <w:szCs w:val="16"/>
              </w:rPr>
              <w:t xml:space="preserve"> 913</w:t>
            </w:r>
          </w:p>
        </w:tc>
        <w:tc>
          <w:tcPr>
            <w:tcW w:w="803" w:type="dxa"/>
            <w:tcBorders>
              <w:top w:val="single" w:sz="4" w:space="0" w:color="auto"/>
              <w:left w:val="single" w:sz="4" w:space="0" w:color="auto"/>
              <w:bottom w:val="single" w:sz="8" w:space="0" w:color="auto"/>
              <w:right w:val="single" w:sz="4" w:space="0" w:color="auto"/>
            </w:tcBorders>
            <w:shd w:val="clear" w:color="000000" w:fill="D9D9D9"/>
            <w:noWrap/>
            <w:vAlign w:val="center"/>
            <w:hideMark/>
          </w:tcPr>
          <w:p>
            <w:pPr>
              <w:keepNext/>
              <w:jc w:val="right"/>
              <w:rPr>
                <w:rFonts w:cs="Arial"/>
                <w:b/>
                <w:i/>
                <w:noProof/>
                <w:sz w:val="14"/>
              </w:rPr>
            </w:pPr>
            <w:r>
              <w:rPr>
                <w:rFonts w:cs="Verdana"/>
                <w:b/>
                <w:bCs/>
                <w:noProof/>
                <w:sz w:val="14"/>
                <w:szCs w:val="16"/>
              </w:rPr>
              <w:t xml:space="preserve"> 757</w:t>
            </w:r>
          </w:p>
        </w:tc>
        <w:tc>
          <w:tcPr>
            <w:tcW w:w="803" w:type="dxa"/>
            <w:tcBorders>
              <w:top w:val="single" w:sz="4" w:space="0" w:color="auto"/>
              <w:left w:val="nil"/>
              <w:bottom w:val="single" w:sz="8" w:space="0" w:color="auto"/>
              <w:right w:val="single" w:sz="4" w:space="0" w:color="auto"/>
            </w:tcBorders>
            <w:shd w:val="clear" w:color="000000" w:fill="D9D9D9"/>
            <w:noWrap/>
            <w:vAlign w:val="center"/>
            <w:hideMark/>
          </w:tcPr>
          <w:p>
            <w:pPr>
              <w:keepNext/>
              <w:jc w:val="right"/>
              <w:rPr>
                <w:rFonts w:cs="Arial"/>
                <w:b/>
                <w:i/>
                <w:noProof/>
                <w:sz w:val="14"/>
              </w:rPr>
            </w:pPr>
            <w:r>
              <w:rPr>
                <w:rFonts w:cs="Verdana"/>
                <w:b/>
                <w:bCs/>
                <w:noProof/>
                <w:sz w:val="14"/>
                <w:szCs w:val="16"/>
              </w:rPr>
              <w:t>1</w:t>
            </w:r>
            <w:r>
              <w:rPr>
                <w:rFonts w:ascii="Calibri" w:hAnsi="Calibri" w:cs="Calibri"/>
                <w:b/>
                <w:bCs/>
                <w:noProof/>
                <w:sz w:val="14"/>
                <w:szCs w:val="16"/>
              </w:rPr>
              <w:t> </w:t>
            </w:r>
            <w:r>
              <w:rPr>
                <w:rFonts w:cs="Verdana"/>
                <w:b/>
                <w:bCs/>
                <w:noProof/>
                <w:sz w:val="14"/>
                <w:szCs w:val="16"/>
              </w:rPr>
              <w:t>671</w:t>
            </w:r>
          </w:p>
        </w:tc>
        <w:tc>
          <w:tcPr>
            <w:tcW w:w="804" w:type="dxa"/>
            <w:tcBorders>
              <w:top w:val="single" w:sz="4" w:space="0" w:color="auto"/>
              <w:left w:val="single" w:sz="4" w:space="0" w:color="auto"/>
              <w:bottom w:val="single" w:sz="8" w:space="0" w:color="auto"/>
              <w:right w:val="single" w:sz="8" w:space="0" w:color="auto"/>
            </w:tcBorders>
            <w:shd w:val="clear" w:color="000000" w:fill="D9D9D9"/>
            <w:noWrap/>
            <w:vAlign w:val="center"/>
            <w:hideMark/>
          </w:tcPr>
          <w:p>
            <w:pPr>
              <w:keepNext/>
              <w:jc w:val="right"/>
              <w:rPr>
                <w:rFonts w:eastAsia="Calibri" w:cs="Arial"/>
                <w:b/>
                <w:bCs/>
                <w:i/>
                <w:noProof/>
                <w:sz w:val="14"/>
                <w:szCs w:val="14"/>
              </w:rPr>
            </w:pPr>
            <w:r>
              <w:rPr>
                <w:rFonts w:cs="Verdana"/>
                <w:b/>
                <w:bCs/>
                <w:noProof/>
                <w:sz w:val="14"/>
                <w:szCs w:val="16"/>
              </w:rPr>
              <w:t>1.1</w:t>
            </w:r>
          </w:p>
        </w:tc>
        <w:tc>
          <w:tcPr>
            <w:tcW w:w="803" w:type="dxa"/>
            <w:tcBorders>
              <w:top w:val="single" w:sz="4" w:space="0" w:color="auto"/>
              <w:left w:val="nil"/>
              <w:bottom w:val="single" w:sz="8" w:space="0" w:color="auto"/>
              <w:right w:val="nil"/>
            </w:tcBorders>
            <w:shd w:val="clear" w:color="000000" w:fill="D9D9D9"/>
            <w:noWrap/>
            <w:vAlign w:val="center"/>
            <w:hideMark/>
          </w:tcPr>
          <w:p>
            <w:pPr>
              <w:keepNext/>
              <w:jc w:val="right"/>
              <w:rPr>
                <w:rFonts w:cs="Arial"/>
                <w:b/>
                <w:i/>
                <w:noProof/>
                <w:sz w:val="14"/>
              </w:rPr>
            </w:pPr>
            <w:r>
              <w:rPr>
                <w:rFonts w:cs="Verdana"/>
                <w:b/>
                <w:bCs/>
                <w:noProof/>
                <w:sz w:val="14"/>
                <w:szCs w:val="16"/>
              </w:rPr>
              <w:t>2</w:t>
            </w:r>
            <w:r>
              <w:rPr>
                <w:rFonts w:ascii="Calibri" w:hAnsi="Calibri" w:cs="Calibri"/>
                <w:b/>
                <w:bCs/>
                <w:noProof/>
                <w:sz w:val="14"/>
                <w:szCs w:val="16"/>
              </w:rPr>
              <w:t> </w:t>
            </w:r>
            <w:r>
              <w:rPr>
                <w:rFonts w:cs="Verdana"/>
                <w:b/>
                <w:bCs/>
                <w:noProof/>
                <w:sz w:val="14"/>
                <w:szCs w:val="16"/>
              </w:rPr>
              <w:t>288</w:t>
            </w:r>
          </w:p>
        </w:tc>
        <w:tc>
          <w:tcPr>
            <w:tcW w:w="803" w:type="dxa"/>
            <w:tcBorders>
              <w:top w:val="single" w:sz="4" w:space="0" w:color="auto"/>
              <w:left w:val="single" w:sz="4" w:space="0" w:color="auto"/>
              <w:bottom w:val="single" w:sz="8" w:space="0" w:color="auto"/>
              <w:right w:val="single" w:sz="4" w:space="0" w:color="auto"/>
            </w:tcBorders>
            <w:shd w:val="clear" w:color="000000" w:fill="D9D9D9"/>
            <w:noWrap/>
            <w:vAlign w:val="center"/>
            <w:hideMark/>
          </w:tcPr>
          <w:p>
            <w:pPr>
              <w:keepNext/>
              <w:jc w:val="right"/>
              <w:rPr>
                <w:rFonts w:cs="Arial"/>
                <w:b/>
                <w:i/>
                <w:noProof/>
                <w:sz w:val="14"/>
              </w:rPr>
            </w:pPr>
            <w:r>
              <w:rPr>
                <w:rFonts w:cs="Verdana"/>
                <w:b/>
                <w:bCs/>
                <w:noProof/>
                <w:sz w:val="14"/>
                <w:szCs w:val="16"/>
              </w:rPr>
              <w:t xml:space="preserve"> 873</w:t>
            </w:r>
          </w:p>
        </w:tc>
        <w:tc>
          <w:tcPr>
            <w:tcW w:w="803" w:type="dxa"/>
            <w:tcBorders>
              <w:top w:val="single" w:sz="4" w:space="0" w:color="auto"/>
              <w:left w:val="nil"/>
              <w:bottom w:val="single" w:sz="8" w:space="0" w:color="auto"/>
              <w:right w:val="single" w:sz="4" w:space="0" w:color="auto"/>
            </w:tcBorders>
            <w:shd w:val="clear" w:color="000000" w:fill="D9D9D9"/>
            <w:noWrap/>
            <w:vAlign w:val="center"/>
            <w:hideMark/>
          </w:tcPr>
          <w:p>
            <w:pPr>
              <w:keepNext/>
              <w:jc w:val="right"/>
              <w:rPr>
                <w:rFonts w:cs="Arial"/>
                <w:b/>
                <w:i/>
                <w:noProof/>
                <w:sz w:val="14"/>
              </w:rPr>
            </w:pPr>
            <w:r>
              <w:rPr>
                <w:rFonts w:cs="Verdana"/>
                <w:b/>
                <w:bCs/>
                <w:noProof/>
                <w:sz w:val="14"/>
                <w:szCs w:val="16"/>
              </w:rPr>
              <w:t>3</w:t>
            </w:r>
            <w:r>
              <w:rPr>
                <w:rFonts w:ascii="Calibri" w:hAnsi="Calibri" w:cs="Calibri"/>
                <w:b/>
                <w:bCs/>
                <w:noProof/>
                <w:sz w:val="14"/>
                <w:szCs w:val="16"/>
              </w:rPr>
              <w:t> </w:t>
            </w:r>
            <w:r>
              <w:rPr>
                <w:rFonts w:cs="Verdana"/>
                <w:b/>
                <w:bCs/>
                <w:noProof/>
                <w:sz w:val="14"/>
                <w:szCs w:val="16"/>
              </w:rPr>
              <w:t>161</w:t>
            </w:r>
          </w:p>
        </w:tc>
        <w:tc>
          <w:tcPr>
            <w:tcW w:w="804" w:type="dxa"/>
            <w:tcBorders>
              <w:top w:val="single" w:sz="4" w:space="0" w:color="auto"/>
              <w:left w:val="single" w:sz="4" w:space="0" w:color="auto"/>
              <w:bottom w:val="single" w:sz="8" w:space="0" w:color="auto"/>
              <w:right w:val="single" w:sz="8" w:space="0" w:color="auto"/>
            </w:tcBorders>
            <w:shd w:val="clear" w:color="000000" w:fill="D9D9D9"/>
            <w:noWrap/>
            <w:vAlign w:val="center"/>
            <w:hideMark/>
          </w:tcPr>
          <w:p>
            <w:pPr>
              <w:keepNext/>
              <w:jc w:val="right"/>
              <w:rPr>
                <w:rFonts w:eastAsia="Calibri" w:cs="Arial"/>
                <w:b/>
                <w:i/>
                <w:noProof/>
                <w:sz w:val="14"/>
              </w:rPr>
            </w:pPr>
            <w:r>
              <w:rPr>
                <w:rFonts w:cs="Verdana"/>
                <w:b/>
                <w:bCs/>
                <w:noProof/>
                <w:sz w:val="14"/>
                <w:szCs w:val="16"/>
              </w:rPr>
              <w:t>2.0</w:t>
            </w:r>
          </w:p>
        </w:tc>
      </w:tr>
    </w:tbl>
    <w:p>
      <w:pPr>
        <w:pStyle w:val="Source-Table-Chart-PhotoCaption"/>
        <w:rPr>
          <w:noProof/>
        </w:rPr>
      </w:pPr>
      <w:r>
        <w:rPr>
          <w:rStyle w:val="italics"/>
          <w:noProof/>
        </w:rPr>
        <w:t>Table 1.1:</w:t>
      </w:r>
      <w:r>
        <w:rPr>
          <w:noProof/>
        </w:rPr>
        <w:t xml:space="preserve"> Financial corrections and recoveries overview for 2018</w:t>
      </w:r>
      <w:r>
        <w:rPr>
          <w:rFonts w:ascii="Calibri" w:hAnsi="Calibri" w:cs="Calibri"/>
          <w:noProof/>
        </w:rPr>
        <w:t> </w:t>
      </w:r>
      <w:r>
        <w:rPr>
          <w:noProof/>
        </w:rPr>
        <w:t>(</w:t>
      </w:r>
      <w:r>
        <w:rPr>
          <w:noProof/>
        </w:rPr>
        <w:footnoteReference w:id="32"/>
      </w:r>
      <w:r>
        <w:rPr>
          <w:noProof/>
        </w:rPr>
        <w:t>) in EUR</w:t>
      </w:r>
      <w:r>
        <w:rPr>
          <w:rFonts w:ascii="Calibri" w:hAnsi="Calibri" w:cs="Calibri"/>
          <w:noProof/>
        </w:rPr>
        <w:t> </w:t>
      </w:r>
      <w:r>
        <w:rPr>
          <w:noProof/>
        </w:rPr>
        <w:t>million</w:t>
      </w:r>
    </w:p>
    <w:p>
      <w:pPr>
        <w:pStyle w:val="Source-Table-Chart-PhotoCaption"/>
        <w:rPr>
          <w:noProof/>
        </w:rPr>
      </w:pPr>
      <w:r>
        <w:rPr>
          <w:noProof/>
        </w:rPr>
        <w:t>(*)</w:t>
      </w:r>
      <w:r>
        <w:rPr>
          <w:noProof/>
          <w:sz w:val="20"/>
          <w:szCs w:val="20"/>
        </w:rPr>
        <w:t xml:space="preserve"> </w:t>
      </w:r>
      <w:r>
        <w:rPr>
          <w:noProof/>
        </w:rPr>
        <w:t>Excludes EUR 180</w:t>
      </w:r>
      <w:r>
        <w:rPr>
          <w:rFonts w:ascii="Calibri" w:hAnsi="Calibri" w:cs="Calibri"/>
          <w:noProof/>
        </w:rPr>
        <w:t> </w:t>
      </w:r>
      <w:r>
        <w:rPr>
          <w:noProof/>
        </w:rPr>
        <w:t>million paid out under the special instruments heading.</w:t>
      </w:r>
    </w:p>
    <w:p>
      <w:pPr>
        <w:pStyle w:val="Annex4-H4"/>
        <w:rPr>
          <w:noProof/>
        </w:rPr>
      </w:pPr>
      <w:bookmarkStart w:id="114" w:name="_Toc484626482"/>
      <w:bookmarkStart w:id="115" w:name="_Toc512866524"/>
      <w:bookmarkStart w:id="116" w:name="_Toc8386196"/>
      <w:r>
        <w:rPr>
          <w:noProof/>
        </w:rPr>
        <w:t>1.1.1.</w:t>
      </w:r>
      <w:r>
        <w:rPr>
          <w:noProof/>
        </w:rPr>
        <w:tab/>
        <w:t>Agriculture and rural development</w:t>
      </w:r>
      <w:bookmarkEnd w:id="114"/>
      <w:bookmarkEnd w:id="115"/>
      <w:bookmarkEnd w:id="116"/>
    </w:p>
    <w:p>
      <w:pPr>
        <w:pStyle w:val="BodyText1spaceafter"/>
        <w:rPr>
          <w:rStyle w:val="AMPRTextChar"/>
          <w:rFonts w:eastAsia="Calibri"/>
          <w:color w:val="000000" w:themeColor="text1"/>
          <w:sz w:val="20"/>
          <w:szCs w:val="22"/>
          <w:lang w:eastAsia="fr-BE"/>
        </w:rPr>
      </w:pPr>
      <w:r>
        <w:rPr>
          <w:szCs w:val="20"/>
        </w:rPr>
        <w:t xml:space="preserve">The </w:t>
      </w:r>
      <w:r>
        <w:rPr>
          <w:rStyle w:val="BOLDORANGEAnnexes"/>
        </w:rPr>
        <w:t>financial corrections</w:t>
      </w:r>
      <w:r>
        <w:rPr>
          <w:rStyle w:val="BOLDORANGEAnnexes"/>
          <w:rFonts w:ascii="Calibri" w:hAnsi="Calibri" w:cs="Calibri"/>
        </w:rPr>
        <w:t> </w:t>
      </w:r>
      <w:r>
        <w:rPr>
          <w:rStyle w:val="BOLDORANGEAnnexes"/>
          <w:b w:val="0"/>
          <w:color w:val="auto"/>
        </w:rPr>
        <w:t>(</w:t>
      </w:r>
      <w:r>
        <w:rPr>
          <w:color w:val="auto"/>
        </w:rPr>
        <w:footnoteReference w:id="33"/>
      </w:r>
      <w:r>
        <w:rPr>
          <w:rStyle w:val="BOLDORANGEAnnexes"/>
          <w:b w:val="0"/>
          <w:color w:val="auto"/>
        </w:rPr>
        <w:t>)</w:t>
      </w:r>
      <w:r>
        <w:rPr>
          <w:szCs w:val="20"/>
        </w:rPr>
        <w:t xml:space="preserve"> confirmed by the Commission in 2018 reflect the significant efforts made by the Commission (DG Agriculture and Rural Development) in accelerating the conformity clearance processes. As regards correcting irregularities committed by the beneficiary, Member States must record and report on the </w:t>
      </w:r>
      <w:r>
        <w:rPr>
          <w:rStyle w:val="BOLDORANGEAnnexes"/>
        </w:rPr>
        <w:t>recovery</w:t>
      </w:r>
      <w:r>
        <w:rPr>
          <w:rStyle w:val="BOLDORANGEAnnexes"/>
          <w:rFonts w:ascii="Calibri" w:hAnsi="Calibri" w:cs="Calibri"/>
        </w:rPr>
        <w:t> </w:t>
      </w:r>
      <w:r>
        <w:rPr>
          <w:rStyle w:val="BOLDORANGEAnnexes"/>
          <w:b w:val="0"/>
          <w:color w:val="auto"/>
        </w:rPr>
        <w:t>(</w:t>
      </w:r>
      <w:r>
        <w:rPr>
          <w:color w:val="auto"/>
        </w:rPr>
        <w:footnoteReference w:id="34"/>
      </w:r>
      <w:r>
        <w:rPr>
          <w:rStyle w:val="BOLDORANGEAnnexes"/>
          <w:b w:val="0"/>
          <w:color w:val="auto"/>
        </w:rPr>
        <w:t>)</w:t>
      </w:r>
      <w:r>
        <w:rPr>
          <w:rStyle w:val="AMPRTextChar"/>
          <w:rFonts w:eastAsia="Calibri"/>
          <w:szCs w:val="20"/>
        </w:rPr>
        <w:t xml:space="preserve"> </w:t>
      </w:r>
      <w:r>
        <w:rPr>
          <w:szCs w:val="20"/>
        </w:rPr>
        <w:t>of the amounts unduly spent within the annual financial clearance exercise. Recovering irregular payments directly from the final beneficiaries is the sole responsibility of the Member States.</w:t>
      </w:r>
    </w:p>
    <w:p>
      <w:pPr>
        <w:pStyle w:val="Annex4-H4"/>
        <w:rPr>
          <w:noProof/>
        </w:rPr>
      </w:pPr>
      <w:bookmarkStart w:id="117" w:name="_Toc484626483"/>
      <w:bookmarkStart w:id="118" w:name="_Toc8386197"/>
      <w:r>
        <w:rPr>
          <w:noProof/>
        </w:rPr>
        <w:t>1.1.2.</w:t>
      </w:r>
      <w:r>
        <w:rPr>
          <w:noProof/>
        </w:rPr>
        <w:tab/>
        <w:t>Cohesion</w:t>
      </w:r>
      <w:bookmarkEnd w:id="117"/>
      <w:bookmarkEnd w:id="118"/>
      <w:r>
        <w:rPr>
          <w:noProof/>
        </w:rPr>
        <w:t xml:space="preserve"> </w:t>
      </w:r>
    </w:p>
    <w:p>
      <w:pPr>
        <w:pStyle w:val="Annex4-subheading1"/>
        <w:rPr>
          <w:i/>
          <w:noProof/>
        </w:rPr>
      </w:pPr>
      <w:r>
        <w:rPr>
          <w:i/>
          <w:noProof/>
        </w:rPr>
        <w:t>2007-2013 programming period</w:t>
      </w:r>
    </w:p>
    <w:p>
      <w:pPr>
        <w:pStyle w:val="BodyText1spaceafter"/>
        <w:spacing w:before="240"/>
        <w:rPr>
          <w:szCs w:val="20"/>
        </w:rPr>
      </w:pPr>
      <w:r>
        <w:rPr>
          <w:szCs w:val="20"/>
        </w:rPr>
        <w:t xml:space="preserve">For the </w:t>
      </w:r>
      <w:r>
        <w:rPr>
          <w:rStyle w:val="BOLDORANGEAnnexes"/>
        </w:rPr>
        <w:t>European Regional Development Fund/Cohesion Fund</w:t>
      </w:r>
      <w:r>
        <w:rPr>
          <w:bCs/>
          <w:szCs w:val="20"/>
        </w:rPr>
        <w:t xml:space="preserve"> </w:t>
      </w:r>
      <w:r>
        <w:rPr>
          <w:szCs w:val="20"/>
        </w:rPr>
        <w:t>in 2018, EUR</w:t>
      </w:r>
      <w:r>
        <w:rPr>
          <w:rStyle w:val="Bodytext2Bold"/>
          <w:rFonts w:ascii="Calibri" w:hAnsi="Calibri" w:cs="Calibri"/>
          <w:b w:val="0"/>
          <w:color w:val="auto"/>
          <w:sz w:val="20"/>
          <w:szCs w:val="20"/>
          <w:lang w:val="en-GB"/>
        </w:rPr>
        <w:t> </w:t>
      </w:r>
      <w:r>
        <w:rPr>
          <w:szCs w:val="20"/>
        </w:rPr>
        <w:t>266</w:t>
      </w:r>
      <w:r>
        <w:rPr>
          <w:rStyle w:val="Bodytext2Bold"/>
          <w:rFonts w:ascii="Calibri" w:hAnsi="Calibri" w:cs="Calibri"/>
          <w:color w:val="auto"/>
          <w:szCs w:val="20"/>
          <w:lang w:val="en-GB"/>
        </w:rPr>
        <w:t> </w:t>
      </w:r>
      <w:r>
        <w:rPr>
          <w:szCs w:val="20"/>
        </w:rPr>
        <w:t>million were confirmed as financial corrections in the context of closure of the programmes as a consequence of the Commission supervisory role. The good progress made on closure in 2018 enabled to implement financial corrections amounting to EUR</w:t>
      </w:r>
      <w:r>
        <w:rPr>
          <w:rStyle w:val="Bodytext2Bold"/>
          <w:rFonts w:ascii="Calibri" w:hAnsi="Calibri" w:cs="Calibri"/>
          <w:b w:val="0"/>
          <w:color w:val="auto"/>
          <w:sz w:val="20"/>
          <w:szCs w:val="20"/>
          <w:lang w:val="en-GB"/>
        </w:rPr>
        <w:t> </w:t>
      </w:r>
      <w:r>
        <w:rPr>
          <w:szCs w:val="20"/>
        </w:rPr>
        <w:t>845</w:t>
      </w:r>
      <w:r>
        <w:rPr>
          <w:rStyle w:val="Bodytext2Bold"/>
          <w:rFonts w:ascii="Calibri" w:hAnsi="Calibri" w:cs="Calibri"/>
          <w:color w:val="auto"/>
          <w:szCs w:val="20"/>
          <w:lang w:val="en-GB"/>
        </w:rPr>
        <w:t> </w:t>
      </w:r>
      <w:r>
        <w:rPr>
          <w:szCs w:val="20"/>
        </w:rPr>
        <w:t xml:space="preserve">million. </w:t>
      </w:r>
    </w:p>
    <w:p>
      <w:pPr>
        <w:pStyle w:val="BodyText1spaceafter"/>
        <w:rPr>
          <w:szCs w:val="20"/>
        </w:rPr>
      </w:pPr>
      <w:r>
        <w:rPr>
          <w:szCs w:val="20"/>
        </w:rPr>
        <w:t>The Member State with the highest corrections in 2018 was Hungary (EUR</w:t>
      </w:r>
      <w:r>
        <w:rPr>
          <w:rStyle w:val="Bodytext2Bold"/>
          <w:rFonts w:ascii="Calibri" w:hAnsi="Calibri" w:cs="Calibri"/>
          <w:b w:val="0"/>
          <w:color w:val="auto"/>
          <w:sz w:val="20"/>
          <w:szCs w:val="20"/>
          <w:lang w:val="en-GB"/>
        </w:rPr>
        <w:t> </w:t>
      </w:r>
      <w:r>
        <w:rPr>
          <w:szCs w:val="20"/>
        </w:rPr>
        <w:t>142</w:t>
      </w:r>
      <w:r>
        <w:rPr>
          <w:rStyle w:val="Bodytext2Bold"/>
          <w:rFonts w:ascii="Calibri" w:hAnsi="Calibri" w:cs="Calibri"/>
          <w:b w:val="0"/>
          <w:color w:val="auto"/>
          <w:sz w:val="20"/>
          <w:szCs w:val="20"/>
          <w:lang w:val="en-GB"/>
        </w:rPr>
        <w:t> </w:t>
      </w:r>
      <w:r>
        <w:rPr>
          <w:szCs w:val="20"/>
        </w:rPr>
        <w:t>million confirmed and EUR</w:t>
      </w:r>
      <w:r>
        <w:rPr>
          <w:rStyle w:val="Bodytext2Bold"/>
          <w:rFonts w:ascii="Calibri" w:hAnsi="Calibri" w:cs="Calibri"/>
          <w:b w:val="0"/>
          <w:color w:val="auto"/>
          <w:sz w:val="20"/>
          <w:szCs w:val="20"/>
          <w:lang w:val="en-GB"/>
        </w:rPr>
        <w:t> </w:t>
      </w:r>
      <w:r>
        <w:rPr>
          <w:szCs w:val="20"/>
        </w:rPr>
        <w:t>303</w:t>
      </w:r>
      <w:r>
        <w:rPr>
          <w:rStyle w:val="Bodytext2Bold"/>
          <w:rFonts w:ascii="Calibri" w:hAnsi="Calibri" w:cs="Calibri"/>
          <w:b w:val="0"/>
          <w:color w:val="auto"/>
          <w:sz w:val="20"/>
          <w:szCs w:val="20"/>
          <w:lang w:val="en-GB"/>
        </w:rPr>
        <w:t> </w:t>
      </w:r>
      <w:r>
        <w:rPr>
          <w:szCs w:val="20"/>
        </w:rPr>
        <w:t>million implemented).</w:t>
      </w:r>
    </w:p>
    <w:p>
      <w:pPr>
        <w:pStyle w:val="BodyText1spaceafter"/>
        <w:rPr>
          <w:szCs w:val="20"/>
        </w:rPr>
      </w:pPr>
      <w:r>
        <w:rPr>
          <w:szCs w:val="20"/>
        </w:rPr>
        <w:t>As at end 2018 the cumulative amount of financial corrections for 2007-2013 confirmed by Member States as a consequence of the Commission supervisory role is EUR</w:t>
      </w:r>
      <w:r>
        <w:rPr>
          <w:rStyle w:val="Bodytext2Bold"/>
          <w:rFonts w:ascii="Calibri" w:hAnsi="Calibri" w:cs="Calibri"/>
          <w:color w:val="auto"/>
          <w:sz w:val="20"/>
          <w:szCs w:val="20"/>
          <w:lang w:val="en-GB"/>
        </w:rPr>
        <w:t> </w:t>
      </w:r>
      <w:r>
        <w:rPr>
          <w:szCs w:val="20"/>
        </w:rPr>
        <w:t>3.8</w:t>
      </w:r>
      <w:r>
        <w:rPr>
          <w:rFonts w:ascii="Calibri" w:hAnsi="Calibri" w:cs="Calibri"/>
          <w:szCs w:val="20"/>
        </w:rPr>
        <w:t> </w:t>
      </w:r>
      <w:r>
        <w:rPr>
          <w:szCs w:val="20"/>
        </w:rPr>
        <w:t>billion</w:t>
      </w:r>
      <w:r>
        <w:rPr>
          <w:rFonts w:ascii="Calibri" w:hAnsi="Calibri" w:cs="Calibri"/>
          <w:szCs w:val="20"/>
        </w:rPr>
        <w:t> </w:t>
      </w:r>
      <w:r>
        <w:rPr>
          <w:szCs w:val="20"/>
        </w:rPr>
        <w:t>(</w:t>
      </w:r>
      <w:r>
        <w:footnoteReference w:id="35"/>
      </w:r>
      <w:r>
        <w:rPr>
          <w:szCs w:val="20"/>
        </w:rPr>
        <w:t>), with an implementation rate of 94%.</w:t>
      </w:r>
    </w:p>
    <w:p>
      <w:pPr>
        <w:pStyle w:val="BodyText1spaceafter"/>
        <w:rPr>
          <w:szCs w:val="20"/>
        </w:rPr>
      </w:pPr>
      <w:r>
        <w:rPr>
          <w:szCs w:val="20"/>
        </w:rPr>
        <w:t xml:space="preserve">For the </w:t>
      </w:r>
      <w:r>
        <w:rPr>
          <w:rStyle w:val="BOLDORANGEAnnexes"/>
          <w:szCs w:val="20"/>
        </w:rPr>
        <w:t>European Social Fund</w:t>
      </w:r>
      <w:r>
        <w:rPr>
          <w:szCs w:val="20"/>
        </w:rPr>
        <w:t>, EUR</w:t>
      </w:r>
      <w:r>
        <w:rPr>
          <w:rStyle w:val="Bodytext2Bold"/>
          <w:rFonts w:ascii="Calibri" w:hAnsi="Calibri" w:cs="Calibri"/>
          <w:color w:val="auto"/>
          <w:sz w:val="20"/>
          <w:szCs w:val="20"/>
          <w:lang w:val="en-GB"/>
        </w:rPr>
        <w:t> </w:t>
      </w:r>
      <w:r>
        <w:rPr>
          <w:szCs w:val="20"/>
        </w:rPr>
        <w:t>34</w:t>
      </w:r>
      <w:r>
        <w:rPr>
          <w:rStyle w:val="Bodytext2Bold"/>
          <w:rFonts w:ascii="Calibri" w:hAnsi="Calibri" w:cs="Calibri"/>
          <w:color w:val="auto"/>
          <w:sz w:val="20"/>
          <w:szCs w:val="20"/>
          <w:lang w:val="en-GB"/>
        </w:rPr>
        <w:t> </w:t>
      </w:r>
      <w:r>
        <w:rPr>
          <w:szCs w:val="20"/>
        </w:rPr>
        <w:t>million represents the amount of financial corrections confirmed in 2018 by Member States in the context of closure of the programmes, deducted from the final payment claims. The total cumulative confirmed amount of financial corrections stands at EUR</w:t>
      </w:r>
      <w:r>
        <w:rPr>
          <w:rStyle w:val="Bodytext2Bold"/>
          <w:rFonts w:ascii="Calibri" w:hAnsi="Calibri" w:cs="Calibri"/>
          <w:color w:val="auto"/>
          <w:sz w:val="20"/>
          <w:szCs w:val="20"/>
          <w:lang w:val="en-GB"/>
        </w:rPr>
        <w:t> </w:t>
      </w:r>
      <w:r>
        <w:rPr>
          <w:szCs w:val="20"/>
        </w:rPr>
        <w:t>1</w:t>
      </w:r>
      <w:r>
        <w:rPr>
          <w:rFonts w:ascii="Calibri" w:hAnsi="Calibri" w:cs="Calibri"/>
          <w:szCs w:val="20"/>
        </w:rPr>
        <w:t> </w:t>
      </w:r>
      <w:r>
        <w:rPr>
          <w:szCs w:val="20"/>
        </w:rPr>
        <w:t>553</w:t>
      </w:r>
      <w:r>
        <w:rPr>
          <w:rStyle w:val="Bodytext2Bold"/>
          <w:rFonts w:ascii="Calibri" w:hAnsi="Calibri" w:cs="Calibri"/>
          <w:color w:val="auto"/>
          <w:sz w:val="20"/>
          <w:szCs w:val="20"/>
          <w:lang w:val="en-GB"/>
        </w:rPr>
        <w:t> </w:t>
      </w:r>
      <w:r>
        <w:rPr>
          <w:szCs w:val="20"/>
        </w:rPr>
        <w:t>million. EUR</w:t>
      </w:r>
      <w:r>
        <w:rPr>
          <w:rStyle w:val="Bodytext2Bold"/>
          <w:rFonts w:ascii="Calibri" w:hAnsi="Calibri" w:cs="Calibri"/>
          <w:color w:val="auto"/>
          <w:sz w:val="20"/>
          <w:szCs w:val="20"/>
          <w:lang w:val="en-GB"/>
        </w:rPr>
        <w:t> </w:t>
      </w:r>
      <w:r>
        <w:rPr>
          <w:szCs w:val="20"/>
        </w:rPr>
        <w:t>12</w:t>
      </w:r>
      <w:r>
        <w:rPr>
          <w:rStyle w:val="Bodytext2Bold"/>
          <w:rFonts w:ascii="Calibri" w:hAnsi="Calibri" w:cs="Calibri"/>
          <w:color w:val="auto"/>
          <w:sz w:val="20"/>
          <w:szCs w:val="20"/>
          <w:lang w:val="en-GB"/>
        </w:rPr>
        <w:t> </w:t>
      </w:r>
      <w:r>
        <w:rPr>
          <w:szCs w:val="20"/>
        </w:rPr>
        <w:t>million represents the amount of financial corrections implemented in 2018. The total cumulative implemented financial corrections stands at EUR</w:t>
      </w:r>
      <w:r>
        <w:rPr>
          <w:rStyle w:val="Bodytext2Bold"/>
          <w:rFonts w:ascii="Calibri" w:hAnsi="Calibri" w:cs="Calibri"/>
          <w:color w:val="auto"/>
          <w:sz w:val="20"/>
          <w:szCs w:val="20"/>
          <w:lang w:val="en-GB"/>
        </w:rPr>
        <w:t> </w:t>
      </w:r>
      <w:r>
        <w:rPr>
          <w:szCs w:val="20"/>
        </w:rPr>
        <w:t>1</w:t>
      </w:r>
      <w:r>
        <w:rPr>
          <w:rFonts w:ascii="Calibri" w:hAnsi="Calibri" w:cs="Calibri"/>
          <w:szCs w:val="20"/>
        </w:rPr>
        <w:t> </w:t>
      </w:r>
      <w:r>
        <w:rPr>
          <w:szCs w:val="20"/>
        </w:rPr>
        <w:t>275</w:t>
      </w:r>
      <w:r>
        <w:rPr>
          <w:rStyle w:val="Bodytext2Bold"/>
          <w:rFonts w:ascii="Calibri" w:hAnsi="Calibri" w:cs="Calibri"/>
          <w:color w:val="auto"/>
          <w:sz w:val="20"/>
          <w:szCs w:val="20"/>
          <w:lang w:val="en-GB"/>
        </w:rPr>
        <w:t> </w:t>
      </w:r>
      <w:r>
        <w:rPr>
          <w:szCs w:val="20"/>
        </w:rPr>
        <w:t>million. 82% of financial corrections confirmed during the year 2018 and previous years have been implemented, leaving an amount of EUR</w:t>
      </w:r>
      <w:r>
        <w:rPr>
          <w:rStyle w:val="Bodytext2Bold"/>
          <w:rFonts w:ascii="Calibri" w:hAnsi="Calibri" w:cs="Calibri"/>
          <w:color w:val="auto"/>
          <w:sz w:val="20"/>
          <w:szCs w:val="20"/>
          <w:lang w:val="en-GB"/>
        </w:rPr>
        <w:t> </w:t>
      </w:r>
      <w:r>
        <w:rPr>
          <w:szCs w:val="20"/>
        </w:rPr>
        <w:t>277</w:t>
      </w:r>
      <w:r>
        <w:rPr>
          <w:rStyle w:val="Bodytext2Bold"/>
          <w:rFonts w:ascii="Calibri" w:hAnsi="Calibri" w:cs="Calibri"/>
          <w:color w:val="auto"/>
          <w:sz w:val="20"/>
          <w:szCs w:val="20"/>
          <w:lang w:val="en-GB"/>
        </w:rPr>
        <w:t> </w:t>
      </w:r>
      <w:r>
        <w:rPr>
          <w:szCs w:val="20"/>
        </w:rPr>
        <w:t>million still to be implemented.</w:t>
      </w:r>
    </w:p>
    <w:p>
      <w:pPr>
        <w:pStyle w:val="BodyText1spaceafter"/>
        <w:rPr>
          <w:szCs w:val="20"/>
        </w:rPr>
      </w:pPr>
      <w:r>
        <w:rPr>
          <w:szCs w:val="20"/>
        </w:rPr>
        <w:t>The Member States with the highest level of financial corrections implemented in cumulative figures are Romania (EUR</w:t>
      </w:r>
      <w:r>
        <w:rPr>
          <w:rStyle w:val="Bodytext2Bold"/>
          <w:rFonts w:ascii="Calibri" w:hAnsi="Calibri" w:cs="Calibri"/>
          <w:color w:val="auto"/>
          <w:sz w:val="20"/>
          <w:szCs w:val="20"/>
          <w:lang w:val="en-GB"/>
        </w:rPr>
        <w:t> </w:t>
      </w:r>
      <w:r>
        <w:rPr>
          <w:szCs w:val="20"/>
        </w:rPr>
        <w:t>461</w:t>
      </w:r>
      <w:r>
        <w:rPr>
          <w:rStyle w:val="Bodytext2Bold"/>
          <w:rFonts w:ascii="Calibri" w:hAnsi="Calibri" w:cs="Calibri"/>
          <w:color w:val="auto"/>
          <w:sz w:val="20"/>
          <w:szCs w:val="20"/>
          <w:lang w:val="en-GB"/>
        </w:rPr>
        <w:t> </w:t>
      </w:r>
      <w:r>
        <w:rPr>
          <w:szCs w:val="20"/>
        </w:rPr>
        <w:t>million) and Spain (EUR</w:t>
      </w:r>
      <w:r>
        <w:rPr>
          <w:rStyle w:val="Bodytext2Bold"/>
          <w:rFonts w:ascii="Calibri" w:hAnsi="Calibri" w:cs="Calibri"/>
          <w:color w:val="auto"/>
          <w:sz w:val="20"/>
          <w:szCs w:val="20"/>
          <w:lang w:val="en-GB"/>
        </w:rPr>
        <w:t> </w:t>
      </w:r>
      <w:r>
        <w:rPr>
          <w:szCs w:val="20"/>
        </w:rPr>
        <w:t>220</w:t>
      </w:r>
      <w:r>
        <w:rPr>
          <w:rStyle w:val="Bodytext2Bold"/>
          <w:rFonts w:ascii="Calibri" w:hAnsi="Calibri" w:cs="Calibri"/>
          <w:color w:val="auto"/>
          <w:sz w:val="20"/>
          <w:szCs w:val="20"/>
          <w:lang w:val="en-GB"/>
        </w:rPr>
        <w:t> </w:t>
      </w:r>
      <w:r>
        <w:rPr>
          <w:szCs w:val="20"/>
        </w:rPr>
        <w:t>million).</w:t>
      </w:r>
    </w:p>
    <w:p>
      <w:pPr>
        <w:pStyle w:val="BodyText1spaceafter"/>
        <w:rPr>
          <w:szCs w:val="20"/>
        </w:rPr>
      </w:pPr>
      <w:r>
        <w:rPr>
          <w:szCs w:val="20"/>
        </w:rPr>
        <w:t>The total amount of financial corrections confirmed in cumulative figures for the</w:t>
      </w:r>
      <w:r>
        <w:rPr>
          <w:b/>
          <w:szCs w:val="20"/>
        </w:rPr>
        <w:t xml:space="preserve"> </w:t>
      </w:r>
      <w:r>
        <w:rPr>
          <w:rStyle w:val="BOLDORANGEAnnexes"/>
          <w:szCs w:val="20"/>
        </w:rPr>
        <w:t>European Fisheries Fund</w:t>
      </w:r>
      <w:r>
        <w:rPr>
          <w:szCs w:val="20"/>
        </w:rPr>
        <w:t xml:space="preserve"> stands at EUR</w:t>
      </w:r>
      <w:r>
        <w:rPr>
          <w:rStyle w:val="Bodytext2Bold"/>
          <w:rFonts w:ascii="Calibri" w:hAnsi="Calibri" w:cs="Calibri"/>
          <w:color w:val="auto"/>
          <w:sz w:val="20"/>
          <w:szCs w:val="20"/>
          <w:lang w:val="en-GB"/>
        </w:rPr>
        <w:t> </w:t>
      </w:r>
      <w:r>
        <w:rPr>
          <w:szCs w:val="20"/>
        </w:rPr>
        <w:t>28</w:t>
      </w:r>
      <w:r>
        <w:rPr>
          <w:rStyle w:val="Bodytext2Bold"/>
          <w:rFonts w:ascii="Calibri" w:hAnsi="Calibri" w:cs="Calibri"/>
          <w:color w:val="auto"/>
          <w:sz w:val="20"/>
          <w:szCs w:val="20"/>
          <w:lang w:val="en-GB"/>
        </w:rPr>
        <w:t> </w:t>
      </w:r>
      <w:r>
        <w:rPr>
          <w:szCs w:val="20"/>
        </w:rPr>
        <w:t>million in 2018, including EUR</w:t>
      </w:r>
      <w:r>
        <w:rPr>
          <w:rStyle w:val="Bodytext2Bold"/>
          <w:rFonts w:ascii="Calibri" w:hAnsi="Calibri" w:cs="Calibri"/>
          <w:color w:val="auto"/>
          <w:sz w:val="20"/>
          <w:szCs w:val="20"/>
          <w:lang w:val="en-GB"/>
        </w:rPr>
        <w:t> </w:t>
      </w:r>
      <w:r>
        <w:rPr>
          <w:szCs w:val="20"/>
        </w:rPr>
        <w:t>2</w:t>
      </w:r>
      <w:r>
        <w:rPr>
          <w:rStyle w:val="Bodytext2Bold"/>
          <w:rFonts w:ascii="Calibri" w:hAnsi="Calibri" w:cs="Calibri"/>
          <w:color w:val="auto"/>
          <w:sz w:val="20"/>
          <w:szCs w:val="20"/>
          <w:lang w:val="en-GB"/>
        </w:rPr>
        <w:t> </w:t>
      </w:r>
      <w:r>
        <w:rPr>
          <w:szCs w:val="20"/>
        </w:rPr>
        <w:t>million to be implemented at closure.</w:t>
      </w:r>
    </w:p>
    <w:p>
      <w:pPr>
        <w:pStyle w:val="Annex4-subheading1"/>
        <w:rPr>
          <w:noProof/>
        </w:rPr>
      </w:pPr>
      <w:r>
        <w:rPr>
          <w:noProof/>
        </w:rPr>
        <w:t>2014-2020 programming period</w:t>
      </w:r>
    </w:p>
    <w:p>
      <w:pPr>
        <w:pStyle w:val="BodyText1spaceafter"/>
        <w:rPr>
          <w:szCs w:val="20"/>
        </w:rPr>
      </w:pPr>
      <w:r>
        <w:rPr>
          <w:szCs w:val="20"/>
        </w:rPr>
        <w:t xml:space="preserve">For the </w:t>
      </w:r>
      <w:r>
        <w:rPr>
          <w:rStyle w:val="BOLDORANGEAnnexes"/>
        </w:rPr>
        <w:t>European Regional Development Fund/Cohesion Fund</w:t>
      </w:r>
      <w:r>
        <w:rPr>
          <w:b/>
          <w:bCs/>
          <w:szCs w:val="20"/>
        </w:rPr>
        <w:t xml:space="preserve"> </w:t>
      </w:r>
      <w:r>
        <w:rPr>
          <w:szCs w:val="20"/>
        </w:rPr>
        <w:t xml:space="preserve">programmes for which expenditure was declared for the accounting year </w:t>
      </w:r>
      <w:r>
        <w:rPr>
          <w:rFonts w:asciiTheme="minorHAnsi" w:hAnsiTheme="minorHAnsi" w:cs="Calibri"/>
          <w:szCs w:val="20"/>
        </w:rPr>
        <w:t>1</w:t>
      </w:r>
      <w:r>
        <w:rPr>
          <w:rFonts w:ascii="Calibri" w:hAnsi="Calibri" w:cs="Calibri"/>
          <w:szCs w:val="20"/>
        </w:rPr>
        <w:t> </w:t>
      </w:r>
      <w:r>
        <w:rPr>
          <w:rFonts w:asciiTheme="minorHAnsi" w:hAnsiTheme="minorHAnsi" w:cs="Calibri"/>
          <w:szCs w:val="20"/>
        </w:rPr>
        <w:t>July</w:t>
      </w:r>
      <w:r>
        <w:rPr>
          <w:rFonts w:ascii="Calibri" w:hAnsi="Calibri" w:cs="Calibri"/>
          <w:szCs w:val="20"/>
        </w:rPr>
        <w:t xml:space="preserve"> </w:t>
      </w:r>
      <w:r>
        <w:rPr>
          <w:szCs w:val="20"/>
        </w:rPr>
        <w:t>2017 to 30</w:t>
      </w:r>
      <w:r>
        <w:rPr>
          <w:rFonts w:ascii="Calibri" w:hAnsi="Calibri" w:cs="Calibri"/>
          <w:szCs w:val="20"/>
        </w:rPr>
        <w:t> </w:t>
      </w:r>
      <w:r>
        <w:rPr>
          <w:rFonts w:asciiTheme="minorHAnsi" w:hAnsiTheme="minorHAnsi" w:cs="Calibri"/>
          <w:szCs w:val="20"/>
        </w:rPr>
        <w:t>June</w:t>
      </w:r>
      <w:r>
        <w:rPr>
          <w:szCs w:val="20"/>
        </w:rPr>
        <w:t xml:space="preserve"> 2018, there were no net financial corrections imposed by any Commission decision. However, the Member States themselves applied financial corrections in the accounts following the completion of their national control cycle.</w:t>
      </w:r>
    </w:p>
    <w:p>
      <w:pPr>
        <w:pStyle w:val="BodyText1spaceafter"/>
        <w:rPr>
          <w:szCs w:val="20"/>
        </w:rPr>
      </w:pPr>
      <w:r>
        <w:rPr>
          <w:szCs w:val="20"/>
        </w:rPr>
        <w:t>This shows that the new system allows to exclude from annual accounts the expenditure found to be irregular. In the accounts submitted by 1</w:t>
      </w:r>
      <w:r>
        <w:rPr>
          <w:rFonts w:ascii="Calibri" w:hAnsi="Calibri" w:cs="Calibri"/>
          <w:szCs w:val="20"/>
        </w:rPr>
        <w:t> </w:t>
      </w:r>
      <w:r>
        <w:rPr>
          <w:szCs w:val="20"/>
        </w:rPr>
        <w:t>March 2019, the Members States reported financial corrections amounting to EUR</w:t>
      </w:r>
      <w:r>
        <w:rPr>
          <w:rStyle w:val="Bodytext2Bold"/>
          <w:rFonts w:ascii="Calibri" w:hAnsi="Calibri" w:cs="Calibri"/>
          <w:color w:val="auto"/>
          <w:szCs w:val="20"/>
          <w:lang w:val="en-GB"/>
        </w:rPr>
        <w:t> </w:t>
      </w:r>
      <w:r>
        <w:rPr>
          <w:szCs w:val="20"/>
        </w:rPr>
        <w:t>163</w:t>
      </w:r>
      <w:r>
        <w:rPr>
          <w:rStyle w:val="Bodytext2Bold"/>
          <w:rFonts w:ascii="Calibri" w:hAnsi="Calibri" w:cs="Calibri"/>
          <w:color w:val="auto"/>
          <w:szCs w:val="20"/>
          <w:lang w:val="en-GB"/>
        </w:rPr>
        <w:t> </w:t>
      </w:r>
      <w:r>
        <w:rPr>
          <w:szCs w:val="20"/>
        </w:rPr>
        <w:t>million as a result of their audit work. An additional EUR</w:t>
      </w:r>
      <w:r>
        <w:rPr>
          <w:rStyle w:val="Bodytext2Bold"/>
          <w:rFonts w:ascii="Calibri" w:hAnsi="Calibri" w:cs="Calibri"/>
          <w:color w:val="auto"/>
          <w:szCs w:val="20"/>
          <w:lang w:val="en-GB"/>
        </w:rPr>
        <w:t> </w:t>
      </w:r>
      <w:r>
        <w:rPr>
          <w:szCs w:val="20"/>
        </w:rPr>
        <w:t>2</w:t>
      </w:r>
      <w:r>
        <w:rPr>
          <w:rStyle w:val="Bodytext2Bold"/>
          <w:rFonts w:ascii="Calibri" w:hAnsi="Calibri" w:cs="Calibri"/>
          <w:color w:val="auto"/>
          <w:szCs w:val="20"/>
          <w:lang w:val="en-GB"/>
        </w:rPr>
        <w:t> </w:t>
      </w:r>
      <w:r>
        <w:rPr>
          <w:szCs w:val="20"/>
        </w:rPr>
        <w:t>billion was deducted from the accounts according to Article</w:t>
      </w:r>
      <w:r>
        <w:rPr>
          <w:rFonts w:ascii="Calibri" w:hAnsi="Calibri" w:cs="Calibri"/>
          <w:szCs w:val="20"/>
        </w:rPr>
        <w:t> </w:t>
      </w:r>
      <w:r>
        <w:rPr>
          <w:szCs w:val="20"/>
        </w:rPr>
        <w:t xml:space="preserve">137(2) common provisions regulation (CPR) due to ongoing assessements of the legality and regularity. </w:t>
      </w:r>
    </w:p>
    <w:p>
      <w:pPr>
        <w:pStyle w:val="BodyText1spaceafter"/>
      </w:pPr>
      <w:r>
        <w:t xml:space="preserve">For the </w:t>
      </w:r>
      <w:r>
        <w:rPr>
          <w:rStyle w:val="BOLDORANGEAnnexes"/>
        </w:rPr>
        <w:t>European Social Fund</w:t>
      </w:r>
      <w:r>
        <w:rPr>
          <w:b/>
        </w:rPr>
        <w:t xml:space="preserve"> </w:t>
      </w:r>
      <w:r>
        <w:t>programmes for which expenditure was declared during the accounting year (1</w:t>
      </w:r>
      <w:r>
        <w:rPr>
          <w:rFonts w:ascii="Calibri" w:hAnsi="Calibri" w:cs="Calibri"/>
        </w:rPr>
        <w:t> </w:t>
      </w:r>
      <w:r>
        <w:rPr>
          <w:rFonts w:asciiTheme="minorHAnsi" w:hAnsiTheme="minorHAnsi" w:cs="Calibri"/>
        </w:rPr>
        <w:t>July</w:t>
      </w:r>
      <w:r>
        <w:t xml:space="preserve"> 2017 to </w:t>
      </w:r>
      <w:r>
        <w:rPr>
          <w:rFonts w:asciiTheme="minorHAnsi" w:hAnsiTheme="minorHAnsi"/>
        </w:rPr>
        <w:t>30</w:t>
      </w:r>
      <w:r>
        <w:rPr>
          <w:rFonts w:ascii="Calibri" w:hAnsi="Calibri" w:cs="Calibri"/>
        </w:rPr>
        <w:t> </w:t>
      </w:r>
      <w:r>
        <w:rPr>
          <w:rFonts w:asciiTheme="minorHAnsi" w:hAnsiTheme="minorHAnsi" w:cs="Calibri"/>
        </w:rPr>
        <w:t>June</w:t>
      </w:r>
      <w:r>
        <w:t xml:space="preserve"> 2018), there were no financial corrections imposed by any Commission decision. The amount of the financial corrections during the accounting year and in the accounts stands at EUR</w:t>
      </w:r>
      <w:r>
        <w:rPr>
          <w:rStyle w:val="Bodytext2Bold"/>
          <w:rFonts w:ascii="Calibri" w:hAnsi="Calibri" w:cs="Calibri"/>
          <w:color w:val="auto"/>
          <w:szCs w:val="20"/>
          <w:lang w:val="en-GB"/>
        </w:rPr>
        <w:t> </w:t>
      </w:r>
      <w:r>
        <w:t>146</w:t>
      </w:r>
      <w:r>
        <w:rPr>
          <w:rStyle w:val="Bodytext2Bold"/>
          <w:rFonts w:ascii="Calibri" w:hAnsi="Calibri" w:cs="Calibri"/>
          <w:color w:val="auto"/>
          <w:szCs w:val="20"/>
          <w:lang w:val="en-GB"/>
        </w:rPr>
        <w:t> </w:t>
      </w:r>
      <w:r>
        <w:t xml:space="preserve">million for the </w:t>
      </w:r>
      <w:r>
        <w:rPr>
          <w:rStyle w:val="BOLDORANGEAnnexes"/>
        </w:rPr>
        <w:t>European</w:t>
      </w:r>
      <w:r>
        <w:rPr>
          <w:b/>
        </w:rPr>
        <w:t xml:space="preserve"> </w:t>
      </w:r>
      <w:r>
        <w:rPr>
          <w:rStyle w:val="BOLDORANGEAnnexes"/>
        </w:rPr>
        <w:t>Social Fund/youth employment initiative</w:t>
      </w:r>
      <w:r>
        <w:t xml:space="preserve"> (ESF/YEI) and around EUR</w:t>
      </w:r>
      <w:r>
        <w:rPr>
          <w:rStyle w:val="Bodytext2Bold"/>
          <w:rFonts w:ascii="Calibri" w:hAnsi="Calibri" w:cs="Calibri"/>
          <w:color w:val="auto"/>
          <w:szCs w:val="20"/>
          <w:lang w:val="en-GB"/>
        </w:rPr>
        <w:t> </w:t>
      </w:r>
      <w:r>
        <w:t>1</w:t>
      </w:r>
      <w:r>
        <w:rPr>
          <w:rStyle w:val="Bodytext2Bold"/>
          <w:rFonts w:ascii="Calibri" w:hAnsi="Calibri" w:cs="Calibri"/>
          <w:color w:val="auto"/>
          <w:szCs w:val="20"/>
          <w:lang w:val="en-GB"/>
        </w:rPr>
        <w:t> </w:t>
      </w:r>
      <w:r>
        <w:t>million for the</w:t>
      </w:r>
      <w:r>
        <w:rPr>
          <w:rStyle w:val="BOLDORANGEAnnexes"/>
        </w:rPr>
        <w:t xml:space="preserve"> Fund for European Aid to the Most Deprived </w:t>
      </w:r>
      <w:r>
        <w:t>(FEAD),</w:t>
      </w:r>
      <w:r>
        <w:rPr>
          <w:rStyle w:val="BOLDORANGEAnnexes"/>
        </w:rPr>
        <w:t xml:space="preserve"> </w:t>
      </w:r>
      <w:r>
        <w:t>representing EUR</w:t>
      </w:r>
      <w:r>
        <w:rPr>
          <w:rStyle w:val="Bodytext2Bold"/>
          <w:rFonts w:ascii="Calibri" w:hAnsi="Calibri" w:cs="Calibri"/>
          <w:color w:val="auto"/>
          <w:szCs w:val="20"/>
          <w:lang w:val="en-GB"/>
        </w:rPr>
        <w:t> </w:t>
      </w:r>
      <w:r>
        <w:t>125</w:t>
      </w:r>
      <w:r>
        <w:rPr>
          <w:rStyle w:val="Bodytext2Bold"/>
          <w:rFonts w:ascii="Calibri" w:hAnsi="Calibri" w:cs="Calibri"/>
          <w:color w:val="auto"/>
          <w:szCs w:val="20"/>
          <w:lang w:val="en-GB"/>
        </w:rPr>
        <w:t> </w:t>
      </w:r>
      <w:r>
        <w:t>million deducted from the accounts and EUR</w:t>
      </w:r>
      <w:r>
        <w:rPr>
          <w:rStyle w:val="Bodytext2Bold"/>
          <w:rFonts w:ascii="Calibri" w:hAnsi="Calibri" w:cs="Calibri"/>
          <w:color w:val="auto"/>
          <w:szCs w:val="20"/>
          <w:lang w:val="en-GB"/>
        </w:rPr>
        <w:t> </w:t>
      </w:r>
      <w:r>
        <w:t>20</w:t>
      </w:r>
      <w:r>
        <w:rPr>
          <w:rStyle w:val="Bodytext2Bold"/>
          <w:rFonts w:ascii="Calibri" w:hAnsi="Calibri" w:cs="Calibri"/>
          <w:color w:val="auto"/>
          <w:szCs w:val="20"/>
          <w:lang w:val="en-GB"/>
        </w:rPr>
        <w:t> </w:t>
      </w:r>
      <w:r>
        <w:t>million withdrawn during the accounting year.</w:t>
      </w:r>
    </w:p>
    <w:p>
      <w:pPr>
        <w:pStyle w:val="Annex4-H3"/>
      </w:pPr>
      <w:bookmarkStart w:id="119" w:name="_Toc456258162"/>
      <w:bookmarkStart w:id="120" w:name="_Toc456686570"/>
      <w:bookmarkStart w:id="121" w:name="_Toc484626484"/>
      <w:bookmarkStart w:id="122" w:name="_Toc512866525"/>
      <w:bookmarkStart w:id="123" w:name="_Toc8386198"/>
      <w:r>
        <w:t>1.2.</w:t>
      </w:r>
      <w:r>
        <w:tab/>
        <w:t>Cumulative financial corrections and recoveries to end 201</w:t>
      </w:r>
      <w:bookmarkEnd w:id="119"/>
      <w:bookmarkEnd w:id="120"/>
      <w:bookmarkEnd w:id="121"/>
      <w:bookmarkEnd w:id="122"/>
      <w:r>
        <w:t>8</w:t>
      </w:r>
      <w:bookmarkEnd w:id="123"/>
      <w:r>
        <w:t xml:space="preserve"> </w:t>
      </w:r>
    </w:p>
    <w:p>
      <w:pPr>
        <w:pStyle w:val="BodyText1spaceafter"/>
      </w:pPr>
      <w:r>
        <w:t>Cumulative figures provide useful information on the significance of the corrective mechanisms used by the Commission, in particular as they take into account the multiannual character of programmes and projects and neutralise the impact of one-off events.</w:t>
      </w:r>
    </w:p>
    <w:p>
      <w:pPr>
        <w:pStyle w:val="Annex4-H4"/>
        <w:rPr>
          <w:noProof/>
        </w:rPr>
      </w:pPr>
      <w:bookmarkStart w:id="124" w:name="_Toc484626485"/>
      <w:bookmarkStart w:id="125" w:name="_Toc512866526"/>
      <w:bookmarkStart w:id="126" w:name="_Toc8386199"/>
      <w:r>
        <w:rPr>
          <w:noProof/>
        </w:rPr>
        <w:t>1.2.1.</w:t>
      </w:r>
      <w:r>
        <w:rPr>
          <w:noProof/>
        </w:rPr>
        <w:tab/>
        <w:t>Period 2012-201</w:t>
      </w:r>
      <w:bookmarkEnd w:id="124"/>
      <w:bookmarkEnd w:id="125"/>
      <w:r>
        <w:rPr>
          <w:noProof/>
        </w:rPr>
        <w:t>8</w:t>
      </w:r>
      <w:bookmarkEnd w:id="126"/>
    </w:p>
    <w:p>
      <w:pPr>
        <w:pStyle w:val="BodyText1spaceafter"/>
        <w:keepNext/>
        <w:rPr>
          <w:b/>
          <w:i/>
        </w:rPr>
      </w:pPr>
      <w:r>
        <w:t>The charts below show the evolution of financial corrections and recoveries confirmed and implemented during the last 7</w:t>
      </w:r>
      <w:r>
        <w:rPr>
          <w:rFonts w:ascii="Calibri" w:hAnsi="Calibri" w:cs="Calibri"/>
        </w:rPr>
        <w:t> </w:t>
      </w:r>
      <w:r>
        <w:t>years.</w:t>
      </w:r>
    </w:p>
    <w:p>
      <w:pPr>
        <w:keepNext/>
        <w:spacing w:after="40"/>
        <w:rPr>
          <w:rFonts w:eastAsia="Calibri"/>
          <w:noProof/>
          <w:color w:val="000000" w:themeColor="text1"/>
        </w:rPr>
      </w:pPr>
      <w:r>
        <w:rPr>
          <w:noProof/>
          <w:lang w:eastAsia="en-GB"/>
        </w:rPr>
        <w:drawing>
          <wp:inline distT="0" distB="0" distL="0" distR="0">
            <wp:extent cx="6128425" cy="3999230"/>
            <wp:effectExtent l="0" t="0" r="5715" b="12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pStyle w:val="Source-Table-Chart-PhotoCaption"/>
        <w:rPr>
          <w:noProof/>
          <w:szCs w:val="22"/>
        </w:rPr>
      </w:pPr>
      <w:r>
        <w:rPr>
          <w:rStyle w:val="italics"/>
          <w:noProof/>
        </w:rPr>
        <w:t>Chart 1.2.1.1:</w:t>
      </w:r>
      <w:r>
        <w:rPr>
          <w:noProof/>
        </w:rPr>
        <w:t xml:space="preserve"> Financial corrections and recoveries confirmed 2012-2018 (</w:t>
      </w:r>
      <w:r>
        <w:rPr>
          <w:noProof/>
          <w:sz w:val="20"/>
        </w:rPr>
        <w:t>EUR</w:t>
      </w:r>
      <w:r>
        <w:rPr>
          <w:rStyle w:val="Bodytext2Bold"/>
          <w:rFonts w:ascii="Calibri" w:eastAsia="Calibri" w:hAnsi="Calibri" w:cs="Calibri"/>
          <w:noProof/>
          <w:sz w:val="20"/>
          <w:szCs w:val="20"/>
          <w:lang w:val="en-GB"/>
        </w:rPr>
        <w:t> </w:t>
      </w:r>
      <w:r>
        <w:rPr>
          <w:noProof/>
        </w:rPr>
        <w:t>billion)</w:t>
      </w:r>
    </w:p>
    <w:p>
      <w:pPr>
        <w:pStyle w:val="AMPRText"/>
        <w:rPr>
          <w:rFonts w:eastAsia="Calibri"/>
          <w:noProof/>
        </w:rPr>
        <w:sectPr>
          <w:headerReference w:type="even" r:id="rId102"/>
          <w:headerReference w:type="default" r:id="rId103"/>
          <w:footerReference w:type="even" r:id="rId104"/>
          <w:footerReference w:type="default" r:id="rId105"/>
          <w:headerReference w:type="first" r:id="rId106"/>
          <w:footerReference w:type="first" r:id="rId107"/>
          <w:footnotePr>
            <w:numStart w:val="413"/>
          </w:footnotePr>
          <w:pgSz w:w="11906" w:h="16838" w:code="9"/>
          <w:pgMar w:top="1418" w:right="1418" w:bottom="1418" w:left="1418" w:header="635" w:footer="635" w:gutter="0"/>
          <w:cols w:space="720"/>
          <w:docGrid w:linePitch="360"/>
        </w:sectPr>
      </w:pPr>
    </w:p>
    <w:p>
      <w:pPr>
        <w:pStyle w:val="BodyText1spacebeforeandafter"/>
      </w:pPr>
      <w:r>
        <w:t xml:space="preserve">The average financial corrections and recoveries </w:t>
      </w:r>
      <w:r>
        <w:rPr>
          <w:rStyle w:val="BOLDORANGEAnnexes"/>
        </w:rPr>
        <w:t>confirmed</w:t>
      </w:r>
      <w:r>
        <w:t xml:space="preserve"> (2012-2018) amount to EUR</w:t>
      </w:r>
      <w:r>
        <w:rPr>
          <w:rStyle w:val="Bodytext2Bold"/>
          <w:rFonts w:ascii="Calibri" w:hAnsi="Calibri" w:cs="Calibri"/>
          <w:color w:val="auto"/>
          <w:szCs w:val="20"/>
          <w:lang w:val="en-GB"/>
        </w:rPr>
        <w:t> </w:t>
      </w:r>
      <w:r>
        <w:t>3.2</w:t>
      </w:r>
      <w:r>
        <w:rPr>
          <w:rFonts w:ascii="Calibri" w:hAnsi="Calibri" w:cs="Calibri"/>
        </w:rPr>
        <w:t> </w:t>
      </w:r>
      <w:r>
        <w:t>billion, which represents 2.3% of the average amount of payments made from the EU budget.</w:t>
      </w:r>
    </w:p>
    <w:p>
      <w:pPr>
        <w:keepNext/>
        <w:spacing w:after="40" w:line="276" w:lineRule="auto"/>
        <w:rPr>
          <w:rFonts w:eastAsia="Calibri"/>
          <w:noProof/>
        </w:rPr>
      </w:pPr>
      <w:r>
        <w:rPr>
          <w:noProof/>
          <w:lang w:eastAsia="en-GB"/>
        </w:rPr>
        <w:drawing>
          <wp:inline distT="0" distB="0" distL="0" distR="0">
            <wp:extent cx="6059277" cy="3987800"/>
            <wp:effectExtent l="0" t="0" r="17780"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pPr>
        <w:pStyle w:val="Source-Table-Chart-PhotoCaption"/>
        <w:rPr>
          <w:noProof/>
        </w:rPr>
      </w:pPr>
      <w:r>
        <w:rPr>
          <w:rStyle w:val="italics"/>
          <w:noProof/>
        </w:rPr>
        <w:t>Chart 1.2.1.2:</w:t>
      </w:r>
      <w:r>
        <w:rPr>
          <w:noProof/>
        </w:rPr>
        <w:t xml:space="preserve"> Financial corrections and recoveries implemented 2012-2018 (</w:t>
      </w:r>
      <w:r>
        <w:rPr>
          <w:noProof/>
          <w:sz w:val="20"/>
        </w:rPr>
        <w:t>EUR</w:t>
      </w:r>
      <w:r>
        <w:rPr>
          <w:rStyle w:val="Bodytext2Bold"/>
          <w:rFonts w:ascii="Calibri" w:eastAsia="Calibri" w:hAnsi="Calibri" w:cs="Calibri"/>
          <w:noProof/>
          <w:sz w:val="20"/>
          <w:szCs w:val="20"/>
          <w:lang w:val="en-GB"/>
        </w:rPr>
        <w:t> </w:t>
      </w:r>
      <w:r>
        <w:rPr>
          <w:noProof/>
        </w:rPr>
        <w:t>billion)</w:t>
      </w:r>
    </w:p>
    <w:p>
      <w:pPr>
        <w:pStyle w:val="BodyText1spacebeforeandafter"/>
      </w:pPr>
      <w:r>
        <w:t xml:space="preserve">The average amount of financial corrections and recoveries </w:t>
      </w:r>
      <w:r>
        <w:rPr>
          <w:rStyle w:val="BOLDORANGEAnnexes"/>
        </w:rPr>
        <w:t>implemented</w:t>
      </w:r>
      <w:r>
        <w:t xml:space="preserve"> for 2012-2018 was EUR</w:t>
      </w:r>
      <w:r>
        <w:rPr>
          <w:rStyle w:val="Bodytext2Bold"/>
          <w:rFonts w:ascii="Calibri" w:hAnsi="Calibri" w:cs="Calibri"/>
          <w:color w:val="auto"/>
          <w:szCs w:val="20"/>
          <w:lang w:val="en-GB"/>
        </w:rPr>
        <w:t> </w:t>
      </w:r>
      <w:r>
        <w:t>3.5</w:t>
      </w:r>
      <w:r>
        <w:rPr>
          <w:rFonts w:ascii="Calibri" w:hAnsi="Calibri" w:cs="Calibri"/>
        </w:rPr>
        <w:t> </w:t>
      </w:r>
      <w:r>
        <w:t>billion, which represents 2.4% of the average amount of payments from the EU budget in that period.</w:t>
      </w:r>
    </w:p>
    <w:p>
      <w:pPr>
        <w:rPr>
          <w:noProof/>
        </w:rPr>
      </w:pPr>
      <w:bookmarkStart w:id="127" w:name="_Toc484626486"/>
      <w:r>
        <w:rPr>
          <w:noProof/>
        </w:rPr>
        <w:br w:type="page"/>
      </w:r>
    </w:p>
    <w:p>
      <w:pPr>
        <w:rPr>
          <w:noProof/>
        </w:rPr>
      </w:pPr>
    </w:p>
    <w:p>
      <w:pPr>
        <w:pStyle w:val="Annex4-H4"/>
        <w:rPr>
          <w:noProof/>
        </w:rPr>
      </w:pPr>
      <w:bookmarkStart w:id="128" w:name="_Toc512866527"/>
      <w:bookmarkStart w:id="129" w:name="_Toc8386200"/>
      <w:r>
        <w:rPr>
          <w:noProof/>
        </w:rPr>
        <w:t>1.2.2.</w:t>
      </w:r>
      <w:r>
        <w:rPr>
          <w:noProof/>
        </w:rPr>
        <w:tab/>
        <w:t>Financial corrections implementation percentage at end 201</w:t>
      </w:r>
      <w:bookmarkEnd w:id="127"/>
      <w:r>
        <w:rPr>
          <w:noProof/>
        </w:rPr>
        <w:t>8</w:t>
      </w:r>
      <w:bookmarkEnd w:id="128"/>
      <w:bookmarkEnd w:id="129"/>
      <w:r>
        <w:rPr>
          <w:noProof/>
        </w:rPr>
        <w:t xml:space="preserve"> </w:t>
      </w:r>
    </w:p>
    <w:tbl>
      <w:tblPr>
        <w:tblW w:w="9070" w:type="dxa"/>
        <w:jc w:val="center"/>
        <w:tblLayout w:type="fixed"/>
        <w:tblLook w:val="04A0" w:firstRow="1" w:lastRow="0" w:firstColumn="1" w:lastColumn="0" w:noHBand="0" w:noVBand="1"/>
      </w:tblPr>
      <w:tblGrid>
        <w:gridCol w:w="828"/>
        <w:gridCol w:w="825"/>
        <w:gridCol w:w="713"/>
        <w:gridCol w:w="660"/>
        <w:gridCol w:w="657"/>
        <w:gridCol w:w="660"/>
        <w:gridCol w:w="961"/>
        <w:gridCol w:w="1007"/>
        <w:gridCol w:w="911"/>
        <w:gridCol w:w="970"/>
        <w:gridCol w:w="878"/>
      </w:tblGrid>
      <w:tr>
        <w:trPr>
          <w:trHeight w:val="270"/>
          <w:jc w:val="center"/>
        </w:trPr>
        <w:tc>
          <w:tcPr>
            <w:tcW w:w="456" w:type="pct"/>
            <w:tcBorders>
              <w:top w:val="nil"/>
              <w:left w:val="nil"/>
              <w:bottom w:val="single" w:sz="8" w:space="0" w:color="auto"/>
              <w:right w:val="nil"/>
            </w:tcBorders>
          </w:tcPr>
          <w:p>
            <w:pPr>
              <w:jc w:val="right"/>
              <w:rPr>
                <w:rFonts w:cs="Arial"/>
                <w:i/>
                <w:noProof/>
                <w:color w:val="000000"/>
                <w:sz w:val="16"/>
              </w:rPr>
            </w:pPr>
          </w:p>
        </w:tc>
        <w:tc>
          <w:tcPr>
            <w:tcW w:w="4544" w:type="pct"/>
            <w:gridSpan w:val="10"/>
            <w:tcBorders>
              <w:top w:val="nil"/>
              <w:left w:val="nil"/>
              <w:bottom w:val="single" w:sz="8" w:space="0" w:color="auto"/>
              <w:right w:val="nil"/>
            </w:tcBorders>
            <w:shd w:val="clear" w:color="auto" w:fill="auto"/>
            <w:noWrap/>
            <w:vAlign w:val="center"/>
          </w:tcPr>
          <w:p>
            <w:pPr>
              <w:jc w:val="right"/>
              <w:rPr>
                <w:rFonts w:cs="Arial"/>
                <w:i/>
                <w:noProof/>
                <w:color w:val="000000"/>
                <w:sz w:val="16"/>
              </w:rPr>
            </w:pPr>
          </w:p>
        </w:tc>
      </w:tr>
      <w:tr>
        <w:trPr>
          <w:trHeight w:val="470"/>
          <w:jc w:val="center"/>
        </w:trPr>
        <w:tc>
          <w:tcPr>
            <w:tcW w:w="911" w:type="pct"/>
            <w:gridSpan w:val="2"/>
            <w:vMerge w:val="restart"/>
            <w:tcBorders>
              <w:top w:val="single" w:sz="8" w:space="0" w:color="auto"/>
              <w:left w:val="single" w:sz="8" w:space="0" w:color="auto"/>
              <w:bottom w:val="single" w:sz="8" w:space="0" w:color="000000"/>
              <w:right w:val="single" w:sz="8" w:space="0" w:color="000000"/>
            </w:tcBorders>
            <w:shd w:val="clear" w:color="auto" w:fill="E48C32"/>
            <w:noWrap/>
            <w:vAlign w:val="center"/>
            <w:hideMark/>
          </w:tcPr>
          <w:p>
            <w:pPr>
              <w:jc w:val="center"/>
              <w:rPr>
                <w:rFonts w:cs="Arial"/>
                <w:b/>
                <w:noProof/>
                <w:color w:val="FFFFFF"/>
                <w:sz w:val="16"/>
                <w:szCs w:val="16"/>
              </w:rPr>
            </w:pPr>
          </w:p>
        </w:tc>
        <w:tc>
          <w:tcPr>
            <w:tcW w:w="1483" w:type="pct"/>
            <w:gridSpan w:val="4"/>
            <w:tcBorders>
              <w:top w:val="single" w:sz="8" w:space="0" w:color="auto"/>
              <w:left w:val="single" w:sz="8" w:space="0" w:color="auto"/>
              <w:bottom w:val="single" w:sz="8" w:space="0" w:color="auto"/>
              <w:right w:val="single" w:sz="8" w:space="0" w:color="auto"/>
            </w:tcBorders>
            <w:shd w:val="clear" w:color="auto" w:fill="E48C32"/>
          </w:tcPr>
          <w:p>
            <w:pPr>
              <w:jc w:val="center"/>
              <w:rPr>
                <w:rFonts w:cs="Arial"/>
                <w:b/>
                <w:noProof/>
                <w:color w:val="FFFFFF"/>
                <w:sz w:val="14"/>
                <w:szCs w:val="14"/>
              </w:rPr>
            </w:pPr>
          </w:p>
          <w:p>
            <w:pPr>
              <w:jc w:val="center"/>
              <w:rPr>
                <w:rFonts w:cs="Arial"/>
                <w:b/>
                <w:noProof/>
                <w:color w:val="FFFFFF"/>
                <w:sz w:val="14"/>
                <w:szCs w:val="14"/>
              </w:rPr>
            </w:pPr>
            <w:r>
              <w:rPr>
                <w:rFonts w:cs="Arial"/>
                <w:b/>
                <w:noProof/>
                <w:color w:val="FFFFFF"/>
                <w:sz w:val="14"/>
                <w:szCs w:val="14"/>
              </w:rPr>
              <w:t>Programming period</w:t>
            </w:r>
          </w:p>
        </w:tc>
        <w:tc>
          <w:tcPr>
            <w:tcW w:w="530" w:type="pct"/>
            <w:vMerge w:val="restart"/>
            <w:tcBorders>
              <w:top w:val="nil"/>
              <w:left w:val="single" w:sz="8" w:space="0" w:color="auto"/>
              <w:bottom w:val="single" w:sz="8" w:space="0" w:color="000000"/>
              <w:right w:val="single" w:sz="8" w:space="0" w:color="auto"/>
            </w:tcBorders>
            <w:shd w:val="clear" w:color="auto" w:fill="E48C32"/>
            <w:vAlign w:val="center"/>
            <w:hideMark/>
          </w:tcPr>
          <w:p>
            <w:pPr>
              <w:jc w:val="center"/>
              <w:rPr>
                <w:rFonts w:cs="Arial"/>
                <w:b/>
                <w:noProof/>
                <w:color w:val="FFFFFF"/>
                <w:sz w:val="14"/>
                <w:szCs w:val="14"/>
              </w:rPr>
            </w:pPr>
            <w:r>
              <w:rPr>
                <w:rFonts w:cs="Arial"/>
                <w:b/>
                <w:noProof/>
                <w:color w:val="FFFFFF"/>
                <w:sz w:val="14"/>
                <w:szCs w:val="14"/>
              </w:rPr>
              <w:t xml:space="preserve">Cumulated EAGF decisions </w:t>
            </w:r>
          </w:p>
        </w:tc>
        <w:tc>
          <w:tcPr>
            <w:tcW w:w="555" w:type="pct"/>
            <w:vMerge w:val="restart"/>
            <w:tcBorders>
              <w:top w:val="nil"/>
              <w:left w:val="single" w:sz="8" w:space="0" w:color="auto"/>
              <w:bottom w:val="single" w:sz="8" w:space="0" w:color="000000"/>
              <w:right w:val="single" w:sz="8" w:space="0" w:color="auto"/>
            </w:tcBorders>
            <w:shd w:val="clear" w:color="auto" w:fill="E48C32"/>
            <w:vAlign w:val="center"/>
            <w:hideMark/>
          </w:tcPr>
          <w:p>
            <w:pPr>
              <w:jc w:val="center"/>
              <w:rPr>
                <w:rFonts w:cs="Arial"/>
                <w:b/>
                <w:noProof/>
                <w:color w:val="FFFFFF"/>
                <w:sz w:val="14"/>
                <w:szCs w:val="14"/>
              </w:rPr>
            </w:pPr>
            <w:r>
              <w:rPr>
                <w:rFonts w:cs="Arial"/>
                <w:b/>
                <w:noProof/>
                <w:color w:val="FFFFFF"/>
                <w:sz w:val="14"/>
                <w:szCs w:val="14"/>
              </w:rPr>
              <w:t>Financial corrections confirmed at end 2018</w:t>
            </w:r>
          </w:p>
        </w:tc>
        <w:tc>
          <w:tcPr>
            <w:tcW w:w="502" w:type="pct"/>
            <w:vMerge w:val="restart"/>
            <w:tcBorders>
              <w:top w:val="nil"/>
              <w:left w:val="single" w:sz="8" w:space="0" w:color="auto"/>
              <w:bottom w:val="single" w:sz="8" w:space="0" w:color="000000"/>
              <w:right w:val="single" w:sz="8" w:space="0" w:color="auto"/>
            </w:tcBorders>
            <w:shd w:val="clear" w:color="auto" w:fill="E48C32"/>
            <w:vAlign w:val="center"/>
            <w:hideMark/>
          </w:tcPr>
          <w:p>
            <w:pPr>
              <w:jc w:val="center"/>
              <w:rPr>
                <w:rFonts w:cs="Arial"/>
                <w:b/>
                <w:noProof/>
                <w:color w:val="FFFFFF"/>
                <w:sz w:val="14"/>
                <w:szCs w:val="14"/>
              </w:rPr>
            </w:pPr>
            <w:r>
              <w:rPr>
                <w:rFonts w:cs="Arial"/>
                <w:b/>
                <w:noProof/>
                <w:color w:val="FFFFFF"/>
                <w:sz w:val="14"/>
                <w:szCs w:val="14"/>
              </w:rPr>
              <w:t>Implementation % at end 2018</w:t>
            </w:r>
          </w:p>
        </w:tc>
        <w:tc>
          <w:tcPr>
            <w:tcW w:w="535" w:type="pct"/>
            <w:vMerge w:val="restart"/>
            <w:tcBorders>
              <w:top w:val="nil"/>
              <w:left w:val="single" w:sz="8" w:space="0" w:color="auto"/>
              <w:bottom w:val="single" w:sz="8" w:space="0" w:color="000000"/>
              <w:right w:val="single" w:sz="8" w:space="0" w:color="auto"/>
            </w:tcBorders>
            <w:shd w:val="clear" w:color="auto" w:fill="E48C32"/>
            <w:vAlign w:val="center"/>
          </w:tcPr>
          <w:p>
            <w:pPr>
              <w:jc w:val="center"/>
              <w:rPr>
                <w:rFonts w:cs="Arial"/>
                <w:b/>
                <w:noProof/>
                <w:color w:val="FFFFFF"/>
                <w:sz w:val="14"/>
                <w:szCs w:val="14"/>
              </w:rPr>
            </w:pPr>
            <w:r>
              <w:rPr>
                <w:rFonts w:cs="Arial"/>
                <w:b/>
                <w:noProof/>
                <w:color w:val="FFFFFF"/>
                <w:sz w:val="14"/>
                <w:szCs w:val="14"/>
              </w:rPr>
              <w:t>Financial corrections confirmed at end 2017</w:t>
            </w:r>
          </w:p>
        </w:tc>
        <w:tc>
          <w:tcPr>
            <w:tcW w:w="485" w:type="pct"/>
            <w:vMerge w:val="restart"/>
            <w:tcBorders>
              <w:top w:val="nil"/>
              <w:left w:val="single" w:sz="8" w:space="0" w:color="auto"/>
              <w:bottom w:val="single" w:sz="8" w:space="0" w:color="000000"/>
              <w:right w:val="single" w:sz="8" w:space="0" w:color="auto"/>
            </w:tcBorders>
            <w:shd w:val="clear" w:color="auto" w:fill="E48C32"/>
            <w:vAlign w:val="center"/>
            <w:hideMark/>
          </w:tcPr>
          <w:p>
            <w:pPr>
              <w:jc w:val="center"/>
              <w:rPr>
                <w:rFonts w:cs="Arial"/>
                <w:b/>
                <w:noProof/>
                <w:color w:val="FFFFFF"/>
                <w:sz w:val="14"/>
                <w:szCs w:val="14"/>
              </w:rPr>
            </w:pPr>
            <w:r>
              <w:rPr>
                <w:rFonts w:cs="Arial"/>
                <w:b/>
                <w:noProof/>
                <w:color w:val="FFFFFF"/>
                <w:sz w:val="14"/>
                <w:szCs w:val="14"/>
              </w:rPr>
              <w:t>Implementation % at end 2017</w:t>
            </w:r>
          </w:p>
        </w:tc>
      </w:tr>
      <w:tr>
        <w:trPr>
          <w:trHeight w:val="615"/>
          <w:jc w:val="center"/>
        </w:trPr>
        <w:tc>
          <w:tcPr>
            <w:tcW w:w="911" w:type="pct"/>
            <w:gridSpan w:val="2"/>
            <w:vMerge/>
            <w:tcBorders>
              <w:top w:val="single" w:sz="8" w:space="0" w:color="auto"/>
              <w:left w:val="single" w:sz="8" w:space="0" w:color="auto"/>
              <w:bottom w:val="single" w:sz="8" w:space="0" w:color="000000"/>
              <w:right w:val="single" w:sz="8" w:space="0" w:color="000000"/>
            </w:tcBorders>
            <w:shd w:val="clear" w:color="auto" w:fill="E48C32"/>
            <w:vAlign w:val="center"/>
            <w:hideMark/>
          </w:tcPr>
          <w:p>
            <w:pPr>
              <w:rPr>
                <w:rFonts w:cs="Arial"/>
                <w:b/>
                <w:noProof/>
                <w:color w:val="FFFFFF"/>
                <w:sz w:val="16"/>
                <w:szCs w:val="16"/>
              </w:rPr>
            </w:pPr>
          </w:p>
        </w:tc>
        <w:tc>
          <w:tcPr>
            <w:tcW w:w="393" w:type="pct"/>
            <w:tcBorders>
              <w:top w:val="single" w:sz="8" w:space="0" w:color="auto"/>
              <w:left w:val="nil"/>
              <w:bottom w:val="single" w:sz="8" w:space="0" w:color="auto"/>
              <w:right w:val="single" w:sz="8" w:space="0" w:color="auto"/>
            </w:tcBorders>
            <w:shd w:val="clear" w:color="auto" w:fill="E48C32"/>
            <w:vAlign w:val="center"/>
            <w:hideMark/>
          </w:tcPr>
          <w:p>
            <w:pPr>
              <w:jc w:val="center"/>
              <w:rPr>
                <w:rFonts w:cs="Arial"/>
                <w:b/>
                <w:noProof/>
                <w:color w:val="FFFFFF"/>
                <w:sz w:val="14"/>
                <w:szCs w:val="14"/>
              </w:rPr>
            </w:pPr>
            <w:r>
              <w:rPr>
                <w:rFonts w:cs="Arial"/>
                <w:b/>
                <w:noProof/>
                <w:color w:val="FFFFFF"/>
                <w:sz w:val="14"/>
                <w:szCs w:val="14"/>
              </w:rPr>
              <w:t>1994-1999 period</w:t>
            </w:r>
          </w:p>
        </w:tc>
        <w:tc>
          <w:tcPr>
            <w:tcW w:w="364" w:type="pct"/>
            <w:tcBorders>
              <w:top w:val="single" w:sz="8" w:space="0" w:color="auto"/>
              <w:left w:val="nil"/>
              <w:bottom w:val="single" w:sz="8" w:space="0" w:color="auto"/>
              <w:right w:val="single" w:sz="8" w:space="0" w:color="auto"/>
            </w:tcBorders>
            <w:shd w:val="clear" w:color="auto" w:fill="E48C32"/>
            <w:vAlign w:val="center"/>
            <w:hideMark/>
          </w:tcPr>
          <w:p>
            <w:pPr>
              <w:jc w:val="center"/>
              <w:rPr>
                <w:rFonts w:cs="Arial"/>
                <w:b/>
                <w:noProof/>
                <w:color w:val="FFFFFF"/>
                <w:sz w:val="14"/>
                <w:szCs w:val="14"/>
              </w:rPr>
            </w:pPr>
            <w:r>
              <w:rPr>
                <w:rFonts w:cs="Arial"/>
                <w:b/>
                <w:noProof/>
                <w:color w:val="FFFFFF"/>
                <w:sz w:val="14"/>
                <w:szCs w:val="14"/>
              </w:rPr>
              <w:t>2000-2006 period</w:t>
            </w:r>
          </w:p>
        </w:tc>
        <w:tc>
          <w:tcPr>
            <w:tcW w:w="362" w:type="pct"/>
            <w:tcBorders>
              <w:top w:val="single" w:sz="8" w:space="0" w:color="auto"/>
              <w:left w:val="nil"/>
              <w:bottom w:val="single" w:sz="8" w:space="0" w:color="auto"/>
              <w:right w:val="single" w:sz="8" w:space="0" w:color="auto"/>
            </w:tcBorders>
            <w:shd w:val="clear" w:color="auto" w:fill="E48C32"/>
            <w:vAlign w:val="center"/>
          </w:tcPr>
          <w:p>
            <w:pPr>
              <w:jc w:val="center"/>
              <w:rPr>
                <w:rFonts w:cs="Arial"/>
                <w:b/>
                <w:noProof/>
                <w:color w:val="FFFFFF"/>
                <w:sz w:val="14"/>
                <w:szCs w:val="14"/>
              </w:rPr>
            </w:pPr>
            <w:r>
              <w:rPr>
                <w:rFonts w:cs="Arial"/>
                <w:b/>
                <w:noProof/>
                <w:color w:val="FFFFFF"/>
                <w:sz w:val="14"/>
                <w:szCs w:val="14"/>
              </w:rPr>
              <w:t>2007-2013 period</w:t>
            </w:r>
          </w:p>
        </w:tc>
        <w:tc>
          <w:tcPr>
            <w:tcW w:w="364" w:type="pct"/>
            <w:tcBorders>
              <w:top w:val="single" w:sz="8" w:space="0" w:color="auto"/>
              <w:left w:val="single" w:sz="8" w:space="0" w:color="auto"/>
              <w:bottom w:val="single" w:sz="8" w:space="0" w:color="auto"/>
              <w:right w:val="nil"/>
            </w:tcBorders>
            <w:shd w:val="clear" w:color="auto" w:fill="E48C32"/>
            <w:vAlign w:val="center"/>
            <w:hideMark/>
          </w:tcPr>
          <w:p>
            <w:pPr>
              <w:jc w:val="center"/>
              <w:rPr>
                <w:rFonts w:cs="Arial"/>
                <w:b/>
                <w:noProof/>
                <w:color w:val="FFFFFF"/>
                <w:sz w:val="14"/>
                <w:szCs w:val="14"/>
              </w:rPr>
            </w:pPr>
            <w:r>
              <w:rPr>
                <w:rFonts w:cs="Arial"/>
                <w:b/>
                <w:noProof/>
                <w:color w:val="FFFFFF"/>
                <w:sz w:val="14"/>
                <w:szCs w:val="14"/>
              </w:rPr>
              <w:t>2014-2020 period</w:t>
            </w:r>
          </w:p>
        </w:tc>
        <w:tc>
          <w:tcPr>
            <w:tcW w:w="530" w:type="pct"/>
            <w:vMerge/>
            <w:tcBorders>
              <w:top w:val="nil"/>
              <w:left w:val="single" w:sz="8" w:space="0" w:color="auto"/>
              <w:bottom w:val="single" w:sz="8" w:space="0" w:color="000000"/>
              <w:right w:val="single" w:sz="8" w:space="0" w:color="auto"/>
            </w:tcBorders>
            <w:shd w:val="clear" w:color="auto" w:fill="E48C32"/>
            <w:vAlign w:val="center"/>
            <w:hideMark/>
          </w:tcPr>
          <w:p>
            <w:pPr>
              <w:rPr>
                <w:rFonts w:cs="Arial"/>
                <w:b/>
                <w:noProof/>
                <w:color w:val="FFFFFF"/>
                <w:sz w:val="14"/>
                <w:szCs w:val="14"/>
              </w:rPr>
            </w:pPr>
          </w:p>
        </w:tc>
        <w:tc>
          <w:tcPr>
            <w:tcW w:w="555" w:type="pct"/>
            <w:vMerge/>
            <w:tcBorders>
              <w:top w:val="nil"/>
              <w:left w:val="single" w:sz="8" w:space="0" w:color="auto"/>
              <w:bottom w:val="single" w:sz="8" w:space="0" w:color="000000"/>
              <w:right w:val="single" w:sz="8" w:space="0" w:color="auto"/>
            </w:tcBorders>
            <w:shd w:val="clear" w:color="auto" w:fill="E48C32"/>
            <w:vAlign w:val="center"/>
            <w:hideMark/>
          </w:tcPr>
          <w:p>
            <w:pPr>
              <w:rPr>
                <w:rFonts w:cs="Arial"/>
                <w:b/>
                <w:noProof/>
                <w:color w:val="FFFFFF"/>
                <w:sz w:val="16"/>
                <w:szCs w:val="16"/>
              </w:rPr>
            </w:pPr>
          </w:p>
        </w:tc>
        <w:tc>
          <w:tcPr>
            <w:tcW w:w="502" w:type="pct"/>
            <w:vMerge/>
            <w:tcBorders>
              <w:top w:val="nil"/>
              <w:left w:val="single" w:sz="8" w:space="0" w:color="auto"/>
              <w:bottom w:val="single" w:sz="8" w:space="0" w:color="000000"/>
              <w:right w:val="single" w:sz="8" w:space="0" w:color="auto"/>
            </w:tcBorders>
            <w:shd w:val="clear" w:color="auto" w:fill="E48C32"/>
            <w:vAlign w:val="center"/>
            <w:hideMark/>
          </w:tcPr>
          <w:p>
            <w:pPr>
              <w:rPr>
                <w:rFonts w:cs="Arial"/>
                <w:b/>
                <w:noProof/>
                <w:color w:val="FFFFFF"/>
                <w:sz w:val="16"/>
                <w:szCs w:val="16"/>
              </w:rPr>
            </w:pPr>
          </w:p>
        </w:tc>
        <w:tc>
          <w:tcPr>
            <w:tcW w:w="535" w:type="pct"/>
            <w:vMerge/>
            <w:tcBorders>
              <w:top w:val="nil"/>
              <w:left w:val="single" w:sz="8" w:space="0" w:color="auto"/>
              <w:bottom w:val="single" w:sz="8" w:space="0" w:color="000000"/>
              <w:right w:val="single" w:sz="8" w:space="0" w:color="auto"/>
            </w:tcBorders>
            <w:shd w:val="clear" w:color="auto" w:fill="E48C32"/>
            <w:vAlign w:val="center"/>
          </w:tcPr>
          <w:p>
            <w:pPr>
              <w:rPr>
                <w:rFonts w:cs="Arial"/>
                <w:b/>
                <w:noProof/>
                <w:color w:val="FFFFFF"/>
                <w:sz w:val="16"/>
                <w:szCs w:val="16"/>
              </w:rPr>
            </w:pPr>
          </w:p>
        </w:tc>
        <w:tc>
          <w:tcPr>
            <w:tcW w:w="485" w:type="pct"/>
            <w:vMerge/>
            <w:tcBorders>
              <w:top w:val="nil"/>
              <w:left w:val="single" w:sz="8" w:space="0" w:color="auto"/>
              <w:bottom w:val="single" w:sz="8" w:space="0" w:color="000000"/>
              <w:right w:val="single" w:sz="8" w:space="0" w:color="auto"/>
            </w:tcBorders>
            <w:shd w:val="clear" w:color="auto" w:fill="E48C32"/>
            <w:vAlign w:val="center"/>
            <w:hideMark/>
          </w:tcPr>
          <w:p>
            <w:pPr>
              <w:rPr>
                <w:rFonts w:cs="Arial"/>
                <w:b/>
                <w:noProof/>
                <w:color w:val="FFFFFF"/>
                <w:sz w:val="16"/>
                <w:szCs w:val="16"/>
              </w:rPr>
            </w:pPr>
          </w:p>
        </w:tc>
      </w:tr>
      <w:tr>
        <w:trPr>
          <w:trHeight w:val="227"/>
          <w:jc w:val="center"/>
        </w:trPr>
        <w:tc>
          <w:tcPr>
            <w:tcW w:w="911" w:type="pct"/>
            <w:gridSpan w:val="2"/>
            <w:tcBorders>
              <w:top w:val="single" w:sz="8" w:space="0" w:color="auto"/>
              <w:left w:val="single" w:sz="8" w:space="0" w:color="auto"/>
              <w:bottom w:val="nil"/>
              <w:right w:val="single" w:sz="8" w:space="0" w:color="000000"/>
            </w:tcBorders>
            <w:shd w:val="clear" w:color="auto" w:fill="auto"/>
            <w:noWrap/>
            <w:vAlign w:val="center"/>
            <w:hideMark/>
          </w:tcPr>
          <w:p>
            <w:pPr>
              <w:rPr>
                <w:rFonts w:cs="Arial"/>
                <w:b/>
                <w:noProof/>
                <w:color w:val="000000"/>
                <w:sz w:val="16"/>
                <w:szCs w:val="16"/>
              </w:rPr>
            </w:pPr>
            <w:r>
              <w:rPr>
                <w:rFonts w:cs="Arial"/>
                <w:b/>
                <w:noProof/>
                <w:color w:val="000000"/>
                <w:sz w:val="16"/>
                <w:szCs w:val="16"/>
              </w:rPr>
              <w:t>Agricultural policy</w:t>
            </w:r>
          </w:p>
        </w:tc>
        <w:tc>
          <w:tcPr>
            <w:tcW w:w="393" w:type="pct"/>
            <w:tcBorders>
              <w:top w:val="nil"/>
              <w:left w:val="nil"/>
              <w:bottom w:val="nil"/>
              <w:right w:val="single" w:sz="8" w:space="0" w:color="auto"/>
            </w:tcBorders>
            <w:shd w:val="clear" w:color="auto" w:fill="auto"/>
            <w:noWrap/>
            <w:vAlign w:val="center"/>
          </w:tcPr>
          <w:p>
            <w:pPr>
              <w:jc w:val="right"/>
              <w:rPr>
                <w:rFonts w:cs="Arial"/>
                <w:b/>
                <w:bCs/>
                <w:noProof/>
                <w:color w:val="000000"/>
                <w:sz w:val="16"/>
                <w:szCs w:val="16"/>
              </w:rPr>
            </w:pPr>
            <w:r>
              <w:rPr>
                <w:rFonts w:cs="Arial"/>
                <w:b/>
                <w:bCs/>
                <w:noProof/>
                <w:color w:val="000000"/>
                <w:sz w:val="16"/>
                <w:szCs w:val="16"/>
              </w:rPr>
              <w:t>–</w:t>
            </w:r>
          </w:p>
        </w:tc>
        <w:tc>
          <w:tcPr>
            <w:tcW w:w="364" w:type="pct"/>
            <w:tcBorders>
              <w:top w:val="nil"/>
              <w:left w:val="nil"/>
              <w:bottom w:val="nil"/>
              <w:right w:val="single" w:sz="8" w:space="0" w:color="auto"/>
            </w:tcBorders>
            <w:shd w:val="clear" w:color="auto" w:fill="auto"/>
            <w:noWrap/>
            <w:vAlign w:val="center"/>
          </w:tcPr>
          <w:p>
            <w:pPr>
              <w:jc w:val="right"/>
              <w:rPr>
                <w:rFonts w:cs="Arial"/>
                <w:b/>
                <w:bCs/>
                <w:noProof/>
                <w:color w:val="000000"/>
                <w:sz w:val="16"/>
                <w:szCs w:val="16"/>
              </w:rPr>
            </w:pPr>
            <w:r>
              <w:rPr>
                <w:rFonts w:cs="Arial"/>
                <w:b/>
                <w:bCs/>
                <w:noProof/>
                <w:color w:val="000000"/>
                <w:sz w:val="16"/>
                <w:szCs w:val="16"/>
              </w:rPr>
              <w:t>143</w:t>
            </w:r>
          </w:p>
        </w:tc>
        <w:tc>
          <w:tcPr>
            <w:tcW w:w="362" w:type="pct"/>
            <w:tcBorders>
              <w:top w:val="nil"/>
              <w:left w:val="nil"/>
              <w:bottom w:val="nil"/>
              <w:right w:val="single" w:sz="8" w:space="0" w:color="auto"/>
            </w:tcBorders>
            <w:vAlign w:val="center"/>
          </w:tcPr>
          <w:p>
            <w:pPr>
              <w:jc w:val="right"/>
              <w:rPr>
                <w:rFonts w:cs="Arial"/>
                <w:b/>
                <w:bCs/>
                <w:noProof/>
                <w:color w:val="000000"/>
                <w:sz w:val="16"/>
                <w:szCs w:val="16"/>
              </w:rPr>
            </w:pPr>
            <w:r>
              <w:rPr>
                <w:rFonts w:cs="Arial"/>
                <w:b/>
                <w:bCs/>
                <w:noProof/>
                <w:color w:val="000000"/>
                <w:sz w:val="16"/>
                <w:szCs w:val="16"/>
              </w:rPr>
              <w:t>1 451</w:t>
            </w:r>
          </w:p>
        </w:tc>
        <w:tc>
          <w:tcPr>
            <w:tcW w:w="364" w:type="pct"/>
            <w:tcBorders>
              <w:top w:val="nil"/>
              <w:left w:val="single" w:sz="8" w:space="0" w:color="auto"/>
              <w:bottom w:val="nil"/>
              <w:right w:val="single" w:sz="8" w:space="0" w:color="auto"/>
            </w:tcBorders>
            <w:shd w:val="clear" w:color="auto" w:fill="auto"/>
            <w:noWrap/>
            <w:vAlign w:val="center"/>
          </w:tcPr>
          <w:p>
            <w:pPr>
              <w:jc w:val="right"/>
              <w:rPr>
                <w:rFonts w:cs="Arial"/>
                <w:b/>
                <w:bCs/>
                <w:noProof/>
                <w:color w:val="000000"/>
                <w:sz w:val="16"/>
                <w:szCs w:val="16"/>
              </w:rPr>
            </w:pPr>
            <w:r>
              <w:rPr>
                <w:rFonts w:cs="Arial"/>
                <w:b/>
                <w:bCs/>
                <w:noProof/>
                <w:color w:val="000000"/>
                <w:sz w:val="16"/>
                <w:szCs w:val="16"/>
              </w:rPr>
              <w:t xml:space="preserve"> 36</w:t>
            </w:r>
          </w:p>
        </w:tc>
        <w:tc>
          <w:tcPr>
            <w:tcW w:w="530" w:type="pct"/>
            <w:tcBorders>
              <w:top w:val="nil"/>
              <w:left w:val="nil"/>
              <w:bottom w:val="nil"/>
              <w:right w:val="single" w:sz="8" w:space="0" w:color="auto"/>
            </w:tcBorders>
            <w:shd w:val="clear" w:color="auto" w:fill="auto"/>
            <w:noWrap/>
          </w:tcPr>
          <w:p>
            <w:pPr>
              <w:jc w:val="right"/>
              <w:rPr>
                <w:rFonts w:cs="Arial"/>
                <w:b/>
                <w:bCs/>
                <w:noProof/>
                <w:color w:val="000000"/>
                <w:sz w:val="16"/>
                <w:szCs w:val="16"/>
              </w:rPr>
            </w:pPr>
            <w:r>
              <w:rPr>
                <w:rFonts w:cs="Arial"/>
                <w:b/>
                <w:bCs/>
                <w:noProof/>
                <w:color w:val="000000"/>
                <w:sz w:val="16"/>
                <w:szCs w:val="16"/>
              </w:rPr>
              <w:t>14</w:t>
            </w:r>
            <w:r>
              <w:rPr>
                <w:rFonts w:ascii="Calibri" w:hAnsi="Calibri" w:cs="Calibri"/>
                <w:b/>
                <w:bCs/>
                <w:noProof/>
                <w:color w:val="000000"/>
                <w:sz w:val="16"/>
                <w:szCs w:val="16"/>
              </w:rPr>
              <w:t> </w:t>
            </w:r>
            <w:r>
              <w:rPr>
                <w:rFonts w:cs="Arial"/>
                <w:b/>
                <w:bCs/>
                <w:noProof/>
                <w:color w:val="000000"/>
                <w:sz w:val="16"/>
                <w:szCs w:val="16"/>
              </w:rPr>
              <w:t>410</w:t>
            </w:r>
          </w:p>
        </w:tc>
        <w:tc>
          <w:tcPr>
            <w:tcW w:w="555" w:type="pct"/>
            <w:tcBorders>
              <w:top w:val="nil"/>
              <w:left w:val="nil"/>
              <w:bottom w:val="nil"/>
              <w:right w:val="single" w:sz="8" w:space="0" w:color="auto"/>
            </w:tcBorders>
            <w:shd w:val="clear" w:color="auto" w:fill="auto"/>
            <w:noWrap/>
          </w:tcPr>
          <w:p>
            <w:pPr>
              <w:jc w:val="right"/>
              <w:rPr>
                <w:rFonts w:cs="Arial"/>
                <w:b/>
                <w:bCs/>
                <w:noProof/>
                <w:color w:val="000000"/>
                <w:sz w:val="16"/>
                <w:szCs w:val="16"/>
              </w:rPr>
            </w:pPr>
            <w:r>
              <w:rPr>
                <w:rFonts w:cs="Arial"/>
                <w:b/>
                <w:bCs/>
                <w:noProof/>
                <w:color w:val="000000"/>
                <w:sz w:val="16"/>
                <w:szCs w:val="16"/>
              </w:rPr>
              <w:t>16</w:t>
            </w:r>
            <w:r>
              <w:rPr>
                <w:rFonts w:ascii="Calibri" w:hAnsi="Calibri" w:cs="Calibri"/>
                <w:b/>
                <w:bCs/>
                <w:noProof/>
                <w:color w:val="000000"/>
                <w:sz w:val="16"/>
                <w:szCs w:val="16"/>
              </w:rPr>
              <w:t> </w:t>
            </w:r>
            <w:r>
              <w:rPr>
                <w:rFonts w:cs="Arial"/>
                <w:b/>
                <w:bCs/>
                <w:noProof/>
                <w:color w:val="000000"/>
                <w:sz w:val="16"/>
                <w:szCs w:val="16"/>
              </w:rPr>
              <w:t>040</w:t>
            </w:r>
          </w:p>
        </w:tc>
        <w:tc>
          <w:tcPr>
            <w:tcW w:w="502" w:type="pct"/>
            <w:tcBorders>
              <w:top w:val="nil"/>
              <w:left w:val="nil"/>
              <w:bottom w:val="nil"/>
              <w:right w:val="single" w:sz="8" w:space="0" w:color="auto"/>
            </w:tcBorders>
            <w:shd w:val="clear" w:color="auto" w:fill="auto"/>
            <w:vAlign w:val="center"/>
          </w:tcPr>
          <w:p>
            <w:pPr>
              <w:jc w:val="right"/>
              <w:rPr>
                <w:rFonts w:cs="Arial"/>
                <w:b/>
                <w:i/>
                <w:noProof/>
                <w:color w:val="000000"/>
                <w:sz w:val="16"/>
                <w:szCs w:val="16"/>
              </w:rPr>
            </w:pPr>
            <w:r>
              <w:rPr>
                <w:rFonts w:cs="Arial"/>
                <w:b/>
                <w:bCs/>
                <w:noProof/>
                <w:color w:val="000000"/>
                <w:sz w:val="16"/>
                <w:szCs w:val="16"/>
              </w:rPr>
              <w:t>95.9</w:t>
            </w:r>
          </w:p>
        </w:tc>
        <w:tc>
          <w:tcPr>
            <w:tcW w:w="535" w:type="pct"/>
            <w:tcBorders>
              <w:top w:val="nil"/>
              <w:left w:val="nil"/>
              <w:bottom w:val="nil"/>
              <w:right w:val="single" w:sz="8" w:space="0" w:color="auto"/>
            </w:tcBorders>
            <w:shd w:val="clear" w:color="auto" w:fill="auto"/>
            <w:vAlign w:val="center"/>
          </w:tcPr>
          <w:p>
            <w:pPr>
              <w:jc w:val="right"/>
              <w:rPr>
                <w:rFonts w:cs="Arial"/>
                <w:b/>
                <w:bCs/>
                <w:noProof/>
                <w:color w:val="000000"/>
                <w:sz w:val="16"/>
                <w:szCs w:val="16"/>
              </w:rPr>
            </w:pPr>
            <w:r>
              <w:rPr>
                <w:rFonts w:cs="Arial"/>
                <w:b/>
                <w:bCs/>
                <w:noProof/>
                <w:color w:val="000000"/>
                <w:sz w:val="16"/>
                <w:szCs w:val="16"/>
              </w:rPr>
              <w:t>15</w:t>
            </w:r>
            <w:r>
              <w:rPr>
                <w:rFonts w:ascii="Calibri" w:hAnsi="Calibri" w:cs="Calibri"/>
                <w:b/>
                <w:bCs/>
                <w:noProof/>
                <w:color w:val="000000"/>
                <w:sz w:val="16"/>
                <w:szCs w:val="16"/>
              </w:rPr>
              <w:t> </w:t>
            </w:r>
            <w:r>
              <w:rPr>
                <w:rFonts w:cs="Arial"/>
                <w:b/>
                <w:bCs/>
                <w:noProof/>
                <w:color w:val="000000"/>
                <w:sz w:val="16"/>
                <w:szCs w:val="16"/>
              </w:rPr>
              <w:t>517</w:t>
            </w:r>
          </w:p>
        </w:tc>
        <w:tc>
          <w:tcPr>
            <w:tcW w:w="485" w:type="pct"/>
            <w:tcBorders>
              <w:top w:val="nil"/>
              <w:left w:val="nil"/>
              <w:bottom w:val="nil"/>
              <w:right w:val="single" w:sz="8" w:space="0" w:color="auto"/>
            </w:tcBorders>
            <w:shd w:val="clear" w:color="auto" w:fill="auto"/>
            <w:vAlign w:val="center"/>
          </w:tcPr>
          <w:p>
            <w:pPr>
              <w:jc w:val="right"/>
              <w:rPr>
                <w:rFonts w:cs="Arial"/>
                <w:b/>
                <w:i/>
                <w:noProof/>
                <w:color w:val="000000"/>
                <w:sz w:val="16"/>
                <w:szCs w:val="16"/>
              </w:rPr>
            </w:pPr>
            <w:r>
              <w:rPr>
                <w:rFonts w:cs="Arial"/>
                <w:b/>
                <w:bCs/>
                <w:noProof/>
                <w:color w:val="000000"/>
                <w:sz w:val="16"/>
                <w:szCs w:val="16"/>
              </w:rPr>
              <w:t>91.1</w:t>
            </w:r>
          </w:p>
        </w:tc>
      </w:tr>
      <w:tr>
        <w:trPr>
          <w:trHeight w:val="227"/>
          <w:jc w:val="center"/>
        </w:trPr>
        <w:tc>
          <w:tcPr>
            <w:tcW w:w="911" w:type="pct"/>
            <w:gridSpan w:val="2"/>
            <w:tcBorders>
              <w:top w:val="nil"/>
              <w:left w:val="single" w:sz="8" w:space="0" w:color="auto"/>
              <w:bottom w:val="nil"/>
              <w:right w:val="single" w:sz="8" w:space="0" w:color="000000"/>
            </w:tcBorders>
            <w:shd w:val="clear" w:color="auto" w:fill="auto"/>
            <w:noWrap/>
            <w:vAlign w:val="center"/>
            <w:hideMark/>
          </w:tcPr>
          <w:p>
            <w:pPr>
              <w:rPr>
                <w:rFonts w:cs="Arial"/>
                <w:i/>
                <w:noProof/>
                <w:color w:val="000000"/>
                <w:sz w:val="16"/>
                <w:szCs w:val="16"/>
              </w:rPr>
            </w:pPr>
            <w:r>
              <w:rPr>
                <w:rFonts w:cs="Arial"/>
                <w:i/>
                <w:noProof/>
                <w:color w:val="000000"/>
                <w:sz w:val="16"/>
                <w:szCs w:val="16"/>
              </w:rPr>
              <w:t>European Agricultural Guarantee Fund</w:t>
            </w:r>
          </w:p>
        </w:tc>
        <w:tc>
          <w:tcPr>
            <w:tcW w:w="393" w:type="pct"/>
            <w:tcBorders>
              <w:top w:val="nil"/>
              <w:left w:val="nil"/>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w:t>
            </w:r>
          </w:p>
        </w:tc>
        <w:tc>
          <w:tcPr>
            <w:tcW w:w="364" w:type="pct"/>
            <w:tcBorders>
              <w:top w:val="nil"/>
              <w:left w:val="nil"/>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w:t>
            </w:r>
          </w:p>
        </w:tc>
        <w:tc>
          <w:tcPr>
            <w:tcW w:w="362" w:type="pct"/>
            <w:tcBorders>
              <w:top w:val="nil"/>
              <w:left w:val="nil"/>
              <w:bottom w:val="nil"/>
              <w:right w:val="single" w:sz="8" w:space="0" w:color="auto"/>
            </w:tcBorders>
            <w:vAlign w:val="center"/>
          </w:tcPr>
          <w:p>
            <w:pPr>
              <w:jc w:val="right"/>
              <w:rPr>
                <w:rFonts w:cs="Arial"/>
                <w:noProof/>
                <w:color w:val="000000"/>
                <w:sz w:val="16"/>
                <w:szCs w:val="16"/>
              </w:rPr>
            </w:pPr>
            <w:r>
              <w:rPr>
                <w:rFonts w:cs="Arial"/>
                <w:noProof/>
                <w:color w:val="000000"/>
                <w:sz w:val="16"/>
                <w:szCs w:val="16"/>
              </w:rPr>
              <w:t>–</w:t>
            </w:r>
          </w:p>
        </w:tc>
        <w:tc>
          <w:tcPr>
            <w:tcW w:w="364" w:type="pct"/>
            <w:tcBorders>
              <w:top w:val="nil"/>
              <w:left w:val="single" w:sz="8" w:space="0" w:color="auto"/>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w:t>
            </w:r>
          </w:p>
        </w:tc>
        <w:tc>
          <w:tcPr>
            <w:tcW w:w="530" w:type="pct"/>
            <w:tcBorders>
              <w:top w:val="nil"/>
              <w:left w:val="nil"/>
              <w:bottom w:val="nil"/>
              <w:right w:val="single" w:sz="8" w:space="0" w:color="auto"/>
            </w:tcBorders>
            <w:shd w:val="clear" w:color="auto" w:fill="auto"/>
          </w:tcPr>
          <w:p>
            <w:pPr>
              <w:jc w:val="right"/>
              <w:rPr>
                <w:rFonts w:cs="Arial"/>
                <w:bCs/>
                <w:noProof/>
                <w:color w:val="000000"/>
                <w:sz w:val="16"/>
                <w:szCs w:val="16"/>
              </w:rPr>
            </w:pPr>
            <w:r>
              <w:rPr>
                <w:rFonts w:cs="Arial"/>
                <w:bCs/>
                <w:noProof/>
                <w:color w:val="000000"/>
                <w:sz w:val="16"/>
                <w:szCs w:val="16"/>
              </w:rPr>
              <w:t>14</w:t>
            </w:r>
            <w:r>
              <w:rPr>
                <w:rFonts w:ascii="Calibri" w:hAnsi="Calibri" w:cs="Calibri"/>
                <w:bCs/>
                <w:noProof/>
                <w:color w:val="000000"/>
                <w:sz w:val="16"/>
                <w:szCs w:val="16"/>
              </w:rPr>
              <w:t> </w:t>
            </w:r>
            <w:r>
              <w:rPr>
                <w:rFonts w:cs="Arial"/>
                <w:bCs/>
                <w:noProof/>
                <w:color w:val="000000"/>
                <w:sz w:val="16"/>
                <w:szCs w:val="16"/>
              </w:rPr>
              <w:t>410</w:t>
            </w:r>
          </w:p>
        </w:tc>
        <w:tc>
          <w:tcPr>
            <w:tcW w:w="555" w:type="pct"/>
            <w:tcBorders>
              <w:top w:val="nil"/>
              <w:left w:val="nil"/>
              <w:bottom w:val="nil"/>
              <w:right w:val="single" w:sz="8" w:space="0" w:color="auto"/>
            </w:tcBorders>
            <w:shd w:val="clear" w:color="auto" w:fill="auto"/>
            <w:noWrap/>
          </w:tcPr>
          <w:p>
            <w:pPr>
              <w:jc w:val="right"/>
              <w:rPr>
                <w:rFonts w:cs="Arial"/>
                <w:noProof/>
                <w:color w:val="000000"/>
                <w:sz w:val="16"/>
                <w:szCs w:val="16"/>
              </w:rPr>
            </w:pPr>
            <w:r>
              <w:rPr>
                <w:rFonts w:cs="Verdana"/>
                <w:noProof/>
                <w:color w:val="000000"/>
                <w:sz w:val="16"/>
                <w:szCs w:val="16"/>
              </w:rPr>
              <w:t>14</w:t>
            </w:r>
            <w:r>
              <w:rPr>
                <w:rFonts w:ascii="Calibri" w:hAnsi="Calibri" w:cs="Calibri"/>
                <w:noProof/>
                <w:color w:val="000000"/>
                <w:sz w:val="16"/>
                <w:szCs w:val="16"/>
              </w:rPr>
              <w:t> </w:t>
            </w:r>
            <w:r>
              <w:rPr>
                <w:rFonts w:cs="Verdana"/>
                <w:noProof/>
                <w:color w:val="000000"/>
                <w:sz w:val="16"/>
                <w:szCs w:val="16"/>
              </w:rPr>
              <w:t>410</w:t>
            </w:r>
          </w:p>
        </w:tc>
        <w:tc>
          <w:tcPr>
            <w:tcW w:w="502" w:type="pct"/>
            <w:tcBorders>
              <w:top w:val="nil"/>
              <w:left w:val="nil"/>
              <w:bottom w:val="nil"/>
              <w:right w:val="single" w:sz="8" w:space="0" w:color="auto"/>
            </w:tcBorders>
            <w:shd w:val="clear" w:color="auto" w:fill="auto"/>
            <w:vAlign w:val="center"/>
          </w:tcPr>
          <w:p>
            <w:pPr>
              <w:jc w:val="right"/>
              <w:rPr>
                <w:rFonts w:cs="Arial"/>
                <w:i/>
                <w:noProof/>
                <w:color w:val="000000"/>
                <w:sz w:val="16"/>
                <w:szCs w:val="16"/>
              </w:rPr>
            </w:pPr>
            <w:r>
              <w:rPr>
                <w:rFonts w:cs="Arial"/>
                <w:noProof/>
                <w:color w:val="000000"/>
                <w:sz w:val="16"/>
                <w:szCs w:val="16"/>
              </w:rPr>
              <w:t>95.4</w:t>
            </w:r>
          </w:p>
        </w:tc>
        <w:tc>
          <w:tcPr>
            <w:tcW w:w="535" w:type="pct"/>
            <w:tcBorders>
              <w:top w:val="nil"/>
              <w:left w:val="nil"/>
              <w:bottom w:val="nil"/>
              <w:right w:val="single" w:sz="8" w:space="0" w:color="auto"/>
            </w:tcBorders>
            <w:shd w:val="clear" w:color="auto" w:fill="auto"/>
            <w:vAlign w:val="center"/>
          </w:tcPr>
          <w:p>
            <w:pPr>
              <w:jc w:val="right"/>
              <w:rPr>
                <w:rFonts w:cs="Arial"/>
                <w:noProof/>
                <w:color w:val="000000"/>
                <w:sz w:val="16"/>
                <w:szCs w:val="16"/>
              </w:rPr>
            </w:pPr>
            <w:r>
              <w:rPr>
                <w:rFonts w:cs="Arial"/>
                <w:noProof/>
                <w:color w:val="000000"/>
                <w:sz w:val="16"/>
                <w:szCs w:val="16"/>
              </w:rPr>
              <w:t>14</w:t>
            </w:r>
            <w:r>
              <w:rPr>
                <w:rFonts w:ascii="Calibri" w:hAnsi="Calibri" w:cs="Calibri"/>
                <w:noProof/>
                <w:color w:val="000000"/>
                <w:sz w:val="16"/>
                <w:szCs w:val="16"/>
              </w:rPr>
              <w:t> </w:t>
            </w:r>
            <w:r>
              <w:rPr>
                <w:rFonts w:cs="Arial"/>
                <w:noProof/>
                <w:color w:val="000000"/>
                <w:sz w:val="16"/>
                <w:szCs w:val="16"/>
              </w:rPr>
              <w:t>081</w:t>
            </w:r>
          </w:p>
        </w:tc>
        <w:tc>
          <w:tcPr>
            <w:tcW w:w="485" w:type="pct"/>
            <w:tcBorders>
              <w:top w:val="nil"/>
              <w:left w:val="nil"/>
              <w:bottom w:val="nil"/>
              <w:right w:val="single" w:sz="8" w:space="0" w:color="auto"/>
            </w:tcBorders>
            <w:shd w:val="clear" w:color="auto" w:fill="auto"/>
            <w:vAlign w:val="center"/>
          </w:tcPr>
          <w:p>
            <w:pPr>
              <w:jc w:val="right"/>
              <w:rPr>
                <w:rFonts w:cs="Arial"/>
                <w:i/>
                <w:noProof/>
                <w:color w:val="000000"/>
                <w:sz w:val="16"/>
                <w:szCs w:val="16"/>
              </w:rPr>
            </w:pPr>
            <w:r>
              <w:rPr>
                <w:rFonts w:cs="Arial"/>
                <w:noProof/>
                <w:color w:val="000000"/>
                <w:sz w:val="16"/>
                <w:szCs w:val="16"/>
              </w:rPr>
              <w:t>91.6</w:t>
            </w:r>
          </w:p>
        </w:tc>
      </w:tr>
      <w:tr>
        <w:trPr>
          <w:trHeight w:val="227"/>
          <w:jc w:val="center"/>
        </w:trPr>
        <w:tc>
          <w:tcPr>
            <w:tcW w:w="911" w:type="pct"/>
            <w:gridSpan w:val="2"/>
            <w:tcBorders>
              <w:top w:val="nil"/>
              <w:left w:val="single" w:sz="8" w:space="0" w:color="auto"/>
              <w:bottom w:val="nil"/>
              <w:right w:val="single" w:sz="8" w:space="0" w:color="000000"/>
            </w:tcBorders>
            <w:shd w:val="clear" w:color="auto" w:fill="auto"/>
            <w:noWrap/>
            <w:vAlign w:val="center"/>
            <w:hideMark/>
          </w:tcPr>
          <w:p>
            <w:pPr>
              <w:rPr>
                <w:rFonts w:cs="Arial"/>
                <w:i/>
                <w:noProof/>
                <w:color w:val="000000"/>
                <w:sz w:val="16"/>
                <w:szCs w:val="16"/>
              </w:rPr>
            </w:pPr>
            <w:r>
              <w:rPr>
                <w:rFonts w:cs="Arial"/>
                <w:i/>
                <w:noProof/>
                <w:color w:val="000000"/>
                <w:sz w:val="16"/>
                <w:szCs w:val="16"/>
              </w:rPr>
              <w:t>Rural development</w:t>
            </w:r>
          </w:p>
        </w:tc>
        <w:tc>
          <w:tcPr>
            <w:tcW w:w="393" w:type="pct"/>
            <w:tcBorders>
              <w:top w:val="nil"/>
              <w:left w:val="nil"/>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w:t>
            </w:r>
          </w:p>
        </w:tc>
        <w:tc>
          <w:tcPr>
            <w:tcW w:w="364" w:type="pct"/>
            <w:tcBorders>
              <w:top w:val="nil"/>
              <w:left w:val="nil"/>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 xml:space="preserve"> 143</w:t>
            </w:r>
          </w:p>
        </w:tc>
        <w:tc>
          <w:tcPr>
            <w:tcW w:w="362" w:type="pct"/>
            <w:tcBorders>
              <w:top w:val="nil"/>
              <w:left w:val="nil"/>
              <w:bottom w:val="nil"/>
              <w:right w:val="single" w:sz="8" w:space="0" w:color="auto"/>
            </w:tcBorders>
            <w:vAlign w:val="center"/>
          </w:tcPr>
          <w:p>
            <w:pPr>
              <w:jc w:val="right"/>
              <w:rPr>
                <w:rFonts w:cs="Arial"/>
                <w:noProof/>
                <w:color w:val="000000"/>
                <w:sz w:val="16"/>
                <w:szCs w:val="16"/>
              </w:rPr>
            </w:pPr>
            <w:r>
              <w:rPr>
                <w:rFonts w:cs="Arial"/>
                <w:noProof/>
                <w:color w:val="000000"/>
                <w:sz w:val="16"/>
                <w:szCs w:val="16"/>
              </w:rPr>
              <w:t>1</w:t>
            </w:r>
            <w:r>
              <w:rPr>
                <w:rFonts w:ascii="Calibri" w:hAnsi="Calibri" w:cs="Calibri"/>
                <w:noProof/>
                <w:color w:val="000000"/>
                <w:sz w:val="16"/>
                <w:szCs w:val="16"/>
              </w:rPr>
              <w:t> </w:t>
            </w:r>
            <w:r>
              <w:rPr>
                <w:rFonts w:cs="Arial"/>
                <w:noProof/>
                <w:color w:val="000000"/>
                <w:sz w:val="16"/>
                <w:szCs w:val="16"/>
              </w:rPr>
              <w:t>451</w:t>
            </w:r>
          </w:p>
        </w:tc>
        <w:tc>
          <w:tcPr>
            <w:tcW w:w="364" w:type="pct"/>
            <w:tcBorders>
              <w:top w:val="nil"/>
              <w:left w:val="single" w:sz="8" w:space="0" w:color="auto"/>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 xml:space="preserve"> 36</w:t>
            </w:r>
          </w:p>
        </w:tc>
        <w:tc>
          <w:tcPr>
            <w:tcW w:w="530" w:type="pct"/>
            <w:tcBorders>
              <w:top w:val="nil"/>
              <w:left w:val="nil"/>
              <w:bottom w:val="nil"/>
              <w:right w:val="single" w:sz="8" w:space="0" w:color="auto"/>
            </w:tcBorders>
            <w:shd w:val="clear" w:color="auto" w:fill="auto"/>
          </w:tcPr>
          <w:p>
            <w:pPr>
              <w:jc w:val="right"/>
              <w:rPr>
                <w:rFonts w:cs="Arial"/>
                <w:bCs/>
                <w:noProof/>
                <w:color w:val="000000"/>
                <w:sz w:val="16"/>
                <w:szCs w:val="16"/>
              </w:rPr>
            </w:pPr>
            <w:r>
              <w:rPr>
                <w:rFonts w:cs="Arial"/>
                <w:bCs/>
                <w:noProof/>
                <w:color w:val="000000"/>
                <w:sz w:val="16"/>
                <w:szCs w:val="16"/>
              </w:rPr>
              <w:t>N/A</w:t>
            </w:r>
          </w:p>
        </w:tc>
        <w:tc>
          <w:tcPr>
            <w:tcW w:w="555" w:type="pct"/>
            <w:tcBorders>
              <w:top w:val="nil"/>
              <w:left w:val="nil"/>
              <w:bottom w:val="nil"/>
              <w:right w:val="single" w:sz="8" w:space="0" w:color="auto"/>
            </w:tcBorders>
            <w:shd w:val="clear" w:color="auto" w:fill="auto"/>
            <w:noWrap/>
          </w:tcPr>
          <w:p>
            <w:pPr>
              <w:jc w:val="right"/>
              <w:rPr>
                <w:rFonts w:cs="Arial"/>
                <w:noProof/>
                <w:color w:val="000000"/>
                <w:sz w:val="16"/>
                <w:szCs w:val="16"/>
              </w:rPr>
            </w:pPr>
            <w:r>
              <w:rPr>
                <w:rFonts w:cs="Verdana"/>
                <w:noProof/>
                <w:color w:val="000000"/>
                <w:sz w:val="16"/>
                <w:szCs w:val="16"/>
              </w:rPr>
              <w:t>1</w:t>
            </w:r>
            <w:r>
              <w:rPr>
                <w:rFonts w:ascii="Calibri" w:hAnsi="Calibri" w:cs="Calibri"/>
                <w:noProof/>
                <w:color w:val="000000"/>
                <w:sz w:val="16"/>
                <w:szCs w:val="16"/>
              </w:rPr>
              <w:t> </w:t>
            </w:r>
            <w:r>
              <w:rPr>
                <w:rFonts w:cs="Verdana"/>
                <w:noProof/>
                <w:color w:val="000000"/>
                <w:sz w:val="16"/>
                <w:szCs w:val="16"/>
              </w:rPr>
              <w:t>630</w:t>
            </w:r>
          </w:p>
        </w:tc>
        <w:tc>
          <w:tcPr>
            <w:tcW w:w="502" w:type="pct"/>
            <w:tcBorders>
              <w:top w:val="nil"/>
              <w:left w:val="nil"/>
              <w:bottom w:val="nil"/>
              <w:right w:val="single" w:sz="8" w:space="0" w:color="auto"/>
            </w:tcBorders>
            <w:shd w:val="clear" w:color="auto" w:fill="auto"/>
            <w:vAlign w:val="center"/>
          </w:tcPr>
          <w:p>
            <w:pPr>
              <w:jc w:val="right"/>
              <w:rPr>
                <w:rFonts w:cs="Arial"/>
                <w:i/>
                <w:noProof/>
                <w:color w:val="000000"/>
                <w:sz w:val="16"/>
                <w:szCs w:val="16"/>
              </w:rPr>
            </w:pPr>
            <w:r>
              <w:rPr>
                <w:rFonts w:cs="Arial"/>
                <w:noProof/>
                <w:color w:val="000000"/>
                <w:sz w:val="16"/>
                <w:szCs w:val="16"/>
              </w:rPr>
              <w:t>100.0</w:t>
            </w:r>
          </w:p>
        </w:tc>
        <w:tc>
          <w:tcPr>
            <w:tcW w:w="535" w:type="pct"/>
            <w:tcBorders>
              <w:top w:val="nil"/>
              <w:left w:val="nil"/>
              <w:bottom w:val="nil"/>
              <w:right w:val="single" w:sz="8" w:space="0" w:color="auto"/>
            </w:tcBorders>
            <w:shd w:val="clear" w:color="auto" w:fill="auto"/>
            <w:vAlign w:val="center"/>
          </w:tcPr>
          <w:p>
            <w:pPr>
              <w:jc w:val="right"/>
              <w:rPr>
                <w:rFonts w:cs="Arial"/>
                <w:noProof/>
                <w:color w:val="000000"/>
                <w:sz w:val="16"/>
                <w:szCs w:val="16"/>
              </w:rPr>
            </w:pPr>
            <w:r>
              <w:rPr>
                <w:rFonts w:cs="Arial"/>
                <w:noProof/>
                <w:color w:val="000000"/>
                <w:sz w:val="16"/>
                <w:szCs w:val="16"/>
              </w:rPr>
              <w:t>1</w:t>
            </w:r>
            <w:r>
              <w:rPr>
                <w:rFonts w:ascii="Calibri" w:hAnsi="Calibri" w:cs="Calibri"/>
                <w:noProof/>
                <w:color w:val="000000"/>
                <w:sz w:val="16"/>
                <w:szCs w:val="16"/>
              </w:rPr>
              <w:t> </w:t>
            </w:r>
            <w:r>
              <w:rPr>
                <w:rFonts w:cs="Arial"/>
                <w:noProof/>
                <w:color w:val="000000"/>
                <w:sz w:val="16"/>
                <w:szCs w:val="16"/>
              </w:rPr>
              <w:t>436</w:t>
            </w:r>
          </w:p>
        </w:tc>
        <w:tc>
          <w:tcPr>
            <w:tcW w:w="485" w:type="pct"/>
            <w:tcBorders>
              <w:top w:val="nil"/>
              <w:left w:val="nil"/>
              <w:bottom w:val="nil"/>
              <w:right w:val="single" w:sz="8" w:space="0" w:color="auto"/>
            </w:tcBorders>
            <w:shd w:val="clear" w:color="auto" w:fill="auto"/>
            <w:vAlign w:val="center"/>
          </w:tcPr>
          <w:p>
            <w:pPr>
              <w:jc w:val="right"/>
              <w:rPr>
                <w:rFonts w:cs="Arial"/>
                <w:i/>
                <w:noProof/>
                <w:color w:val="000000"/>
                <w:sz w:val="16"/>
                <w:szCs w:val="16"/>
              </w:rPr>
            </w:pPr>
            <w:r>
              <w:rPr>
                <w:rFonts w:cs="Arial"/>
                <w:noProof/>
                <w:color w:val="000000"/>
                <w:sz w:val="16"/>
                <w:szCs w:val="16"/>
              </w:rPr>
              <w:t>86.6</w:t>
            </w:r>
          </w:p>
        </w:tc>
      </w:tr>
      <w:tr>
        <w:trPr>
          <w:trHeight w:val="743"/>
          <w:jc w:val="center"/>
        </w:trPr>
        <w:tc>
          <w:tcPr>
            <w:tcW w:w="911" w:type="pct"/>
            <w:gridSpan w:val="2"/>
            <w:tcBorders>
              <w:top w:val="nil"/>
              <w:left w:val="single" w:sz="8" w:space="0" w:color="auto"/>
              <w:bottom w:val="nil"/>
              <w:right w:val="single" w:sz="8" w:space="0" w:color="000000"/>
            </w:tcBorders>
            <w:shd w:val="clear" w:color="auto" w:fill="auto"/>
            <w:noWrap/>
            <w:vAlign w:val="bottom"/>
            <w:hideMark/>
          </w:tcPr>
          <w:p>
            <w:pPr>
              <w:rPr>
                <w:rFonts w:cs="Arial"/>
                <w:b/>
                <w:noProof/>
                <w:color w:val="000000"/>
                <w:sz w:val="16"/>
                <w:szCs w:val="16"/>
              </w:rPr>
            </w:pPr>
            <w:r>
              <w:rPr>
                <w:rFonts w:cs="Arial"/>
                <w:b/>
                <w:noProof/>
                <w:color w:val="000000"/>
                <w:sz w:val="16"/>
                <w:szCs w:val="16"/>
              </w:rPr>
              <w:t>Cohesion policy</w:t>
            </w:r>
          </w:p>
        </w:tc>
        <w:tc>
          <w:tcPr>
            <w:tcW w:w="393" w:type="pct"/>
            <w:tcBorders>
              <w:top w:val="nil"/>
              <w:left w:val="nil"/>
              <w:bottom w:val="nil"/>
              <w:right w:val="single" w:sz="8" w:space="0" w:color="auto"/>
            </w:tcBorders>
            <w:shd w:val="clear" w:color="auto" w:fill="auto"/>
            <w:noWrap/>
            <w:vAlign w:val="bottom"/>
          </w:tcPr>
          <w:p>
            <w:pPr>
              <w:jc w:val="right"/>
              <w:rPr>
                <w:rFonts w:cs="Arial"/>
                <w:b/>
                <w:bCs/>
                <w:noProof/>
                <w:color w:val="000000"/>
                <w:sz w:val="16"/>
                <w:szCs w:val="16"/>
              </w:rPr>
            </w:pPr>
            <w:r>
              <w:rPr>
                <w:rFonts w:cs="Arial"/>
                <w:b/>
                <w:bCs/>
                <w:noProof/>
                <w:color w:val="000000"/>
                <w:sz w:val="16"/>
                <w:szCs w:val="16"/>
              </w:rPr>
              <w:t>2</w:t>
            </w:r>
            <w:r>
              <w:rPr>
                <w:rFonts w:ascii="Calibri" w:hAnsi="Calibri" w:cs="Calibri"/>
                <w:b/>
                <w:bCs/>
                <w:noProof/>
                <w:color w:val="000000"/>
                <w:sz w:val="16"/>
                <w:szCs w:val="16"/>
              </w:rPr>
              <w:t> </w:t>
            </w:r>
            <w:r>
              <w:rPr>
                <w:rFonts w:cs="Arial"/>
                <w:b/>
                <w:bCs/>
                <w:noProof/>
                <w:color w:val="000000"/>
                <w:sz w:val="16"/>
                <w:szCs w:val="16"/>
              </w:rPr>
              <w:t>083</w:t>
            </w:r>
          </w:p>
        </w:tc>
        <w:tc>
          <w:tcPr>
            <w:tcW w:w="364" w:type="pct"/>
            <w:tcBorders>
              <w:top w:val="nil"/>
              <w:left w:val="nil"/>
              <w:bottom w:val="nil"/>
              <w:right w:val="single" w:sz="8" w:space="0" w:color="auto"/>
            </w:tcBorders>
            <w:shd w:val="clear" w:color="auto" w:fill="auto"/>
            <w:noWrap/>
            <w:vAlign w:val="bottom"/>
          </w:tcPr>
          <w:p>
            <w:pPr>
              <w:jc w:val="right"/>
              <w:rPr>
                <w:rFonts w:cs="Arial"/>
                <w:b/>
                <w:bCs/>
                <w:noProof/>
                <w:color w:val="000000"/>
                <w:sz w:val="16"/>
                <w:szCs w:val="16"/>
              </w:rPr>
            </w:pPr>
            <w:r>
              <w:rPr>
                <w:rFonts w:cs="Arial"/>
                <w:b/>
                <w:bCs/>
                <w:noProof/>
                <w:color w:val="000000"/>
                <w:sz w:val="16"/>
                <w:szCs w:val="16"/>
              </w:rPr>
              <w:t>9</w:t>
            </w:r>
            <w:r>
              <w:rPr>
                <w:rFonts w:ascii="Calibri" w:hAnsi="Calibri" w:cs="Calibri"/>
                <w:b/>
                <w:bCs/>
                <w:noProof/>
                <w:color w:val="000000"/>
                <w:sz w:val="16"/>
                <w:szCs w:val="16"/>
              </w:rPr>
              <w:t> </w:t>
            </w:r>
            <w:r>
              <w:rPr>
                <w:rFonts w:cs="Arial"/>
                <w:b/>
                <w:bCs/>
                <w:noProof/>
                <w:color w:val="000000"/>
                <w:sz w:val="16"/>
                <w:szCs w:val="16"/>
              </w:rPr>
              <w:t>190</w:t>
            </w:r>
          </w:p>
        </w:tc>
        <w:tc>
          <w:tcPr>
            <w:tcW w:w="362" w:type="pct"/>
            <w:tcBorders>
              <w:top w:val="nil"/>
              <w:left w:val="nil"/>
              <w:bottom w:val="nil"/>
              <w:right w:val="single" w:sz="8" w:space="0" w:color="auto"/>
            </w:tcBorders>
            <w:vAlign w:val="bottom"/>
          </w:tcPr>
          <w:p>
            <w:pPr>
              <w:jc w:val="right"/>
              <w:rPr>
                <w:rFonts w:cs="Arial"/>
                <w:b/>
                <w:bCs/>
                <w:noProof/>
                <w:color w:val="000000"/>
                <w:sz w:val="16"/>
                <w:szCs w:val="16"/>
              </w:rPr>
            </w:pPr>
            <w:r>
              <w:rPr>
                <w:rFonts w:cs="Arial"/>
                <w:b/>
                <w:bCs/>
                <w:noProof/>
                <w:color w:val="000000"/>
                <w:sz w:val="16"/>
                <w:szCs w:val="16"/>
              </w:rPr>
              <w:t>6</w:t>
            </w:r>
            <w:r>
              <w:rPr>
                <w:rFonts w:ascii="Calibri" w:hAnsi="Calibri" w:cs="Calibri"/>
                <w:b/>
                <w:bCs/>
                <w:noProof/>
                <w:color w:val="000000"/>
                <w:sz w:val="16"/>
                <w:szCs w:val="16"/>
              </w:rPr>
              <w:t> </w:t>
            </w:r>
            <w:r>
              <w:rPr>
                <w:rFonts w:cs="Arial"/>
                <w:b/>
                <w:bCs/>
                <w:noProof/>
                <w:color w:val="000000"/>
                <w:sz w:val="16"/>
                <w:szCs w:val="16"/>
              </w:rPr>
              <w:t>786</w:t>
            </w:r>
          </w:p>
        </w:tc>
        <w:tc>
          <w:tcPr>
            <w:tcW w:w="364" w:type="pct"/>
            <w:tcBorders>
              <w:top w:val="nil"/>
              <w:left w:val="single" w:sz="8" w:space="0" w:color="auto"/>
              <w:bottom w:val="nil"/>
              <w:right w:val="single" w:sz="8" w:space="0" w:color="auto"/>
            </w:tcBorders>
            <w:shd w:val="clear" w:color="auto" w:fill="auto"/>
            <w:noWrap/>
            <w:vAlign w:val="bottom"/>
          </w:tcPr>
          <w:p>
            <w:pPr>
              <w:jc w:val="right"/>
              <w:rPr>
                <w:rFonts w:cs="Arial"/>
                <w:b/>
                <w:bCs/>
                <w:noProof/>
                <w:color w:val="000000"/>
                <w:sz w:val="16"/>
                <w:szCs w:val="16"/>
              </w:rPr>
            </w:pPr>
            <w:r>
              <w:rPr>
                <w:rFonts w:cs="Arial"/>
                <w:b/>
                <w:bCs/>
                <w:noProof/>
                <w:color w:val="000000"/>
                <w:sz w:val="16"/>
                <w:szCs w:val="16"/>
              </w:rPr>
              <w:t>0</w:t>
            </w:r>
          </w:p>
        </w:tc>
        <w:tc>
          <w:tcPr>
            <w:tcW w:w="530" w:type="pct"/>
            <w:tcBorders>
              <w:top w:val="nil"/>
              <w:left w:val="nil"/>
              <w:bottom w:val="nil"/>
              <w:right w:val="single" w:sz="8" w:space="0" w:color="auto"/>
            </w:tcBorders>
            <w:shd w:val="clear" w:color="auto" w:fill="auto"/>
            <w:noWrap/>
            <w:vAlign w:val="bottom"/>
          </w:tcPr>
          <w:p>
            <w:pPr>
              <w:jc w:val="right"/>
              <w:rPr>
                <w:rFonts w:cs="Arial"/>
                <w:b/>
                <w:bCs/>
                <w:noProof/>
                <w:color w:val="000000"/>
                <w:sz w:val="16"/>
                <w:szCs w:val="16"/>
              </w:rPr>
            </w:pPr>
            <w:r>
              <w:rPr>
                <w:rFonts w:cs="Arial"/>
                <w:b/>
                <w:bCs/>
                <w:noProof/>
                <w:color w:val="000000"/>
                <w:sz w:val="16"/>
                <w:szCs w:val="16"/>
              </w:rPr>
              <w:t>N/A</w:t>
            </w:r>
          </w:p>
        </w:tc>
        <w:tc>
          <w:tcPr>
            <w:tcW w:w="555" w:type="pct"/>
            <w:tcBorders>
              <w:top w:val="nil"/>
              <w:left w:val="nil"/>
              <w:bottom w:val="nil"/>
              <w:right w:val="single" w:sz="8" w:space="0" w:color="auto"/>
            </w:tcBorders>
            <w:shd w:val="clear" w:color="auto" w:fill="auto"/>
            <w:noWrap/>
            <w:vAlign w:val="bottom"/>
          </w:tcPr>
          <w:p>
            <w:pPr>
              <w:jc w:val="right"/>
              <w:rPr>
                <w:rFonts w:cs="Arial"/>
                <w:b/>
                <w:bCs/>
                <w:noProof/>
                <w:color w:val="000000"/>
                <w:sz w:val="16"/>
                <w:szCs w:val="16"/>
              </w:rPr>
            </w:pPr>
            <w:r>
              <w:rPr>
                <w:rFonts w:cs="Arial"/>
                <w:b/>
                <w:bCs/>
                <w:noProof/>
                <w:color w:val="000000"/>
                <w:sz w:val="16"/>
                <w:szCs w:val="16"/>
              </w:rPr>
              <w:t>18</w:t>
            </w:r>
            <w:r>
              <w:rPr>
                <w:rFonts w:ascii="Calibri" w:hAnsi="Calibri" w:cs="Calibri"/>
                <w:b/>
                <w:bCs/>
                <w:noProof/>
                <w:color w:val="000000"/>
                <w:sz w:val="16"/>
                <w:szCs w:val="16"/>
              </w:rPr>
              <w:t> </w:t>
            </w:r>
            <w:r>
              <w:rPr>
                <w:rFonts w:cs="Arial"/>
                <w:b/>
                <w:bCs/>
                <w:noProof/>
                <w:color w:val="000000"/>
                <w:sz w:val="16"/>
                <w:szCs w:val="16"/>
              </w:rPr>
              <w:t>060</w:t>
            </w:r>
          </w:p>
        </w:tc>
        <w:tc>
          <w:tcPr>
            <w:tcW w:w="502" w:type="pct"/>
            <w:tcBorders>
              <w:top w:val="nil"/>
              <w:left w:val="nil"/>
              <w:bottom w:val="nil"/>
              <w:right w:val="single" w:sz="8" w:space="0" w:color="auto"/>
            </w:tcBorders>
            <w:shd w:val="clear" w:color="auto" w:fill="auto"/>
            <w:vAlign w:val="bottom"/>
          </w:tcPr>
          <w:p>
            <w:pPr>
              <w:jc w:val="right"/>
              <w:rPr>
                <w:rFonts w:cs="Arial"/>
                <w:b/>
                <w:i/>
                <w:noProof/>
                <w:color w:val="000000"/>
                <w:sz w:val="16"/>
                <w:szCs w:val="16"/>
              </w:rPr>
            </w:pPr>
            <w:r>
              <w:rPr>
                <w:rFonts w:cs="Arial"/>
                <w:b/>
                <w:bCs/>
                <w:noProof/>
                <w:color w:val="000000"/>
                <w:sz w:val="16"/>
                <w:szCs w:val="16"/>
              </w:rPr>
              <w:t>96.5</w:t>
            </w:r>
          </w:p>
        </w:tc>
        <w:tc>
          <w:tcPr>
            <w:tcW w:w="535" w:type="pct"/>
            <w:tcBorders>
              <w:top w:val="nil"/>
              <w:left w:val="nil"/>
              <w:bottom w:val="nil"/>
              <w:right w:val="single" w:sz="8" w:space="0" w:color="auto"/>
            </w:tcBorders>
            <w:shd w:val="clear" w:color="auto" w:fill="auto"/>
            <w:vAlign w:val="bottom"/>
          </w:tcPr>
          <w:p>
            <w:pPr>
              <w:jc w:val="right"/>
              <w:rPr>
                <w:rFonts w:cs="Arial"/>
                <w:b/>
                <w:bCs/>
                <w:noProof/>
                <w:color w:val="000000"/>
                <w:sz w:val="16"/>
                <w:szCs w:val="16"/>
              </w:rPr>
            </w:pPr>
            <w:r>
              <w:rPr>
                <w:rFonts w:cs="Arial"/>
                <w:b/>
                <w:bCs/>
                <w:noProof/>
                <w:color w:val="000000"/>
                <w:sz w:val="16"/>
                <w:szCs w:val="16"/>
              </w:rPr>
              <w:t>17</w:t>
            </w:r>
            <w:r>
              <w:rPr>
                <w:rFonts w:ascii="Calibri" w:hAnsi="Calibri" w:cs="Calibri"/>
                <w:b/>
                <w:bCs/>
                <w:noProof/>
                <w:color w:val="000000"/>
                <w:sz w:val="16"/>
                <w:szCs w:val="16"/>
              </w:rPr>
              <w:t> </w:t>
            </w:r>
            <w:r>
              <w:rPr>
                <w:rFonts w:cs="Arial"/>
                <w:b/>
                <w:bCs/>
                <w:noProof/>
                <w:color w:val="000000"/>
                <w:sz w:val="16"/>
                <w:szCs w:val="16"/>
              </w:rPr>
              <w:t>649</w:t>
            </w:r>
          </w:p>
        </w:tc>
        <w:tc>
          <w:tcPr>
            <w:tcW w:w="485" w:type="pct"/>
            <w:tcBorders>
              <w:top w:val="nil"/>
              <w:left w:val="nil"/>
              <w:bottom w:val="nil"/>
              <w:right w:val="single" w:sz="8" w:space="0" w:color="auto"/>
            </w:tcBorders>
            <w:shd w:val="clear" w:color="auto" w:fill="auto"/>
            <w:vAlign w:val="bottom"/>
          </w:tcPr>
          <w:p>
            <w:pPr>
              <w:jc w:val="right"/>
              <w:rPr>
                <w:rFonts w:cs="Arial"/>
                <w:b/>
                <w:i/>
                <w:noProof/>
                <w:color w:val="000000"/>
                <w:sz w:val="16"/>
                <w:szCs w:val="16"/>
              </w:rPr>
            </w:pPr>
            <w:r>
              <w:rPr>
                <w:rFonts w:cs="Arial"/>
                <w:b/>
                <w:bCs/>
                <w:noProof/>
                <w:color w:val="000000"/>
                <w:sz w:val="16"/>
                <w:szCs w:val="16"/>
              </w:rPr>
              <w:t>92.7</w:t>
            </w:r>
          </w:p>
        </w:tc>
      </w:tr>
      <w:tr>
        <w:trPr>
          <w:trHeight w:val="755"/>
          <w:jc w:val="center"/>
        </w:trPr>
        <w:tc>
          <w:tcPr>
            <w:tcW w:w="911" w:type="pct"/>
            <w:gridSpan w:val="2"/>
            <w:tcBorders>
              <w:top w:val="nil"/>
              <w:left w:val="single" w:sz="8" w:space="0" w:color="auto"/>
              <w:bottom w:val="nil"/>
              <w:right w:val="single" w:sz="8" w:space="0" w:color="000000"/>
            </w:tcBorders>
            <w:shd w:val="clear" w:color="auto" w:fill="auto"/>
            <w:noWrap/>
            <w:vAlign w:val="center"/>
          </w:tcPr>
          <w:p>
            <w:pPr>
              <w:rPr>
                <w:rFonts w:cs="Arial"/>
                <w:i/>
                <w:noProof/>
                <w:color w:val="000000"/>
                <w:sz w:val="16"/>
                <w:szCs w:val="16"/>
              </w:rPr>
            </w:pPr>
            <w:r>
              <w:rPr>
                <w:rFonts w:cs="Arial"/>
                <w:i/>
                <w:noProof/>
                <w:color w:val="000000"/>
                <w:sz w:val="16"/>
                <w:szCs w:val="16"/>
              </w:rPr>
              <w:t>European Rural Development Fund</w:t>
            </w:r>
          </w:p>
        </w:tc>
        <w:tc>
          <w:tcPr>
            <w:tcW w:w="393" w:type="pct"/>
            <w:tcBorders>
              <w:top w:val="nil"/>
              <w:left w:val="nil"/>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1</w:t>
            </w:r>
            <w:r>
              <w:rPr>
                <w:rFonts w:ascii="Calibri" w:hAnsi="Calibri" w:cs="Calibri"/>
                <w:noProof/>
                <w:color w:val="000000"/>
                <w:sz w:val="16"/>
                <w:szCs w:val="16"/>
              </w:rPr>
              <w:t> </w:t>
            </w:r>
            <w:r>
              <w:rPr>
                <w:rFonts w:cs="Arial"/>
                <w:noProof/>
                <w:color w:val="000000"/>
                <w:sz w:val="16"/>
                <w:szCs w:val="16"/>
              </w:rPr>
              <w:t>143</w:t>
            </w:r>
          </w:p>
        </w:tc>
        <w:tc>
          <w:tcPr>
            <w:tcW w:w="364" w:type="pct"/>
            <w:tcBorders>
              <w:top w:val="nil"/>
              <w:left w:val="nil"/>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5</w:t>
            </w:r>
            <w:r>
              <w:rPr>
                <w:rFonts w:ascii="Calibri" w:hAnsi="Calibri" w:cs="Calibri"/>
                <w:noProof/>
                <w:color w:val="000000"/>
                <w:sz w:val="16"/>
                <w:szCs w:val="16"/>
              </w:rPr>
              <w:t> </w:t>
            </w:r>
            <w:r>
              <w:rPr>
                <w:rFonts w:cs="Arial"/>
                <w:noProof/>
                <w:color w:val="000000"/>
                <w:sz w:val="16"/>
                <w:szCs w:val="16"/>
              </w:rPr>
              <w:t>916</w:t>
            </w:r>
          </w:p>
        </w:tc>
        <w:tc>
          <w:tcPr>
            <w:tcW w:w="362" w:type="pct"/>
            <w:tcBorders>
              <w:top w:val="nil"/>
              <w:left w:val="nil"/>
              <w:bottom w:val="nil"/>
              <w:right w:val="single" w:sz="8" w:space="0" w:color="auto"/>
            </w:tcBorders>
            <w:vAlign w:val="center"/>
          </w:tcPr>
          <w:p>
            <w:pPr>
              <w:jc w:val="right"/>
              <w:rPr>
                <w:rFonts w:cs="Arial"/>
                <w:noProof/>
                <w:color w:val="000000"/>
                <w:sz w:val="16"/>
                <w:szCs w:val="16"/>
              </w:rPr>
            </w:pPr>
            <w:r>
              <w:rPr>
                <w:rFonts w:cs="Arial"/>
                <w:noProof/>
                <w:color w:val="000000"/>
                <w:sz w:val="16"/>
                <w:szCs w:val="16"/>
              </w:rPr>
              <w:t>3</w:t>
            </w:r>
            <w:r>
              <w:rPr>
                <w:rFonts w:ascii="Calibri" w:hAnsi="Calibri" w:cs="Calibri"/>
                <w:noProof/>
                <w:color w:val="000000"/>
                <w:sz w:val="16"/>
                <w:szCs w:val="16"/>
              </w:rPr>
              <w:t> </w:t>
            </w:r>
            <w:r>
              <w:rPr>
                <w:rFonts w:cs="Arial"/>
                <w:noProof/>
                <w:color w:val="000000"/>
                <w:sz w:val="16"/>
                <w:szCs w:val="16"/>
              </w:rPr>
              <w:t>977</w:t>
            </w:r>
          </w:p>
        </w:tc>
        <w:tc>
          <w:tcPr>
            <w:tcW w:w="364" w:type="pct"/>
            <w:tcBorders>
              <w:top w:val="nil"/>
              <w:left w:val="single" w:sz="8" w:space="0" w:color="auto"/>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w:t>
            </w:r>
          </w:p>
        </w:tc>
        <w:tc>
          <w:tcPr>
            <w:tcW w:w="530" w:type="pct"/>
            <w:tcBorders>
              <w:top w:val="nil"/>
              <w:left w:val="nil"/>
              <w:bottom w:val="nil"/>
              <w:right w:val="single" w:sz="8" w:space="0" w:color="auto"/>
            </w:tcBorders>
            <w:shd w:val="clear" w:color="auto" w:fill="auto"/>
            <w:vAlign w:val="center"/>
          </w:tcPr>
          <w:p>
            <w:pPr>
              <w:jc w:val="right"/>
              <w:rPr>
                <w:rFonts w:cs="Arial"/>
                <w:bCs/>
                <w:noProof/>
                <w:color w:val="000000"/>
                <w:sz w:val="16"/>
                <w:szCs w:val="16"/>
              </w:rPr>
            </w:pPr>
            <w:r>
              <w:rPr>
                <w:rFonts w:cs="Arial"/>
                <w:bCs/>
                <w:noProof/>
                <w:color w:val="000000"/>
                <w:sz w:val="16"/>
                <w:szCs w:val="16"/>
              </w:rPr>
              <w:t>N/A</w:t>
            </w:r>
          </w:p>
        </w:tc>
        <w:tc>
          <w:tcPr>
            <w:tcW w:w="555" w:type="pct"/>
            <w:tcBorders>
              <w:top w:val="nil"/>
              <w:left w:val="nil"/>
              <w:bottom w:val="nil"/>
              <w:right w:val="single" w:sz="8" w:space="0" w:color="auto"/>
            </w:tcBorders>
            <w:shd w:val="clear" w:color="auto" w:fill="auto"/>
            <w:noWrap/>
            <w:vAlign w:val="center"/>
          </w:tcPr>
          <w:p>
            <w:pPr>
              <w:jc w:val="right"/>
              <w:rPr>
                <w:rFonts w:cs="Arial"/>
                <w:noProof/>
                <w:color w:val="000000"/>
                <w:sz w:val="16"/>
                <w:szCs w:val="16"/>
              </w:rPr>
            </w:pPr>
            <w:r>
              <w:rPr>
                <w:rFonts w:cs="Verdana"/>
                <w:noProof/>
                <w:color w:val="000000"/>
                <w:sz w:val="16"/>
                <w:szCs w:val="16"/>
              </w:rPr>
              <w:t>11</w:t>
            </w:r>
            <w:r>
              <w:rPr>
                <w:rFonts w:ascii="Calibri" w:hAnsi="Calibri" w:cs="Calibri"/>
                <w:noProof/>
                <w:color w:val="000000"/>
                <w:sz w:val="16"/>
                <w:szCs w:val="16"/>
              </w:rPr>
              <w:t> </w:t>
            </w:r>
            <w:r>
              <w:rPr>
                <w:rFonts w:cs="Verdana"/>
                <w:noProof/>
                <w:color w:val="000000"/>
                <w:sz w:val="16"/>
                <w:szCs w:val="16"/>
              </w:rPr>
              <w:t>036</w:t>
            </w:r>
          </w:p>
        </w:tc>
        <w:tc>
          <w:tcPr>
            <w:tcW w:w="502" w:type="pct"/>
            <w:tcBorders>
              <w:top w:val="nil"/>
              <w:left w:val="nil"/>
              <w:bottom w:val="nil"/>
              <w:right w:val="single" w:sz="8" w:space="0" w:color="auto"/>
            </w:tcBorders>
            <w:shd w:val="clear" w:color="auto" w:fill="auto"/>
            <w:vAlign w:val="center"/>
          </w:tcPr>
          <w:p>
            <w:pPr>
              <w:jc w:val="right"/>
              <w:rPr>
                <w:rFonts w:cs="Arial"/>
                <w:i/>
                <w:noProof/>
                <w:color w:val="000000"/>
                <w:sz w:val="16"/>
                <w:szCs w:val="16"/>
              </w:rPr>
            </w:pPr>
            <w:r>
              <w:rPr>
                <w:rFonts w:cs="Arial"/>
                <w:noProof/>
                <w:color w:val="000000"/>
                <w:sz w:val="16"/>
                <w:szCs w:val="16"/>
              </w:rPr>
              <w:t>98.1</w:t>
            </w:r>
          </w:p>
        </w:tc>
        <w:tc>
          <w:tcPr>
            <w:tcW w:w="535" w:type="pct"/>
            <w:tcBorders>
              <w:top w:val="nil"/>
              <w:left w:val="nil"/>
              <w:bottom w:val="nil"/>
              <w:right w:val="single" w:sz="8" w:space="0" w:color="auto"/>
            </w:tcBorders>
            <w:shd w:val="clear" w:color="auto" w:fill="auto"/>
            <w:vAlign w:val="center"/>
          </w:tcPr>
          <w:p>
            <w:pPr>
              <w:jc w:val="right"/>
              <w:rPr>
                <w:rFonts w:cs="Arial"/>
                <w:noProof/>
                <w:color w:val="000000"/>
                <w:sz w:val="16"/>
                <w:szCs w:val="16"/>
              </w:rPr>
            </w:pPr>
            <w:r>
              <w:rPr>
                <w:rFonts w:cs="Arial"/>
                <w:noProof/>
                <w:color w:val="000000"/>
                <w:sz w:val="16"/>
                <w:szCs w:val="16"/>
              </w:rPr>
              <w:t>10</w:t>
            </w:r>
            <w:r>
              <w:rPr>
                <w:rFonts w:ascii="Calibri" w:hAnsi="Calibri" w:cs="Calibri"/>
                <w:noProof/>
                <w:color w:val="000000"/>
                <w:sz w:val="16"/>
                <w:szCs w:val="16"/>
              </w:rPr>
              <w:t> </w:t>
            </w:r>
            <w:r>
              <w:rPr>
                <w:rFonts w:cs="Arial"/>
                <w:noProof/>
                <w:color w:val="000000"/>
                <w:sz w:val="16"/>
                <w:szCs w:val="16"/>
              </w:rPr>
              <w:t>751</w:t>
            </w:r>
          </w:p>
        </w:tc>
        <w:tc>
          <w:tcPr>
            <w:tcW w:w="485" w:type="pct"/>
            <w:tcBorders>
              <w:top w:val="nil"/>
              <w:left w:val="nil"/>
              <w:bottom w:val="nil"/>
              <w:right w:val="single" w:sz="8" w:space="0" w:color="auto"/>
            </w:tcBorders>
            <w:shd w:val="clear" w:color="auto" w:fill="auto"/>
            <w:vAlign w:val="center"/>
          </w:tcPr>
          <w:p>
            <w:pPr>
              <w:jc w:val="right"/>
              <w:rPr>
                <w:rFonts w:cs="Arial"/>
                <w:i/>
                <w:noProof/>
                <w:color w:val="000000"/>
                <w:sz w:val="16"/>
                <w:szCs w:val="16"/>
              </w:rPr>
            </w:pPr>
            <w:r>
              <w:rPr>
                <w:rFonts w:cs="Arial"/>
                <w:noProof/>
                <w:color w:val="000000"/>
                <w:sz w:val="16"/>
                <w:szCs w:val="16"/>
              </w:rPr>
              <w:t>91.3</w:t>
            </w:r>
          </w:p>
        </w:tc>
      </w:tr>
      <w:tr>
        <w:trPr>
          <w:trHeight w:val="755"/>
          <w:jc w:val="center"/>
        </w:trPr>
        <w:tc>
          <w:tcPr>
            <w:tcW w:w="911" w:type="pct"/>
            <w:gridSpan w:val="2"/>
            <w:tcBorders>
              <w:top w:val="nil"/>
              <w:left w:val="single" w:sz="8" w:space="0" w:color="auto"/>
              <w:bottom w:val="nil"/>
              <w:right w:val="single" w:sz="8" w:space="0" w:color="000000"/>
            </w:tcBorders>
            <w:shd w:val="clear" w:color="auto" w:fill="auto"/>
            <w:noWrap/>
            <w:vAlign w:val="center"/>
          </w:tcPr>
          <w:p>
            <w:pPr>
              <w:rPr>
                <w:rFonts w:cs="Arial"/>
                <w:i/>
                <w:noProof/>
                <w:color w:val="000000"/>
                <w:sz w:val="16"/>
                <w:szCs w:val="16"/>
              </w:rPr>
            </w:pPr>
            <w:r>
              <w:rPr>
                <w:rFonts w:cs="Arial"/>
                <w:i/>
                <w:noProof/>
                <w:color w:val="000000"/>
                <w:sz w:val="16"/>
                <w:szCs w:val="16"/>
              </w:rPr>
              <w:t>Cohesion Fund</w:t>
            </w:r>
          </w:p>
        </w:tc>
        <w:tc>
          <w:tcPr>
            <w:tcW w:w="393" w:type="pct"/>
            <w:tcBorders>
              <w:top w:val="nil"/>
              <w:left w:val="nil"/>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268</w:t>
            </w:r>
          </w:p>
        </w:tc>
        <w:tc>
          <w:tcPr>
            <w:tcW w:w="364" w:type="pct"/>
            <w:tcBorders>
              <w:top w:val="nil"/>
              <w:left w:val="nil"/>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 xml:space="preserve"> 852</w:t>
            </w:r>
          </w:p>
        </w:tc>
        <w:tc>
          <w:tcPr>
            <w:tcW w:w="362" w:type="pct"/>
            <w:tcBorders>
              <w:top w:val="nil"/>
              <w:left w:val="nil"/>
              <w:bottom w:val="nil"/>
              <w:right w:val="single" w:sz="8" w:space="0" w:color="auto"/>
            </w:tcBorders>
            <w:vAlign w:val="center"/>
          </w:tcPr>
          <w:p>
            <w:pPr>
              <w:jc w:val="right"/>
              <w:rPr>
                <w:rFonts w:cs="Arial"/>
                <w:noProof/>
                <w:color w:val="000000"/>
                <w:sz w:val="16"/>
                <w:szCs w:val="16"/>
              </w:rPr>
            </w:pPr>
            <w:r>
              <w:rPr>
                <w:rFonts w:cs="Arial"/>
                <w:noProof/>
                <w:color w:val="000000"/>
                <w:sz w:val="16"/>
                <w:szCs w:val="16"/>
              </w:rPr>
              <w:t>1</w:t>
            </w:r>
            <w:r>
              <w:rPr>
                <w:rFonts w:ascii="Calibri" w:hAnsi="Calibri" w:cs="Calibri"/>
                <w:noProof/>
                <w:color w:val="000000"/>
                <w:sz w:val="16"/>
                <w:szCs w:val="16"/>
              </w:rPr>
              <w:t> </w:t>
            </w:r>
            <w:r>
              <w:rPr>
                <w:rFonts w:cs="Arial"/>
                <w:noProof/>
                <w:color w:val="000000"/>
                <w:sz w:val="16"/>
                <w:szCs w:val="16"/>
              </w:rPr>
              <w:t>228</w:t>
            </w:r>
          </w:p>
        </w:tc>
        <w:tc>
          <w:tcPr>
            <w:tcW w:w="364" w:type="pct"/>
            <w:tcBorders>
              <w:top w:val="nil"/>
              <w:left w:val="single" w:sz="8" w:space="0" w:color="auto"/>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w:t>
            </w:r>
          </w:p>
        </w:tc>
        <w:tc>
          <w:tcPr>
            <w:tcW w:w="530" w:type="pct"/>
            <w:tcBorders>
              <w:top w:val="nil"/>
              <w:left w:val="nil"/>
              <w:bottom w:val="nil"/>
              <w:right w:val="single" w:sz="8" w:space="0" w:color="auto"/>
            </w:tcBorders>
            <w:shd w:val="clear" w:color="auto" w:fill="auto"/>
            <w:vAlign w:val="center"/>
          </w:tcPr>
          <w:p>
            <w:pPr>
              <w:jc w:val="right"/>
              <w:rPr>
                <w:rFonts w:cs="Arial"/>
                <w:bCs/>
                <w:noProof/>
                <w:color w:val="000000"/>
                <w:sz w:val="16"/>
                <w:szCs w:val="16"/>
              </w:rPr>
            </w:pPr>
            <w:r>
              <w:rPr>
                <w:rFonts w:cs="Arial"/>
                <w:bCs/>
                <w:noProof/>
                <w:color w:val="000000"/>
                <w:sz w:val="16"/>
                <w:szCs w:val="16"/>
              </w:rPr>
              <w:t>N/A</w:t>
            </w:r>
          </w:p>
        </w:tc>
        <w:tc>
          <w:tcPr>
            <w:tcW w:w="555" w:type="pct"/>
            <w:tcBorders>
              <w:top w:val="nil"/>
              <w:left w:val="nil"/>
              <w:bottom w:val="nil"/>
              <w:right w:val="single" w:sz="8" w:space="0" w:color="auto"/>
            </w:tcBorders>
            <w:shd w:val="clear" w:color="auto" w:fill="auto"/>
            <w:noWrap/>
            <w:vAlign w:val="center"/>
          </w:tcPr>
          <w:p>
            <w:pPr>
              <w:jc w:val="right"/>
              <w:rPr>
                <w:rFonts w:cs="Arial"/>
                <w:noProof/>
                <w:color w:val="000000"/>
                <w:sz w:val="16"/>
                <w:szCs w:val="16"/>
              </w:rPr>
            </w:pPr>
            <w:r>
              <w:rPr>
                <w:rFonts w:cs="Verdana"/>
                <w:noProof/>
                <w:color w:val="000000"/>
                <w:sz w:val="16"/>
                <w:szCs w:val="16"/>
              </w:rPr>
              <w:t>2</w:t>
            </w:r>
            <w:r>
              <w:rPr>
                <w:rFonts w:ascii="Calibri" w:hAnsi="Calibri" w:cs="Calibri"/>
                <w:noProof/>
                <w:color w:val="000000"/>
                <w:sz w:val="16"/>
                <w:szCs w:val="16"/>
              </w:rPr>
              <w:t> </w:t>
            </w:r>
            <w:r>
              <w:rPr>
                <w:rFonts w:cs="Verdana"/>
                <w:noProof/>
                <w:color w:val="000000"/>
                <w:sz w:val="16"/>
                <w:szCs w:val="16"/>
              </w:rPr>
              <w:t>349</w:t>
            </w:r>
          </w:p>
        </w:tc>
        <w:tc>
          <w:tcPr>
            <w:tcW w:w="502" w:type="pct"/>
            <w:tcBorders>
              <w:top w:val="nil"/>
              <w:left w:val="nil"/>
              <w:bottom w:val="nil"/>
              <w:right w:val="single" w:sz="8" w:space="0" w:color="auto"/>
            </w:tcBorders>
            <w:shd w:val="clear" w:color="auto" w:fill="auto"/>
            <w:vAlign w:val="center"/>
          </w:tcPr>
          <w:p>
            <w:pPr>
              <w:jc w:val="right"/>
              <w:rPr>
                <w:rFonts w:cs="Arial"/>
                <w:i/>
                <w:noProof/>
                <w:color w:val="000000"/>
                <w:sz w:val="16"/>
                <w:szCs w:val="16"/>
              </w:rPr>
            </w:pPr>
            <w:r>
              <w:rPr>
                <w:rFonts w:cs="Arial"/>
                <w:noProof/>
                <w:color w:val="000000"/>
                <w:sz w:val="16"/>
                <w:szCs w:val="16"/>
              </w:rPr>
              <w:t>94.1</w:t>
            </w:r>
          </w:p>
        </w:tc>
        <w:tc>
          <w:tcPr>
            <w:tcW w:w="535" w:type="pct"/>
            <w:tcBorders>
              <w:top w:val="nil"/>
              <w:left w:val="nil"/>
              <w:bottom w:val="nil"/>
              <w:right w:val="single" w:sz="8" w:space="0" w:color="auto"/>
            </w:tcBorders>
            <w:shd w:val="clear" w:color="auto" w:fill="auto"/>
            <w:vAlign w:val="center"/>
          </w:tcPr>
          <w:p>
            <w:pPr>
              <w:jc w:val="right"/>
              <w:rPr>
                <w:rFonts w:cs="Arial"/>
                <w:noProof/>
                <w:color w:val="000000"/>
                <w:sz w:val="16"/>
                <w:szCs w:val="16"/>
              </w:rPr>
            </w:pPr>
            <w:r>
              <w:rPr>
                <w:rFonts w:cs="Arial"/>
                <w:noProof/>
                <w:color w:val="000000"/>
                <w:sz w:val="16"/>
                <w:szCs w:val="16"/>
              </w:rPr>
              <w:t>2</w:t>
            </w:r>
            <w:r>
              <w:rPr>
                <w:rFonts w:ascii="Calibri" w:hAnsi="Calibri" w:cs="Calibri"/>
                <w:noProof/>
                <w:color w:val="000000"/>
                <w:sz w:val="16"/>
                <w:szCs w:val="16"/>
              </w:rPr>
              <w:t> </w:t>
            </w:r>
            <w:r>
              <w:rPr>
                <w:rFonts w:cs="Arial"/>
                <w:noProof/>
                <w:color w:val="000000"/>
                <w:sz w:val="16"/>
                <w:szCs w:val="16"/>
              </w:rPr>
              <w:t>259</w:t>
            </w:r>
          </w:p>
        </w:tc>
        <w:tc>
          <w:tcPr>
            <w:tcW w:w="485" w:type="pct"/>
            <w:tcBorders>
              <w:top w:val="nil"/>
              <w:left w:val="nil"/>
              <w:bottom w:val="nil"/>
              <w:right w:val="single" w:sz="8" w:space="0" w:color="auto"/>
            </w:tcBorders>
            <w:shd w:val="clear" w:color="auto" w:fill="auto"/>
            <w:vAlign w:val="center"/>
          </w:tcPr>
          <w:p>
            <w:pPr>
              <w:jc w:val="right"/>
              <w:rPr>
                <w:rFonts w:cs="Arial"/>
                <w:i/>
                <w:noProof/>
                <w:color w:val="000000"/>
                <w:sz w:val="16"/>
                <w:szCs w:val="16"/>
              </w:rPr>
            </w:pPr>
            <w:r>
              <w:rPr>
                <w:rFonts w:cs="Arial"/>
                <w:noProof/>
                <w:color w:val="000000"/>
                <w:sz w:val="16"/>
                <w:szCs w:val="16"/>
              </w:rPr>
              <w:t>95.8</w:t>
            </w:r>
          </w:p>
        </w:tc>
      </w:tr>
      <w:tr>
        <w:trPr>
          <w:trHeight w:val="755"/>
          <w:jc w:val="center"/>
        </w:trPr>
        <w:tc>
          <w:tcPr>
            <w:tcW w:w="911" w:type="pct"/>
            <w:gridSpan w:val="2"/>
            <w:tcBorders>
              <w:top w:val="nil"/>
              <w:left w:val="single" w:sz="8" w:space="0" w:color="auto"/>
              <w:bottom w:val="nil"/>
              <w:right w:val="single" w:sz="8" w:space="0" w:color="000000"/>
            </w:tcBorders>
            <w:shd w:val="clear" w:color="auto" w:fill="auto"/>
            <w:noWrap/>
            <w:vAlign w:val="center"/>
            <w:hideMark/>
          </w:tcPr>
          <w:p>
            <w:pPr>
              <w:rPr>
                <w:rFonts w:cs="Arial"/>
                <w:i/>
                <w:noProof/>
                <w:color w:val="000000"/>
                <w:sz w:val="16"/>
                <w:szCs w:val="16"/>
              </w:rPr>
            </w:pPr>
            <w:r>
              <w:rPr>
                <w:rFonts w:cs="Arial"/>
                <w:i/>
                <w:noProof/>
                <w:color w:val="000000"/>
                <w:sz w:val="16"/>
                <w:szCs w:val="16"/>
              </w:rPr>
              <w:t>European Social Fund</w:t>
            </w:r>
          </w:p>
        </w:tc>
        <w:tc>
          <w:tcPr>
            <w:tcW w:w="393" w:type="pct"/>
            <w:tcBorders>
              <w:top w:val="nil"/>
              <w:left w:val="nil"/>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569</w:t>
            </w:r>
          </w:p>
        </w:tc>
        <w:tc>
          <w:tcPr>
            <w:tcW w:w="364" w:type="pct"/>
            <w:tcBorders>
              <w:top w:val="nil"/>
              <w:left w:val="nil"/>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2</w:t>
            </w:r>
            <w:r>
              <w:rPr>
                <w:rFonts w:ascii="Calibri" w:hAnsi="Calibri" w:cs="Calibri"/>
                <w:noProof/>
                <w:color w:val="000000"/>
                <w:sz w:val="16"/>
                <w:szCs w:val="16"/>
              </w:rPr>
              <w:t> </w:t>
            </w:r>
            <w:r>
              <w:rPr>
                <w:rFonts w:cs="Arial"/>
                <w:noProof/>
                <w:color w:val="000000"/>
                <w:sz w:val="16"/>
                <w:szCs w:val="16"/>
              </w:rPr>
              <w:t>111</w:t>
            </w:r>
          </w:p>
        </w:tc>
        <w:tc>
          <w:tcPr>
            <w:tcW w:w="362" w:type="pct"/>
            <w:tcBorders>
              <w:top w:val="nil"/>
              <w:left w:val="nil"/>
              <w:bottom w:val="nil"/>
              <w:right w:val="single" w:sz="8" w:space="0" w:color="auto"/>
            </w:tcBorders>
            <w:vAlign w:val="center"/>
          </w:tcPr>
          <w:p>
            <w:pPr>
              <w:jc w:val="right"/>
              <w:rPr>
                <w:rFonts w:cs="Arial"/>
                <w:noProof/>
                <w:color w:val="000000"/>
                <w:sz w:val="16"/>
                <w:szCs w:val="16"/>
              </w:rPr>
            </w:pPr>
            <w:r>
              <w:rPr>
                <w:rFonts w:cs="Arial"/>
                <w:noProof/>
                <w:color w:val="000000"/>
                <w:sz w:val="16"/>
                <w:szCs w:val="16"/>
              </w:rPr>
              <w:t>1</w:t>
            </w:r>
            <w:r>
              <w:rPr>
                <w:rFonts w:ascii="Calibri" w:hAnsi="Calibri" w:cs="Calibri"/>
                <w:noProof/>
                <w:color w:val="000000"/>
                <w:sz w:val="16"/>
                <w:szCs w:val="16"/>
              </w:rPr>
              <w:t> </w:t>
            </w:r>
            <w:r>
              <w:rPr>
                <w:rFonts w:cs="Arial"/>
                <w:noProof/>
                <w:color w:val="000000"/>
                <w:sz w:val="16"/>
                <w:szCs w:val="16"/>
              </w:rPr>
              <w:t>553</w:t>
            </w:r>
          </w:p>
        </w:tc>
        <w:tc>
          <w:tcPr>
            <w:tcW w:w="364" w:type="pct"/>
            <w:tcBorders>
              <w:top w:val="nil"/>
              <w:left w:val="single" w:sz="8" w:space="0" w:color="auto"/>
              <w:bottom w:val="nil"/>
              <w:right w:val="single" w:sz="8" w:space="0" w:color="auto"/>
            </w:tcBorders>
            <w:shd w:val="clear" w:color="auto" w:fill="auto"/>
            <w:noWrap/>
            <w:vAlign w:val="center"/>
          </w:tcPr>
          <w:p>
            <w:pPr>
              <w:jc w:val="right"/>
              <w:rPr>
                <w:rFonts w:cs="Arial"/>
                <w:noProof/>
                <w:sz w:val="16"/>
                <w:szCs w:val="16"/>
              </w:rPr>
            </w:pPr>
            <w:r>
              <w:rPr>
                <w:rFonts w:cs="Arial"/>
                <w:noProof/>
                <w:sz w:val="16"/>
                <w:szCs w:val="16"/>
              </w:rPr>
              <w:t>–</w:t>
            </w:r>
          </w:p>
        </w:tc>
        <w:tc>
          <w:tcPr>
            <w:tcW w:w="530" w:type="pct"/>
            <w:tcBorders>
              <w:top w:val="nil"/>
              <w:left w:val="nil"/>
              <w:bottom w:val="nil"/>
              <w:right w:val="single" w:sz="8" w:space="0" w:color="auto"/>
            </w:tcBorders>
            <w:shd w:val="clear" w:color="auto" w:fill="auto"/>
            <w:vAlign w:val="center"/>
          </w:tcPr>
          <w:p>
            <w:pPr>
              <w:jc w:val="right"/>
              <w:rPr>
                <w:rFonts w:cs="Arial"/>
                <w:bCs/>
                <w:noProof/>
                <w:color w:val="000000"/>
                <w:sz w:val="16"/>
                <w:szCs w:val="16"/>
              </w:rPr>
            </w:pPr>
            <w:r>
              <w:rPr>
                <w:rFonts w:cs="Arial"/>
                <w:bCs/>
                <w:noProof/>
                <w:color w:val="000000"/>
                <w:sz w:val="16"/>
                <w:szCs w:val="16"/>
              </w:rPr>
              <w:t>N/A</w:t>
            </w:r>
          </w:p>
        </w:tc>
        <w:tc>
          <w:tcPr>
            <w:tcW w:w="555" w:type="pct"/>
            <w:tcBorders>
              <w:top w:val="nil"/>
              <w:left w:val="nil"/>
              <w:bottom w:val="nil"/>
              <w:right w:val="single" w:sz="8" w:space="0" w:color="auto"/>
            </w:tcBorders>
            <w:shd w:val="clear" w:color="auto" w:fill="auto"/>
            <w:noWrap/>
            <w:vAlign w:val="center"/>
          </w:tcPr>
          <w:p>
            <w:pPr>
              <w:jc w:val="right"/>
              <w:rPr>
                <w:rFonts w:cs="Arial"/>
                <w:noProof/>
                <w:sz w:val="16"/>
                <w:szCs w:val="16"/>
              </w:rPr>
            </w:pPr>
            <w:r>
              <w:rPr>
                <w:rFonts w:cs="Verdana"/>
                <w:noProof/>
                <w:color w:val="000000"/>
                <w:sz w:val="16"/>
                <w:szCs w:val="16"/>
              </w:rPr>
              <w:t>4</w:t>
            </w:r>
            <w:r>
              <w:rPr>
                <w:rFonts w:ascii="Calibri" w:hAnsi="Calibri" w:cs="Calibri"/>
                <w:noProof/>
                <w:color w:val="000000"/>
                <w:sz w:val="16"/>
                <w:szCs w:val="16"/>
              </w:rPr>
              <w:t> </w:t>
            </w:r>
            <w:r>
              <w:rPr>
                <w:rFonts w:cs="Verdana"/>
                <w:noProof/>
                <w:color w:val="000000"/>
                <w:sz w:val="16"/>
                <w:szCs w:val="16"/>
              </w:rPr>
              <w:t>233</w:t>
            </w:r>
          </w:p>
        </w:tc>
        <w:tc>
          <w:tcPr>
            <w:tcW w:w="502" w:type="pct"/>
            <w:tcBorders>
              <w:top w:val="nil"/>
              <w:left w:val="nil"/>
              <w:bottom w:val="nil"/>
              <w:right w:val="single" w:sz="8" w:space="0" w:color="auto"/>
            </w:tcBorders>
            <w:shd w:val="clear" w:color="auto" w:fill="auto"/>
            <w:vAlign w:val="center"/>
          </w:tcPr>
          <w:p>
            <w:pPr>
              <w:jc w:val="right"/>
              <w:rPr>
                <w:rFonts w:cs="Arial"/>
                <w:i/>
                <w:noProof/>
                <w:color w:val="000000"/>
                <w:sz w:val="16"/>
                <w:szCs w:val="16"/>
              </w:rPr>
            </w:pPr>
            <w:r>
              <w:rPr>
                <w:rFonts w:cs="Arial"/>
                <w:noProof/>
                <w:color w:val="000000"/>
                <w:sz w:val="16"/>
                <w:szCs w:val="16"/>
              </w:rPr>
              <w:t>93.4</w:t>
            </w:r>
          </w:p>
        </w:tc>
        <w:tc>
          <w:tcPr>
            <w:tcW w:w="535" w:type="pct"/>
            <w:tcBorders>
              <w:top w:val="nil"/>
              <w:left w:val="nil"/>
              <w:bottom w:val="nil"/>
              <w:right w:val="single" w:sz="8" w:space="0" w:color="auto"/>
            </w:tcBorders>
            <w:shd w:val="clear" w:color="auto" w:fill="auto"/>
            <w:vAlign w:val="center"/>
          </w:tcPr>
          <w:p>
            <w:pPr>
              <w:jc w:val="right"/>
              <w:rPr>
                <w:rFonts w:cs="Arial"/>
                <w:noProof/>
                <w:sz w:val="16"/>
                <w:szCs w:val="16"/>
              </w:rPr>
            </w:pPr>
            <w:r>
              <w:rPr>
                <w:rFonts w:cs="Arial"/>
                <w:noProof/>
                <w:sz w:val="16"/>
                <w:szCs w:val="16"/>
              </w:rPr>
              <w:t>4</w:t>
            </w:r>
            <w:r>
              <w:rPr>
                <w:rFonts w:ascii="Calibri" w:hAnsi="Calibri" w:cs="Calibri"/>
                <w:noProof/>
                <w:sz w:val="16"/>
                <w:szCs w:val="16"/>
              </w:rPr>
              <w:t> </w:t>
            </w:r>
            <w:r>
              <w:rPr>
                <w:rFonts w:cs="Arial"/>
                <w:noProof/>
                <w:sz w:val="16"/>
                <w:szCs w:val="16"/>
              </w:rPr>
              <w:t>199</w:t>
            </w:r>
          </w:p>
        </w:tc>
        <w:tc>
          <w:tcPr>
            <w:tcW w:w="485" w:type="pct"/>
            <w:tcBorders>
              <w:top w:val="nil"/>
              <w:left w:val="nil"/>
              <w:bottom w:val="nil"/>
              <w:right w:val="single" w:sz="8" w:space="0" w:color="auto"/>
            </w:tcBorders>
            <w:shd w:val="clear" w:color="auto" w:fill="auto"/>
            <w:vAlign w:val="center"/>
          </w:tcPr>
          <w:p>
            <w:pPr>
              <w:jc w:val="right"/>
              <w:rPr>
                <w:rFonts w:cs="Arial"/>
                <w:i/>
                <w:noProof/>
                <w:color w:val="000000"/>
                <w:sz w:val="16"/>
                <w:szCs w:val="16"/>
              </w:rPr>
            </w:pPr>
            <w:r>
              <w:rPr>
                <w:rFonts w:cs="Arial"/>
                <w:noProof/>
                <w:color w:val="000000"/>
                <w:sz w:val="16"/>
                <w:szCs w:val="16"/>
              </w:rPr>
              <w:t>93.9</w:t>
            </w:r>
          </w:p>
        </w:tc>
      </w:tr>
      <w:tr>
        <w:trPr>
          <w:trHeight w:val="755"/>
          <w:jc w:val="center"/>
        </w:trPr>
        <w:tc>
          <w:tcPr>
            <w:tcW w:w="911" w:type="pct"/>
            <w:gridSpan w:val="2"/>
            <w:tcBorders>
              <w:top w:val="nil"/>
              <w:left w:val="single" w:sz="8" w:space="0" w:color="auto"/>
              <w:bottom w:val="nil"/>
              <w:right w:val="single" w:sz="8" w:space="0" w:color="000000"/>
            </w:tcBorders>
            <w:shd w:val="clear" w:color="auto" w:fill="auto"/>
            <w:noWrap/>
            <w:vAlign w:val="center"/>
            <w:hideMark/>
          </w:tcPr>
          <w:p>
            <w:pPr>
              <w:rPr>
                <w:rFonts w:cs="Arial"/>
                <w:i/>
                <w:noProof/>
                <w:color w:val="000000"/>
                <w:sz w:val="16"/>
                <w:szCs w:val="16"/>
              </w:rPr>
            </w:pPr>
            <w:r>
              <w:rPr>
                <w:rFonts w:cs="Arial"/>
                <w:i/>
                <w:noProof/>
                <w:color w:val="000000"/>
                <w:sz w:val="16"/>
                <w:szCs w:val="16"/>
              </w:rPr>
              <w:t>Financial Instrument for Fisheries Guidance /</w:t>
            </w:r>
            <w:r>
              <w:rPr>
                <w:noProof/>
              </w:rPr>
              <w:t xml:space="preserve"> </w:t>
            </w:r>
            <w:r>
              <w:rPr>
                <w:rFonts w:cs="Arial"/>
                <w:i/>
                <w:noProof/>
                <w:color w:val="000000"/>
                <w:sz w:val="16"/>
                <w:szCs w:val="16"/>
              </w:rPr>
              <w:t>European Fisheries Fund</w:t>
            </w:r>
          </w:p>
        </w:tc>
        <w:tc>
          <w:tcPr>
            <w:tcW w:w="393" w:type="pct"/>
            <w:tcBorders>
              <w:top w:val="nil"/>
              <w:left w:val="nil"/>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100</w:t>
            </w:r>
          </w:p>
        </w:tc>
        <w:tc>
          <w:tcPr>
            <w:tcW w:w="364" w:type="pct"/>
            <w:tcBorders>
              <w:top w:val="nil"/>
              <w:left w:val="nil"/>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 xml:space="preserve"> 140</w:t>
            </w:r>
          </w:p>
        </w:tc>
        <w:tc>
          <w:tcPr>
            <w:tcW w:w="362" w:type="pct"/>
            <w:tcBorders>
              <w:top w:val="nil"/>
              <w:left w:val="nil"/>
              <w:bottom w:val="nil"/>
              <w:right w:val="single" w:sz="8" w:space="0" w:color="auto"/>
            </w:tcBorders>
            <w:vAlign w:val="center"/>
          </w:tcPr>
          <w:p>
            <w:pPr>
              <w:jc w:val="right"/>
              <w:rPr>
                <w:rFonts w:cs="Arial"/>
                <w:noProof/>
                <w:color w:val="000000"/>
                <w:sz w:val="16"/>
                <w:szCs w:val="16"/>
              </w:rPr>
            </w:pPr>
            <w:r>
              <w:rPr>
                <w:rFonts w:cs="Arial"/>
                <w:noProof/>
                <w:color w:val="000000"/>
                <w:sz w:val="16"/>
                <w:szCs w:val="16"/>
              </w:rPr>
              <w:t xml:space="preserve"> 28</w:t>
            </w:r>
          </w:p>
        </w:tc>
        <w:tc>
          <w:tcPr>
            <w:tcW w:w="364" w:type="pct"/>
            <w:tcBorders>
              <w:top w:val="nil"/>
              <w:left w:val="single" w:sz="8" w:space="0" w:color="auto"/>
              <w:bottom w:val="nil"/>
              <w:right w:val="single" w:sz="8" w:space="0" w:color="auto"/>
            </w:tcBorders>
            <w:shd w:val="clear" w:color="auto" w:fill="auto"/>
            <w:noWrap/>
            <w:vAlign w:val="center"/>
          </w:tcPr>
          <w:p>
            <w:pPr>
              <w:jc w:val="right"/>
              <w:rPr>
                <w:rFonts w:cs="Arial"/>
                <w:noProof/>
                <w:sz w:val="16"/>
                <w:szCs w:val="16"/>
              </w:rPr>
            </w:pPr>
            <w:r>
              <w:rPr>
                <w:rFonts w:cs="Arial"/>
                <w:noProof/>
                <w:sz w:val="16"/>
                <w:szCs w:val="16"/>
              </w:rPr>
              <w:t>–</w:t>
            </w:r>
          </w:p>
        </w:tc>
        <w:tc>
          <w:tcPr>
            <w:tcW w:w="530" w:type="pct"/>
            <w:tcBorders>
              <w:top w:val="nil"/>
              <w:left w:val="nil"/>
              <w:bottom w:val="nil"/>
              <w:right w:val="single" w:sz="8" w:space="0" w:color="auto"/>
            </w:tcBorders>
            <w:shd w:val="clear" w:color="auto" w:fill="auto"/>
            <w:vAlign w:val="center"/>
          </w:tcPr>
          <w:p>
            <w:pPr>
              <w:jc w:val="right"/>
              <w:rPr>
                <w:rFonts w:cs="Arial"/>
                <w:bCs/>
                <w:noProof/>
                <w:color w:val="000000"/>
                <w:sz w:val="16"/>
                <w:szCs w:val="16"/>
              </w:rPr>
            </w:pPr>
            <w:r>
              <w:rPr>
                <w:rFonts w:cs="Arial"/>
                <w:bCs/>
                <w:noProof/>
                <w:color w:val="000000"/>
                <w:sz w:val="16"/>
                <w:szCs w:val="16"/>
              </w:rPr>
              <w:t>N/A</w:t>
            </w:r>
          </w:p>
        </w:tc>
        <w:tc>
          <w:tcPr>
            <w:tcW w:w="555" w:type="pct"/>
            <w:tcBorders>
              <w:top w:val="nil"/>
              <w:left w:val="nil"/>
              <w:bottom w:val="nil"/>
              <w:right w:val="single" w:sz="8" w:space="0" w:color="auto"/>
            </w:tcBorders>
            <w:shd w:val="clear" w:color="auto" w:fill="auto"/>
            <w:noWrap/>
            <w:vAlign w:val="center"/>
          </w:tcPr>
          <w:p>
            <w:pPr>
              <w:jc w:val="right"/>
              <w:rPr>
                <w:rFonts w:cs="Arial"/>
                <w:noProof/>
                <w:sz w:val="16"/>
                <w:szCs w:val="16"/>
              </w:rPr>
            </w:pPr>
            <w:r>
              <w:rPr>
                <w:rFonts w:cs="Verdana"/>
                <w:noProof/>
                <w:color w:val="000000"/>
                <w:sz w:val="16"/>
                <w:szCs w:val="16"/>
              </w:rPr>
              <w:t xml:space="preserve"> 267</w:t>
            </w:r>
          </w:p>
        </w:tc>
        <w:tc>
          <w:tcPr>
            <w:tcW w:w="502" w:type="pct"/>
            <w:tcBorders>
              <w:top w:val="nil"/>
              <w:left w:val="nil"/>
              <w:bottom w:val="nil"/>
              <w:right w:val="single" w:sz="8" w:space="0" w:color="auto"/>
            </w:tcBorders>
            <w:shd w:val="clear" w:color="auto" w:fill="auto"/>
            <w:vAlign w:val="center"/>
          </w:tcPr>
          <w:p>
            <w:pPr>
              <w:jc w:val="right"/>
              <w:rPr>
                <w:rFonts w:cs="Arial"/>
                <w:i/>
                <w:noProof/>
                <w:color w:val="000000"/>
                <w:sz w:val="16"/>
                <w:szCs w:val="16"/>
              </w:rPr>
            </w:pPr>
            <w:r>
              <w:rPr>
                <w:rFonts w:cs="Arial"/>
                <w:noProof/>
                <w:color w:val="000000"/>
                <w:sz w:val="16"/>
                <w:szCs w:val="16"/>
              </w:rPr>
              <w:t>99.3</w:t>
            </w:r>
          </w:p>
        </w:tc>
        <w:tc>
          <w:tcPr>
            <w:tcW w:w="535" w:type="pct"/>
            <w:tcBorders>
              <w:top w:val="nil"/>
              <w:left w:val="nil"/>
              <w:bottom w:val="nil"/>
              <w:right w:val="single" w:sz="8" w:space="0" w:color="auto"/>
            </w:tcBorders>
            <w:shd w:val="clear" w:color="auto" w:fill="auto"/>
            <w:vAlign w:val="center"/>
          </w:tcPr>
          <w:p>
            <w:pPr>
              <w:jc w:val="right"/>
              <w:rPr>
                <w:rFonts w:cs="Arial"/>
                <w:noProof/>
                <w:sz w:val="16"/>
                <w:szCs w:val="16"/>
              </w:rPr>
            </w:pPr>
            <w:r>
              <w:rPr>
                <w:rFonts w:cs="Arial"/>
                <w:noProof/>
                <w:sz w:val="16"/>
                <w:szCs w:val="16"/>
              </w:rPr>
              <w:t xml:space="preserve"> 267</w:t>
            </w:r>
          </w:p>
        </w:tc>
        <w:tc>
          <w:tcPr>
            <w:tcW w:w="485" w:type="pct"/>
            <w:tcBorders>
              <w:top w:val="nil"/>
              <w:left w:val="nil"/>
              <w:bottom w:val="nil"/>
              <w:right w:val="single" w:sz="8" w:space="0" w:color="auto"/>
            </w:tcBorders>
            <w:shd w:val="clear" w:color="auto" w:fill="auto"/>
            <w:vAlign w:val="center"/>
          </w:tcPr>
          <w:p>
            <w:pPr>
              <w:jc w:val="right"/>
              <w:rPr>
                <w:rFonts w:cs="Arial"/>
                <w:i/>
                <w:noProof/>
                <w:color w:val="000000"/>
                <w:sz w:val="16"/>
                <w:szCs w:val="16"/>
              </w:rPr>
            </w:pPr>
            <w:r>
              <w:rPr>
                <w:rFonts w:cs="Arial"/>
                <w:noProof/>
                <w:color w:val="000000"/>
                <w:sz w:val="16"/>
                <w:szCs w:val="16"/>
              </w:rPr>
              <w:t>99.3</w:t>
            </w:r>
          </w:p>
        </w:tc>
      </w:tr>
      <w:tr>
        <w:trPr>
          <w:trHeight w:val="755"/>
          <w:jc w:val="center"/>
        </w:trPr>
        <w:tc>
          <w:tcPr>
            <w:tcW w:w="911" w:type="pct"/>
            <w:gridSpan w:val="2"/>
            <w:tcBorders>
              <w:top w:val="nil"/>
              <w:left w:val="single" w:sz="8" w:space="0" w:color="auto"/>
              <w:bottom w:val="nil"/>
              <w:right w:val="single" w:sz="8" w:space="0" w:color="000000"/>
            </w:tcBorders>
            <w:shd w:val="clear" w:color="auto" w:fill="auto"/>
            <w:noWrap/>
            <w:vAlign w:val="center"/>
            <w:hideMark/>
          </w:tcPr>
          <w:p>
            <w:pPr>
              <w:rPr>
                <w:rFonts w:cs="Arial"/>
                <w:i/>
                <w:noProof/>
                <w:color w:val="000000"/>
                <w:sz w:val="16"/>
                <w:szCs w:val="16"/>
              </w:rPr>
            </w:pPr>
            <w:r>
              <w:rPr>
                <w:noProof/>
              </w:rPr>
              <w:t xml:space="preserve"> </w:t>
            </w:r>
            <w:r>
              <w:rPr>
                <w:rFonts w:cs="Arial"/>
                <w:i/>
                <w:noProof/>
                <w:color w:val="000000"/>
                <w:sz w:val="16"/>
                <w:szCs w:val="16"/>
              </w:rPr>
              <w:t>European Agricultural Guidance and Guarantee Fund</w:t>
            </w:r>
          </w:p>
        </w:tc>
        <w:tc>
          <w:tcPr>
            <w:tcW w:w="393" w:type="pct"/>
            <w:tcBorders>
              <w:top w:val="nil"/>
              <w:left w:val="nil"/>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3</w:t>
            </w:r>
          </w:p>
        </w:tc>
        <w:tc>
          <w:tcPr>
            <w:tcW w:w="364" w:type="pct"/>
            <w:tcBorders>
              <w:top w:val="nil"/>
              <w:left w:val="nil"/>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 xml:space="preserve"> 171</w:t>
            </w:r>
          </w:p>
        </w:tc>
        <w:tc>
          <w:tcPr>
            <w:tcW w:w="362" w:type="pct"/>
            <w:tcBorders>
              <w:top w:val="nil"/>
              <w:left w:val="nil"/>
              <w:bottom w:val="nil"/>
              <w:right w:val="single" w:sz="8" w:space="0" w:color="auto"/>
            </w:tcBorders>
            <w:vAlign w:val="center"/>
          </w:tcPr>
          <w:p>
            <w:pPr>
              <w:jc w:val="right"/>
              <w:rPr>
                <w:rFonts w:cs="Arial"/>
                <w:noProof/>
                <w:color w:val="000000"/>
                <w:sz w:val="16"/>
                <w:szCs w:val="16"/>
              </w:rPr>
            </w:pPr>
            <w:r>
              <w:rPr>
                <w:rFonts w:cs="Arial"/>
                <w:noProof/>
                <w:color w:val="000000"/>
                <w:sz w:val="16"/>
                <w:szCs w:val="16"/>
              </w:rPr>
              <w:t>–</w:t>
            </w:r>
          </w:p>
        </w:tc>
        <w:tc>
          <w:tcPr>
            <w:tcW w:w="364" w:type="pct"/>
            <w:tcBorders>
              <w:top w:val="nil"/>
              <w:left w:val="single" w:sz="8" w:space="0" w:color="auto"/>
              <w:bottom w:val="nil"/>
              <w:right w:val="single" w:sz="8" w:space="0" w:color="auto"/>
            </w:tcBorders>
            <w:shd w:val="clear" w:color="auto" w:fill="auto"/>
            <w:noWrap/>
            <w:vAlign w:val="center"/>
          </w:tcPr>
          <w:p>
            <w:pPr>
              <w:jc w:val="right"/>
              <w:rPr>
                <w:rFonts w:cs="Arial"/>
                <w:noProof/>
                <w:color w:val="000000"/>
                <w:sz w:val="16"/>
                <w:szCs w:val="16"/>
              </w:rPr>
            </w:pPr>
            <w:r>
              <w:rPr>
                <w:rFonts w:cs="Arial"/>
                <w:noProof/>
                <w:color w:val="000000"/>
                <w:sz w:val="16"/>
                <w:szCs w:val="16"/>
              </w:rPr>
              <w:t>–</w:t>
            </w:r>
          </w:p>
        </w:tc>
        <w:tc>
          <w:tcPr>
            <w:tcW w:w="530" w:type="pct"/>
            <w:tcBorders>
              <w:top w:val="nil"/>
              <w:left w:val="nil"/>
              <w:bottom w:val="nil"/>
              <w:right w:val="single" w:sz="8" w:space="0" w:color="auto"/>
            </w:tcBorders>
            <w:shd w:val="clear" w:color="auto" w:fill="auto"/>
            <w:vAlign w:val="center"/>
          </w:tcPr>
          <w:p>
            <w:pPr>
              <w:jc w:val="right"/>
              <w:rPr>
                <w:rFonts w:cs="Arial"/>
                <w:bCs/>
                <w:noProof/>
                <w:color w:val="000000"/>
                <w:sz w:val="16"/>
                <w:szCs w:val="16"/>
              </w:rPr>
            </w:pPr>
            <w:r>
              <w:rPr>
                <w:rFonts w:cs="Arial"/>
                <w:bCs/>
                <w:noProof/>
                <w:color w:val="000000"/>
                <w:sz w:val="16"/>
                <w:szCs w:val="16"/>
              </w:rPr>
              <w:t>N/A</w:t>
            </w:r>
          </w:p>
        </w:tc>
        <w:tc>
          <w:tcPr>
            <w:tcW w:w="555" w:type="pct"/>
            <w:tcBorders>
              <w:top w:val="nil"/>
              <w:left w:val="nil"/>
              <w:bottom w:val="nil"/>
              <w:right w:val="single" w:sz="8" w:space="0" w:color="auto"/>
            </w:tcBorders>
            <w:shd w:val="clear" w:color="auto" w:fill="auto"/>
            <w:noWrap/>
            <w:vAlign w:val="center"/>
          </w:tcPr>
          <w:p>
            <w:pPr>
              <w:jc w:val="right"/>
              <w:rPr>
                <w:rFonts w:cs="Arial"/>
                <w:noProof/>
                <w:sz w:val="16"/>
                <w:szCs w:val="16"/>
              </w:rPr>
            </w:pPr>
            <w:r>
              <w:rPr>
                <w:rFonts w:cs="Verdana"/>
                <w:noProof/>
                <w:color w:val="000000"/>
                <w:sz w:val="16"/>
                <w:szCs w:val="16"/>
              </w:rPr>
              <w:t xml:space="preserve"> 174</w:t>
            </w:r>
          </w:p>
        </w:tc>
        <w:tc>
          <w:tcPr>
            <w:tcW w:w="502" w:type="pct"/>
            <w:tcBorders>
              <w:top w:val="nil"/>
              <w:left w:val="nil"/>
              <w:bottom w:val="nil"/>
              <w:right w:val="single" w:sz="8" w:space="0" w:color="auto"/>
            </w:tcBorders>
            <w:shd w:val="clear" w:color="auto" w:fill="auto"/>
            <w:vAlign w:val="center"/>
          </w:tcPr>
          <w:p>
            <w:pPr>
              <w:jc w:val="right"/>
              <w:rPr>
                <w:rFonts w:cs="Arial"/>
                <w:i/>
                <w:noProof/>
                <w:color w:val="000000"/>
                <w:sz w:val="16"/>
                <w:szCs w:val="16"/>
              </w:rPr>
            </w:pPr>
            <w:r>
              <w:rPr>
                <w:rFonts w:cs="Arial"/>
                <w:noProof/>
                <w:color w:val="000000"/>
                <w:sz w:val="16"/>
                <w:szCs w:val="16"/>
              </w:rPr>
              <w:t>100.0</w:t>
            </w:r>
          </w:p>
        </w:tc>
        <w:tc>
          <w:tcPr>
            <w:tcW w:w="535" w:type="pct"/>
            <w:tcBorders>
              <w:top w:val="nil"/>
              <w:left w:val="nil"/>
              <w:bottom w:val="nil"/>
              <w:right w:val="single" w:sz="8" w:space="0" w:color="auto"/>
            </w:tcBorders>
            <w:shd w:val="clear" w:color="auto" w:fill="auto"/>
            <w:vAlign w:val="center"/>
          </w:tcPr>
          <w:p>
            <w:pPr>
              <w:jc w:val="right"/>
              <w:rPr>
                <w:rFonts w:cs="Arial"/>
                <w:noProof/>
                <w:sz w:val="16"/>
                <w:szCs w:val="16"/>
              </w:rPr>
            </w:pPr>
            <w:r>
              <w:rPr>
                <w:rFonts w:cs="Arial"/>
                <w:noProof/>
                <w:sz w:val="16"/>
                <w:szCs w:val="16"/>
              </w:rPr>
              <w:t xml:space="preserve"> 174</w:t>
            </w:r>
          </w:p>
        </w:tc>
        <w:tc>
          <w:tcPr>
            <w:tcW w:w="485" w:type="pct"/>
            <w:tcBorders>
              <w:top w:val="nil"/>
              <w:left w:val="nil"/>
              <w:bottom w:val="nil"/>
              <w:right w:val="single" w:sz="8" w:space="0" w:color="auto"/>
            </w:tcBorders>
            <w:shd w:val="clear" w:color="auto" w:fill="auto"/>
            <w:vAlign w:val="center"/>
          </w:tcPr>
          <w:p>
            <w:pPr>
              <w:jc w:val="right"/>
              <w:rPr>
                <w:rFonts w:cs="Arial"/>
                <w:i/>
                <w:noProof/>
                <w:color w:val="000000"/>
                <w:sz w:val="16"/>
                <w:szCs w:val="16"/>
              </w:rPr>
            </w:pPr>
            <w:r>
              <w:rPr>
                <w:rFonts w:cs="Arial"/>
                <w:noProof/>
                <w:color w:val="000000"/>
                <w:sz w:val="16"/>
                <w:szCs w:val="16"/>
              </w:rPr>
              <w:t>100.0</w:t>
            </w:r>
          </w:p>
        </w:tc>
      </w:tr>
      <w:tr>
        <w:trPr>
          <w:trHeight w:val="755"/>
          <w:jc w:val="center"/>
        </w:trPr>
        <w:tc>
          <w:tcPr>
            <w:tcW w:w="911" w:type="pct"/>
            <w:gridSpan w:val="2"/>
            <w:tcBorders>
              <w:top w:val="nil"/>
              <w:left w:val="single" w:sz="8" w:space="0" w:color="auto"/>
              <w:bottom w:val="single" w:sz="8" w:space="0" w:color="auto"/>
              <w:right w:val="single" w:sz="8" w:space="0" w:color="000000"/>
            </w:tcBorders>
            <w:shd w:val="clear" w:color="auto" w:fill="auto"/>
            <w:noWrap/>
            <w:vAlign w:val="center"/>
            <w:hideMark/>
          </w:tcPr>
          <w:p>
            <w:pPr>
              <w:rPr>
                <w:rFonts w:cs="Arial"/>
                <w:b/>
                <w:noProof/>
                <w:color w:val="000000"/>
                <w:sz w:val="16"/>
                <w:szCs w:val="16"/>
              </w:rPr>
            </w:pPr>
            <w:r>
              <w:rPr>
                <w:rFonts w:cs="Arial"/>
                <w:b/>
                <w:noProof/>
                <w:color w:val="000000"/>
                <w:sz w:val="16"/>
                <w:szCs w:val="16"/>
              </w:rPr>
              <w:t>Other</w:t>
            </w:r>
          </w:p>
        </w:tc>
        <w:tc>
          <w:tcPr>
            <w:tcW w:w="393" w:type="pct"/>
            <w:tcBorders>
              <w:top w:val="nil"/>
              <w:left w:val="nil"/>
              <w:bottom w:val="single" w:sz="8" w:space="0" w:color="auto"/>
              <w:right w:val="single" w:sz="8" w:space="0" w:color="auto"/>
            </w:tcBorders>
            <w:shd w:val="clear" w:color="auto" w:fill="auto"/>
            <w:noWrap/>
            <w:vAlign w:val="center"/>
          </w:tcPr>
          <w:p>
            <w:pPr>
              <w:jc w:val="right"/>
              <w:rPr>
                <w:rFonts w:cs="Arial"/>
                <w:b/>
                <w:bCs/>
                <w:noProof/>
                <w:color w:val="000000"/>
                <w:sz w:val="16"/>
                <w:szCs w:val="16"/>
              </w:rPr>
            </w:pPr>
            <w:r>
              <w:rPr>
                <w:rFonts w:cs="Arial"/>
                <w:b/>
                <w:bCs/>
                <w:noProof/>
                <w:color w:val="000000"/>
                <w:sz w:val="16"/>
                <w:szCs w:val="16"/>
              </w:rPr>
              <w:t>–</w:t>
            </w:r>
          </w:p>
        </w:tc>
        <w:tc>
          <w:tcPr>
            <w:tcW w:w="364" w:type="pct"/>
            <w:tcBorders>
              <w:top w:val="nil"/>
              <w:left w:val="nil"/>
              <w:bottom w:val="single" w:sz="8" w:space="0" w:color="auto"/>
              <w:right w:val="single" w:sz="8" w:space="0" w:color="auto"/>
            </w:tcBorders>
            <w:shd w:val="clear" w:color="auto" w:fill="auto"/>
            <w:noWrap/>
            <w:vAlign w:val="center"/>
          </w:tcPr>
          <w:p>
            <w:pPr>
              <w:jc w:val="right"/>
              <w:rPr>
                <w:rFonts w:cs="Arial"/>
                <w:b/>
                <w:bCs/>
                <w:noProof/>
                <w:color w:val="000000"/>
                <w:sz w:val="16"/>
                <w:szCs w:val="16"/>
              </w:rPr>
            </w:pPr>
            <w:r>
              <w:rPr>
                <w:rFonts w:cs="Arial"/>
                <w:b/>
                <w:bCs/>
                <w:noProof/>
                <w:color w:val="000000"/>
                <w:sz w:val="16"/>
                <w:szCs w:val="16"/>
              </w:rPr>
              <w:t>–</w:t>
            </w:r>
          </w:p>
        </w:tc>
        <w:tc>
          <w:tcPr>
            <w:tcW w:w="362" w:type="pct"/>
            <w:tcBorders>
              <w:top w:val="nil"/>
              <w:left w:val="nil"/>
              <w:bottom w:val="single" w:sz="8" w:space="0" w:color="auto"/>
              <w:right w:val="single" w:sz="8" w:space="0" w:color="auto"/>
            </w:tcBorders>
            <w:vAlign w:val="center"/>
          </w:tcPr>
          <w:p>
            <w:pPr>
              <w:jc w:val="right"/>
              <w:rPr>
                <w:rFonts w:cs="Arial"/>
                <w:b/>
                <w:bCs/>
                <w:noProof/>
                <w:color w:val="000000"/>
                <w:sz w:val="16"/>
                <w:szCs w:val="16"/>
              </w:rPr>
            </w:pPr>
            <w:r>
              <w:rPr>
                <w:rFonts w:cs="Arial"/>
                <w:b/>
                <w:bCs/>
                <w:noProof/>
                <w:color w:val="000000"/>
                <w:sz w:val="16"/>
                <w:szCs w:val="16"/>
              </w:rPr>
              <w:t>46</w:t>
            </w:r>
          </w:p>
        </w:tc>
        <w:tc>
          <w:tcPr>
            <w:tcW w:w="364" w:type="pct"/>
            <w:tcBorders>
              <w:top w:val="nil"/>
              <w:left w:val="single" w:sz="8" w:space="0" w:color="auto"/>
              <w:bottom w:val="single" w:sz="8" w:space="0" w:color="auto"/>
              <w:right w:val="single" w:sz="8" w:space="0" w:color="auto"/>
            </w:tcBorders>
            <w:shd w:val="clear" w:color="auto" w:fill="auto"/>
            <w:noWrap/>
            <w:vAlign w:val="center"/>
          </w:tcPr>
          <w:p>
            <w:pPr>
              <w:jc w:val="right"/>
              <w:rPr>
                <w:rFonts w:cs="Arial"/>
                <w:b/>
                <w:bCs/>
                <w:noProof/>
                <w:color w:val="000000"/>
                <w:sz w:val="16"/>
                <w:szCs w:val="16"/>
              </w:rPr>
            </w:pPr>
            <w:r>
              <w:rPr>
                <w:rFonts w:cs="Arial"/>
                <w:b/>
                <w:bCs/>
                <w:noProof/>
                <w:color w:val="000000"/>
                <w:sz w:val="16"/>
                <w:szCs w:val="16"/>
              </w:rPr>
              <w:t>–</w:t>
            </w:r>
          </w:p>
        </w:tc>
        <w:tc>
          <w:tcPr>
            <w:tcW w:w="530" w:type="pct"/>
            <w:tcBorders>
              <w:top w:val="nil"/>
              <w:left w:val="nil"/>
              <w:bottom w:val="single" w:sz="8" w:space="0" w:color="auto"/>
              <w:right w:val="single" w:sz="8" w:space="0" w:color="auto"/>
            </w:tcBorders>
            <w:shd w:val="clear" w:color="auto" w:fill="auto"/>
            <w:vAlign w:val="center"/>
          </w:tcPr>
          <w:p>
            <w:pPr>
              <w:jc w:val="right"/>
              <w:rPr>
                <w:rFonts w:cs="Arial"/>
                <w:b/>
                <w:bCs/>
                <w:noProof/>
                <w:color w:val="000000"/>
                <w:sz w:val="16"/>
                <w:szCs w:val="16"/>
              </w:rPr>
            </w:pPr>
            <w:r>
              <w:rPr>
                <w:rFonts w:cs="Arial"/>
                <w:b/>
                <w:bCs/>
                <w:noProof/>
                <w:color w:val="000000"/>
                <w:sz w:val="16"/>
                <w:szCs w:val="16"/>
              </w:rPr>
              <w:t>N/A</w:t>
            </w:r>
          </w:p>
        </w:tc>
        <w:tc>
          <w:tcPr>
            <w:tcW w:w="555" w:type="pct"/>
            <w:tcBorders>
              <w:top w:val="nil"/>
              <w:left w:val="nil"/>
              <w:bottom w:val="single" w:sz="8" w:space="0" w:color="auto"/>
              <w:right w:val="single" w:sz="8" w:space="0" w:color="auto"/>
            </w:tcBorders>
            <w:shd w:val="clear" w:color="auto" w:fill="auto"/>
            <w:noWrap/>
            <w:vAlign w:val="center"/>
          </w:tcPr>
          <w:p>
            <w:pPr>
              <w:jc w:val="right"/>
              <w:rPr>
                <w:rFonts w:cs="Arial"/>
                <w:b/>
                <w:bCs/>
                <w:noProof/>
                <w:color w:val="000000"/>
                <w:sz w:val="16"/>
                <w:szCs w:val="16"/>
              </w:rPr>
            </w:pPr>
            <w:r>
              <w:rPr>
                <w:rFonts w:cs="Arial"/>
                <w:b/>
                <w:bCs/>
                <w:noProof/>
                <w:color w:val="000000"/>
                <w:sz w:val="16"/>
                <w:szCs w:val="16"/>
              </w:rPr>
              <w:t xml:space="preserve"> 46</w:t>
            </w:r>
          </w:p>
        </w:tc>
        <w:tc>
          <w:tcPr>
            <w:tcW w:w="502" w:type="pct"/>
            <w:tcBorders>
              <w:top w:val="nil"/>
              <w:left w:val="nil"/>
              <w:bottom w:val="single" w:sz="8" w:space="0" w:color="auto"/>
              <w:right w:val="single" w:sz="8" w:space="0" w:color="auto"/>
            </w:tcBorders>
            <w:shd w:val="clear" w:color="auto" w:fill="auto"/>
            <w:vAlign w:val="center"/>
          </w:tcPr>
          <w:p>
            <w:pPr>
              <w:jc w:val="right"/>
              <w:rPr>
                <w:rFonts w:cs="Arial"/>
                <w:b/>
                <w:i/>
                <w:noProof/>
                <w:color w:val="000000"/>
                <w:sz w:val="16"/>
                <w:szCs w:val="16"/>
              </w:rPr>
            </w:pPr>
            <w:r>
              <w:rPr>
                <w:rFonts w:cs="Arial"/>
                <w:b/>
                <w:bCs/>
                <w:noProof/>
                <w:color w:val="000000"/>
                <w:sz w:val="16"/>
                <w:szCs w:val="16"/>
              </w:rPr>
              <w:t>99.6</w:t>
            </w:r>
          </w:p>
        </w:tc>
        <w:tc>
          <w:tcPr>
            <w:tcW w:w="535" w:type="pct"/>
            <w:tcBorders>
              <w:top w:val="nil"/>
              <w:left w:val="nil"/>
              <w:bottom w:val="single" w:sz="8" w:space="0" w:color="auto"/>
              <w:right w:val="single" w:sz="8" w:space="0" w:color="auto"/>
            </w:tcBorders>
            <w:shd w:val="clear" w:color="auto" w:fill="auto"/>
            <w:vAlign w:val="center"/>
          </w:tcPr>
          <w:p>
            <w:pPr>
              <w:jc w:val="right"/>
              <w:rPr>
                <w:rFonts w:cs="Arial"/>
                <w:b/>
                <w:bCs/>
                <w:noProof/>
                <w:sz w:val="16"/>
                <w:szCs w:val="16"/>
              </w:rPr>
            </w:pPr>
            <w:r>
              <w:rPr>
                <w:rFonts w:cs="Arial"/>
                <w:b/>
                <w:bCs/>
                <w:noProof/>
                <w:sz w:val="16"/>
                <w:szCs w:val="16"/>
              </w:rPr>
              <w:t xml:space="preserve"> 44</w:t>
            </w:r>
          </w:p>
        </w:tc>
        <w:tc>
          <w:tcPr>
            <w:tcW w:w="485" w:type="pct"/>
            <w:tcBorders>
              <w:top w:val="nil"/>
              <w:left w:val="nil"/>
              <w:bottom w:val="single" w:sz="8" w:space="0" w:color="auto"/>
              <w:right w:val="single" w:sz="8" w:space="0" w:color="auto"/>
            </w:tcBorders>
            <w:shd w:val="clear" w:color="auto" w:fill="auto"/>
            <w:vAlign w:val="center"/>
          </w:tcPr>
          <w:p>
            <w:pPr>
              <w:jc w:val="right"/>
              <w:rPr>
                <w:rFonts w:cs="Arial"/>
                <w:b/>
                <w:i/>
                <w:noProof/>
                <w:color w:val="000000"/>
                <w:sz w:val="16"/>
                <w:szCs w:val="16"/>
              </w:rPr>
            </w:pPr>
            <w:r>
              <w:rPr>
                <w:rFonts w:cs="Arial"/>
                <w:b/>
                <w:bCs/>
                <w:noProof/>
                <w:color w:val="000000"/>
                <w:sz w:val="16"/>
                <w:szCs w:val="16"/>
              </w:rPr>
              <w:t>99.6</w:t>
            </w:r>
          </w:p>
        </w:tc>
      </w:tr>
      <w:tr>
        <w:trPr>
          <w:trHeight w:val="270"/>
          <w:jc w:val="center"/>
        </w:trPr>
        <w:tc>
          <w:tcPr>
            <w:tcW w:w="911" w:type="pct"/>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pPr>
              <w:rPr>
                <w:rFonts w:cs="Arial"/>
                <w:b/>
                <w:noProof/>
                <w:color w:val="000000"/>
                <w:sz w:val="16"/>
                <w:szCs w:val="16"/>
              </w:rPr>
            </w:pPr>
            <w:r>
              <w:rPr>
                <w:rFonts w:cs="Arial"/>
                <w:b/>
                <w:noProof/>
                <w:color w:val="000000"/>
                <w:sz w:val="16"/>
                <w:szCs w:val="16"/>
              </w:rPr>
              <w:t>Total</w:t>
            </w:r>
          </w:p>
        </w:tc>
        <w:tc>
          <w:tcPr>
            <w:tcW w:w="393" w:type="pct"/>
            <w:tcBorders>
              <w:top w:val="single" w:sz="8" w:space="0" w:color="auto"/>
              <w:left w:val="nil"/>
              <w:bottom w:val="single" w:sz="8" w:space="0" w:color="auto"/>
              <w:right w:val="single" w:sz="8" w:space="0" w:color="auto"/>
            </w:tcBorders>
            <w:shd w:val="clear" w:color="auto" w:fill="D9D9D9"/>
            <w:noWrap/>
            <w:vAlign w:val="center"/>
          </w:tcPr>
          <w:p>
            <w:pPr>
              <w:jc w:val="right"/>
              <w:rPr>
                <w:rFonts w:cs="Arial"/>
                <w:b/>
                <w:bCs/>
                <w:noProof/>
                <w:color w:val="000000"/>
                <w:sz w:val="16"/>
                <w:szCs w:val="16"/>
              </w:rPr>
            </w:pPr>
            <w:r>
              <w:rPr>
                <w:rFonts w:cs="Arial"/>
                <w:b/>
                <w:bCs/>
                <w:noProof/>
                <w:color w:val="000000"/>
                <w:sz w:val="16"/>
                <w:szCs w:val="16"/>
              </w:rPr>
              <w:t>2</w:t>
            </w:r>
            <w:r>
              <w:rPr>
                <w:rFonts w:ascii="Calibri" w:hAnsi="Calibri" w:cs="Calibri"/>
                <w:b/>
                <w:bCs/>
                <w:noProof/>
                <w:color w:val="000000"/>
                <w:sz w:val="16"/>
                <w:szCs w:val="16"/>
              </w:rPr>
              <w:t> </w:t>
            </w:r>
            <w:r>
              <w:rPr>
                <w:rFonts w:cs="Arial"/>
                <w:b/>
                <w:bCs/>
                <w:noProof/>
                <w:color w:val="000000"/>
                <w:sz w:val="16"/>
                <w:szCs w:val="16"/>
              </w:rPr>
              <w:t>083</w:t>
            </w:r>
          </w:p>
        </w:tc>
        <w:tc>
          <w:tcPr>
            <w:tcW w:w="364" w:type="pct"/>
            <w:tcBorders>
              <w:top w:val="single" w:sz="8" w:space="0" w:color="auto"/>
              <w:left w:val="nil"/>
              <w:bottom w:val="single" w:sz="8" w:space="0" w:color="auto"/>
              <w:right w:val="single" w:sz="8" w:space="0" w:color="auto"/>
            </w:tcBorders>
            <w:shd w:val="clear" w:color="auto" w:fill="D9D9D9"/>
            <w:noWrap/>
            <w:vAlign w:val="center"/>
          </w:tcPr>
          <w:p>
            <w:pPr>
              <w:jc w:val="right"/>
              <w:rPr>
                <w:rFonts w:cs="Arial"/>
                <w:b/>
                <w:bCs/>
                <w:noProof/>
                <w:color w:val="000000"/>
                <w:sz w:val="16"/>
                <w:szCs w:val="16"/>
              </w:rPr>
            </w:pPr>
            <w:r>
              <w:rPr>
                <w:rFonts w:cs="Arial"/>
                <w:b/>
                <w:bCs/>
                <w:noProof/>
                <w:color w:val="000000"/>
                <w:sz w:val="16"/>
                <w:szCs w:val="16"/>
              </w:rPr>
              <w:t>9</w:t>
            </w:r>
            <w:r>
              <w:rPr>
                <w:rFonts w:ascii="Calibri" w:hAnsi="Calibri" w:cs="Calibri"/>
                <w:b/>
                <w:bCs/>
                <w:noProof/>
                <w:color w:val="000000"/>
                <w:sz w:val="16"/>
                <w:szCs w:val="16"/>
              </w:rPr>
              <w:t> </w:t>
            </w:r>
            <w:r>
              <w:rPr>
                <w:rFonts w:cs="Arial"/>
                <w:b/>
                <w:bCs/>
                <w:noProof/>
                <w:color w:val="000000"/>
                <w:sz w:val="16"/>
                <w:szCs w:val="16"/>
              </w:rPr>
              <w:t>334</w:t>
            </w:r>
          </w:p>
        </w:tc>
        <w:tc>
          <w:tcPr>
            <w:tcW w:w="362" w:type="pct"/>
            <w:tcBorders>
              <w:top w:val="single" w:sz="8" w:space="0" w:color="auto"/>
              <w:left w:val="nil"/>
              <w:bottom w:val="single" w:sz="8" w:space="0" w:color="auto"/>
              <w:right w:val="single" w:sz="8" w:space="0" w:color="auto"/>
            </w:tcBorders>
            <w:shd w:val="clear" w:color="auto" w:fill="D9D9D9"/>
            <w:vAlign w:val="center"/>
          </w:tcPr>
          <w:p>
            <w:pPr>
              <w:jc w:val="right"/>
              <w:rPr>
                <w:rFonts w:cs="Arial"/>
                <w:b/>
                <w:bCs/>
                <w:noProof/>
                <w:color w:val="000000"/>
                <w:sz w:val="16"/>
                <w:szCs w:val="16"/>
              </w:rPr>
            </w:pPr>
            <w:r>
              <w:rPr>
                <w:rFonts w:cs="Arial"/>
                <w:b/>
                <w:bCs/>
                <w:noProof/>
                <w:color w:val="000000"/>
                <w:sz w:val="16"/>
                <w:szCs w:val="16"/>
              </w:rPr>
              <w:t>8</w:t>
            </w:r>
            <w:r>
              <w:rPr>
                <w:rFonts w:ascii="Calibri" w:hAnsi="Calibri" w:cs="Calibri"/>
                <w:b/>
                <w:bCs/>
                <w:noProof/>
                <w:color w:val="000000"/>
                <w:sz w:val="16"/>
                <w:szCs w:val="16"/>
              </w:rPr>
              <w:t> </w:t>
            </w:r>
            <w:r>
              <w:rPr>
                <w:rFonts w:cs="Arial"/>
                <w:b/>
                <w:bCs/>
                <w:noProof/>
                <w:color w:val="000000"/>
                <w:sz w:val="16"/>
                <w:szCs w:val="16"/>
              </w:rPr>
              <w:t>283</w:t>
            </w:r>
          </w:p>
        </w:tc>
        <w:tc>
          <w:tcPr>
            <w:tcW w:w="364" w:type="pct"/>
            <w:tcBorders>
              <w:top w:val="single" w:sz="8" w:space="0" w:color="auto"/>
              <w:left w:val="single" w:sz="8" w:space="0" w:color="auto"/>
              <w:bottom w:val="single" w:sz="8" w:space="0" w:color="auto"/>
              <w:right w:val="single" w:sz="8" w:space="0" w:color="auto"/>
            </w:tcBorders>
            <w:shd w:val="clear" w:color="auto" w:fill="D9D9D9"/>
            <w:noWrap/>
            <w:vAlign w:val="center"/>
          </w:tcPr>
          <w:p>
            <w:pPr>
              <w:jc w:val="right"/>
              <w:rPr>
                <w:rFonts w:cs="Arial"/>
                <w:b/>
                <w:bCs/>
                <w:noProof/>
                <w:color w:val="000000"/>
                <w:sz w:val="16"/>
                <w:szCs w:val="16"/>
              </w:rPr>
            </w:pPr>
            <w:r>
              <w:rPr>
                <w:rFonts w:cs="Arial"/>
                <w:b/>
                <w:bCs/>
                <w:noProof/>
                <w:color w:val="000000"/>
                <w:sz w:val="16"/>
                <w:szCs w:val="16"/>
              </w:rPr>
              <w:t>36</w:t>
            </w:r>
          </w:p>
        </w:tc>
        <w:tc>
          <w:tcPr>
            <w:tcW w:w="530" w:type="pct"/>
            <w:tcBorders>
              <w:top w:val="single" w:sz="8" w:space="0" w:color="auto"/>
              <w:left w:val="nil"/>
              <w:bottom w:val="single" w:sz="8" w:space="0" w:color="auto"/>
              <w:right w:val="single" w:sz="8" w:space="0" w:color="auto"/>
            </w:tcBorders>
            <w:shd w:val="clear" w:color="auto" w:fill="D9D9D9"/>
            <w:noWrap/>
            <w:vAlign w:val="center"/>
          </w:tcPr>
          <w:p>
            <w:pPr>
              <w:jc w:val="right"/>
              <w:rPr>
                <w:rFonts w:cs="Arial"/>
                <w:b/>
                <w:bCs/>
                <w:noProof/>
                <w:color w:val="000000"/>
                <w:sz w:val="16"/>
                <w:szCs w:val="16"/>
              </w:rPr>
            </w:pPr>
            <w:r>
              <w:rPr>
                <w:rFonts w:cs="Arial"/>
                <w:b/>
                <w:bCs/>
                <w:noProof/>
                <w:color w:val="000000"/>
                <w:sz w:val="16"/>
                <w:szCs w:val="16"/>
              </w:rPr>
              <w:t>14</w:t>
            </w:r>
            <w:r>
              <w:rPr>
                <w:rFonts w:ascii="Calibri" w:hAnsi="Calibri" w:cs="Calibri"/>
                <w:b/>
                <w:bCs/>
                <w:noProof/>
                <w:color w:val="000000"/>
                <w:sz w:val="16"/>
                <w:szCs w:val="16"/>
              </w:rPr>
              <w:t> </w:t>
            </w:r>
            <w:r>
              <w:rPr>
                <w:rFonts w:cs="Arial"/>
                <w:b/>
                <w:bCs/>
                <w:noProof/>
                <w:color w:val="000000"/>
                <w:sz w:val="16"/>
                <w:szCs w:val="16"/>
              </w:rPr>
              <w:t>410</w:t>
            </w:r>
          </w:p>
        </w:tc>
        <w:tc>
          <w:tcPr>
            <w:tcW w:w="555" w:type="pct"/>
            <w:tcBorders>
              <w:top w:val="single" w:sz="8" w:space="0" w:color="auto"/>
              <w:left w:val="nil"/>
              <w:bottom w:val="single" w:sz="8" w:space="0" w:color="auto"/>
              <w:right w:val="single" w:sz="8" w:space="0" w:color="auto"/>
            </w:tcBorders>
            <w:shd w:val="clear" w:color="auto" w:fill="D9D9D9"/>
            <w:noWrap/>
            <w:vAlign w:val="center"/>
          </w:tcPr>
          <w:p>
            <w:pPr>
              <w:jc w:val="right"/>
              <w:rPr>
                <w:rFonts w:cs="Arial"/>
                <w:b/>
                <w:bCs/>
                <w:noProof/>
                <w:color w:val="000000"/>
                <w:sz w:val="16"/>
                <w:szCs w:val="16"/>
              </w:rPr>
            </w:pPr>
            <w:r>
              <w:rPr>
                <w:rFonts w:cs="Arial"/>
                <w:b/>
                <w:bCs/>
                <w:noProof/>
                <w:color w:val="000000"/>
                <w:sz w:val="16"/>
                <w:szCs w:val="16"/>
              </w:rPr>
              <w:t>34</w:t>
            </w:r>
            <w:r>
              <w:rPr>
                <w:rFonts w:ascii="Calibri" w:hAnsi="Calibri" w:cs="Calibri"/>
                <w:b/>
                <w:bCs/>
                <w:noProof/>
                <w:color w:val="000000"/>
                <w:sz w:val="16"/>
                <w:szCs w:val="16"/>
              </w:rPr>
              <w:t> </w:t>
            </w:r>
            <w:r>
              <w:rPr>
                <w:rFonts w:cs="Arial"/>
                <w:b/>
                <w:bCs/>
                <w:noProof/>
                <w:color w:val="000000"/>
                <w:sz w:val="16"/>
                <w:szCs w:val="16"/>
              </w:rPr>
              <w:t>146</w:t>
            </w:r>
          </w:p>
        </w:tc>
        <w:tc>
          <w:tcPr>
            <w:tcW w:w="502" w:type="pct"/>
            <w:tcBorders>
              <w:top w:val="single" w:sz="8" w:space="0" w:color="auto"/>
              <w:left w:val="nil"/>
              <w:bottom w:val="single" w:sz="8" w:space="0" w:color="auto"/>
              <w:right w:val="single" w:sz="8" w:space="0" w:color="auto"/>
            </w:tcBorders>
            <w:shd w:val="clear" w:color="auto" w:fill="D9D9D9"/>
            <w:noWrap/>
            <w:vAlign w:val="center"/>
          </w:tcPr>
          <w:p>
            <w:pPr>
              <w:jc w:val="right"/>
              <w:rPr>
                <w:rFonts w:cs="Arial"/>
                <w:b/>
                <w:i/>
                <w:noProof/>
                <w:color w:val="000000"/>
                <w:sz w:val="16"/>
                <w:szCs w:val="16"/>
              </w:rPr>
            </w:pPr>
            <w:r>
              <w:rPr>
                <w:rFonts w:cs="Arial"/>
                <w:b/>
                <w:bCs/>
                <w:noProof/>
                <w:color w:val="000000"/>
                <w:sz w:val="16"/>
                <w:szCs w:val="16"/>
              </w:rPr>
              <w:t>96.2</w:t>
            </w:r>
          </w:p>
        </w:tc>
        <w:tc>
          <w:tcPr>
            <w:tcW w:w="535" w:type="pct"/>
            <w:tcBorders>
              <w:top w:val="single" w:sz="8" w:space="0" w:color="auto"/>
              <w:left w:val="nil"/>
              <w:bottom w:val="single" w:sz="8" w:space="0" w:color="auto"/>
              <w:right w:val="single" w:sz="8" w:space="0" w:color="auto"/>
            </w:tcBorders>
            <w:shd w:val="clear" w:color="auto" w:fill="D9D9D9"/>
            <w:vAlign w:val="center"/>
          </w:tcPr>
          <w:p>
            <w:pPr>
              <w:jc w:val="right"/>
              <w:rPr>
                <w:rFonts w:cs="Arial"/>
                <w:b/>
                <w:bCs/>
                <w:noProof/>
                <w:color w:val="000000"/>
                <w:sz w:val="16"/>
                <w:szCs w:val="16"/>
              </w:rPr>
            </w:pPr>
            <w:r>
              <w:rPr>
                <w:rFonts w:cs="Arial"/>
                <w:b/>
                <w:bCs/>
                <w:noProof/>
                <w:color w:val="000000"/>
                <w:sz w:val="16"/>
                <w:szCs w:val="16"/>
              </w:rPr>
              <w:t>33</w:t>
            </w:r>
            <w:r>
              <w:rPr>
                <w:rFonts w:ascii="Calibri" w:hAnsi="Calibri" w:cs="Calibri"/>
                <w:b/>
                <w:bCs/>
                <w:noProof/>
                <w:color w:val="000000"/>
                <w:sz w:val="16"/>
                <w:szCs w:val="16"/>
              </w:rPr>
              <w:t> </w:t>
            </w:r>
            <w:r>
              <w:rPr>
                <w:rFonts w:cs="Arial"/>
                <w:b/>
                <w:bCs/>
                <w:noProof/>
                <w:color w:val="000000"/>
                <w:sz w:val="16"/>
                <w:szCs w:val="16"/>
              </w:rPr>
              <w:t>211</w:t>
            </w:r>
          </w:p>
        </w:tc>
        <w:tc>
          <w:tcPr>
            <w:tcW w:w="485" w:type="pct"/>
            <w:tcBorders>
              <w:top w:val="single" w:sz="8" w:space="0" w:color="auto"/>
              <w:left w:val="nil"/>
              <w:bottom w:val="single" w:sz="8" w:space="0" w:color="auto"/>
              <w:right w:val="single" w:sz="8" w:space="0" w:color="auto"/>
            </w:tcBorders>
            <w:shd w:val="clear" w:color="auto" w:fill="D9D9D9"/>
            <w:noWrap/>
            <w:vAlign w:val="center"/>
          </w:tcPr>
          <w:p>
            <w:pPr>
              <w:jc w:val="right"/>
              <w:rPr>
                <w:rFonts w:cs="Arial"/>
                <w:b/>
                <w:i/>
                <w:noProof/>
                <w:color w:val="000000"/>
                <w:sz w:val="16"/>
                <w:szCs w:val="16"/>
              </w:rPr>
            </w:pPr>
            <w:r>
              <w:rPr>
                <w:rFonts w:cs="Arial"/>
                <w:b/>
                <w:bCs/>
                <w:noProof/>
                <w:color w:val="000000"/>
                <w:sz w:val="16"/>
                <w:szCs w:val="16"/>
              </w:rPr>
              <w:t>92.0</w:t>
            </w:r>
          </w:p>
        </w:tc>
      </w:tr>
    </w:tbl>
    <w:p>
      <w:pPr>
        <w:pStyle w:val="Source-Table-Chart-PhotoCaption"/>
        <w:rPr>
          <w:noProof/>
        </w:rPr>
      </w:pPr>
      <w:r>
        <w:rPr>
          <w:rStyle w:val="italics"/>
          <w:noProof/>
        </w:rPr>
        <w:t>Table 1.2.2:</w:t>
      </w:r>
      <w:r>
        <w:rPr>
          <w:noProof/>
        </w:rPr>
        <w:t xml:space="preserve"> Cumulative financial corrections confirmed and implementation percentage to end 2018 in</w:t>
      </w:r>
      <w:r>
        <w:rPr>
          <w:noProof/>
          <w:sz w:val="20"/>
        </w:rPr>
        <w:t xml:space="preserve"> EUR</w:t>
      </w:r>
      <w:r>
        <w:rPr>
          <w:rStyle w:val="Bodytext2Bold"/>
          <w:rFonts w:ascii="Calibri" w:eastAsia="Calibri" w:hAnsi="Calibri" w:cs="Calibri"/>
          <w:noProof/>
          <w:sz w:val="20"/>
          <w:szCs w:val="20"/>
          <w:lang w:val="en-GB"/>
        </w:rPr>
        <w:t> </w:t>
      </w:r>
      <w:r>
        <w:rPr>
          <w:noProof/>
        </w:rPr>
        <w:t>million.</w:t>
      </w:r>
    </w:p>
    <w:p>
      <w:pPr>
        <w:rPr>
          <w:rFonts w:eastAsiaTheme="majorEastAsia" w:cstheme="majorBidi"/>
          <w:b/>
          <w:noProof/>
          <w:color w:val="E48C32" w:themeColor="accent5"/>
          <w:sz w:val="24"/>
          <w:szCs w:val="24"/>
        </w:rPr>
      </w:pPr>
      <w:bookmarkStart w:id="130" w:name="_Toc512866528"/>
      <w:bookmarkStart w:id="131" w:name="_Toc8386201"/>
      <w:r>
        <w:rPr>
          <w:noProof/>
        </w:rPr>
        <w:br w:type="page"/>
      </w:r>
    </w:p>
    <w:p>
      <w:pPr>
        <w:pStyle w:val="Annex4-H4"/>
        <w:rPr>
          <w:noProof/>
        </w:rPr>
      </w:pPr>
      <w:r>
        <w:rPr>
          <w:noProof/>
        </w:rPr>
        <w:t>1.2.3.</w:t>
      </w:r>
      <w:r>
        <w:rPr>
          <w:noProof/>
        </w:rPr>
        <w:tab/>
        <w:t>Cumulative recoveries 2012-2018</w:t>
      </w:r>
      <w:bookmarkEnd w:id="130"/>
      <w:bookmarkEnd w:id="131"/>
    </w:p>
    <w:p>
      <w:pPr>
        <w:pStyle w:val="BodyText1spaceafter"/>
        <w:keepNext/>
      </w:pPr>
      <w:r>
        <w:t>The tables below provide the amounts of recoveries confirmed and implemented for the period 2012-2018.</w:t>
      </w:r>
    </w:p>
    <w:p>
      <w:pPr>
        <w:pStyle w:val="BodyText1spaceafter"/>
        <w:keepNext/>
      </w:pPr>
      <w:r>
        <w:t>See also Section</w:t>
      </w:r>
      <w:r>
        <w:rPr>
          <w:rFonts w:ascii="Calibri" w:hAnsi="Calibri" w:cs="Calibri"/>
        </w:rPr>
        <w:t> </w:t>
      </w:r>
      <w:r>
        <w:t>1.3.1 below concerning the impact on the EU budget.</w:t>
      </w:r>
    </w:p>
    <w:tbl>
      <w:tblPr>
        <w:tblW w:w="9070" w:type="dxa"/>
        <w:jc w:val="center"/>
        <w:tblLook w:val="04A0" w:firstRow="1" w:lastRow="0" w:firstColumn="1" w:lastColumn="0" w:noHBand="0" w:noVBand="1"/>
      </w:tblPr>
      <w:tblGrid>
        <w:gridCol w:w="2322"/>
        <w:gridCol w:w="968"/>
        <w:gridCol w:w="968"/>
        <w:gridCol w:w="968"/>
        <w:gridCol w:w="940"/>
        <w:gridCol w:w="968"/>
        <w:gridCol w:w="968"/>
        <w:gridCol w:w="968"/>
      </w:tblGrid>
      <w:tr>
        <w:trPr>
          <w:trHeight w:val="629"/>
          <w:jc w:val="center"/>
        </w:trPr>
        <w:tc>
          <w:tcPr>
            <w:tcW w:w="2322" w:type="dxa"/>
            <w:vMerge w:val="restart"/>
            <w:tcBorders>
              <w:top w:val="single" w:sz="8" w:space="0" w:color="000000"/>
              <w:left w:val="single" w:sz="8" w:space="0" w:color="000000"/>
              <w:bottom w:val="nil"/>
              <w:right w:val="nil"/>
            </w:tcBorders>
            <w:shd w:val="clear" w:color="auto" w:fill="E48C32"/>
            <w:noWrap/>
            <w:vAlign w:val="center"/>
            <w:hideMark/>
          </w:tcPr>
          <w:p>
            <w:pPr>
              <w:keepNext/>
              <w:rPr>
                <w:rFonts w:cs="Arial"/>
                <w:b/>
                <w:noProof/>
                <w:color w:val="FFFFFF"/>
                <w:sz w:val="16"/>
              </w:rPr>
            </w:pPr>
            <w:bookmarkStart w:id="132" w:name="_Toc365022341"/>
            <w:r>
              <w:rPr>
                <w:rFonts w:cs="Calibri"/>
                <w:b/>
                <w:noProof/>
                <w:color w:val="FFFFFF"/>
                <w:sz w:val="16"/>
              </w:rPr>
              <w:t> </w:t>
            </w:r>
          </w:p>
          <w:p>
            <w:pPr>
              <w:keepNext/>
              <w:rPr>
                <w:rFonts w:cs="Arial"/>
                <w:b/>
                <w:noProof/>
                <w:color w:val="FFFFFF"/>
                <w:sz w:val="16"/>
              </w:rPr>
            </w:pPr>
            <w:r>
              <w:rPr>
                <w:rFonts w:cs="Arial"/>
                <w:b/>
                <w:noProof/>
                <w:color w:val="FFFFFF"/>
                <w:sz w:val="16"/>
              </w:rPr>
              <w:t>Recoveries</w:t>
            </w:r>
          </w:p>
          <w:p>
            <w:pPr>
              <w:keepNext/>
              <w:rPr>
                <w:rFonts w:cs="Arial"/>
                <w:b/>
                <w:noProof/>
                <w:color w:val="FFFFFF"/>
                <w:sz w:val="16"/>
              </w:rPr>
            </w:pPr>
            <w:r>
              <w:rPr>
                <w:rFonts w:cs="Calibri"/>
                <w:noProof/>
                <w:color w:val="FFFFFF"/>
              </w:rPr>
              <w:t> </w:t>
            </w:r>
          </w:p>
        </w:tc>
        <w:tc>
          <w:tcPr>
            <w:tcW w:w="6776" w:type="dxa"/>
            <w:gridSpan w:val="7"/>
            <w:tcBorders>
              <w:top w:val="single" w:sz="8" w:space="0" w:color="000000"/>
              <w:left w:val="single" w:sz="8" w:space="0" w:color="auto"/>
              <w:bottom w:val="single" w:sz="8" w:space="0" w:color="000000"/>
              <w:right w:val="single" w:sz="8" w:space="0" w:color="000000"/>
            </w:tcBorders>
            <w:shd w:val="clear" w:color="auto" w:fill="E48C32"/>
            <w:vAlign w:val="center"/>
            <w:hideMark/>
          </w:tcPr>
          <w:p>
            <w:pPr>
              <w:keepNext/>
              <w:jc w:val="center"/>
              <w:rPr>
                <w:rFonts w:cs="Arial"/>
                <w:b/>
                <w:noProof/>
                <w:color w:val="FFFFFF"/>
                <w:sz w:val="16"/>
              </w:rPr>
            </w:pPr>
            <w:r>
              <w:rPr>
                <w:rFonts w:cs="Arial"/>
                <w:b/>
                <w:noProof/>
                <w:color w:val="FFFFFF"/>
                <w:sz w:val="16"/>
              </w:rPr>
              <w:t>Years</w:t>
            </w:r>
          </w:p>
        </w:tc>
      </w:tr>
      <w:tr>
        <w:trPr>
          <w:trHeight w:val="312"/>
          <w:jc w:val="center"/>
        </w:trPr>
        <w:tc>
          <w:tcPr>
            <w:tcW w:w="2322" w:type="dxa"/>
            <w:vMerge/>
            <w:tcBorders>
              <w:left w:val="single" w:sz="8" w:space="0" w:color="000000"/>
              <w:bottom w:val="single" w:sz="8" w:space="0" w:color="000000"/>
              <w:right w:val="single" w:sz="8" w:space="0" w:color="000000"/>
            </w:tcBorders>
            <w:shd w:val="clear" w:color="auto" w:fill="E48C32"/>
            <w:noWrap/>
            <w:vAlign w:val="center"/>
            <w:hideMark/>
          </w:tcPr>
          <w:p>
            <w:pPr>
              <w:keepNext/>
              <w:rPr>
                <w:rFonts w:cs="Arial"/>
                <w:noProof/>
                <w:color w:val="FFFFFF"/>
              </w:rPr>
            </w:pPr>
          </w:p>
        </w:tc>
        <w:tc>
          <w:tcPr>
            <w:tcW w:w="968" w:type="dxa"/>
            <w:tcBorders>
              <w:top w:val="single" w:sz="8" w:space="0" w:color="000000"/>
              <w:left w:val="nil"/>
              <w:bottom w:val="single" w:sz="8" w:space="0" w:color="auto"/>
              <w:right w:val="single" w:sz="8" w:space="0" w:color="auto"/>
            </w:tcBorders>
            <w:shd w:val="clear" w:color="auto" w:fill="E48C32"/>
            <w:vAlign w:val="center"/>
            <w:hideMark/>
          </w:tcPr>
          <w:p>
            <w:pPr>
              <w:keepNext/>
              <w:jc w:val="right"/>
              <w:rPr>
                <w:rFonts w:cs="Arial"/>
                <w:b/>
                <w:noProof/>
                <w:color w:val="FFFFFF"/>
                <w:sz w:val="16"/>
                <w:szCs w:val="16"/>
              </w:rPr>
            </w:pPr>
            <w:r>
              <w:rPr>
                <w:rFonts w:cs="Arial"/>
                <w:b/>
                <w:bCs/>
                <w:noProof/>
                <w:color w:val="FFFFFF"/>
                <w:sz w:val="16"/>
                <w:szCs w:val="16"/>
              </w:rPr>
              <w:t>2012</w:t>
            </w:r>
          </w:p>
        </w:tc>
        <w:tc>
          <w:tcPr>
            <w:tcW w:w="968" w:type="dxa"/>
            <w:tcBorders>
              <w:top w:val="single" w:sz="8" w:space="0" w:color="000000"/>
              <w:left w:val="nil"/>
              <w:bottom w:val="single" w:sz="8" w:space="0" w:color="auto"/>
              <w:right w:val="single" w:sz="8" w:space="0" w:color="auto"/>
            </w:tcBorders>
            <w:shd w:val="clear" w:color="auto" w:fill="E48C32"/>
            <w:vAlign w:val="center"/>
            <w:hideMark/>
          </w:tcPr>
          <w:p>
            <w:pPr>
              <w:keepNext/>
              <w:jc w:val="right"/>
              <w:rPr>
                <w:rFonts w:cs="Arial"/>
                <w:b/>
                <w:noProof/>
                <w:color w:val="FFFFFF"/>
                <w:sz w:val="16"/>
                <w:szCs w:val="16"/>
              </w:rPr>
            </w:pPr>
            <w:r>
              <w:rPr>
                <w:rFonts w:cs="Arial"/>
                <w:b/>
                <w:bCs/>
                <w:noProof/>
                <w:color w:val="FFFFFF"/>
                <w:sz w:val="16"/>
                <w:szCs w:val="16"/>
              </w:rPr>
              <w:t>2013</w:t>
            </w:r>
          </w:p>
        </w:tc>
        <w:tc>
          <w:tcPr>
            <w:tcW w:w="968" w:type="dxa"/>
            <w:tcBorders>
              <w:top w:val="single" w:sz="8" w:space="0" w:color="000000"/>
              <w:left w:val="nil"/>
              <w:bottom w:val="single" w:sz="8" w:space="0" w:color="auto"/>
              <w:right w:val="single" w:sz="8" w:space="0" w:color="auto"/>
            </w:tcBorders>
            <w:shd w:val="clear" w:color="auto" w:fill="E48C32"/>
            <w:vAlign w:val="center"/>
            <w:hideMark/>
          </w:tcPr>
          <w:p>
            <w:pPr>
              <w:keepNext/>
              <w:jc w:val="right"/>
              <w:rPr>
                <w:rFonts w:cs="Arial"/>
                <w:b/>
                <w:noProof/>
                <w:color w:val="FFFFFF"/>
                <w:sz w:val="16"/>
                <w:szCs w:val="16"/>
              </w:rPr>
            </w:pPr>
            <w:r>
              <w:rPr>
                <w:rFonts w:cs="Arial"/>
                <w:b/>
                <w:bCs/>
                <w:noProof/>
                <w:color w:val="FFFFFF"/>
                <w:sz w:val="16"/>
                <w:szCs w:val="16"/>
              </w:rPr>
              <w:t>2014</w:t>
            </w:r>
          </w:p>
        </w:tc>
        <w:tc>
          <w:tcPr>
            <w:tcW w:w="968" w:type="dxa"/>
            <w:tcBorders>
              <w:top w:val="single" w:sz="8" w:space="0" w:color="000000"/>
              <w:left w:val="nil"/>
              <w:bottom w:val="single" w:sz="8" w:space="0" w:color="auto"/>
              <w:right w:val="single" w:sz="8" w:space="0" w:color="000000"/>
            </w:tcBorders>
            <w:shd w:val="clear" w:color="auto" w:fill="E48C32"/>
            <w:vAlign w:val="center"/>
            <w:hideMark/>
          </w:tcPr>
          <w:p>
            <w:pPr>
              <w:keepNext/>
              <w:jc w:val="right"/>
              <w:rPr>
                <w:rFonts w:cs="Arial"/>
                <w:b/>
                <w:noProof/>
                <w:color w:val="FFFFFF"/>
                <w:sz w:val="16"/>
                <w:szCs w:val="16"/>
              </w:rPr>
            </w:pPr>
            <w:r>
              <w:rPr>
                <w:rFonts w:cs="Arial"/>
                <w:b/>
                <w:bCs/>
                <w:noProof/>
                <w:color w:val="FFFFFF"/>
                <w:sz w:val="16"/>
                <w:szCs w:val="16"/>
              </w:rPr>
              <w:t>2015</w:t>
            </w:r>
          </w:p>
        </w:tc>
        <w:tc>
          <w:tcPr>
            <w:tcW w:w="968" w:type="dxa"/>
            <w:tcBorders>
              <w:top w:val="single" w:sz="8" w:space="0" w:color="000000"/>
              <w:left w:val="nil"/>
              <w:bottom w:val="single" w:sz="8" w:space="0" w:color="auto"/>
              <w:right w:val="single" w:sz="8" w:space="0" w:color="auto"/>
            </w:tcBorders>
            <w:shd w:val="clear" w:color="auto" w:fill="E48C32"/>
            <w:vAlign w:val="center"/>
            <w:hideMark/>
          </w:tcPr>
          <w:p>
            <w:pPr>
              <w:keepNext/>
              <w:jc w:val="right"/>
              <w:rPr>
                <w:rFonts w:cs="Arial"/>
                <w:b/>
                <w:noProof/>
                <w:color w:val="FFFFFF"/>
                <w:sz w:val="16"/>
                <w:szCs w:val="16"/>
              </w:rPr>
            </w:pPr>
            <w:r>
              <w:rPr>
                <w:rFonts w:cs="Arial"/>
                <w:b/>
                <w:bCs/>
                <w:noProof/>
                <w:color w:val="FFFFFF"/>
                <w:sz w:val="16"/>
                <w:szCs w:val="16"/>
              </w:rPr>
              <w:t>2016</w:t>
            </w:r>
          </w:p>
        </w:tc>
        <w:tc>
          <w:tcPr>
            <w:tcW w:w="968" w:type="dxa"/>
            <w:tcBorders>
              <w:top w:val="single" w:sz="8" w:space="0" w:color="000000"/>
              <w:left w:val="nil"/>
              <w:bottom w:val="single" w:sz="8" w:space="0" w:color="auto"/>
              <w:right w:val="single" w:sz="8" w:space="0" w:color="auto"/>
            </w:tcBorders>
            <w:shd w:val="clear" w:color="auto" w:fill="E48C32"/>
            <w:vAlign w:val="center"/>
            <w:hideMark/>
          </w:tcPr>
          <w:p>
            <w:pPr>
              <w:keepNext/>
              <w:jc w:val="right"/>
              <w:rPr>
                <w:rFonts w:cs="Arial"/>
                <w:b/>
                <w:noProof/>
                <w:color w:val="FFFFFF"/>
                <w:sz w:val="16"/>
                <w:szCs w:val="16"/>
              </w:rPr>
            </w:pPr>
            <w:r>
              <w:rPr>
                <w:rFonts w:cs="Arial"/>
                <w:b/>
                <w:bCs/>
                <w:noProof/>
                <w:color w:val="FFFFFF"/>
                <w:sz w:val="16"/>
                <w:szCs w:val="16"/>
              </w:rPr>
              <w:t>2017</w:t>
            </w:r>
          </w:p>
        </w:tc>
        <w:tc>
          <w:tcPr>
            <w:tcW w:w="968" w:type="dxa"/>
            <w:tcBorders>
              <w:top w:val="single" w:sz="8" w:space="0" w:color="000000"/>
              <w:left w:val="nil"/>
              <w:bottom w:val="single" w:sz="8" w:space="0" w:color="auto"/>
              <w:right w:val="single" w:sz="8" w:space="0" w:color="000000"/>
            </w:tcBorders>
            <w:shd w:val="clear" w:color="auto" w:fill="E48C32"/>
            <w:vAlign w:val="center"/>
            <w:hideMark/>
          </w:tcPr>
          <w:p>
            <w:pPr>
              <w:keepNext/>
              <w:jc w:val="right"/>
              <w:rPr>
                <w:rFonts w:cs="Arial"/>
                <w:b/>
                <w:noProof/>
                <w:color w:val="FFFFFF"/>
                <w:sz w:val="16"/>
                <w:szCs w:val="16"/>
              </w:rPr>
            </w:pPr>
            <w:r>
              <w:rPr>
                <w:rFonts w:cs="Arial"/>
                <w:b/>
                <w:bCs/>
                <w:noProof/>
                <w:color w:val="FFFFFF"/>
                <w:sz w:val="16"/>
                <w:szCs w:val="16"/>
              </w:rPr>
              <w:t>2018</w:t>
            </w:r>
          </w:p>
        </w:tc>
      </w:tr>
      <w:tr>
        <w:trPr>
          <w:trHeight w:val="297"/>
          <w:jc w:val="center"/>
        </w:trPr>
        <w:tc>
          <w:tcPr>
            <w:tcW w:w="2322" w:type="dxa"/>
            <w:tcBorders>
              <w:top w:val="nil"/>
              <w:left w:val="single" w:sz="8" w:space="0" w:color="000000"/>
              <w:bottom w:val="nil"/>
              <w:right w:val="single" w:sz="8" w:space="0" w:color="000000"/>
            </w:tcBorders>
            <w:shd w:val="clear" w:color="auto" w:fill="auto"/>
            <w:noWrap/>
            <w:vAlign w:val="center"/>
            <w:hideMark/>
          </w:tcPr>
          <w:p>
            <w:pPr>
              <w:keepNext/>
              <w:rPr>
                <w:rFonts w:cs="Arial"/>
                <w:noProof/>
                <w:color w:val="000000"/>
                <w:sz w:val="16"/>
              </w:rPr>
            </w:pPr>
            <w:r>
              <w:rPr>
                <w:rFonts w:cs="Arial"/>
                <w:noProof/>
                <w:color w:val="000000"/>
                <w:sz w:val="16"/>
              </w:rPr>
              <w:t>Agricultural policy:</w:t>
            </w:r>
          </w:p>
        </w:tc>
        <w:tc>
          <w:tcPr>
            <w:tcW w:w="96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Calibri"/>
                <w:noProof/>
                <w:color w:val="000000"/>
                <w:sz w:val="16"/>
                <w:szCs w:val="16"/>
              </w:rPr>
              <w:t> </w:t>
            </w:r>
          </w:p>
        </w:tc>
        <w:tc>
          <w:tcPr>
            <w:tcW w:w="96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Calibri"/>
                <w:noProof/>
                <w:color w:val="000000"/>
                <w:sz w:val="16"/>
                <w:szCs w:val="16"/>
              </w:rPr>
              <w:t> </w:t>
            </w:r>
          </w:p>
        </w:tc>
        <w:tc>
          <w:tcPr>
            <w:tcW w:w="96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Calibri"/>
                <w:noProof/>
                <w:color w:val="000000"/>
                <w:sz w:val="16"/>
                <w:szCs w:val="16"/>
              </w:rPr>
              <w:t> </w:t>
            </w:r>
          </w:p>
        </w:tc>
        <w:tc>
          <w:tcPr>
            <w:tcW w:w="968" w:type="dxa"/>
            <w:tcBorders>
              <w:top w:val="nil"/>
              <w:left w:val="nil"/>
              <w:bottom w:val="nil"/>
              <w:right w:val="single" w:sz="8" w:space="0" w:color="000000"/>
            </w:tcBorders>
            <w:shd w:val="clear" w:color="auto" w:fill="auto"/>
            <w:vAlign w:val="center"/>
            <w:hideMark/>
          </w:tcPr>
          <w:p>
            <w:pPr>
              <w:keepNext/>
              <w:autoSpaceDE w:val="0"/>
              <w:autoSpaceDN w:val="0"/>
              <w:adjustRightInd w:val="0"/>
              <w:jc w:val="right"/>
              <w:rPr>
                <w:rFonts w:cs="Arial"/>
                <w:noProof/>
                <w:color w:val="000000"/>
                <w:sz w:val="16"/>
                <w:szCs w:val="16"/>
              </w:rPr>
            </w:pPr>
            <w:r>
              <w:rPr>
                <w:rFonts w:cs="Calibri"/>
                <w:noProof/>
                <w:color w:val="000000"/>
                <w:sz w:val="16"/>
                <w:szCs w:val="16"/>
              </w:rPr>
              <w:t> </w:t>
            </w:r>
          </w:p>
        </w:tc>
        <w:tc>
          <w:tcPr>
            <w:tcW w:w="96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Calibri"/>
                <w:noProof/>
                <w:color w:val="000000"/>
                <w:sz w:val="16"/>
                <w:szCs w:val="16"/>
              </w:rPr>
              <w:t> </w:t>
            </w:r>
          </w:p>
        </w:tc>
        <w:tc>
          <w:tcPr>
            <w:tcW w:w="96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Calibri"/>
                <w:noProof/>
                <w:color w:val="000000"/>
                <w:sz w:val="16"/>
                <w:szCs w:val="16"/>
              </w:rPr>
              <w:t> </w:t>
            </w:r>
          </w:p>
        </w:tc>
        <w:tc>
          <w:tcPr>
            <w:tcW w:w="968" w:type="dxa"/>
            <w:tcBorders>
              <w:top w:val="nil"/>
              <w:left w:val="nil"/>
              <w:bottom w:val="nil"/>
              <w:right w:val="single" w:sz="8" w:space="0" w:color="000000"/>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Calibri"/>
                <w:noProof/>
                <w:color w:val="000000"/>
                <w:sz w:val="16"/>
                <w:szCs w:val="16"/>
              </w:rPr>
              <w:t> </w:t>
            </w:r>
          </w:p>
        </w:tc>
      </w:tr>
      <w:tr>
        <w:trPr>
          <w:trHeight w:val="297"/>
          <w:jc w:val="center"/>
        </w:trPr>
        <w:tc>
          <w:tcPr>
            <w:tcW w:w="2322" w:type="dxa"/>
            <w:tcBorders>
              <w:top w:val="nil"/>
              <w:left w:val="single" w:sz="8" w:space="0" w:color="000000"/>
              <w:bottom w:val="nil"/>
              <w:right w:val="single" w:sz="8" w:space="0" w:color="000000"/>
            </w:tcBorders>
            <w:shd w:val="clear" w:color="auto" w:fill="auto"/>
            <w:noWrap/>
            <w:vAlign w:val="center"/>
            <w:hideMark/>
          </w:tcPr>
          <w:p>
            <w:pPr>
              <w:keepNext/>
              <w:ind w:firstLineChars="100" w:firstLine="160"/>
              <w:rPr>
                <w:rFonts w:cs="Arial"/>
                <w:i/>
                <w:noProof/>
                <w:color w:val="000000"/>
                <w:sz w:val="16"/>
              </w:rPr>
            </w:pPr>
            <w:r>
              <w:rPr>
                <w:rFonts w:cs="Arial"/>
                <w:i/>
                <w:noProof/>
                <w:color w:val="000000"/>
                <w:sz w:val="16"/>
              </w:rPr>
              <w:t>European Agricultural Guarantee Fund</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162</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227</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213</w:t>
            </w:r>
          </w:p>
        </w:tc>
        <w:tc>
          <w:tcPr>
            <w:tcW w:w="968" w:type="dxa"/>
            <w:tcBorders>
              <w:top w:val="nil"/>
              <w:left w:val="nil"/>
              <w:bottom w:val="nil"/>
              <w:right w:val="single" w:sz="8" w:space="0" w:color="000000"/>
            </w:tcBorders>
            <w:shd w:val="clear" w:color="auto" w:fill="auto"/>
            <w:vAlign w:val="center"/>
            <w:hideMark/>
          </w:tcPr>
          <w:p>
            <w:pPr>
              <w:keepNext/>
              <w:jc w:val="right"/>
              <w:rPr>
                <w:rFonts w:cs="Arial"/>
                <w:noProof/>
                <w:color w:val="000000"/>
                <w:sz w:val="16"/>
                <w:szCs w:val="16"/>
              </w:rPr>
            </w:pPr>
            <w:r>
              <w:rPr>
                <w:rFonts w:cs="Arial"/>
                <w:noProof/>
                <w:color w:val="000000"/>
                <w:sz w:val="16"/>
                <w:szCs w:val="16"/>
              </w:rPr>
              <w:t>117</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100</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195</w:t>
            </w:r>
          </w:p>
        </w:tc>
        <w:tc>
          <w:tcPr>
            <w:tcW w:w="968" w:type="dxa"/>
            <w:tcBorders>
              <w:top w:val="nil"/>
              <w:left w:val="nil"/>
              <w:bottom w:val="nil"/>
              <w:right w:val="single" w:sz="8" w:space="0" w:color="000000"/>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138</w:t>
            </w:r>
          </w:p>
        </w:tc>
      </w:tr>
      <w:tr>
        <w:trPr>
          <w:trHeight w:val="297"/>
          <w:jc w:val="center"/>
        </w:trPr>
        <w:tc>
          <w:tcPr>
            <w:tcW w:w="2322" w:type="dxa"/>
            <w:tcBorders>
              <w:top w:val="nil"/>
              <w:left w:val="single" w:sz="8" w:space="0" w:color="000000"/>
              <w:bottom w:val="nil"/>
              <w:right w:val="single" w:sz="8" w:space="0" w:color="000000"/>
            </w:tcBorders>
            <w:shd w:val="clear" w:color="auto" w:fill="auto"/>
            <w:noWrap/>
            <w:vAlign w:val="center"/>
            <w:hideMark/>
          </w:tcPr>
          <w:p>
            <w:pPr>
              <w:keepNext/>
              <w:ind w:firstLineChars="100" w:firstLine="160"/>
              <w:rPr>
                <w:rFonts w:cs="Arial"/>
                <w:i/>
                <w:noProof/>
                <w:color w:val="000000"/>
                <w:sz w:val="16"/>
              </w:rPr>
            </w:pPr>
            <w:r>
              <w:rPr>
                <w:rFonts w:cs="Arial"/>
                <w:i/>
                <w:noProof/>
                <w:color w:val="000000"/>
                <w:sz w:val="16"/>
              </w:rPr>
              <w:t>Rural development</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145</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139</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165</w:t>
            </w:r>
          </w:p>
        </w:tc>
        <w:tc>
          <w:tcPr>
            <w:tcW w:w="968" w:type="dxa"/>
            <w:tcBorders>
              <w:top w:val="nil"/>
              <w:left w:val="nil"/>
              <w:bottom w:val="nil"/>
              <w:right w:val="single" w:sz="8" w:space="0" w:color="000000"/>
            </w:tcBorders>
            <w:shd w:val="clear" w:color="auto" w:fill="auto"/>
            <w:vAlign w:val="center"/>
            <w:hideMark/>
          </w:tcPr>
          <w:p>
            <w:pPr>
              <w:keepNext/>
              <w:jc w:val="right"/>
              <w:rPr>
                <w:rFonts w:cs="Arial"/>
                <w:noProof/>
                <w:color w:val="000000"/>
                <w:sz w:val="16"/>
                <w:szCs w:val="16"/>
              </w:rPr>
            </w:pPr>
            <w:r>
              <w:rPr>
                <w:rFonts w:cs="Arial"/>
                <w:noProof/>
                <w:color w:val="000000"/>
                <w:sz w:val="16"/>
                <w:szCs w:val="16"/>
              </w:rPr>
              <w:t>206</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242</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113</w:t>
            </w:r>
          </w:p>
        </w:tc>
        <w:tc>
          <w:tcPr>
            <w:tcW w:w="968" w:type="dxa"/>
            <w:tcBorders>
              <w:top w:val="nil"/>
              <w:left w:val="nil"/>
              <w:bottom w:val="nil"/>
              <w:right w:val="single" w:sz="8" w:space="0" w:color="000000"/>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178</w:t>
            </w:r>
          </w:p>
        </w:tc>
      </w:tr>
      <w:tr>
        <w:trPr>
          <w:trHeight w:val="297"/>
          <w:jc w:val="center"/>
        </w:trPr>
        <w:tc>
          <w:tcPr>
            <w:tcW w:w="2322" w:type="dxa"/>
            <w:tcBorders>
              <w:top w:val="nil"/>
              <w:left w:val="single" w:sz="8" w:space="0" w:color="000000"/>
              <w:bottom w:val="nil"/>
              <w:right w:val="single" w:sz="8" w:space="0" w:color="000000"/>
            </w:tcBorders>
            <w:shd w:val="clear" w:color="auto" w:fill="auto"/>
            <w:noWrap/>
            <w:vAlign w:val="center"/>
            <w:hideMark/>
          </w:tcPr>
          <w:p>
            <w:pPr>
              <w:keepNext/>
              <w:rPr>
                <w:rFonts w:cs="Arial"/>
                <w:noProof/>
                <w:color w:val="000000"/>
                <w:sz w:val="16"/>
              </w:rPr>
            </w:pPr>
            <w:r>
              <w:rPr>
                <w:rFonts w:cs="Arial"/>
                <w:noProof/>
                <w:color w:val="000000"/>
                <w:sz w:val="16"/>
              </w:rPr>
              <w:t>Cohesion policy</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22</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83</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35</w:t>
            </w:r>
          </w:p>
        </w:tc>
        <w:tc>
          <w:tcPr>
            <w:tcW w:w="968" w:type="dxa"/>
            <w:tcBorders>
              <w:top w:val="nil"/>
              <w:left w:val="nil"/>
              <w:bottom w:val="nil"/>
              <w:right w:val="single" w:sz="8" w:space="0" w:color="000000"/>
            </w:tcBorders>
            <w:shd w:val="clear" w:color="auto" w:fill="auto"/>
            <w:vAlign w:val="center"/>
            <w:hideMark/>
          </w:tcPr>
          <w:p>
            <w:pPr>
              <w:keepNext/>
              <w:jc w:val="right"/>
              <w:rPr>
                <w:rFonts w:cs="Arial"/>
                <w:noProof/>
                <w:color w:val="000000"/>
                <w:sz w:val="16"/>
                <w:szCs w:val="16"/>
              </w:rPr>
            </w:pPr>
            <w:r>
              <w:rPr>
                <w:rFonts w:cs="Arial"/>
                <w:noProof/>
                <w:color w:val="000000"/>
                <w:sz w:val="16"/>
                <w:szCs w:val="16"/>
              </w:rPr>
              <w:t>5</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10</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2</w:t>
            </w:r>
          </w:p>
        </w:tc>
        <w:tc>
          <w:tcPr>
            <w:tcW w:w="968" w:type="dxa"/>
            <w:tcBorders>
              <w:top w:val="nil"/>
              <w:left w:val="nil"/>
              <w:bottom w:val="nil"/>
              <w:right w:val="single" w:sz="8" w:space="0" w:color="000000"/>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3</w:t>
            </w:r>
          </w:p>
        </w:tc>
      </w:tr>
      <w:tr>
        <w:trPr>
          <w:trHeight w:val="297"/>
          <w:jc w:val="center"/>
        </w:trPr>
        <w:tc>
          <w:tcPr>
            <w:tcW w:w="2322" w:type="dxa"/>
            <w:tcBorders>
              <w:top w:val="nil"/>
              <w:left w:val="single" w:sz="8" w:space="0" w:color="000000"/>
              <w:bottom w:val="nil"/>
              <w:right w:val="single" w:sz="8" w:space="0" w:color="000000"/>
            </w:tcBorders>
            <w:shd w:val="clear" w:color="auto" w:fill="auto"/>
            <w:noWrap/>
            <w:vAlign w:val="center"/>
            <w:hideMark/>
          </w:tcPr>
          <w:p>
            <w:pPr>
              <w:keepNext/>
              <w:rPr>
                <w:rFonts w:cs="Arial"/>
                <w:noProof/>
                <w:color w:val="000000"/>
                <w:sz w:val="16"/>
              </w:rPr>
            </w:pPr>
            <w:r>
              <w:rPr>
                <w:rFonts w:cs="Arial"/>
                <w:noProof/>
                <w:color w:val="000000"/>
                <w:sz w:val="16"/>
              </w:rPr>
              <w:t xml:space="preserve">Internal policies </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252</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393</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293</w:t>
            </w:r>
          </w:p>
        </w:tc>
        <w:tc>
          <w:tcPr>
            <w:tcW w:w="968" w:type="dxa"/>
            <w:tcBorders>
              <w:top w:val="nil"/>
              <w:left w:val="nil"/>
              <w:bottom w:val="nil"/>
              <w:right w:val="single" w:sz="8" w:space="0" w:color="000000"/>
            </w:tcBorders>
            <w:shd w:val="clear" w:color="auto" w:fill="auto"/>
            <w:vAlign w:val="center"/>
            <w:hideMark/>
          </w:tcPr>
          <w:p>
            <w:pPr>
              <w:keepNext/>
              <w:jc w:val="right"/>
              <w:rPr>
                <w:rFonts w:cs="Arial"/>
                <w:noProof/>
                <w:color w:val="000000"/>
                <w:sz w:val="16"/>
                <w:szCs w:val="16"/>
              </w:rPr>
            </w:pPr>
            <w:r>
              <w:rPr>
                <w:rFonts w:cs="Arial"/>
                <w:noProof/>
                <w:color w:val="000000"/>
                <w:sz w:val="16"/>
                <w:szCs w:val="16"/>
              </w:rPr>
              <w:t>302</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303</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386</w:t>
            </w:r>
          </w:p>
        </w:tc>
        <w:tc>
          <w:tcPr>
            <w:tcW w:w="968" w:type="dxa"/>
            <w:tcBorders>
              <w:top w:val="nil"/>
              <w:left w:val="nil"/>
              <w:bottom w:val="nil"/>
              <w:right w:val="single" w:sz="8" w:space="0" w:color="000000"/>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247</w:t>
            </w:r>
          </w:p>
        </w:tc>
      </w:tr>
      <w:tr>
        <w:trPr>
          <w:trHeight w:val="297"/>
          <w:jc w:val="center"/>
        </w:trPr>
        <w:tc>
          <w:tcPr>
            <w:tcW w:w="2322" w:type="dxa"/>
            <w:tcBorders>
              <w:top w:val="nil"/>
              <w:left w:val="single" w:sz="8" w:space="0" w:color="000000"/>
              <w:bottom w:val="nil"/>
              <w:right w:val="single" w:sz="8" w:space="0" w:color="000000"/>
            </w:tcBorders>
            <w:shd w:val="clear" w:color="auto" w:fill="auto"/>
            <w:noWrap/>
            <w:vAlign w:val="center"/>
            <w:hideMark/>
          </w:tcPr>
          <w:p>
            <w:pPr>
              <w:keepNext/>
              <w:rPr>
                <w:rFonts w:cs="Arial"/>
                <w:noProof/>
                <w:color w:val="000000"/>
                <w:sz w:val="16"/>
              </w:rPr>
            </w:pPr>
            <w:r>
              <w:rPr>
                <w:rFonts w:cs="Arial"/>
                <w:noProof/>
                <w:color w:val="000000"/>
                <w:sz w:val="16"/>
              </w:rPr>
              <w:t xml:space="preserve">External policies </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107</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93</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127</w:t>
            </w:r>
          </w:p>
        </w:tc>
        <w:tc>
          <w:tcPr>
            <w:tcW w:w="968" w:type="dxa"/>
            <w:tcBorders>
              <w:top w:val="nil"/>
              <w:left w:val="nil"/>
              <w:bottom w:val="nil"/>
              <w:right w:val="single" w:sz="8" w:space="0" w:color="000000"/>
            </w:tcBorders>
            <w:shd w:val="clear" w:color="auto" w:fill="auto"/>
            <w:vAlign w:val="center"/>
            <w:hideMark/>
          </w:tcPr>
          <w:p>
            <w:pPr>
              <w:keepNext/>
              <w:jc w:val="right"/>
              <w:rPr>
                <w:rFonts w:cs="Arial"/>
                <w:noProof/>
                <w:color w:val="000000"/>
                <w:sz w:val="16"/>
                <w:szCs w:val="16"/>
              </w:rPr>
            </w:pPr>
            <w:r>
              <w:rPr>
                <w:rFonts w:cs="Arial"/>
                <w:noProof/>
                <w:color w:val="000000"/>
                <w:sz w:val="16"/>
                <w:szCs w:val="16"/>
              </w:rPr>
              <w:t>132</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173</w:t>
            </w:r>
          </w:p>
        </w:tc>
        <w:tc>
          <w:tcPr>
            <w:tcW w:w="968"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234</w:t>
            </w:r>
          </w:p>
        </w:tc>
        <w:tc>
          <w:tcPr>
            <w:tcW w:w="968" w:type="dxa"/>
            <w:tcBorders>
              <w:top w:val="nil"/>
              <w:left w:val="nil"/>
              <w:bottom w:val="nil"/>
              <w:right w:val="single" w:sz="8" w:space="0" w:color="000000"/>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188</w:t>
            </w:r>
          </w:p>
        </w:tc>
      </w:tr>
      <w:tr>
        <w:trPr>
          <w:trHeight w:val="312"/>
          <w:jc w:val="center"/>
        </w:trPr>
        <w:tc>
          <w:tcPr>
            <w:tcW w:w="2322" w:type="dxa"/>
            <w:tcBorders>
              <w:top w:val="nil"/>
              <w:left w:val="single" w:sz="8" w:space="0" w:color="000000"/>
              <w:bottom w:val="single" w:sz="8" w:space="0" w:color="000000"/>
              <w:right w:val="single" w:sz="8" w:space="0" w:color="000000"/>
            </w:tcBorders>
            <w:shd w:val="clear" w:color="auto" w:fill="auto"/>
            <w:noWrap/>
            <w:vAlign w:val="center"/>
            <w:hideMark/>
          </w:tcPr>
          <w:p>
            <w:pPr>
              <w:keepNext/>
              <w:rPr>
                <w:rFonts w:cs="Arial"/>
                <w:noProof/>
                <w:color w:val="000000"/>
                <w:sz w:val="16"/>
              </w:rPr>
            </w:pPr>
            <w:r>
              <w:rPr>
                <w:rFonts w:cs="Arial"/>
                <w:noProof/>
                <w:color w:val="000000"/>
                <w:sz w:val="16"/>
              </w:rPr>
              <w:t>Administration</w:t>
            </w:r>
          </w:p>
        </w:tc>
        <w:tc>
          <w:tcPr>
            <w:tcW w:w="968" w:type="dxa"/>
            <w:tcBorders>
              <w:top w:val="nil"/>
              <w:left w:val="nil"/>
              <w:bottom w:val="single" w:sz="8" w:space="0" w:color="auto"/>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7</w:t>
            </w:r>
          </w:p>
        </w:tc>
        <w:tc>
          <w:tcPr>
            <w:tcW w:w="968" w:type="dxa"/>
            <w:tcBorders>
              <w:top w:val="nil"/>
              <w:left w:val="nil"/>
              <w:bottom w:val="single" w:sz="8" w:space="0" w:color="auto"/>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6</w:t>
            </w:r>
          </w:p>
        </w:tc>
        <w:tc>
          <w:tcPr>
            <w:tcW w:w="968" w:type="dxa"/>
            <w:tcBorders>
              <w:top w:val="nil"/>
              <w:left w:val="nil"/>
              <w:bottom w:val="single" w:sz="8" w:space="0" w:color="auto"/>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5</w:t>
            </w:r>
          </w:p>
        </w:tc>
        <w:tc>
          <w:tcPr>
            <w:tcW w:w="968" w:type="dxa"/>
            <w:tcBorders>
              <w:top w:val="nil"/>
              <w:left w:val="nil"/>
              <w:bottom w:val="single" w:sz="8" w:space="0" w:color="auto"/>
              <w:right w:val="single" w:sz="8" w:space="0" w:color="000000"/>
            </w:tcBorders>
            <w:shd w:val="clear" w:color="auto" w:fill="auto"/>
            <w:vAlign w:val="center"/>
            <w:hideMark/>
          </w:tcPr>
          <w:p>
            <w:pPr>
              <w:keepNext/>
              <w:jc w:val="right"/>
              <w:rPr>
                <w:rFonts w:cs="Arial"/>
                <w:noProof/>
                <w:color w:val="000000"/>
                <w:sz w:val="16"/>
                <w:szCs w:val="16"/>
              </w:rPr>
            </w:pPr>
            <w:r>
              <w:rPr>
                <w:rFonts w:cs="Arial"/>
                <w:noProof/>
                <w:color w:val="000000"/>
                <w:sz w:val="16"/>
                <w:szCs w:val="16"/>
              </w:rPr>
              <w:t xml:space="preserve">5 </w:t>
            </w:r>
          </w:p>
        </w:tc>
        <w:tc>
          <w:tcPr>
            <w:tcW w:w="968" w:type="dxa"/>
            <w:tcBorders>
              <w:top w:val="nil"/>
              <w:left w:val="nil"/>
              <w:bottom w:val="single" w:sz="8" w:space="0" w:color="auto"/>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4 </w:t>
            </w:r>
          </w:p>
        </w:tc>
        <w:tc>
          <w:tcPr>
            <w:tcW w:w="968" w:type="dxa"/>
            <w:tcBorders>
              <w:top w:val="nil"/>
              <w:left w:val="nil"/>
              <w:bottom w:val="single" w:sz="8" w:space="0" w:color="auto"/>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3 </w:t>
            </w:r>
          </w:p>
        </w:tc>
        <w:tc>
          <w:tcPr>
            <w:tcW w:w="968" w:type="dxa"/>
            <w:tcBorders>
              <w:top w:val="nil"/>
              <w:left w:val="nil"/>
              <w:bottom w:val="single" w:sz="8" w:space="0" w:color="auto"/>
              <w:right w:val="single" w:sz="8" w:space="0" w:color="000000"/>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3 </w:t>
            </w:r>
          </w:p>
        </w:tc>
      </w:tr>
      <w:tr>
        <w:trPr>
          <w:trHeight w:val="312"/>
          <w:jc w:val="center"/>
        </w:trPr>
        <w:tc>
          <w:tcPr>
            <w:tcW w:w="2322" w:type="dxa"/>
            <w:tcBorders>
              <w:top w:val="nil"/>
              <w:left w:val="single" w:sz="8" w:space="0" w:color="000000"/>
              <w:bottom w:val="single" w:sz="8" w:space="0" w:color="000000"/>
              <w:right w:val="single" w:sz="8" w:space="0" w:color="000000"/>
            </w:tcBorders>
            <w:shd w:val="clear" w:color="auto" w:fill="D9D9D9"/>
            <w:noWrap/>
            <w:vAlign w:val="center"/>
            <w:hideMark/>
          </w:tcPr>
          <w:p>
            <w:pPr>
              <w:keepNext/>
              <w:rPr>
                <w:rFonts w:cs="Arial"/>
                <w:b/>
                <w:noProof/>
                <w:color w:val="000000"/>
                <w:sz w:val="16"/>
              </w:rPr>
            </w:pPr>
            <w:r>
              <w:rPr>
                <w:rFonts w:cs="Arial"/>
                <w:b/>
                <w:noProof/>
                <w:color w:val="000000"/>
                <w:sz w:val="16"/>
              </w:rPr>
              <w:t>Total</w:t>
            </w:r>
            <w:r>
              <w:rPr>
                <w:rFonts w:cs="Calibri"/>
                <w:b/>
                <w:noProof/>
                <w:color w:val="000000"/>
                <w:sz w:val="16"/>
              </w:rPr>
              <w:t> (</w:t>
            </w:r>
            <w:r>
              <w:rPr>
                <w:rFonts w:cs="Arial"/>
                <w:b/>
                <w:noProof/>
                <w:color w:val="000000"/>
                <w:sz w:val="16"/>
              </w:rPr>
              <w:t>*)</w:t>
            </w:r>
          </w:p>
        </w:tc>
        <w:tc>
          <w:tcPr>
            <w:tcW w:w="968" w:type="dxa"/>
            <w:tcBorders>
              <w:top w:val="nil"/>
              <w:left w:val="nil"/>
              <w:bottom w:val="single" w:sz="8" w:space="0" w:color="auto"/>
              <w:right w:val="single" w:sz="8" w:space="0" w:color="auto"/>
            </w:tcBorders>
            <w:shd w:val="clear" w:color="auto" w:fill="D9D9D9"/>
            <w:vAlign w:val="center"/>
            <w:hideMark/>
          </w:tcPr>
          <w:p>
            <w:pPr>
              <w:keepNext/>
              <w:jc w:val="right"/>
              <w:rPr>
                <w:rFonts w:cs="Arial"/>
                <w:b/>
                <w:noProof/>
                <w:color w:val="000000"/>
                <w:sz w:val="16"/>
                <w:szCs w:val="16"/>
              </w:rPr>
            </w:pPr>
            <w:r>
              <w:rPr>
                <w:rFonts w:cs="Arial"/>
                <w:b/>
                <w:bCs/>
                <w:noProof/>
                <w:color w:val="000000"/>
                <w:sz w:val="16"/>
                <w:szCs w:val="16"/>
              </w:rPr>
              <w:t xml:space="preserve">  695 </w:t>
            </w:r>
          </w:p>
        </w:tc>
        <w:tc>
          <w:tcPr>
            <w:tcW w:w="968" w:type="dxa"/>
            <w:tcBorders>
              <w:top w:val="nil"/>
              <w:left w:val="nil"/>
              <w:bottom w:val="single" w:sz="8" w:space="0" w:color="auto"/>
              <w:right w:val="single" w:sz="8" w:space="0" w:color="auto"/>
            </w:tcBorders>
            <w:shd w:val="clear" w:color="auto" w:fill="D9D9D9"/>
            <w:vAlign w:val="center"/>
            <w:hideMark/>
          </w:tcPr>
          <w:p>
            <w:pPr>
              <w:keepNext/>
              <w:jc w:val="right"/>
              <w:rPr>
                <w:rFonts w:cs="Arial"/>
                <w:b/>
                <w:noProof/>
                <w:color w:val="000000"/>
                <w:sz w:val="16"/>
                <w:szCs w:val="16"/>
              </w:rPr>
            </w:pPr>
            <w:r>
              <w:rPr>
                <w:rFonts w:cs="Arial"/>
                <w:b/>
                <w:bCs/>
                <w:noProof/>
                <w:color w:val="000000"/>
                <w:sz w:val="16"/>
                <w:szCs w:val="16"/>
              </w:rPr>
              <w:t xml:space="preserve">  941 </w:t>
            </w:r>
          </w:p>
        </w:tc>
        <w:tc>
          <w:tcPr>
            <w:tcW w:w="968" w:type="dxa"/>
            <w:tcBorders>
              <w:top w:val="nil"/>
              <w:left w:val="nil"/>
              <w:bottom w:val="single" w:sz="8" w:space="0" w:color="auto"/>
              <w:right w:val="single" w:sz="8" w:space="0" w:color="auto"/>
            </w:tcBorders>
            <w:shd w:val="clear" w:color="auto" w:fill="D9D9D9"/>
            <w:vAlign w:val="center"/>
            <w:hideMark/>
          </w:tcPr>
          <w:p>
            <w:pPr>
              <w:keepNext/>
              <w:jc w:val="right"/>
              <w:rPr>
                <w:rFonts w:cs="Arial"/>
                <w:b/>
                <w:noProof/>
                <w:color w:val="000000"/>
                <w:sz w:val="16"/>
                <w:szCs w:val="16"/>
              </w:rPr>
            </w:pPr>
            <w:r>
              <w:rPr>
                <w:rFonts w:cs="Arial"/>
                <w:b/>
                <w:bCs/>
                <w:noProof/>
                <w:color w:val="000000"/>
                <w:sz w:val="16"/>
                <w:szCs w:val="16"/>
              </w:rPr>
              <w:t xml:space="preserve">  838 </w:t>
            </w:r>
          </w:p>
        </w:tc>
        <w:tc>
          <w:tcPr>
            <w:tcW w:w="968" w:type="dxa"/>
            <w:tcBorders>
              <w:top w:val="nil"/>
              <w:left w:val="nil"/>
              <w:bottom w:val="single" w:sz="8" w:space="0" w:color="auto"/>
              <w:right w:val="single" w:sz="8" w:space="0" w:color="000000"/>
            </w:tcBorders>
            <w:shd w:val="clear" w:color="auto" w:fill="D9D9D9"/>
            <w:vAlign w:val="center"/>
            <w:hideMark/>
          </w:tcPr>
          <w:p>
            <w:pPr>
              <w:keepNext/>
              <w:jc w:val="right"/>
              <w:rPr>
                <w:rFonts w:cs="Arial"/>
                <w:b/>
                <w:noProof/>
                <w:color w:val="000000"/>
                <w:sz w:val="16"/>
                <w:szCs w:val="16"/>
              </w:rPr>
            </w:pPr>
            <w:r>
              <w:rPr>
                <w:rFonts w:cs="Arial"/>
                <w:b/>
                <w:bCs/>
                <w:noProof/>
                <w:color w:val="000000"/>
                <w:sz w:val="16"/>
                <w:szCs w:val="16"/>
              </w:rPr>
              <w:t xml:space="preserve">  767 </w:t>
            </w:r>
          </w:p>
        </w:tc>
        <w:tc>
          <w:tcPr>
            <w:tcW w:w="968" w:type="dxa"/>
            <w:tcBorders>
              <w:top w:val="nil"/>
              <w:left w:val="nil"/>
              <w:bottom w:val="single" w:sz="8" w:space="0" w:color="auto"/>
              <w:right w:val="single" w:sz="8" w:space="0" w:color="auto"/>
            </w:tcBorders>
            <w:shd w:val="clear" w:color="auto" w:fill="D9D9D9"/>
            <w:vAlign w:val="center"/>
            <w:hideMark/>
          </w:tcPr>
          <w:p>
            <w:pPr>
              <w:keepNext/>
              <w:jc w:val="right"/>
              <w:rPr>
                <w:rFonts w:cs="Arial"/>
                <w:b/>
                <w:noProof/>
                <w:color w:val="000000"/>
                <w:sz w:val="16"/>
                <w:szCs w:val="16"/>
              </w:rPr>
            </w:pPr>
            <w:r>
              <w:rPr>
                <w:rFonts w:cs="Arial"/>
                <w:b/>
                <w:bCs/>
                <w:noProof/>
                <w:color w:val="000000"/>
                <w:sz w:val="16"/>
                <w:szCs w:val="16"/>
              </w:rPr>
              <w:t xml:space="preserve">  833 </w:t>
            </w:r>
          </w:p>
        </w:tc>
        <w:tc>
          <w:tcPr>
            <w:tcW w:w="968" w:type="dxa"/>
            <w:tcBorders>
              <w:top w:val="nil"/>
              <w:left w:val="nil"/>
              <w:bottom w:val="single" w:sz="8" w:space="0" w:color="auto"/>
              <w:right w:val="single" w:sz="8" w:space="0" w:color="auto"/>
            </w:tcBorders>
            <w:shd w:val="clear" w:color="auto" w:fill="D9D9D9"/>
            <w:vAlign w:val="center"/>
            <w:hideMark/>
          </w:tcPr>
          <w:p>
            <w:pPr>
              <w:keepNext/>
              <w:jc w:val="right"/>
              <w:rPr>
                <w:rFonts w:cs="Arial"/>
                <w:b/>
                <w:noProof/>
                <w:color w:val="000000"/>
                <w:sz w:val="16"/>
                <w:szCs w:val="16"/>
              </w:rPr>
            </w:pPr>
            <w:r>
              <w:rPr>
                <w:rFonts w:cs="Arial"/>
                <w:b/>
                <w:bCs/>
                <w:noProof/>
                <w:color w:val="000000"/>
                <w:sz w:val="16"/>
                <w:szCs w:val="16"/>
              </w:rPr>
              <w:t xml:space="preserve">  933 </w:t>
            </w:r>
          </w:p>
        </w:tc>
        <w:tc>
          <w:tcPr>
            <w:tcW w:w="968" w:type="dxa"/>
            <w:tcBorders>
              <w:top w:val="nil"/>
              <w:left w:val="nil"/>
              <w:bottom w:val="single" w:sz="8" w:space="0" w:color="auto"/>
              <w:right w:val="single" w:sz="8" w:space="0" w:color="000000"/>
            </w:tcBorders>
            <w:shd w:val="clear" w:color="auto" w:fill="D9D9D9"/>
            <w:vAlign w:val="center"/>
            <w:hideMark/>
          </w:tcPr>
          <w:p>
            <w:pPr>
              <w:keepNext/>
              <w:jc w:val="right"/>
              <w:rPr>
                <w:rFonts w:cs="Arial"/>
                <w:b/>
                <w:noProof/>
                <w:color w:val="000000"/>
                <w:sz w:val="16"/>
                <w:szCs w:val="16"/>
              </w:rPr>
            </w:pPr>
            <w:r>
              <w:rPr>
                <w:rFonts w:cs="Arial"/>
                <w:b/>
                <w:bCs/>
                <w:noProof/>
                <w:color w:val="000000"/>
                <w:sz w:val="16"/>
                <w:szCs w:val="16"/>
              </w:rPr>
              <w:t xml:space="preserve">  757 </w:t>
            </w:r>
          </w:p>
        </w:tc>
      </w:tr>
    </w:tbl>
    <w:p>
      <w:pPr>
        <w:pStyle w:val="Source-Table-Chart-PhotoCaption"/>
        <w:spacing w:after="240"/>
        <w:rPr>
          <w:noProof/>
        </w:rPr>
      </w:pPr>
      <w:r>
        <w:rPr>
          <w:rStyle w:val="italics"/>
          <w:noProof/>
        </w:rPr>
        <w:t>Table 1.2.3:</w:t>
      </w:r>
      <w:r>
        <w:rPr>
          <w:noProof/>
        </w:rPr>
        <w:t xml:space="preserve"> Recoveries confirmed 2012-2018 in</w:t>
      </w:r>
      <w:r>
        <w:rPr>
          <w:noProof/>
          <w:sz w:val="20"/>
        </w:rPr>
        <w:t xml:space="preserve"> </w:t>
      </w:r>
      <w:r>
        <w:rPr>
          <w:noProof/>
          <w:sz w:val="18"/>
          <w:szCs w:val="18"/>
        </w:rPr>
        <w:t>EUR</w:t>
      </w:r>
      <w:r>
        <w:rPr>
          <w:rStyle w:val="Bodytext2Bold"/>
          <w:rFonts w:ascii="Calibri" w:eastAsia="Calibri" w:hAnsi="Calibri" w:cs="Calibri"/>
          <w:noProof/>
          <w:sz w:val="20"/>
          <w:szCs w:val="20"/>
          <w:lang w:val="en-GB"/>
        </w:rPr>
        <w:t> </w:t>
      </w:r>
      <w:r>
        <w:rPr>
          <w:noProof/>
        </w:rPr>
        <w:t>million.</w:t>
      </w:r>
    </w:p>
    <w:tbl>
      <w:tblPr>
        <w:tblW w:w="9070" w:type="dxa"/>
        <w:jc w:val="center"/>
        <w:tblLook w:val="04A0" w:firstRow="1" w:lastRow="0" w:firstColumn="1" w:lastColumn="0" w:noHBand="0" w:noVBand="1"/>
      </w:tblPr>
      <w:tblGrid>
        <w:gridCol w:w="2349"/>
        <w:gridCol w:w="979"/>
        <w:gridCol w:w="979"/>
        <w:gridCol w:w="979"/>
        <w:gridCol w:w="846"/>
        <w:gridCol w:w="979"/>
        <w:gridCol w:w="979"/>
        <w:gridCol w:w="980"/>
      </w:tblGrid>
      <w:tr>
        <w:trPr>
          <w:trHeight w:val="295"/>
          <w:jc w:val="center"/>
        </w:trPr>
        <w:tc>
          <w:tcPr>
            <w:tcW w:w="2349" w:type="dxa"/>
            <w:tcBorders>
              <w:top w:val="single" w:sz="8" w:space="0" w:color="auto"/>
              <w:left w:val="single" w:sz="8" w:space="0" w:color="auto"/>
              <w:bottom w:val="nil"/>
              <w:right w:val="nil"/>
            </w:tcBorders>
            <w:shd w:val="clear" w:color="auto" w:fill="E48C32"/>
            <w:noWrap/>
            <w:vAlign w:val="center"/>
            <w:hideMark/>
          </w:tcPr>
          <w:p>
            <w:pPr>
              <w:keepNext/>
              <w:rPr>
                <w:rFonts w:cs="Arial"/>
                <w:b/>
                <w:noProof/>
                <w:color w:val="FFFFFF"/>
                <w:sz w:val="16"/>
              </w:rPr>
            </w:pPr>
            <w:bookmarkStart w:id="133" w:name="_Toc399420062"/>
            <w:bookmarkStart w:id="134" w:name="_Toc365022342"/>
            <w:bookmarkEnd w:id="132"/>
            <w:r>
              <w:rPr>
                <w:rFonts w:cs="Arial"/>
                <w:b/>
                <w:noProof/>
                <w:color w:val="FFFFFF"/>
                <w:sz w:val="16"/>
              </w:rPr>
              <w:t> </w:t>
            </w:r>
          </w:p>
        </w:tc>
        <w:tc>
          <w:tcPr>
            <w:tcW w:w="6854" w:type="dxa"/>
            <w:gridSpan w:val="7"/>
            <w:vMerge w:val="restart"/>
            <w:tcBorders>
              <w:top w:val="single" w:sz="8" w:space="0" w:color="auto"/>
              <w:left w:val="single" w:sz="8" w:space="0" w:color="auto"/>
              <w:bottom w:val="single" w:sz="4" w:space="0" w:color="auto"/>
              <w:right w:val="single" w:sz="8" w:space="0" w:color="auto"/>
            </w:tcBorders>
            <w:shd w:val="clear" w:color="auto" w:fill="E48C32"/>
            <w:vAlign w:val="center"/>
            <w:hideMark/>
          </w:tcPr>
          <w:p>
            <w:pPr>
              <w:keepNext/>
              <w:jc w:val="center"/>
              <w:rPr>
                <w:rFonts w:cs="Arial"/>
                <w:b/>
                <w:noProof/>
                <w:color w:val="FFFFFF"/>
                <w:sz w:val="16"/>
              </w:rPr>
            </w:pPr>
            <w:r>
              <w:rPr>
                <w:rFonts w:cs="Arial"/>
                <w:b/>
                <w:noProof/>
                <w:color w:val="FFFFFF"/>
                <w:sz w:val="16"/>
              </w:rPr>
              <w:t>Years</w:t>
            </w:r>
          </w:p>
        </w:tc>
      </w:tr>
      <w:tr>
        <w:trPr>
          <w:trHeight w:val="310"/>
          <w:jc w:val="center"/>
        </w:trPr>
        <w:tc>
          <w:tcPr>
            <w:tcW w:w="2349" w:type="dxa"/>
            <w:tcBorders>
              <w:top w:val="nil"/>
              <w:left w:val="single" w:sz="8" w:space="0" w:color="auto"/>
              <w:bottom w:val="nil"/>
              <w:right w:val="nil"/>
            </w:tcBorders>
            <w:shd w:val="clear" w:color="auto" w:fill="E48C32"/>
            <w:noWrap/>
            <w:vAlign w:val="center"/>
            <w:hideMark/>
          </w:tcPr>
          <w:p>
            <w:pPr>
              <w:keepNext/>
              <w:rPr>
                <w:rFonts w:cs="Arial"/>
                <w:b/>
                <w:noProof/>
                <w:color w:val="FFFFFF"/>
                <w:sz w:val="16"/>
              </w:rPr>
            </w:pPr>
            <w:r>
              <w:rPr>
                <w:rFonts w:cs="Arial"/>
                <w:b/>
                <w:noProof/>
                <w:color w:val="FFFFFF"/>
                <w:sz w:val="16"/>
              </w:rPr>
              <w:t>Recoveries</w:t>
            </w:r>
          </w:p>
        </w:tc>
        <w:tc>
          <w:tcPr>
            <w:tcW w:w="6854" w:type="dxa"/>
            <w:gridSpan w:val="7"/>
            <w:vMerge/>
            <w:tcBorders>
              <w:top w:val="single" w:sz="8" w:space="0" w:color="000000"/>
              <w:left w:val="single" w:sz="8" w:space="0" w:color="auto"/>
              <w:bottom w:val="single" w:sz="8" w:space="0" w:color="auto"/>
              <w:right w:val="single" w:sz="8" w:space="0" w:color="auto"/>
            </w:tcBorders>
            <w:shd w:val="clear" w:color="auto" w:fill="E48C32"/>
            <w:vAlign w:val="center"/>
            <w:hideMark/>
          </w:tcPr>
          <w:p>
            <w:pPr>
              <w:keepNext/>
              <w:rPr>
                <w:rFonts w:cs="Arial"/>
                <w:b/>
                <w:noProof/>
                <w:color w:val="FFFFFF"/>
                <w:sz w:val="16"/>
              </w:rPr>
            </w:pPr>
          </w:p>
        </w:tc>
      </w:tr>
      <w:tr>
        <w:trPr>
          <w:trHeight w:val="310"/>
          <w:jc w:val="center"/>
        </w:trPr>
        <w:tc>
          <w:tcPr>
            <w:tcW w:w="2349" w:type="dxa"/>
            <w:tcBorders>
              <w:top w:val="nil"/>
              <w:left w:val="single" w:sz="8" w:space="0" w:color="auto"/>
              <w:bottom w:val="single" w:sz="8" w:space="0" w:color="auto"/>
              <w:right w:val="single" w:sz="8" w:space="0" w:color="000000"/>
            </w:tcBorders>
            <w:shd w:val="clear" w:color="auto" w:fill="E48C32"/>
            <w:noWrap/>
            <w:vAlign w:val="center"/>
            <w:hideMark/>
          </w:tcPr>
          <w:p>
            <w:pPr>
              <w:keepNext/>
              <w:rPr>
                <w:rFonts w:cs="Arial"/>
                <w:b/>
                <w:noProof/>
                <w:color w:val="FFFFFF"/>
                <w:sz w:val="16"/>
              </w:rPr>
            </w:pPr>
            <w:r>
              <w:rPr>
                <w:rFonts w:cs="Calibri"/>
                <w:b/>
                <w:noProof/>
                <w:color w:val="FFFFFF"/>
                <w:sz w:val="16"/>
              </w:rPr>
              <w:t> </w:t>
            </w:r>
          </w:p>
        </w:tc>
        <w:tc>
          <w:tcPr>
            <w:tcW w:w="979" w:type="dxa"/>
            <w:tcBorders>
              <w:top w:val="single" w:sz="8" w:space="0" w:color="auto"/>
              <w:left w:val="nil"/>
              <w:bottom w:val="single" w:sz="8" w:space="0" w:color="auto"/>
              <w:right w:val="single" w:sz="8" w:space="0" w:color="auto"/>
            </w:tcBorders>
            <w:shd w:val="clear" w:color="auto" w:fill="E48C32"/>
            <w:vAlign w:val="center"/>
            <w:hideMark/>
          </w:tcPr>
          <w:p>
            <w:pPr>
              <w:keepNext/>
              <w:jc w:val="right"/>
              <w:rPr>
                <w:rFonts w:cs="Arial"/>
                <w:b/>
                <w:noProof/>
                <w:color w:val="FFFFFF"/>
                <w:sz w:val="16"/>
                <w:szCs w:val="16"/>
              </w:rPr>
            </w:pPr>
            <w:r>
              <w:rPr>
                <w:rFonts w:cs="Arial"/>
                <w:b/>
                <w:bCs/>
                <w:noProof/>
                <w:color w:val="FFFFFF"/>
                <w:sz w:val="16"/>
                <w:szCs w:val="16"/>
              </w:rPr>
              <w:t>2012</w:t>
            </w:r>
          </w:p>
        </w:tc>
        <w:tc>
          <w:tcPr>
            <w:tcW w:w="979" w:type="dxa"/>
            <w:tcBorders>
              <w:top w:val="single" w:sz="8" w:space="0" w:color="auto"/>
              <w:left w:val="nil"/>
              <w:bottom w:val="single" w:sz="8" w:space="0" w:color="auto"/>
              <w:right w:val="single" w:sz="8" w:space="0" w:color="auto"/>
            </w:tcBorders>
            <w:shd w:val="clear" w:color="auto" w:fill="E48C32"/>
            <w:vAlign w:val="center"/>
            <w:hideMark/>
          </w:tcPr>
          <w:p>
            <w:pPr>
              <w:keepNext/>
              <w:jc w:val="right"/>
              <w:rPr>
                <w:rFonts w:cs="Arial"/>
                <w:b/>
                <w:noProof/>
                <w:color w:val="FFFFFF"/>
                <w:sz w:val="16"/>
                <w:szCs w:val="16"/>
              </w:rPr>
            </w:pPr>
            <w:r>
              <w:rPr>
                <w:rFonts w:cs="Arial"/>
                <w:b/>
                <w:bCs/>
                <w:noProof/>
                <w:color w:val="FFFFFF"/>
                <w:sz w:val="16"/>
                <w:szCs w:val="16"/>
              </w:rPr>
              <w:t>2013</w:t>
            </w:r>
          </w:p>
        </w:tc>
        <w:tc>
          <w:tcPr>
            <w:tcW w:w="979" w:type="dxa"/>
            <w:tcBorders>
              <w:top w:val="single" w:sz="8" w:space="0" w:color="auto"/>
              <w:left w:val="nil"/>
              <w:bottom w:val="single" w:sz="8" w:space="0" w:color="auto"/>
              <w:right w:val="single" w:sz="8" w:space="0" w:color="auto"/>
            </w:tcBorders>
            <w:shd w:val="clear" w:color="auto" w:fill="E48C32"/>
            <w:vAlign w:val="center"/>
            <w:hideMark/>
          </w:tcPr>
          <w:p>
            <w:pPr>
              <w:keepNext/>
              <w:jc w:val="right"/>
              <w:rPr>
                <w:rFonts w:cs="Arial"/>
                <w:b/>
                <w:noProof/>
                <w:color w:val="FFFFFF"/>
                <w:sz w:val="16"/>
                <w:szCs w:val="16"/>
              </w:rPr>
            </w:pPr>
            <w:r>
              <w:rPr>
                <w:rFonts w:cs="Arial"/>
                <w:b/>
                <w:bCs/>
                <w:noProof/>
                <w:color w:val="FFFFFF"/>
                <w:sz w:val="16"/>
                <w:szCs w:val="16"/>
              </w:rPr>
              <w:t>2014</w:t>
            </w:r>
          </w:p>
        </w:tc>
        <w:tc>
          <w:tcPr>
            <w:tcW w:w="979" w:type="dxa"/>
            <w:tcBorders>
              <w:top w:val="single" w:sz="8" w:space="0" w:color="auto"/>
              <w:left w:val="nil"/>
              <w:bottom w:val="single" w:sz="8" w:space="0" w:color="auto"/>
              <w:right w:val="single" w:sz="8" w:space="0" w:color="000000"/>
            </w:tcBorders>
            <w:shd w:val="clear" w:color="auto" w:fill="E48C32"/>
            <w:vAlign w:val="center"/>
            <w:hideMark/>
          </w:tcPr>
          <w:p>
            <w:pPr>
              <w:keepNext/>
              <w:jc w:val="right"/>
              <w:rPr>
                <w:rFonts w:cs="Arial"/>
                <w:b/>
                <w:noProof/>
                <w:color w:val="FFFFFF"/>
                <w:sz w:val="16"/>
                <w:szCs w:val="16"/>
              </w:rPr>
            </w:pPr>
            <w:r>
              <w:rPr>
                <w:rFonts w:cs="Arial"/>
                <w:b/>
                <w:bCs/>
                <w:noProof/>
                <w:color w:val="FFFFFF"/>
                <w:sz w:val="16"/>
                <w:szCs w:val="16"/>
              </w:rPr>
              <w:t>2015</w:t>
            </w:r>
          </w:p>
        </w:tc>
        <w:tc>
          <w:tcPr>
            <w:tcW w:w="979" w:type="dxa"/>
            <w:tcBorders>
              <w:top w:val="single" w:sz="8" w:space="0" w:color="auto"/>
              <w:left w:val="nil"/>
              <w:bottom w:val="single" w:sz="8" w:space="0" w:color="auto"/>
              <w:right w:val="single" w:sz="8" w:space="0" w:color="auto"/>
            </w:tcBorders>
            <w:shd w:val="clear" w:color="auto" w:fill="E48C32"/>
            <w:vAlign w:val="center"/>
            <w:hideMark/>
          </w:tcPr>
          <w:p>
            <w:pPr>
              <w:keepNext/>
              <w:jc w:val="right"/>
              <w:rPr>
                <w:rFonts w:cs="Arial"/>
                <w:b/>
                <w:noProof/>
                <w:color w:val="FFFFFF"/>
                <w:sz w:val="16"/>
                <w:szCs w:val="16"/>
              </w:rPr>
            </w:pPr>
            <w:r>
              <w:rPr>
                <w:rFonts w:cs="Arial"/>
                <w:b/>
                <w:bCs/>
                <w:noProof/>
                <w:color w:val="FFFFFF"/>
                <w:sz w:val="16"/>
                <w:szCs w:val="16"/>
              </w:rPr>
              <w:t>2016</w:t>
            </w:r>
          </w:p>
        </w:tc>
        <w:tc>
          <w:tcPr>
            <w:tcW w:w="979" w:type="dxa"/>
            <w:tcBorders>
              <w:top w:val="single" w:sz="8" w:space="0" w:color="auto"/>
              <w:left w:val="nil"/>
              <w:bottom w:val="single" w:sz="8" w:space="0" w:color="auto"/>
              <w:right w:val="single" w:sz="8" w:space="0" w:color="auto"/>
            </w:tcBorders>
            <w:shd w:val="clear" w:color="auto" w:fill="E48C32"/>
            <w:vAlign w:val="center"/>
            <w:hideMark/>
          </w:tcPr>
          <w:p>
            <w:pPr>
              <w:keepNext/>
              <w:jc w:val="right"/>
              <w:rPr>
                <w:rFonts w:cs="Arial"/>
                <w:b/>
                <w:noProof/>
                <w:color w:val="FFFFFF"/>
                <w:sz w:val="16"/>
                <w:szCs w:val="16"/>
              </w:rPr>
            </w:pPr>
            <w:r>
              <w:rPr>
                <w:rFonts w:cs="Arial"/>
                <w:b/>
                <w:bCs/>
                <w:noProof/>
                <w:color w:val="FFFFFF"/>
                <w:sz w:val="16"/>
                <w:szCs w:val="16"/>
              </w:rPr>
              <w:t>2017</w:t>
            </w:r>
          </w:p>
        </w:tc>
        <w:tc>
          <w:tcPr>
            <w:tcW w:w="980" w:type="dxa"/>
            <w:tcBorders>
              <w:top w:val="single" w:sz="8" w:space="0" w:color="auto"/>
              <w:left w:val="nil"/>
              <w:bottom w:val="single" w:sz="8" w:space="0" w:color="auto"/>
              <w:right w:val="single" w:sz="8" w:space="0" w:color="auto"/>
            </w:tcBorders>
            <w:shd w:val="clear" w:color="auto" w:fill="E48C32"/>
            <w:vAlign w:val="center"/>
            <w:hideMark/>
          </w:tcPr>
          <w:p>
            <w:pPr>
              <w:keepNext/>
              <w:jc w:val="right"/>
              <w:rPr>
                <w:rFonts w:cs="Arial"/>
                <w:b/>
                <w:noProof/>
                <w:color w:val="FFFFFF"/>
                <w:sz w:val="16"/>
                <w:szCs w:val="16"/>
              </w:rPr>
            </w:pPr>
            <w:r>
              <w:rPr>
                <w:rFonts w:cs="Arial"/>
                <w:b/>
                <w:bCs/>
                <w:noProof/>
                <w:color w:val="FFFFFF"/>
                <w:sz w:val="16"/>
                <w:szCs w:val="16"/>
              </w:rPr>
              <w:t>2018</w:t>
            </w:r>
          </w:p>
        </w:tc>
      </w:tr>
      <w:tr>
        <w:trPr>
          <w:trHeight w:val="295"/>
          <w:jc w:val="center"/>
        </w:trPr>
        <w:tc>
          <w:tcPr>
            <w:tcW w:w="2349" w:type="dxa"/>
            <w:tcBorders>
              <w:top w:val="nil"/>
              <w:left w:val="single" w:sz="8" w:space="0" w:color="auto"/>
              <w:bottom w:val="nil"/>
              <w:right w:val="single" w:sz="8" w:space="0" w:color="000000"/>
            </w:tcBorders>
            <w:shd w:val="clear" w:color="auto" w:fill="auto"/>
            <w:noWrap/>
            <w:vAlign w:val="center"/>
            <w:hideMark/>
          </w:tcPr>
          <w:p>
            <w:pPr>
              <w:keepNext/>
              <w:rPr>
                <w:rFonts w:cs="Arial"/>
                <w:noProof/>
                <w:color w:val="000000"/>
                <w:sz w:val="16"/>
              </w:rPr>
            </w:pPr>
            <w:r>
              <w:rPr>
                <w:rFonts w:cs="Arial"/>
                <w:noProof/>
                <w:color w:val="000000"/>
                <w:sz w:val="16"/>
              </w:rPr>
              <w:t>Agricultural policy:</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Calibri"/>
                <w:noProof/>
                <w:color w:val="000000"/>
                <w:sz w:val="16"/>
                <w:szCs w:val="16"/>
              </w:rPr>
              <w:t> </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Calibri"/>
                <w:noProof/>
                <w:color w:val="000000"/>
                <w:sz w:val="16"/>
                <w:szCs w:val="16"/>
              </w:rPr>
              <w:t> </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Calibri"/>
                <w:noProof/>
                <w:color w:val="000000"/>
                <w:sz w:val="16"/>
                <w:szCs w:val="16"/>
              </w:rPr>
              <w:t> </w:t>
            </w:r>
          </w:p>
        </w:tc>
        <w:tc>
          <w:tcPr>
            <w:tcW w:w="979" w:type="dxa"/>
            <w:tcBorders>
              <w:top w:val="nil"/>
              <w:left w:val="nil"/>
              <w:bottom w:val="nil"/>
              <w:right w:val="single" w:sz="8" w:space="0" w:color="000000"/>
            </w:tcBorders>
            <w:shd w:val="clear" w:color="auto" w:fill="auto"/>
            <w:vAlign w:val="center"/>
            <w:hideMark/>
          </w:tcPr>
          <w:p>
            <w:pPr>
              <w:keepNext/>
              <w:jc w:val="right"/>
              <w:rPr>
                <w:rFonts w:cs="Arial"/>
                <w:noProof/>
                <w:color w:val="000000"/>
                <w:sz w:val="16"/>
                <w:szCs w:val="16"/>
              </w:rPr>
            </w:pPr>
            <w:r>
              <w:rPr>
                <w:rFonts w:cs="Calibri"/>
                <w:noProof/>
                <w:color w:val="000000"/>
                <w:sz w:val="16"/>
                <w:szCs w:val="16"/>
              </w:rPr>
              <w:t> </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Calibri"/>
                <w:noProof/>
                <w:color w:val="000000"/>
                <w:sz w:val="16"/>
                <w:szCs w:val="16"/>
              </w:rPr>
              <w:t> </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Calibri"/>
                <w:noProof/>
                <w:color w:val="000000"/>
                <w:sz w:val="16"/>
                <w:szCs w:val="16"/>
              </w:rPr>
              <w:t> </w:t>
            </w:r>
          </w:p>
        </w:tc>
        <w:tc>
          <w:tcPr>
            <w:tcW w:w="980"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Calibri"/>
                <w:noProof/>
                <w:color w:val="000000"/>
                <w:sz w:val="16"/>
                <w:szCs w:val="16"/>
              </w:rPr>
              <w:t> </w:t>
            </w:r>
          </w:p>
        </w:tc>
      </w:tr>
      <w:tr>
        <w:trPr>
          <w:trHeight w:val="295"/>
          <w:jc w:val="center"/>
        </w:trPr>
        <w:tc>
          <w:tcPr>
            <w:tcW w:w="2349" w:type="dxa"/>
            <w:tcBorders>
              <w:top w:val="nil"/>
              <w:left w:val="single" w:sz="8" w:space="0" w:color="auto"/>
              <w:bottom w:val="nil"/>
              <w:right w:val="single" w:sz="8" w:space="0" w:color="000000"/>
            </w:tcBorders>
            <w:shd w:val="clear" w:color="auto" w:fill="auto"/>
            <w:noWrap/>
            <w:vAlign w:val="center"/>
            <w:hideMark/>
          </w:tcPr>
          <w:p>
            <w:pPr>
              <w:keepNext/>
              <w:ind w:firstLineChars="100" w:firstLine="160"/>
              <w:rPr>
                <w:rFonts w:cs="Arial"/>
                <w:i/>
                <w:noProof/>
                <w:color w:val="000000"/>
                <w:sz w:val="16"/>
              </w:rPr>
            </w:pPr>
            <w:r>
              <w:rPr>
                <w:rFonts w:cs="Arial"/>
                <w:i/>
                <w:noProof/>
                <w:color w:val="000000"/>
                <w:sz w:val="16"/>
              </w:rPr>
              <w:t>European Agricultural Guarantee Fund</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161</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155</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150</w:t>
            </w:r>
          </w:p>
        </w:tc>
        <w:tc>
          <w:tcPr>
            <w:tcW w:w="979" w:type="dxa"/>
            <w:tcBorders>
              <w:top w:val="nil"/>
              <w:left w:val="nil"/>
              <w:bottom w:val="nil"/>
              <w:right w:val="single" w:sz="8" w:space="0" w:color="000000"/>
            </w:tcBorders>
            <w:shd w:val="clear" w:color="auto" w:fill="auto"/>
            <w:vAlign w:val="center"/>
            <w:hideMark/>
          </w:tcPr>
          <w:p>
            <w:pPr>
              <w:keepNext/>
              <w:jc w:val="right"/>
              <w:rPr>
                <w:rFonts w:cs="Arial"/>
                <w:noProof/>
                <w:color w:val="000000"/>
                <w:sz w:val="16"/>
                <w:szCs w:val="16"/>
              </w:rPr>
            </w:pPr>
            <w:r>
              <w:rPr>
                <w:rFonts w:cs="Arial"/>
                <w:noProof/>
                <w:color w:val="000000"/>
                <w:sz w:val="16"/>
                <w:szCs w:val="16"/>
              </w:rPr>
              <w:t xml:space="preserve">155 </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118 </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131 </w:t>
            </w:r>
          </w:p>
        </w:tc>
        <w:tc>
          <w:tcPr>
            <w:tcW w:w="980"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132 </w:t>
            </w:r>
          </w:p>
        </w:tc>
      </w:tr>
      <w:tr>
        <w:trPr>
          <w:trHeight w:val="295"/>
          <w:jc w:val="center"/>
        </w:trPr>
        <w:tc>
          <w:tcPr>
            <w:tcW w:w="2349" w:type="dxa"/>
            <w:tcBorders>
              <w:top w:val="nil"/>
              <w:left w:val="single" w:sz="8" w:space="0" w:color="auto"/>
              <w:bottom w:val="nil"/>
              <w:right w:val="single" w:sz="8" w:space="0" w:color="000000"/>
            </w:tcBorders>
            <w:shd w:val="clear" w:color="auto" w:fill="auto"/>
            <w:noWrap/>
            <w:vAlign w:val="center"/>
            <w:hideMark/>
          </w:tcPr>
          <w:p>
            <w:pPr>
              <w:keepNext/>
              <w:ind w:firstLineChars="100" w:firstLine="160"/>
              <w:rPr>
                <w:rFonts w:cs="Arial"/>
                <w:i/>
                <w:noProof/>
                <w:color w:val="000000"/>
                <w:sz w:val="16"/>
              </w:rPr>
            </w:pPr>
            <w:r>
              <w:rPr>
                <w:rFonts w:cs="Arial"/>
                <w:i/>
                <w:noProof/>
                <w:color w:val="000000"/>
                <w:sz w:val="16"/>
              </w:rPr>
              <w:t>Rural development</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166</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129</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167</w:t>
            </w:r>
          </w:p>
        </w:tc>
        <w:tc>
          <w:tcPr>
            <w:tcW w:w="979" w:type="dxa"/>
            <w:tcBorders>
              <w:top w:val="nil"/>
              <w:left w:val="nil"/>
              <w:bottom w:val="nil"/>
              <w:right w:val="single" w:sz="8" w:space="0" w:color="000000"/>
            </w:tcBorders>
            <w:shd w:val="clear" w:color="auto" w:fill="auto"/>
            <w:vAlign w:val="center"/>
            <w:hideMark/>
          </w:tcPr>
          <w:p>
            <w:pPr>
              <w:keepNext/>
              <w:jc w:val="right"/>
              <w:rPr>
                <w:rFonts w:cs="Arial"/>
                <w:noProof/>
                <w:color w:val="000000"/>
                <w:sz w:val="16"/>
                <w:szCs w:val="16"/>
              </w:rPr>
            </w:pPr>
            <w:r>
              <w:rPr>
                <w:rFonts w:cs="Arial"/>
                <w:noProof/>
                <w:color w:val="000000"/>
                <w:sz w:val="16"/>
                <w:szCs w:val="16"/>
              </w:rPr>
              <w:t xml:space="preserve">152 </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43 </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84 </w:t>
            </w:r>
          </w:p>
        </w:tc>
        <w:tc>
          <w:tcPr>
            <w:tcW w:w="980"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315 </w:t>
            </w:r>
          </w:p>
        </w:tc>
      </w:tr>
      <w:tr>
        <w:trPr>
          <w:trHeight w:val="295"/>
          <w:jc w:val="center"/>
        </w:trPr>
        <w:tc>
          <w:tcPr>
            <w:tcW w:w="2349" w:type="dxa"/>
            <w:tcBorders>
              <w:top w:val="nil"/>
              <w:left w:val="single" w:sz="8" w:space="0" w:color="auto"/>
              <w:bottom w:val="nil"/>
              <w:right w:val="single" w:sz="8" w:space="0" w:color="000000"/>
            </w:tcBorders>
            <w:shd w:val="clear" w:color="auto" w:fill="auto"/>
            <w:noWrap/>
            <w:vAlign w:val="center"/>
            <w:hideMark/>
          </w:tcPr>
          <w:p>
            <w:pPr>
              <w:keepNext/>
              <w:rPr>
                <w:rFonts w:cs="Arial"/>
                <w:noProof/>
                <w:color w:val="000000"/>
                <w:sz w:val="16"/>
              </w:rPr>
            </w:pPr>
            <w:r>
              <w:rPr>
                <w:rFonts w:cs="Arial"/>
                <w:noProof/>
                <w:color w:val="000000"/>
                <w:sz w:val="16"/>
              </w:rPr>
              <w:t>Cohesion policy</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14</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81</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32</w:t>
            </w:r>
          </w:p>
        </w:tc>
        <w:tc>
          <w:tcPr>
            <w:tcW w:w="979" w:type="dxa"/>
            <w:tcBorders>
              <w:top w:val="nil"/>
              <w:left w:val="nil"/>
              <w:bottom w:val="nil"/>
              <w:right w:val="single" w:sz="8" w:space="0" w:color="000000"/>
            </w:tcBorders>
            <w:shd w:val="clear" w:color="auto" w:fill="auto"/>
            <w:vAlign w:val="center"/>
            <w:hideMark/>
          </w:tcPr>
          <w:p>
            <w:pPr>
              <w:keepNext/>
              <w:jc w:val="right"/>
              <w:rPr>
                <w:rFonts w:cs="Arial"/>
                <w:noProof/>
                <w:color w:val="000000"/>
                <w:sz w:val="16"/>
                <w:szCs w:val="16"/>
              </w:rPr>
            </w:pPr>
            <w:r>
              <w:rPr>
                <w:rFonts w:cs="Arial"/>
                <w:noProof/>
                <w:color w:val="000000"/>
                <w:sz w:val="16"/>
                <w:szCs w:val="16"/>
              </w:rPr>
              <w:t xml:space="preserve">7 </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12 </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2 </w:t>
            </w:r>
          </w:p>
        </w:tc>
        <w:tc>
          <w:tcPr>
            <w:tcW w:w="980"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3 </w:t>
            </w:r>
          </w:p>
        </w:tc>
      </w:tr>
      <w:tr>
        <w:trPr>
          <w:trHeight w:val="295"/>
          <w:jc w:val="center"/>
        </w:trPr>
        <w:tc>
          <w:tcPr>
            <w:tcW w:w="2349" w:type="dxa"/>
            <w:tcBorders>
              <w:top w:val="nil"/>
              <w:left w:val="single" w:sz="8" w:space="0" w:color="auto"/>
              <w:bottom w:val="nil"/>
              <w:right w:val="single" w:sz="8" w:space="0" w:color="000000"/>
            </w:tcBorders>
            <w:shd w:val="clear" w:color="auto" w:fill="auto"/>
            <w:noWrap/>
            <w:vAlign w:val="center"/>
            <w:hideMark/>
          </w:tcPr>
          <w:p>
            <w:pPr>
              <w:keepNext/>
              <w:rPr>
                <w:rFonts w:cs="Arial"/>
                <w:noProof/>
                <w:color w:val="000000"/>
                <w:sz w:val="16"/>
              </w:rPr>
            </w:pPr>
            <w:r>
              <w:rPr>
                <w:rFonts w:cs="Arial"/>
                <w:noProof/>
                <w:color w:val="000000"/>
                <w:sz w:val="16"/>
              </w:rPr>
              <w:t xml:space="preserve">Internal policies </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229</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398</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274</w:t>
            </w:r>
          </w:p>
        </w:tc>
        <w:tc>
          <w:tcPr>
            <w:tcW w:w="979" w:type="dxa"/>
            <w:tcBorders>
              <w:top w:val="nil"/>
              <w:left w:val="nil"/>
              <w:bottom w:val="nil"/>
              <w:right w:val="single" w:sz="8" w:space="0" w:color="000000"/>
            </w:tcBorders>
            <w:shd w:val="clear" w:color="auto" w:fill="auto"/>
            <w:vAlign w:val="center"/>
            <w:hideMark/>
          </w:tcPr>
          <w:p>
            <w:pPr>
              <w:keepNext/>
              <w:jc w:val="right"/>
              <w:rPr>
                <w:rFonts w:cs="Arial"/>
                <w:noProof/>
                <w:color w:val="000000"/>
                <w:sz w:val="16"/>
                <w:szCs w:val="16"/>
              </w:rPr>
            </w:pPr>
            <w:r>
              <w:rPr>
                <w:rFonts w:cs="Arial"/>
                <w:noProof/>
                <w:color w:val="000000"/>
                <w:sz w:val="16"/>
                <w:szCs w:val="16"/>
              </w:rPr>
              <w:t xml:space="preserve">293 </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313 </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374 </w:t>
            </w:r>
          </w:p>
        </w:tc>
        <w:tc>
          <w:tcPr>
            <w:tcW w:w="980"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241 </w:t>
            </w:r>
          </w:p>
        </w:tc>
      </w:tr>
      <w:tr>
        <w:trPr>
          <w:trHeight w:val="295"/>
          <w:jc w:val="center"/>
        </w:trPr>
        <w:tc>
          <w:tcPr>
            <w:tcW w:w="2349" w:type="dxa"/>
            <w:tcBorders>
              <w:top w:val="nil"/>
              <w:left w:val="single" w:sz="8" w:space="0" w:color="auto"/>
              <w:bottom w:val="nil"/>
              <w:right w:val="single" w:sz="8" w:space="0" w:color="000000"/>
            </w:tcBorders>
            <w:shd w:val="clear" w:color="auto" w:fill="auto"/>
            <w:noWrap/>
            <w:vAlign w:val="center"/>
            <w:hideMark/>
          </w:tcPr>
          <w:p>
            <w:pPr>
              <w:keepNext/>
              <w:rPr>
                <w:rFonts w:cs="Arial"/>
                <w:noProof/>
                <w:color w:val="000000"/>
                <w:sz w:val="16"/>
              </w:rPr>
            </w:pPr>
            <w:r>
              <w:rPr>
                <w:rFonts w:cs="Arial"/>
                <w:noProof/>
                <w:color w:val="000000"/>
                <w:sz w:val="16"/>
              </w:rPr>
              <w:t xml:space="preserve">External policies </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99</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93</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108</w:t>
            </w:r>
          </w:p>
        </w:tc>
        <w:tc>
          <w:tcPr>
            <w:tcW w:w="979" w:type="dxa"/>
            <w:tcBorders>
              <w:top w:val="nil"/>
              <w:left w:val="nil"/>
              <w:bottom w:val="nil"/>
              <w:right w:val="single" w:sz="8" w:space="0" w:color="000000"/>
            </w:tcBorders>
            <w:shd w:val="clear" w:color="auto" w:fill="auto"/>
            <w:vAlign w:val="center"/>
            <w:hideMark/>
          </w:tcPr>
          <w:p>
            <w:pPr>
              <w:keepNext/>
              <w:jc w:val="right"/>
              <w:rPr>
                <w:rFonts w:cs="Arial"/>
                <w:noProof/>
                <w:color w:val="000000"/>
                <w:sz w:val="16"/>
                <w:szCs w:val="16"/>
              </w:rPr>
            </w:pPr>
            <w:r>
              <w:rPr>
                <w:rFonts w:cs="Arial"/>
                <w:noProof/>
                <w:color w:val="000000"/>
                <w:sz w:val="16"/>
                <w:szCs w:val="16"/>
              </w:rPr>
              <w:t xml:space="preserve">136 </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175 </w:t>
            </w:r>
          </w:p>
        </w:tc>
        <w:tc>
          <w:tcPr>
            <w:tcW w:w="979"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244 </w:t>
            </w:r>
          </w:p>
        </w:tc>
        <w:tc>
          <w:tcPr>
            <w:tcW w:w="980" w:type="dxa"/>
            <w:tcBorders>
              <w:top w:val="nil"/>
              <w:left w:val="nil"/>
              <w:bottom w:val="nil"/>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179 </w:t>
            </w:r>
          </w:p>
        </w:tc>
      </w:tr>
      <w:tr>
        <w:trPr>
          <w:trHeight w:val="310"/>
          <w:jc w:val="center"/>
        </w:trPr>
        <w:tc>
          <w:tcPr>
            <w:tcW w:w="2349" w:type="dxa"/>
            <w:tcBorders>
              <w:top w:val="nil"/>
              <w:left w:val="single" w:sz="8" w:space="0" w:color="auto"/>
              <w:bottom w:val="single" w:sz="8" w:space="0" w:color="000000"/>
              <w:right w:val="single" w:sz="8" w:space="0" w:color="000000"/>
            </w:tcBorders>
            <w:shd w:val="clear" w:color="auto" w:fill="auto"/>
            <w:noWrap/>
            <w:vAlign w:val="center"/>
            <w:hideMark/>
          </w:tcPr>
          <w:p>
            <w:pPr>
              <w:keepNext/>
              <w:rPr>
                <w:rFonts w:cs="Arial"/>
                <w:noProof/>
                <w:color w:val="000000"/>
                <w:sz w:val="16"/>
              </w:rPr>
            </w:pPr>
            <w:r>
              <w:rPr>
                <w:rFonts w:cs="Arial"/>
                <w:noProof/>
                <w:color w:val="000000"/>
                <w:sz w:val="16"/>
              </w:rPr>
              <w:t>Administration</w:t>
            </w:r>
          </w:p>
        </w:tc>
        <w:tc>
          <w:tcPr>
            <w:tcW w:w="979" w:type="dxa"/>
            <w:tcBorders>
              <w:top w:val="nil"/>
              <w:left w:val="nil"/>
              <w:bottom w:val="single" w:sz="8" w:space="0" w:color="auto"/>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9</w:t>
            </w:r>
          </w:p>
        </w:tc>
        <w:tc>
          <w:tcPr>
            <w:tcW w:w="979" w:type="dxa"/>
            <w:tcBorders>
              <w:top w:val="nil"/>
              <w:left w:val="nil"/>
              <w:bottom w:val="single" w:sz="8" w:space="0" w:color="auto"/>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6</w:t>
            </w:r>
          </w:p>
        </w:tc>
        <w:tc>
          <w:tcPr>
            <w:tcW w:w="979" w:type="dxa"/>
            <w:tcBorders>
              <w:top w:val="nil"/>
              <w:left w:val="nil"/>
              <w:bottom w:val="single" w:sz="8" w:space="0" w:color="auto"/>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5</w:t>
            </w:r>
          </w:p>
        </w:tc>
        <w:tc>
          <w:tcPr>
            <w:tcW w:w="979" w:type="dxa"/>
            <w:tcBorders>
              <w:top w:val="nil"/>
              <w:left w:val="nil"/>
              <w:bottom w:val="single" w:sz="8" w:space="0" w:color="auto"/>
              <w:right w:val="single" w:sz="8" w:space="0" w:color="000000"/>
            </w:tcBorders>
            <w:shd w:val="clear" w:color="auto" w:fill="auto"/>
            <w:vAlign w:val="center"/>
            <w:hideMark/>
          </w:tcPr>
          <w:p>
            <w:pPr>
              <w:keepNext/>
              <w:jc w:val="right"/>
              <w:rPr>
                <w:rFonts w:cs="Arial"/>
                <w:noProof/>
                <w:color w:val="000000"/>
                <w:sz w:val="16"/>
                <w:szCs w:val="16"/>
              </w:rPr>
            </w:pPr>
            <w:r>
              <w:rPr>
                <w:rFonts w:cs="Arial"/>
                <w:noProof/>
                <w:color w:val="000000"/>
                <w:sz w:val="16"/>
                <w:szCs w:val="16"/>
              </w:rPr>
              <w:t xml:space="preserve">5 </w:t>
            </w:r>
          </w:p>
        </w:tc>
        <w:tc>
          <w:tcPr>
            <w:tcW w:w="979" w:type="dxa"/>
            <w:tcBorders>
              <w:top w:val="nil"/>
              <w:left w:val="nil"/>
              <w:bottom w:val="single" w:sz="8" w:space="0" w:color="auto"/>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4 </w:t>
            </w:r>
          </w:p>
        </w:tc>
        <w:tc>
          <w:tcPr>
            <w:tcW w:w="979" w:type="dxa"/>
            <w:tcBorders>
              <w:top w:val="nil"/>
              <w:left w:val="nil"/>
              <w:bottom w:val="single" w:sz="8" w:space="0" w:color="auto"/>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3 </w:t>
            </w:r>
          </w:p>
        </w:tc>
        <w:tc>
          <w:tcPr>
            <w:tcW w:w="980" w:type="dxa"/>
            <w:tcBorders>
              <w:top w:val="nil"/>
              <w:left w:val="nil"/>
              <w:bottom w:val="single" w:sz="8" w:space="0" w:color="auto"/>
              <w:right w:val="single" w:sz="8" w:space="0" w:color="auto"/>
            </w:tcBorders>
            <w:shd w:val="clear" w:color="auto" w:fill="auto"/>
            <w:noWrap/>
            <w:vAlign w:val="center"/>
            <w:hideMark/>
          </w:tcPr>
          <w:p>
            <w:pPr>
              <w:keepNext/>
              <w:jc w:val="right"/>
              <w:rPr>
                <w:rFonts w:cs="Arial"/>
                <w:noProof/>
                <w:color w:val="000000"/>
                <w:sz w:val="16"/>
                <w:szCs w:val="16"/>
              </w:rPr>
            </w:pPr>
            <w:r>
              <w:rPr>
                <w:rFonts w:cs="Arial"/>
                <w:noProof/>
                <w:color w:val="000000"/>
                <w:sz w:val="16"/>
                <w:szCs w:val="16"/>
              </w:rPr>
              <w:t xml:space="preserve">3 </w:t>
            </w:r>
          </w:p>
        </w:tc>
      </w:tr>
      <w:tr>
        <w:trPr>
          <w:trHeight w:val="310"/>
          <w:jc w:val="center"/>
        </w:trPr>
        <w:tc>
          <w:tcPr>
            <w:tcW w:w="2349" w:type="dxa"/>
            <w:tcBorders>
              <w:top w:val="nil"/>
              <w:left w:val="single" w:sz="8" w:space="0" w:color="auto"/>
              <w:bottom w:val="single" w:sz="8" w:space="0" w:color="auto"/>
              <w:right w:val="single" w:sz="8" w:space="0" w:color="000000"/>
            </w:tcBorders>
            <w:shd w:val="clear" w:color="auto" w:fill="D9D9D9"/>
            <w:noWrap/>
            <w:vAlign w:val="center"/>
            <w:hideMark/>
          </w:tcPr>
          <w:p>
            <w:pPr>
              <w:keepNext/>
              <w:rPr>
                <w:rFonts w:cs="Arial"/>
                <w:b/>
                <w:noProof/>
                <w:color w:val="000000"/>
                <w:sz w:val="16"/>
              </w:rPr>
            </w:pPr>
            <w:r>
              <w:rPr>
                <w:rFonts w:cs="Arial"/>
                <w:b/>
                <w:noProof/>
                <w:color w:val="000000"/>
                <w:sz w:val="16"/>
              </w:rPr>
              <w:t>Total</w:t>
            </w:r>
            <w:r>
              <w:rPr>
                <w:rFonts w:cs="Calibri"/>
                <w:b/>
                <w:noProof/>
                <w:color w:val="000000"/>
                <w:sz w:val="16"/>
              </w:rPr>
              <w:t> (</w:t>
            </w:r>
            <w:r>
              <w:rPr>
                <w:rFonts w:cs="Arial"/>
                <w:b/>
                <w:noProof/>
                <w:color w:val="000000"/>
                <w:sz w:val="16"/>
              </w:rPr>
              <w:t>*)</w:t>
            </w:r>
          </w:p>
        </w:tc>
        <w:tc>
          <w:tcPr>
            <w:tcW w:w="979" w:type="dxa"/>
            <w:tcBorders>
              <w:top w:val="nil"/>
              <w:left w:val="nil"/>
              <w:bottom w:val="single" w:sz="8" w:space="0" w:color="auto"/>
              <w:right w:val="single" w:sz="8" w:space="0" w:color="auto"/>
            </w:tcBorders>
            <w:shd w:val="clear" w:color="auto" w:fill="D9D9D9"/>
            <w:vAlign w:val="center"/>
            <w:hideMark/>
          </w:tcPr>
          <w:p>
            <w:pPr>
              <w:keepNext/>
              <w:jc w:val="right"/>
              <w:rPr>
                <w:rFonts w:cs="Arial"/>
                <w:b/>
                <w:noProof/>
                <w:color w:val="000000"/>
                <w:sz w:val="16"/>
                <w:szCs w:val="16"/>
              </w:rPr>
            </w:pPr>
            <w:r>
              <w:rPr>
                <w:rFonts w:cs="Arial"/>
                <w:b/>
                <w:bCs/>
                <w:noProof/>
                <w:color w:val="000000"/>
                <w:sz w:val="16"/>
                <w:szCs w:val="16"/>
              </w:rPr>
              <w:t xml:space="preserve">  678 </w:t>
            </w:r>
          </w:p>
        </w:tc>
        <w:tc>
          <w:tcPr>
            <w:tcW w:w="979" w:type="dxa"/>
            <w:tcBorders>
              <w:top w:val="nil"/>
              <w:left w:val="nil"/>
              <w:bottom w:val="single" w:sz="8" w:space="0" w:color="auto"/>
              <w:right w:val="single" w:sz="8" w:space="0" w:color="auto"/>
            </w:tcBorders>
            <w:shd w:val="clear" w:color="auto" w:fill="D9D9D9"/>
            <w:vAlign w:val="center"/>
            <w:hideMark/>
          </w:tcPr>
          <w:p>
            <w:pPr>
              <w:keepNext/>
              <w:jc w:val="right"/>
              <w:rPr>
                <w:rFonts w:cs="Arial"/>
                <w:b/>
                <w:noProof/>
                <w:color w:val="000000"/>
                <w:sz w:val="16"/>
                <w:szCs w:val="16"/>
              </w:rPr>
            </w:pPr>
            <w:r>
              <w:rPr>
                <w:rFonts w:cs="Arial"/>
                <w:b/>
                <w:bCs/>
                <w:noProof/>
                <w:color w:val="000000"/>
                <w:sz w:val="16"/>
                <w:szCs w:val="16"/>
              </w:rPr>
              <w:t xml:space="preserve">  862 </w:t>
            </w:r>
          </w:p>
        </w:tc>
        <w:tc>
          <w:tcPr>
            <w:tcW w:w="979" w:type="dxa"/>
            <w:tcBorders>
              <w:top w:val="nil"/>
              <w:left w:val="nil"/>
              <w:bottom w:val="single" w:sz="8" w:space="0" w:color="auto"/>
              <w:right w:val="single" w:sz="8" w:space="0" w:color="auto"/>
            </w:tcBorders>
            <w:shd w:val="clear" w:color="auto" w:fill="D9D9D9"/>
            <w:vAlign w:val="center"/>
            <w:hideMark/>
          </w:tcPr>
          <w:p>
            <w:pPr>
              <w:keepNext/>
              <w:jc w:val="right"/>
              <w:rPr>
                <w:rFonts w:cs="Arial"/>
                <w:b/>
                <w:noProof/>
                <w:color w:val="000000"/>
                <w:sz w:val="16"/>
                <w:szCs w:val="16"/>
              </w:rPr>
            </w:pPr>
            <w:r>
              <w:rPr>
                <w:rFonts w:cs="Arial"/>
                <w:b/>
                <w:bCs/>
                <w:noProof/>
                <w:color w:val="000000"/>
                <w:sz w:val="16"/>
                <w:szCs w:val="16"/>
              </w:rPr>
              <w:t xml:space="preserve">  736 </w:t>
            </w:r>
          </w:p>
        </w:tc>
        <w:tc>
          <w:tcPr>
            <w:tcW w:w="979" w:type="dxa"/>
            <w:tcBorders>
              <w:top w:val="nil"/>
              <w:left w:val="nil"/>
              <w:bottom w:val="single" w:sz="8" w:space="0" w:color="auto"/>
              <w:right w:val="single" w:sz="8" w:space="0" w:color="000000"/>
            </w:tcBorders>
            <w:shd w:val="clear" w:color="auto" w:fill="D9D9D9"/>
            <w:vAlign w:val="center"/>
            <w:hideMark/>
          </w:tcPr>
          <w:p>
            <w:pPr>
              <w:keepNext/>
              <w:jc w:val="right"/>
              <w:rPr>
                <w:rFonts w:cs="Arial"/>
                <w:b/>
                <w:noProof/>
                <w:color w:val="000000"/>
                <w:sz w:val="16"/>
                <w:szCs w:val="16"/>
              </w:rPr>
            </w:pPr>
            <w:r>
              <w:rPr>
                <w:rFonts w:cs="Arial"/>
                <w:b/>
                <w:bCs/>
                <w:noProof/>
                <w:color w:val="000000"/>
                <w:sz w:val="16"/>
                <w:szCs w:val="16"/>
              </w:rPr>
              <w:t xml:space="preserve">  749 </w:t>
            </w:r>
          </w:p>
        </w:tc>
        <w:tc>
          <w:tcPr>
            <w:tcW w:w="979" w:type="dxa"/>
            <w:tcBorders>
              <w:top w:val="nil"/>
              <w:left w:val="nil"/>
              <w:bottom w:val="single" w:sz="8" w:space="0" w:color="auto"/>
              <w:right w:val="single" w:sz="8" w:space="0" w:color="auto"/>
            </w:tcBorders>
            <w:shd w:val="clear" w:color="auto" w:fill="D9D9D9"/>
            <w:vAlign w:val="center"/>
            <w:hideMark/>
          </w:tcPr>
          <w:p>
            <w:pPr>
              <w:keepNext/>
              <w:jc w:val="right"/>
              <w:rPr>
                <w:rFonts w:cs="Arial"/>
                <w:b/>
                <w:noProof/>
                <w:color w:val="000000"/>
                <w:sz w:val="16"/>
                <w:szCs w:val="16"/>
              </w:rPr>
            </w:pPr>
            <w:r>
              <w:rPr>
                <w:rFonts w:cs="Arial"/>
                <w:b/>
                <w:bCs/>
                <w:noProof/>
                <w:color w:val="000000"/>
                <w:sz w:val="16"/>
                <w:szCs w:val="16"/>
              </w:rPr>
              <w:t xml:space="preserve">  665 </w:t>
            </w:r>
          </w:p>
        </w:tc>
        <w:tc>
          <w:tcPr>
            <w:tcW w:w="979" w:type="dxa"/>
            <w:tcBorders>
              <w:top w:val="nil"/>
              <w:left w:val="nil"/>
              <w:bottom w:val="single" w:sz="8" w:space="0" w:color="auto"/>
              <w:right w:val="single" w:sz="8" w:space="0" w:color="auto"/>
            </w:tcBorders>
            <w:shd w:val="clear" w:color="auto" w:fill="D9D9D9"/>
            <w:vAlign w:val="center"/>
            <w:hideMark/>
          </w:tcPr>
          <w:p>
            <w:pPr>
              <w:keepNext/>
              <w:jc w:val="right"/>
              <w:rPr>
                <w:rFonts w:cs="Arial"/>
                <w:b/>
                <w:noProof/>
                <w:color w:val="000000"/>
                <w:sz w:val="16"/>
                <w:szCs w:val="16"/>
              </w:rPr>
            </w:pPr>
            <w:r>
              <w:rPr>
                <w:rFonts w:cs="Arial"/>
                <w:b/>
                <w:bCs/>
                <w:noProof/>
                <w:color w:val="000000"/>
                <w:sz w:val="16"/>
                <w:szCs w:val="16"/>
              </w:rPr>
              <w:t xml:space="preserve">  837 </w:t>
            </w:r>
          </w:p>
        </w:tc>
        <w:tc>
          <w:tcPr>
            <w:tcW w:w="980" w:type="dxa"/>
            <w:tcBorders>
              <w:top w:val="nil"/>
              <w:left w:val="nil"/>
              <w:bottom w:val="single" w:sz="8" w:space="0" w:color="auto"/>
              <w:right w:val="single" w:sz="8" w:space="0" w:color="auto"/>
            </w:tcBorders>
            <w:shd w:val="clear" w:color="auto" w:fill="D9D9D9"/>
            <w:vAlign w:val="center"/>
            <w:hideMark/>
          </w:tcPr>
          <w:p>
            <w:pPr>
              <w:keepNext/>
              <w:jc w:val="right"/>
              <w:rPr>
                <w:rFonts w:cs="Arial"/>
                <w:b/>
                <w:noProof/>
                <w:color w:val="000000"/>
                <w:sz w:val="16"/>
                <w:szCs w:val="16"/>
              </w:rPr>
            </w:pPr>
            <w:r>
              <w:rPr>
                <w:rFonts w:cs="Arial"/>
                <w:b/>
                <w:bCs/>
                <w:noProof/>
                <w:color w:val="000000"/>
                <w:sz w:val="16"/>
                <w:szCs w:val="16"/>
              </w:rPr>
              <w:t xml:space="preserve">  873 </w:t>
            </w:r>
          </w:p>
        </w:tc>
      </w:tr>
    </w:tbl>
    <w:p>
      <w:pPr>
        <w:pStyle w:val="Source-Table-Chart-PhotoCaption"/>
        <w:rPr>
          <w:noProof/>
        </w:rPr>
      </w:pPr>
      <w:bookmarkStart w:id="135" w:name="_Toc456258163"/>
      <w:bookmarkStart w:id="136" w:name="_Toc456686571"/>
      <w:r>
        <w:rPr>
          <w:rStyle w:val="italics"/>
          <w:noProof/>
        </w:rPr>
        <w:t>Table 1.2.4:</w:t>
      </w:r>
      <w:r>
        <w:rPr>
          <w:noProof/>
        </w:rPr>
        <w:t xml:space="preserve"> Recoveries implemented 2012-2018 in </w:t>
      </w:r>
      <w:r>
        <w:rPr>
          <w:noProof/>
          <w:sz w:val="18"/>
          <w:szCs w:val="18"/>
        </w:rPr>
        <w:t>EUR</w:t>
      </w:r>
      <w:r>
        <w:rPr>
          <w:rStyle w:val="Bodytext2Bold"/>
          <w:rFonts w:ascii="Calibri" w:eastAsia="Calibri" w:hAnsi="Calibri" w:cs="Calibri"/>
          <w:noProof/>
          <w:sz w:val="20"/>
          <w:szCs w:val="20"/>
          <w:lang w:val="en-GB"/>
        </w:rPr>
        <w:t> </w:t>
      </w:r>
      <w:r>
        <w:rPr>
          <w:noProof/>
        </w:rPr>
        <w:t>million</w:t>
      </w:r>
    </w:p>
    <w:p>
      <w:pPr>
        <w:pStyle w:val="Source-Table-Chart-PhotoCaption"/>
        <w:rPr>
          <w:noProof/>
        </w:rPr>
      </w:pPr>
      <w:bookmarkStart w:id="137" w:name="_Toc484626488"/>
      <w:bookmarkStart w:id="138" w:name="_Toc512866529"/>
      <w:r>
        <w:rPr>
          <w:noProof/>
        </w:rPr>
        <w:t>(*) It should be noted that the amounts disclosed for the periods 2012-2014 are based on a different methodology which has been subsequently refined to better Identify and track recoveries.</w:t>
      </w:r>
    </w:p>
    <w:p>
      <w:pPr>
        <w:pStyle w:val="Annex4-H3"/>
      </w:pPr>
      <w:bookmarkStart w:id="139" w:name="_Toc8386202"/>
      <w:r>
        <w:t>1.3.</w:t>
      </w:r>
      <w:r>
        <w:tab/>
        <w:t>Impact of financial corrections</w:t>
      </w:r>
      <w:bookmarkEnd w:id="135"/>
      <w:bookmarkEnd w:id="136"/>
      <w:r>
        <w:t xml:space="preserve"> and recoveries</w:t>
      </w:r>
      <w:bookmarkEnd w:id="137"/>
      <w:bookmarkEnd w:id="138"/>
      <w:bookmarkEnd w:id="139"/>
    </w:p>
    <w:p>
      <w:pPr>
        <w:pStyle w:val="Annex4-H4"/>
        <w:rPr>
          <w:noProof/>
        </w:rPr>
      </w:pPr>
      <w:bookmarkStart w:id="140" w:name="_Toc484626489"/>
      <w:bookmarkStart w:id="141" w:name="_Toc512866530"/>
      <w:bookmarkStart w:id="142" w:name="_Toc8386203"/>
      <w:bookmarkEnd w:id="133"/>
      <w:r>
        <w:rPr>
          <w:noProof/>
        </w:rPr>
        <w:t>1.3.1. Impact on the EU budget</w:t>
      </w:r>
      <w:bookmarkEnd w:id="140"/>
      <w:bookmarkEnd w:id="141"/>
      <w:bookmarkEnd w:id="142"/>
    </w:p>
    <w:p>
      <w:pPr>
        <w:pStyle w:val="BodyText1spaceafter"/>
        <w:keepNext/>
      </w:pPr>
      <w:r>
        <w:t>Financial corrections and recoveries may or may not have an impact on the EU budget.</w:t>
      </w:r>
    </w:p>
    <w:p>
      <w:pPr>
        <w:pStyle w:val="BodyText1spaceafter"/>
      </w:pPr>
      <w:r>
        <w:rPr>
          <w:rStyle w:val="BOLDORANGEAnnexes"/>
        </w:rPr>
        <w:t>Replacement of expenditure</w:t>
      </w:r>
      <w:r>
        <w:t xml:space="preserve"> refers to the possibility under cohesion legislation for Member States to replace ineligible expenditure with new eligible expenditure, thus not losing EU funding (i.e. not a net correction as there is no return of money to the EU budget).</w:t>
      </w:r>
    </w:p>
    <w:p>
      <w:pPr>
        <w:pStyle w:val="BodyText1spaceafter"/>
      </w:pPr>
      <w:r>
        <w:rPr>
          <w:rStyle w:val="BOLDORANGEAnnexes"/>
        </w:rPr>
        <w:t>A net financial correction</w:t>
      </w:r>
      <w:r>
        <w:t xml:space="preserve"> is a correction that has a net impact on the EU budget (i.e. the corrected and recovered amounts are reimbursed to the EU budget). </w:t>
      </w:r>
    </w:p>
    <w:p>
      <w:pPr>
        <w:pStyle w:val="BodyText1spaceafter"/>
      </w:pPr>
      <w:r>
        <w:t>Agriculture and Rural Development corrections (</w:t>
      </w:r>
      <w:r>
        <w:rPr>
          <w:rFonts w:eastAsia="Times New Roman"/>
          <w:bCs/>
        </w:rPr>
        <w:t>European Agricultural Guarantee Fund</w:t>
      </w:r>
      <w:r>
        <w:t xml:space="preserve">, </w:t>
      </w:r>
      <w:r>
        <w:rPr>
          <w:rFonts w:asciiTheme="minorHAnsi" w:eastAsia="Times New Roman" w:hAnsiTheme="minorHAnsi"/>
          <w:bCs/>
        </w:rPr>
        <w:t>European Agricultural Fund for Rural Development</w:t>
      </w:r>
      <w:r>
        <w:t>, European Agricultural Guidance and Guarantee Fund) lead almost always to a reimbursement to the EU budget whereas, due to the legal framework, for cohesion policy, the return of previously paid amounts to the EU budget were generally the exception during the implementation of the programmes.</w:t>
      </w:r>
    </w:p>
    <w:p>
      <w:pPr>
        <w:pStyle w:val="BodyText1spaceafter"/>
      </w:pPr>
      <w:r>
        <w:t>Under the legal framework applicable for cohesion policy up to the 2007-2013 programming period, a real cash-flow back to the EU budget occurs only:</w:t>
      </w:r>
    </w:p>
    <w:p>
      <w:pPr>
        <w:pStyle w:val="BodyText1spaceafter"/>
        <w:numPr>
          <w:ilvl w:val="0"/>
          <w:numId w:val="38"/>
        </w:numPr>
        <w:spacing w:after="60"/>
      </w:pPr>
      <w:r>
        <w:t>if Member States are unable to present sufficient eligible expenditure;</w:t>
      </w:r>
    </w:p>
    <w:p>
      <w:pPr>
        <w:pStyle w:val="BodyText1spaceafter"/>
        <w:numPr>
          <w:ilvl w:val="0"/>
          <w:numId w:val="38"/>
        </w:numPr>
        <w:spacing w:after="60"/>
      </w:pPr>
      <w:r>
        <w:t>after the closure of programmes where the replacement of ineligible by eligible expenditure is no longer possible;</w:t>
      </w:r>
    </w:p>
    <w:p>
      <w:pPr>
        <w:pStyle w:val="BodyText1spaceafter"/>
        <w:numPr>
          <w:ilvl w:val="0"/>
          <w:numId w:val="38"/>
        </w:numPr>
        <w:spacing w:after="60"/>
      </w:pPr>
      <w:r>
        <w:t>in case of a disagreement with the Commission.</w:t>
      </w:r>
    </w:p>
    <w:p>
      <w:pPr>
        <w:pStyle w:val="BodyText1spacebeforeandafter"/>
      </w:pPr>
      <w:r>
        <w:t>However, a significant change was introduced for the 2014-2020 period: the Commission has the obligation to apply a net financial correction when serious deficiencies in the effective functioning of the management and control system not previously detected, reported or corrected at Member State level are discovered by EU audits after the submission of the assurance packages. In such cases, the possibility of previous programming periods for the Member State to accept the correction and to reuse the EU funds in question is removed.</w:t>
      </w:r>
    </w:p>
    <w:p>
      <w:pPr>
        <w:pStyle w:val="BodyText1"/>
        <w:spacing w:after="40"/>
        <w:jc w:val="center"/>
      </w:pPr>
      <w:r>
        <w:rPr>
          <w:lang w:eastAsia="en-GB"/>
        </w:rPr>
        <w:drawing>
          <wp:inline distT="0" distB="0" distL="0" distR="0">
            <wp:extent cx="4961698" cy="3607283"/>
            <wp:effectExtent l="0" t="0" r="10795"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pPr>
        <w:pStyle w:val="Source-Table-Chart-PhotoCaption"/>
        <w:ind w:left="624" w:right="709"/>
        <w:rPr>
          <w:noProof/>
        </w:rPr>
      </w:pPr>
      <w:r>
        <w:rPr>
          <w:rStyle w:val="italics"/>
          <w:noProof/>
        </w:rPr>
        <w:t xml:space="preserve">Chart 1.3.1: </w:t>
      </w:r>
      <w:r>
        <w:rPr>
          <w:noProof/>
        </w:rPr>
        <w:t>Impact on the EU budget 2018</w:t>
      </w:r>
    </w:p>
    <w:p>
      <w:pPr>
        <w:pStyle w:val="Source-Table-Chart-PhotoCaption"/>
        <w:ind w:left="908" w:right="709" w:hanging="284"/>
        <w:rPr>
          <w:noProof/>
        </w:rPr>
      </w:pPr>
      <w:r>
        <w:rPr>
          <w:noProof/>
        </w:rPr>
        <w:t>(*)</w:t>
      </w:r>
      <w:r>
        <w:rPr>
          <w:noProof/>
        </w:rPr>
        <w:tab/>
        <w:t>The main expenditure chapters concerned are 0502, 0503, 0504, 1303, 1304, 0402, 1106 and 1803.</w:t>
      </w:r>
    </w:p>
    <w:p>
      <w:pPr>
        <w:pStyle w:val="Source-Table-Chart-PhotoCaption"/>
        <w:ind w:left="908" w:right="709" w:hanging="284"/>
        <w:rPr>
          <w:noProof/>
        </w:rPr>
      </w:pPr>
      <w:r>
        <w:rPr>
          <w:noProof/>
        </w:rPr>
        <w:t>(**)</w:t>
      </w:r>
      <w:r>
        <w:rPr>
          <w:noProof/>
        </w:rPr>
        <w:tab/>
        <w:t>Excluding ‘at source’ recoveries. The main expenditure chapters concerned are 0502, 0503, 1303, 1304, 0402 and 1106. For more information on recoveries see 1.2.3.</w:t>
      </w:r>
    </w:p>
    <w:p>
      <w:pPr>
        <w:pStyle w:val="BodyText1spacebeforeandafter"/>
        <w:rPr>
          <w:rStyle w:val="AMPRTextChar"/>
          <w:rFonts w:eastAsia="Calibri"/>
          <w:color w:val="000000" w:themeColor="text1"/>
          <w:sz w:val="20"/>
          <w:szCs w:val="22"/>
          <w:lang w:eastAsia="fr-BE"/>
        </w:rPr>
      </w:pPr>
      <w:r>
        <w:t>Revenues arising from net financial corrections and recoveries are treated as assigned revenue</w:t>
      </w:r>
      <w:r>
        <w:rPr>
          <w:rFonts w:ascii="Calibri" w:hAnsi="Calibri" w:cs="Calibri"/>
        </w:rPr>
        <w:t> </w:t>
      </w:r>
      <w:r>
        <w:t>(</w:t>
      </w:r>
      <w:r>
        <w:rPr>
          <w:vertAlign w:val="superscript"/>
        </w:rPr>
        <w:footnoteReference w:id="36"/>
      </w:r>
      <w:r>
        <w:t>), noting that the Commission implements recoveries also ‘at source’ by deducting ineligible expenditure (which has been identified in previous or current cost claims) from payments made. In general, assigned revenue goes back to the budget line or fund from which the expenditure was originally paid and may be spent again but it is not earmarked for specific Member State</w:t>
      </w:r>
      <w:r>
        <w:rPr>
          <w:rStyle w:val="AMPRTextChar"/>
          <w:rFonts w:eastAsia="Calibri"/>
          <w:color w:val="000000" w:themeColor="text1"/>
          <w:sz w:val="20"/>
          <w:szCs w:val="22"/>
          <w:lang w:eastAsia="fr-BE"/>
        </w:rPr>
        <w:t>s.</w:t>
      </w:r>
    </w:p>
    <w:p>
      <w:pPr>
        <w:pStyle w:val="Annex4-H2"/>
      </w:pPr>
      <w:bookmarkStart w:id="143" w:name="_Toc484626491"/>
      <w:bookmarkStart w:id="144" w:name="_Toc512866532"/>
      <w:bookmarkStart w:id="145" w:name="_Toc8386204"/>
      <w:bookmarkEnd w:id="134"/>
      <w:r>
        <w:t>2.</w:t>
      </w:r>
      <w:r>
        <w:tab/>
        <w:t>Agriculture and rural development</w:t>
      </w:r>
      <w:bookmarkEnd w:id="143"/>
      <w:bookmarkEnd w:id="144"/>
      <w:bookmarkEnd w:id="145"/>
    </w:p>
    <w:p>
      <w:pPr>
        <w:pStyle w:val="Annex4-H3"/>
        <w:rPr>
          <w:bCs/>
          <w:iCs/>
        </w:rPr>
      </w:pPr>
      <w:bookmarkStart w:id="146" w:name="_Toc484626492"/>
      <w:bookmarkStart w:id="147" w:name="_Toc512866533"/>
      <w:bookmarkStart w:id="148" w:name="_Toc8386205"/>
      <w:r>
        <w:t>2.1.</w:t>
      </w:r>
      <w:r>
        <w:tab/>
        <w:t>Preventive actions</w:t>
      </w:r>
      <w:bookmarkEnd w:id="146"/>
      <w:bookmarkEnd w:id="147"/>
      <w:bookmarkEnd w:id="148"/>
    </w:p>
    <w:p>
      <w:pPr>
        <w:pStyle w:val="Annex4-subheading1"/>
        <w:rPr>
          <w:noProof/>
        </w:rPr>
      </w:pPr>
      <w:r>
        <w:rPr>
          <w:noProof/>
        </w:rPr>
        <w:t>Preventive actions by the Member States</w:t>
      </w:r>
    </w:p>
    <w:p>
      <w:pPr>
        <w:pStyle w:val="BodyText1spaceafter"/>
      </w:pPr>
      <w:r>
        <w:rPr>
          <w:szCs w:val="20"/>
        </w:rPr>
        <w:t xml:space="preserve">A compulsory administrative structure has been set up at the level of Member States. The management, control and payment of the expenditure are entrusted to accredited paying agencies (PAs). Compliance with strict accreditation criteria is subject to constant supervision by the competent national authority (at ministerial level). The directors of paying agencies are required to provide an annual management declaration on the completeness, accuracy and veracity of the accounts, as well as a declaration that the system in place provides reasonable assurance on the legality and regularity of the underlying transactions. The annual accounts, the functioning of the internal control procedures and the legality and regularity of the expenditure of PAs are verified and certified by the Certification Bodies (independent external audit bodies), which also review the compliance with the accreditation criteria. The management declarations are also verified by the abovementioned certification bodies, which are required to provide an annual opinion. For each support scheme financed by the </w:t>
      </w:r>
      <w:r>
        <w:rPr>
          <w:rStyle w:val="BOLDORANGEAnnexes"/>
        </w:rPr>
        <w:t xml:space="preserve">European Agricultural Guarantee Fund </w:t>
      </w:r>
      <w:r>
        <w:rPr>
          <w:rStyle w:val="BOLDORANGEAnnexes"/>
          <w:b w:val="0"/>
          <w:color w:val="auto"/>
        </w:rPr>
        <w:t xml:space="preserve">or the </w:t>
      </w:r>
      <w:r>
        <w:rPr>
          <w:rStyle w:val="BOLDORANGEAnnexes"/>
        </w:rPr>
        <w:t>European Agricultural Fund for Rural Development</w:t>
      </w:r>
      <w:r>
        <w:rPr>
          <w:szCs w:val="20"/>
        </w:rPr>
        <w:t xml:space="preserve">, the PAs apply a system of exhaustive </w:t>
      </w:r>
      <w:r>
        <w:rPr>
          <w:i/>
        </w:rPr>
        <w:t>ex</w:t>
      </w:r>
      <w:r>
        <w:rPr>
          <w:rFonts w:ascii="Calibri" w:hAnsi="Calibri"/>
          <w:i/>
        </w:rPr>
        <w:t> </w:t>
      </w:r>
      <w:r>
        <w:rPr>
          <w:i/>
        </w:rPr>
        <w:t>ante</w:t>
      </w:r>
      <w:r>
        <w:rPr>
          <w:szCs w:val="20"/>
        </w:rPr>
        <w:t xml:space="preserve"> administrative controls and on-the-spot checks prior to any payment. These controls are made in accordance with precise rules set out in the sector-specific legislation. For the majority of these aid schemes Member States are required to send statistical information on the checks carried out and on their results to the Commission on a yearly basis.</w:t>
      </w:r>
    </w:p>
    <w:p>
      <w:pPr>
        <w:pStyle w:val="Annex4-subheading1"/>
        <w:rPr>
          <w:noProof/>
        </w:rPr>
      </w:pPr>
      <w:r>
        <w:rPr>
          <w:noProof/>
        </w:rPr>
        <w:t>Preventive actions by the Commission</w:t>
      </w:r>
    </w:p>
    <w:p>
      <w:pPr>
        <w:pStyle w:val="BodyText1spaceafter"/>
        <w:rPr>
          <w:szCs w:val="20"/>
        </w:rPr>
      </w:pPr>
      <w:r>
        <w:rPr>
          <w:szCs w:val="20"/>
        </w:rPr>
        <w:t>The Commission applies a number of available preventive instruments such as the interruption, suspension and reduction of EU financing with a view to better protecting the EU budget and further incentivising Member States to reduce irregular payments. The Commission may interrupt payments</w:t>
      </w:r>
      <w:r>
        <w:rPr>
          <w:rStyle w:val="AMPRTextChar"/>
          <w:rFonts w:eastAsia="Calibri"/>
          <w:szCs w:val="20"/>
        </w:rPr>
        <w:t xml:space="preserve"> </w:t>
      </w:r>
      <w:r>
        <w:rPr>
          <w:szCs w:val="20"/>
        </w:rPr>
        <w:t>for the second pillar (</w:t>
      </w:r>
      <w:r>
        <w:rPr>
          <w:rStyle w:val="BOLDORANGEAnnexes"/>
        </w:rPr>
        <w:t>European Agricultural Fund for Rural Development</w:t>
      </w:r>
      <w:r>
        <w:rPr>
          <w:szCs w:val="20"/>
        </w:rPr>
        <w:t>) and reduce or suspend the payments for both pillars (</w:t>
      </w:r>
      <w:r>
        <w:rPr>
          <w:rStyle w:val="BOLDORANGEAnnexes"/>
        </w:rPr>
        <w:t xml:space="preserve">European Agricultural Guarantee Fund </w:t>
      </w:r>
      <w:r>
        <w:rPr>
          <w:rStyle w:val="BOLDORANGEAnnexes"/>
          <w:b w:val="0"/>
          <w:color w:val="auto"/>
        </w:rPr>
        <w:t>and</w:t>
      </w:r>
      <w:r>
        <w:rPr>
          <w:rStyle w:val="BOLDORANGEAnnexes"/>
          <w:color w:val="auto"/>
        </w:rPr>
        <w:t xml:space="preserve"> </w:t>
      </w:r>
      <w:r>
        <w:rPr>
          <w:rStyle w:val="BOLDORANGEAnnexes"/>
        </w:rPr>
        <w:t>European Agricultural Fund for Rural Development</w:t>
      </w:r>
      <w:r>
        <w:rPr>
          <w:szCs w:val="20"/>
        </w:rPr>
        <w:t xml:space="preserve">). </w:t>
      </w:r>
    </w:p>
    <w:p>
      <w:pPr>
        <w:pStyle w:val="BodyText1spaceafter"/>
        <w:rPr>
          <w:szCs w:val="20"/>
        </w:rPr>
      </w:pPr>
      <w:r>
        <w:rPr>
          <w:szCs w:val="20"/>
        </w:rPr>
        <w:t>First, where the declarations of expenditure or the annual accounts do not enable the Commission to establish that the expenditure has been effected in accordance with EU rules, the Commission may reduce or suspend the payments to the Member State under both pillars.</w:t>
      </w:r>
    </w:p>
    <w:p>
      <w:pPr>
        <w:pStyle w:val="BodyText1spaceafter"/>
        <w:rPr>
          <w:szCs w:val="20"/>
        </w:rPr>
      </w:pPr>
      <w:r>
        <w:rPr>
          <w:szCs w:val="20"/>
        </w:rPr>
        <w:t>Secondly, the Commission may reduce or suspend monthly (</w:t>
      </w:r>
      <w:r>
        <w:rPr>
          <w:rStyle w:val="BOLDORANGEAnnexes"/>
        </w:rPr>
        <w:t>European Agricultural Guarantee Fund</w:t>
      </w:r>
      <w:r>
        <w:rPr>
          <w:rStyle w:val="BOLDORANGEAnnexes"/>
          <w:b w:val="0"/>
          <w:color w:val="auto"/>
        </w:rPr>
        <w:t>)</w:t>
      </w:r>
      <w:r>
        <w:rPr>
          <w:rStyle w:val="BOLDORANGEAnnexes"/>
        </w:rPr>
        <w:t xml:space="preserve"> </w:t>
      </w:r>
      <w:r>
        <w:rPr>
          <w:rStyle w:val="BOLDORANGEAnnexes"/>
          <w:b w:val="0"/>
          <w:color w:val="auto"/>
        </w:rPr>
        <w:t>or interim (</w:t>
      </w:r>
      <w:r>
        <w:rPr>
          <w:rStyle w:val="BOLDORANGEAnnexes"/>
        </w:rPr>
        <w:t>European Agricultural Fund for Rural Development</w:t>
      </w:r>
      <w:r>
        <w:rPr>
          <w:szCs w:val="20"/>
        </w:rPr>
        <w:t>) payments where ‘one or more of the key components of the national control system in question do not exist or are not effective due to the gravity or persistence of the deficiencies found’</w:t>
      </w:r>
      <w:r>
        <w:rPr>
          <w:rFonts w:ascii="Calibri" w:hAnsi="Calibri" w:cs="Calibri"/>
          <w:szCs w:val="20"/>
        </w:rPr>
        <w:t> </w:t>
      </w:r>
      <w:r>
        <w:rPr>
          <w:szCs w:val="20"/>
        </w:rPr>
        <w:t>(</w:t>
      </w:r>
      <w:r>
        <w:footnoteReference w:id="37"/>
      </w:r>
      <w:r>
        <w:rPr>
          <w:szCs w:val="20"/>
        </w:rPr>
        <w:t>) (or there are similar serious deficiencies in the system for the recovery of irregular payments) and:</w:t>
      </w:r>
    </w:p>
    <w:p>
      <w:pPr>
        <w:pStyle w:val="BodyText1spaceafter"/>
        <w:numPr>
          <w:ilvl w:val="0"/>
          <w:numId w:val="39"/>
        </w:numPr>
        <w:spacing w:after="60"/>
        <w:rPr>
          <w:szCs w:val="20"/>
        </w:rPr>
      </w:pPr>
      <w:r>
        <w:rPr>
          <w:szCs w:val="20"/>
        </w:rPr>
        <w:t>either the deficiencies are of a continuous nature and have already been the reasons for at least two financial correction decisions; or</w:t>
      </w:r>
    </w:p>
    <w:p>
      <w:pPr>
        <w:pStyle w:val="BodyText1spaceafter"/>
        <w:numPr>
          <w:ilvl w:val="0"/>
          <w:numId w:val="39"/>
        </w:numPr>
        <w:spacing w:after="60"/>
        <w:rPr>
          <w:szCs w:val="20"/>
        </w:rPr>
      </w:pPr>
      <w:r>
        <w:rPr>
          <w:szCs w:val="20"/>
        </w:rPr>
        <w:t xml:space="preserve">the Commission concludes that the Member State concerned is not in a position to implement the necessary remedial measures in the immediate future, in accordance with an action plan with clear progress indicators to be established in consultation with the Commission. </w:t>
      </w:r>
    </w:p>
    <w:p>
      <w:pPr>
        <w:pStyle w:val="BodyText1spacebeforeandafter"/>
      </w:pPr>
      <w:r>
        <w:t xml:space="preserve">For the </w:t>
      </w:r>
      <w:r>
        <w:rPr>
          <w:rStyle w:val="BOLDORANGEAnnexes"/>
        </w:rPr>
        <w:t>European Agricultural Fund for Rural Development</w:t>
      </w:r>
      <w:r>
        <w:t>, the common provisions regulation (CPR)</w:t>
      </w:r>
      <w:r>
        <w:rPr>
          <w:rFonts w:ascii="Calibri" w:hAnsi="Calibri" w:cs="Calibri"/>
        </w:rPr>
        <w:t> </w:t>
      </w:r>
      <w:r>
        <w:t>(</w:t>
      </w:r>
      <w:r>
        <w:footnoteReference w:id="38"/>
      </w:r>
      <w:r>
        <w:t>)</w:t>
      </w:r>
      <w:r>
        <w:rPr>
          <w:vertAlign w:val="superscript"/>
        </w:rPr>
        <w:t xml:space="preserve"> </w:t>
      </w:r>
      <w:r>
        <w:t>also provides for the interruption of interim payments by the authorising officer by delegation (i.e. the director-general) as an additional, quick and reactive tool in case of concerns about the legality and regularity of payments. In 2018, payments were interrupted for Estonia, Greece, Spain, Lithuania, Austria, Poland, Romania and Slovenia and were also suspended for Romania (EUR</w:t>
      </w:r>
      <w:r>
        <w:rPr>
          <w:rStyle w:val="Bodytext2Bold"/>
          <w:color w:val="auto"/>
          <w:szCs w:val="20"/>
          <w:lang w:val="en-GB"/>
        </w:rPr>
        <w:t> </w:t>
      </w:r>
      <w:r>
        <w:t>10.7</w:t>
      </w:r>
      <w:r>
        <w:rPr>
          <w:rStyle w:val="Bodytext2Bold"/>
          <w:color w:val="auto"/>
          <w:szCs w:val="20"/>
          <w:lang w:val="en-GB"/>
        </w:rPr>
        <w:t> </w:t>
      </w:r>
      <w:r>
        <w:t>million).</w:t>
      </w:r>
    </w:p>
    <w:p>
      <w:pPr>
        <w:pStyle w:val="BodyText1spaceafter"/>
        <w:rPr>
          <w:rStyle w:val="AMPRTextChar"/>
          <w:rFonts w:eastAsia="Calibri"/>
          <w:szCs w:val="20"/>
        </w:rPr>
      </w:pPr>
      <w:r>
        <w:rPr>
          <w:szCs w:val="20"/>
        </w:rPr>
        <w:t xml:space="preserve">For the </w:t>
      </w:r>
      <w:r>
        <w:rPr>
          <w:rStyle w:val="BOLDORANGEAnnexes"/>
        </w:rPr>
        <w:t>European Agricultural Guarantee Fund</w:t>
      </w:r>
      <w:r>
        <w:rPr>
          <w:szCs w:val="20"/>
        </w:rPr>
        <w:t>, the rhythm of the monthly payments would not allow for using such an interruption procedure. For the European Agricultural Guarantee Fund in 2018, the Commission has decided to reduce payments by EUR</w:t>
      </w:r>
      <w:r>
        <w:rPr>
          <w:rStyle w:val="Bodytext2Bold"/>
          <w:color w:val="auto"/>
          <w:szCs w:val="20"/>
          <w:lang w:val="en-GB"/>
        </w:rPr>
        <w:t> </w:t>
      </w:r>
      <w:r>
        <w:rPr>
          <w:szCs w:val="20"/>
        </w:rPr>
        <w:t>58</w:t>
      </w:r>
      <w:r>
        <w:rPr>
          <w:rFonts w:ascii="Arial" w:hAnsi="Arial" w:cs="Arial"/>
          <w:szCs w:val="20"/>
        </w:rPr>
        <w:t> </w:t>
      </w:r>
      <w:r>
        <w:rPr>
          <w:szCs w:val="20"/>
        </w:rPr>
        <w:t>million due to overruns of ceilings, deadlines and other eligibility issues, and to suspend EUR</w:t>
      </w:r>
      <w:r>
        <w:rPr>
          <w:rStyle w:val="Bodytext2Bold"/>
          <w:color w:val="auto"/>
          <w:szCs w:val="20"/>
          <w:lang w:val="en-GB"/>
        </w:rPr>
        <w:t> </w:t>
      </w:r>
      <w:r>
        <w:rPr>
          <w:szCs w:val="20"/>
        </w:rPr>
        <w:t>0.5</w:t>
      </w:r>
      <w:r>
        <w:rPr>
          <w:rFonts w:ascii="Arial" w:hAnsi="Arial" w:cs="Arial"/>
          <w:szCs w:val="20"/>
        </w:rPr>
        <w:t> </w:t>
      </w:r>
      <w:r>
        <w:rPr>
          <w:szCs w:val="20"/>
        </w:rPr>
        <w:t>million (Poland). There were no reductions in the monthly payments due to deficiencies in the control system in 2018.</w:t>
      </w:r>
      <w:r>
        <w:rPr>
          <w:rStyle w:val="AMPRTextChar"/>
          <w:rFonts w:eastAsia="Calibri"/>
          <w:szCs w:val="20"/>
        </w:rPr>
        <w:t xml:space="preserve"> </w:t>
      </w:r>
    </w:p>
    <w:p>
      <w:pPr>
        <w:pStyle w:val="BodyText1spaceafter"/>
      </w:pPr>
      <w:r>
        <w:rPr>
          <w:szCs w:val="20"/>
        </w:rPr>
        <w:t>The interruptions and reductions/suspensions are provisional. Where relevant, these could be accompanied by an audit. If the deficiency is confirmed, the relevant expenditure is definitely excluded from EU funding by the application of a financial correction under the conformity clearance procedure.</w:t>
      </w:r>
    </w:p>
    <w:p>
      <w:pPr>
        <w:pStyle w:val="Annex4-H3"/>
      </w:pPr>
      <w:bookmarkStart w:id="149" w:name="_Toc484626493"/>
      <w:bookmarkStart w:id="150" w:name="_Toc512866534"/>
      <w:bookmarkStart w:id="151" w:name="_Toc8386206"/>
      <w:r>
        <w:t>2.2.</w:t>
      </w:r>
      <w:r>
        <w:tab/>
        <w:t>Corrective actions</w:t>
      </w:r>
      <w:bookmarkEnd w:id="149"/>
      <w:bookmarkEnd w:id="150"/>
      <w:bookmarkEnd w:id="151"/>
    </w:p>
    <w:p>
      <w:pPr>
        <w:pStyle w:val="BodyText1spaceafter"/>
        <w:rPr>
          <w:szCs w:val="20"/>
        </w:rPr>
      </w:pPr>
      <w:r>
        <w:rPr>
          <w:szCs w:val="20"/>
        </w:rPr>
        <w:t xml:space="preserve">For </w:t>
      </w:r>
      <w:r>
        <w:rPr>
          <w:rStyle w:val="BOLDORANGEAnnexes"/>
        </w:rPr>
        <w:t>European Agricultural Guarantee Fund</w:t>
      </w:r>
      <w:r>
        <w:rPr>
          <w:szCs w:val="20"/>
        </w:rPr>
        <w:t xml:space="preserve">, financial corrections are executed by deducting the amounts concerned from the monthly payments made by the Commission in the second month following the Commission decision on a financial correction to the Member State concerned. </w:t>
      </w:r>
    </w:p>
    <w:p>
      <w:pPr>
        <w:pStyle w:val="BodyText1spaceafter"/>
        <w:rPr>
          <w:szCs w:val="20"/>
        </w:rPr>
      </w:pPr>
      <w:r>
        <w:rPr>
          <w:szCs w:val="20"/>
        </w:rPr>
        <w:t xml:space="preserve">For </w:t>
      </w:r>
      <w:r>
        <w:rPr>
          <w:rStyle w:val="BOLDORANGEAnnexes"/>
        </w:rPr>
        <w:t>European Agricultural Fund for Rural Development</w:t>
      </w:r>
      <w:r>
        <w:rPr>
          <w:szCs w:val="20"/>
        </w:rPr>
        <w:t xml:space="preserve">, the financial corrections are executed through a recovery order requesting the Member State concerned to reimburse these amounts to the EU budget mostly executed by set-off in the reimbursement in the following quarter. It therefore occurs that decisions adopted in the end of year N are only executed at the beginning of year N+1. </w:t>
      </w:r>
    </w:p>
    <w:p>
      <w:pPr>
        <w:pStyle w:val="BodyText1spaceafter"/>
        <w:rPr>
          <w:szCs w:val="20"/>
        </w:rPr>
      </w:pPr>
      <w:r>
        <w:rPr>
          <w:szCs w:val="20"/>
        </w:rPr>
        <w:t>Furthermore, the execution of the decision may be delayed due to instalment and deferral decisions. Of the three ad hoc decisions adopted in 2018 a total of EUR</w:t>
      </w:r>
      <w:r>
        <w:rPr>
          <w:rStyle w:val="Bodytext2Bold"/>
          <w:color w:val="auto"/>
          <w:szCs w:val="20"/>
          <w:lang w:val="en-GB"/>
        </w:rPr>
        <w:t> </w:t>
      </w:r>
      <w:r>
        <w:rPr>
          <w:szCs w:val="20"/>
        </w:rPr>
        <w:t>170</w:t>
      </w:r>
      <w:r>
        <w:rPr>
          <w:rStyle w:val="Bodytext2Bold"/>
          <w:color w:val="auto"/>
          <w:szCs w:val="20"/>
          <w:lang w:val="en-GB"/>
        </w:rPr>
        <w:t> </w:t>
      </w:r>
      <w:r>
        <w:rPr>
          <w:szCs w:val="20"/>
        </w:rPr>
        <w:t>million was scheduled for recovery in 3 annual instalments. One deferral decision was due to expire on 22/06/2017 but was prolonged for a year until 22/06/2018. Of the two ad hoc decisions adopted in 2018 before 22/06/2018 another EUR</w:t>
      </w:r>
      <w:r>
        <w:rPr>
          <w:rStyle w:val="Bodytext2Bold"/>
          <w:color w:val="auto"/>
          <w:szCs w:val="20"/>
          <w:lang w:val="en-GB"/>
        </w:rPr>
        <w:t> </w:t>
      </w:r>
      <w:r>
        <w:rPr>
          <w:szCs w:val="20"/>
        </w:rPr>
        <w:t>20</w:t>
      </w:r>
      <w:r>
        <w:rPr>
          <w:rStyle w:val="Bodytext2Bold"/>
          <w:color w:val="auto"/>
          <w:szCs w:val="20"/>
          <w:lang w:val="en-GB"/>
        </w:rPr>
        <w:t> </w:t>
      </w:r>
      <w:r>
        <w:rPr>
          <w:szCs w:val="20"/>
        </w:rPr>
        <w:t xml:space="preserve">million became subject to deferral (and subsequent recovery in 5 annual instalments) under this prolonged deferral decision. </w:t>
      </w:r>
    </w:p>
    <w:p>
      <w:pPr>
        <w:pStyle w:val="Annex4-H3"/>
      </w:pPr>
      <w:bookmarkStart w:id="152" w:name="_Toc512866535"/>
      <w:bookmarkStart w:id="153" w:name="_Toc8386207"/>
      <w:r>
        <w:t>2.3.</w:t>
      </w:r>
      <w:r>
        <w:tab/>
        <w:t>Deficiencies in Member States' management and control identified and measures undertaken</w:t>
      </w:r>
      <w:bookmarkEnd w:id="152"/>
      <w:bookmarkEnd w:id="153"/>
    </w:p>
    <w:p>
      <w:pPr>
        <w:pStyle w:val="BodyText1spaceafter"/>
        <w:keepNext/>
        <w:rPr>
          <w:color w:val="auto"/>
          <w:szCs w:val="20"/>
        </w:rPr>
      </w:pPr>
      <w:r>
        <w:rPr>
          <w:color w:val="auto"/>
          <w:szCs w:val="20"/>
        </w:rPr>
        <w:t>The main root causes of errors leading to corrections have been:</w:t>
      </w:r>
    </w:p>
    <w:p>
      <w:pPr>
        <w:pStyle w:val="BodyText1spaceafter"/>
        <w:numPr>
          <w:ilvl w:val="0"/>
          <w:numId w:val="40"/>
        </w:numPr>
        <w:spacing w:after="60"/>
        <w:rPr>
          <w:color w:val="auto"/>
          <w:szCs w:val="20"/>
        </w:rPr>
      </w:pPr>
      <w:r>
        <w:rPr>
          <w:color w:val="auto"/>
          <w:szCs w:val="20"/>
        </w:rPr>
        <w:t>Errors in non-compliance</w:t>
      </w:r>
    </w:p>
    <w:p>
      <w:pPr>
        <w:pStyle w:val="BodyText1spaceafter"/>
        <w:numPr>
          <w:ilvl w:val="0"/>
          <w:numId w:val="40"/>
        </w:numPr>
        <w:spacing w:after="60"/>
        <w:rPr>
          <w:color w:val="auto"/>
          <w:szCs w:val="20"/>
        </w:rPr>
      </w:pPr>
      <w:r>
        <w:rPr>
          <w:color w:val="auto"/>
          <w:szCs w:val="20"/>
        </w:rPr>
        <w:t>Eligibility conditions not met</w:t>
      </w:r>
    </w:p>
    <w:p>
      <w:pPr>
        <w:pStyle w:val="BodyText1spaceafter"/>
        <w:numPr>
          <w:ilvl w:val="0"/>
          <w:numId w:val="40"/>
        </w:numPr>
        <w:spacing w:after="60"/>
        <w:rPr>
          <w:color w:val="auto"/>
          <w:szCs w:val="20"/>
        </w:rPr>
      </w:pPr>
      <w:r>
        <w:rPr>
          <w:color w:val="auto"/>
          <w:szCs w:val="20"/>
        </w:rPr>
        <w:t>Breach of procurement rules</w:t>
      </w:r>
    </w:p>
    <w:p>
      <w:pPr>
        <w:pStyle w:val="BodyText1spacebeforeandafter"/>
      </w:pPr>
      <w:r>
        <w:t>These were addressed putting in place action plans which identify the deficiencies for the Paying agencies concerned and define remedial actions to be implemented by the Paying agencies.</w:t>
      </w:r>
    </w:p>
    <w:p>
      <w:pPr>
        <w:pStyle w:val="BodyText1spaceafter"/>
        <w:rPr>
          <w:color w:val="auto"/>
          <w:szCs w:val="20"/>
        </w:rPr>
      </w:pPr>
      <w:r>
        <w:rPr>
          <w:color w:val="auto"/>
          <w:szCs w:val="20"/>
        </w:rPr>
        <w:t>In general, the Commission has launched an ambitious simplification process intended to reduce complexity and administrative burden which will also contribute to bringing the risk of error further down.</w:t>
      </w:r>
    </w:p>
    <w:p>
      <w:pPr>
        <w:pStyle w:val="Annex4-H3"/>
      </w:pPr>
      <w:bookmarkStart w:id="154" w:name="_Toc484626494"/>
      <w:bookmarkStart w:id="155" w:name="_Toc512866536"/>
      <w:bookmarkStart w:id="156" w:name="_Toc8386208"/>
      <w:r>
        <w:t>2.4.</w:t>
      </w:r>
      <w:r>
        <w:tab/>
        <w:t>Cumulative figures</w:t>
      </w:r>
      <w:bookmarkEnd w:id="154"/>
      <w:bookmarkEnd w:id="155"/>
      <w:bookmarkEnd w:id="156"/>
    </w:p>
    <w:p>
      <w:pPr>
        <w:pStyle w:val="BodyText1spaceafter"/>
        <w:keepNext/>
        <w:rPr>
          <w:rStyle w:val="AMPRTextChar"/>
          <w:rFonts w:eastAsia="Calibri" w:cs="Arial"/>
        </w:rPr>
      </w:pPr>
      <w:r>
        <w:t xml:space="preserve">Concerning </w:t>
      </w:r>
      <w:r>
        <w:rPr>
          <w:rStyle w:val="BOLDORANGEAnnexes"/>
        </w:rPr>
        <w:t>European Agricultural Guarantee Fund</w:t>
      </w:r>
      <w:r>
        <w:t>, the average correction rate per financial year for the period 1999-2018 has been 1.7% of expenditure. Once decided by the Commission, the corrections are automatically implemented unless a Member State has been granted the possibility of paying in three annual instalments</w:t>
      </w:r>
      <w:r>
        <w:rPr>
          <w:rStyle w:val="AMPRTextChar"/>
          <w:rFonts w:eastAsia="Calibri" w:cs="Arial"/>
        </w:rPr>
        <w:t>.</w:t>
      </w:r>
    </w:p>
    <w:tbl>
      <w:tblPr>
        <w:tblW w:w="9070" w:type="dxa"/>
        <w:jc w:val="center"/>
        <w:tblLook w:val="04A0" w:firstRow="1" w:lastRow="0" w:firstColumn="1" w:lastColumn="0" w:noHBand="0" w:noVBand="1"/>
      </w:tblPr>
      <w:tblGrid>
        <w:gridCol w:w="1537"/>
        <w:gridCol w:w="1384"/>
        <w:gridCol w:w="1691"/>
        <w:gridCol w:w="1390"/>
        <w:gridCol w:w="1536"/>
        <w:gridCol w:w="1532"/>
      </w:tblGrid>
      <w:tr>
        <w:trPr>
          <w:trHeight w:val="999"/>
          <w:jc w:val="center"/>
        </w:trPr>
        <w:tc>
          <w:tcPr>
            <w:tcW w:w="1418" w:type="dxa"/>
            <w:tcBorders>
              <w:top w:val="single" w:sz="8" w:space="0" w:color="auto"/>
              <w:left w:val="single" w:sz="8" w:space="0" w:color="auto"/>
              <w:bottom w:val="single" w:sz="8" w:space="0" w:color="auto"/>
              <w:right w:val="nil"/>
            </w:tcBorders>
            <w:shd w:val="clear" w:color="auto" w:fill="E48C32"/>
            <w:vAlign w:val="center"/>
            <w:hideMark/>
          </w:tcPr>
          <w:p>
            <w:pPr>
              <w:keepNext/>
              <w:rPr>
                <w:rFonts w:asciiTheme="minorHAnsi" w:hAnsiTheme="minorHAnsi"/>
                <w:b/>
                <w:noProof/>
                <w:color w:val="FFFFFF"/>
                <w:sz w:val="18"/>
                <w:szCs w:val="16"/>
              </w:rPr>
            </w:pPr>
            <w:r>
              <w:rPr>
                <w:rFonts w:asciiTheme="minorHAnsi" w:hAnsiTheme="minorHAnsi"/>
                <w:b/>
                <w:noProof/>
                <w:color w:val="FFFFFF"/>
                <w:sz w:val="18"/>
                <w:szCs w:val="16"/>
              </w:rPr>
              <w:t>Member State</w:t>
            </w:r>
          </w:p>
        </w:tc>
        <w:tc>
          <w:tcPr>
            <w:tcW w:w="1276" w:type="dxa"/>
            <w:tcBorders>
              <w:top w:val="single" w:sz="8" w:space="0" w:color="auto"/>
              <w:left w:val="single" w:sz="8" w:space="0" w:color="auto"/>
              <w:bottom w:val="single" w:sz="8" w:space="0" w:color="auto"/>
              <w:right w:val="single" w:sz="8" w:space="0" w:color="auto"/>
            </w:tcBorders>
            <w:shd w:val="clear" w:color="auto" w:fill="E48C32"/>
            <w:vAlign w:val="center"/>
            <w:hideMark/>
          </w:tcPr>
          <w:p>
            <w:pPr>
              <w:keepNext/>
              <w:jc w:val="center"/>
              <w:rPr>
                <w:rFonts w:asciiTheme="minorHAnsi" w:hAnsiTheme="minorHAnsi"/>
                <w:b/>
                <w:noProof/>
                <w:color w:val="FFFFFF"/>
                <w:sz w:val="18"/>
                <w:szCs w:val="16"/>
              </w:rPr>
            </w:pPr>
            <w:r>
              <w:rPr>
                <w:rFonts w:asciiTheme="minorHAnsi" w:hAnsiTheme="minorHAnsi"/>
                <w:b/>
                <w:noProof/>
                <w:color w:val="FFFFFF"/>
                <w:sz w:val="18"/>
                <w:szCs w:val="16"/>
              </w:rPr>
              <w:t>European Agricultural Guarantee Fund payments received from EU budget</w:t>
            </w:r>
          </w:p>
        </w:tc>
        <w:tc>
          <w:tcPr>
            <w:tcW w:w="1559" w:type="dxa"/>
            <w:tcBorders>
              <w:top w:val="single" w:sz="8" w:space="0" w:color="auto"/>
              <w:left w:val="nil"/>
              <w:bottom w:val="single" w:sz="8" w:space="0" w:color="auto"/>
              <w:right w:val="single" w:sz="8" w:space="0" w:color="auto"/>
            </w:tcBorders>
            <w:shd w:val="clear" w:color="auto" w:fill="E48C32"/>
            <w:vAlign w:val="center"/>
            <w:hideMark/>
          </w:tcPr>
          <w:p>
            <w:pPr>
              <w:keepNext/>
              <w:jc w:val="center"/>
              <w:rPr>
                <w:rFonts w:asciiTheme="minorHAnsi" w:hAnsiTheme="minorHAnsi"/>
                <w:b/>
                <w:noProof/>
                <w:color w:val="FFFFFF"/>
                <w:sz w:val="18"/>
                <w:szCs w:val="16"/>
              </w:rPr>
            </w:pPr>
            <w:r>
              <w:rPr>
                <w:rFonts w:asciiTheme="minorHAnsi" w:hAnsiTheme="minorHAnsi"/>
                <w:b/>
                <w:noProof/>
                <w:color w:val="FFFFFF"/>
                <w:sz w:val="18"/>
                <w:szCs w:val="16"/>
              </w:rPr>
              <w:t>% of payments received as compared to total payments</w:t>
            </w:r>
          </w:p>
        </w:tc>
        <w:tc>
          <w:tcPr>
            <w:tcW w:w="1282" w:type="dxa"/>
            <w:tcBorders>
              <w:top w:val="single" w:sz="8" w:space="0" w:color="auto"/>
              <w:left w:val="nil"/>
              <w:bottom w:val="single" w:sz="8" w:space="0" w:color="auto"/>
              <w:right w:val="single" w:sz="8" w:space="0" w:color="auto"/>
            </w:tcBorders>
            <w:shd w:val="clear" w:color="auto" w:fill="E48C32"/>
            <w:vAlign w:val="center"/>
            <w:hideMark/>
          </w:tcPr>
          <w:p>
            <w:pPr>
              <w:keepNext/>
              <w:autoSpaceDE w:val="0"/>
              <w:autoSpaceDN w:val="0"/>
              <w:adjustRightInd w:val="0"/>
              <w:jc w:val="center"/>
              <w:rPr>
                <w:rFonts w:asciiTheme="minorHAnsi" w:eastAsia="Calibri" w:hAnsiTheme="minorHAnsi"/>
                <w:b/>
                <w:noProof/>
                <w:color w:val="FFFFFF"/>
                <w:sz w:val="18"/>
                <w:szCs w:val="16"/>
              </w:rPr>
            </w:pPr>
            <w:r>
              <w:rPr>
                <w:rFonts w:asciiTheme="minorHAnsi" w:eastAsia="Calibri" w:hAnsiTheme="minorHAnsi"/>
                <w:b/>
                <w:noProof/>
                <w:color w:val="FFFFFF"/>
                <w:sz w:val="18"/>
                <w:szCs w:val="16"/>
              </w:rPr>
              <w:t>Cumulated European Agricultural Guarantee Fund financial corrections at end 2018</w:t>
            </w:r>
          </w:p>
        </w:tc>
        <w:tc>
          <w:tcPr>
            <w:tcW w:w="1416" w:type="dxa"/>
            <w:tcBorders>
              <w:top w:val="single" w:sz="8" w:space="0" w:color="auto"/>
              <w:left w:val="nil"/>
              <w:bottom w:val="single" w:sz="8" w:space="0" w:color="auto"/>
              <w:right w:val="single" w:sz="8" w:space="0" w:color="auto"/>
            </w:tcBorders>
            <w:shd w:val="clear" w:color="auto" w:fill="E48C32"/>
            <w:vAlign w:val="center"/>
            <w:hideMark/>
          </w:tcPr>
          <w:p>
            <w:pPr>
              <w:keepNext/>
              <w:jc w:val="center"/>
              <w:rPr>
                <w:rFonts w:asciiTheme="minorHAnsi" w:hAnsiTheme="minorHAnsi"/>
                <w:b/>
                <w:noProof/>
                <w:color w:val="FFFFFF"/>
                <w:sz w:val="18"/>
                <w:szCs w:val="16"/>
              </w:rPr>
            </w:pPr>
            <w:r>
              <w:rPr>
                <w:rFonts w:asciiTheme="minorHAnsi" w:hAnsiTheme="minorHAnsi"/>
                <w:b/>
                <w:noProof/>
                <w:color w:val="FFFFFF"/>
                <w:sz w:val="18"/>
                <w:szCs w:val="16"/>
              </w:rPr>
              <w:t>% as compared to payments received from EU budget</w:t>
            </w:r>
          </w:p>
        </w:tc>
        <w:tc>
          <w:tcPr>
            <w:tcW w:w="1413" w:type="dxa"/>
            <w:tcBorders>
              <w:top w:val="single" w:sz="8" w:space="0" w:color="auto"/>
              <w:left w:val="nil"/>
              <w:bottom w:val="single" w:sz="8" w:space="0" w:color="auto"/>
              <w:right w:val="single" w:sz="8" w:space="0" w:color="auto"/>
            </w:tcBorders>
            <w:shd w:val="clear" w:color="auto" w:fill="E48C32"/>
            <w:vAlign w:val="center"/>
            <w:hideMark/>
          </w:tcPr>
          <w:p>
            <w:pPr>
              <w:keepNext/>
              <w:jc w:val="center"/>
              <w:rPr>
                <w:rFonts w:asciiTheme="minorHAnsi" w:hAnsiTheme="minorHAnsi"/>
                <w:b/>
                <w:noProof/>
                <w:color w:val="FFFFFF"/>
                <w:sz w:val="18"/>
                <w:szCs w:val="16"/>
              </w:rPr>
            </w:pPr>
            <w:r>
              <w:rPr>
                <w:rFonts w:asciiTheme="minorHAnsi" w:hAnsiTheme="minorHAnsi"/>
                <w:b/>
                <w:noProof/>
                <w:color w:val="FFFFFF"/>
                <w:sz w:val="18"/>
                <w:szCs w:val="16"/>
              </w:rPr>
              <w:t>% as compared to total amount of financial corrections</w:t>
            </w:r>
          </w:p>
        </w:tc>
      </w:tr>
      <w:tr>
        <w:trPr>
          <w:trHeight w:val="183"/>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Belgium</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14 605</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1.8</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67</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0.5</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0.5</w:t>
            </w:r>
          </w:p>
        </w:tc>
      </w:tr>
      <w:tr>
        <w:trPr>
          <w:trHeight w:val="93"/>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Bulgaria</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5 630</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0.7</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79</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1.4</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0.6</w:t>
            </w:r>
          </w:p>
        </w:tc>
      </w:tr>
      <w:tr>
        <w:trPr>
          <w:trHeight w:val="153"/>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Czechia</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9 114</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1.1</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42</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0.5</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0.3</w:t>
            </w:r>
          </w:p>
        </w:tc>
      </w:tr>
      <w:tr>
        <w:trPr>
          <w:trHeight w:val="227"/>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Denmark</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20 795</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2.5</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196</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0.9</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1.4</w:t>
            </w:r>
          </w:p>
        </w:tc>
      </w:tr>
      <w:tr>
        <w:trPr>
          <w:trHeight w:val="131"/>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Germany</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107 985</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13.0</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203</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0.2</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1.4</w:t>
            </w:r>
          </w:p>
        </w:tc>
      </w:tr>
      <w:tr>
        <w:trPr>
          <w:trHeight w:val="205"/>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Estonia</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1 117</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0.1</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1</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0.1</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0.0</w:t>
            </w:r>
          </w:p>
        </w:tc>
      </w:tr>
      <w:tr>
        <w:trPr>
          <w:trHeight w:val="123"/>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Ireland</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25 623</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3.1</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109</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0.4</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0.8</w:t>
            </w:r>
          </w:p>
        </w:tc>
      </w:tr>
      <w:tr>
        <w:trPr>
          <w:trHeight w:val="169"/>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Greece</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49 011</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5.9</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2 907</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5.9</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20.2</w:t>
            </w:r>
          </w:p>
        </w:tc>
      </w:tr>
      <w:tr>
        <w:trPr>
          <w:trHeight w:val="229"/>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Spain</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113 023</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13.6</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1 910</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1.7</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13.3</w:t>
            </w:r>
          </w:p>
        </w:tc>
      </w:tr>
      <w:tr>
        <w:trPr>
          <w:trHeight w:val="147"/>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France</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172 400</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20.8</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3 420</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2.0</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23.7</w:t>
            </w:r>
          </w:p>
        </w:tc>
      </w:tr>
      <w:tr>
        <w:trPr>
          <w:trHeight w:val="65"/>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Croatia</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 xml:space="preserve"> 902</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0.1</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0</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0.0</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0.0</w:t>
            </w:r>
          </w:p>
        </w:tc>
      </w:tr>
      <w:tr>
        <w:trPr>
          <w:trHeight w:val="125"/>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Italy</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90 496</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10.9</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2 503</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2.8</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17.</w:t>
            </w:r>
          </w:p>
        </w:tc>
      </w:tr>
      <w:tr>
        <w:trPr>
          <w:trHeight w:val="186"/>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Cyprus</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 xml:space="preserve"> 626</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0.1</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11</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1.8</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0.1</w:t>
            </w:r>
          </w:p>
        </w:tc>
      </w:tr>
      <w:tr>
        <w:trPr>
          <w:trHeight w:val="63"/>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Latvia</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1 711</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0.2</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1</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0.0</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0.0</w:t>
            </w:r>
          </w:p>
        </w:tc>
      </w:tr>
      <w:tr>
        <w:trPr>
          <w:trHeight w:val="163"/>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Lithuania</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4 271</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0.5</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26</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0.6</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0.2</w:t>
            </w:r>
          </w:p>
        </w:tc>
      </w:tr>
      <w:tr>
        <w:trPr>
          <w:trHeight w:val="223"/>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Luxembourg</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 xml:space="preserve"> 624</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0.1</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6</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0.9</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0.0</w:t>
            </w:r>
          </w:p>
        </w:tc>
      </w:tr>
      <w:tr>
        <w:trPr>
          <w:trHeight w:val="141"/>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Hungary</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13 903</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1.7</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134</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1.0</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0.9</w:t>
            </w:r>
          </w:p>
        </w:tc>
      </w:tr>
      <w:tr>
        <w:trPr>
          <w:trHeight w:val="202"/>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Malta</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 xml:space="preserve"> 54</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0.0</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0</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0.2</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0.0</w:t>
            </w:r>
          </w:p>
        </w:tc>
      </w:tr>
      <w:tr>
        <w:trPr>
          <w:trHeight w:val="119"/>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Netherlands</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20 485</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2.5</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252</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1.2</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1.7</w:t>
            </w:r>
          </w:p>
        </w:tc>
      </w:tr>
      <w:tr>
        <w:trPr>
          <w:trHeight w:val="179"/>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Austria</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14 050</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1.7</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24</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0.2</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0.2</w:t>
            </w:r>
          </w:p>
        </w:tc>
      </w:tr>
      <w:tr>
        <w:trPr>
          <w:trHeight w:val="97"/>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Poland</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34 031</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4.1</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375</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1.1</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2.6</w:t>
            </w:r>
          </w:p>
        </w:tc>
      </w:tr>
      <w:tr>
        <w:trPr>
          <w:trHeight w:val="157"/>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Portugal</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14 052</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1.7</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402</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2.9</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2.8</w:t>
            </w:r>
          </w:p>
        </w:tc>
      </w:tr>
      <w:tr>
        <w:trPr>
          <w:trHeight w:val="218"/>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Romania</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12 790</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1.5</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158</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1.2</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1.1</w:t>
            </w:r>
          </w:p>
        </w:tc>
      </w:tr>
      <w:tr>
        <w:trPr>
          <w:trHeight w:val="135"/>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Slovenia</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1 339</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0.2</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20</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1.5</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0.1</w:t>
            </w:r>
          </w:p>
        </w:tc>
      </w:tr>
      <w:tr>
        <w:trPr>
          <w:trHeight w:val="63"/>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Slovakia</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4 227</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0.5</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18</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0.4</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0.1</w:t>
            </w:r>
          </w:p>
        </w:tc>
      </w:tr>
      <w:tr>
        <w:trPr>
          <w:trHeight w:val="255"/>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Finland</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10 580</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1.3</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37</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0.3</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0.3</w:t>
            </w:r>
          </w:p>
        </w:tc>
      </w:tr>
      <w:tr>
        <w:trPr>
          <w:trHeight w:val="145"/>
          <w:jc w:val="center"/>
        </w:trPr>
        <w:tc>
          <w:tcPr>
            <w:tcW w:w="1418" w:type="dxa"/>
            <w:tcBorders>
              <w:top w:val="nil"/>
              <w:left w:val="single" w:sz="8" w:space="0" w:color="auto"/>
              <w:bottom w:val="nil"/>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Sweden</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14 029</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1.7</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 xml:space="preserve"> 137</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1.0</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1.0</w:t>
            </w:r>
          </w:p>
        </w:tc>
      </w:tr>
      <w:tr>
        <w:trPr>
          <w:trHeight w:val="142"/>
          <w:jc w:val="center"/>
        </w:trPr>
        <w:tc>
          <w:tcPr>
            <w:tcW w:w="1418" w:type="dxa"/>
            <w:tcBorders>
              <w:top w:val="nil"/>
              <w:left w:val="single" w:sz="8" w:space="0" w:color="auto"/>
              <w:bottom w:val="single" w:sz="8" w:space="0" w:color="auto"/>
              <w:right w:val="nil"/>
            </w:tcBorders>
            <w:shd w:val="clear" w:color="auto" w:fill="auto"/>
            <w:noWrap/>
            <w:vAlign w:val="center"/>
            <w:hideMark/>
          </w:tcPr>
          <w:p>
            <w:pPr>
              <w:keepNext/>
              <w:autoSpaceDE w:val="0"/>
              <w:autoSpaceDN w:val="0"/>
              <w:adjustRightInd w:val="0"/>
              <w:rPr>
                <w:rFonts w:asciiTheme="minorHAnsi" w:eastAsia="Calibri" w:hAnsiTheme="minorHAnsi" w:cs="Arial"/>
                <w:noProof/>
                <w:color w:val="000000"/>
                <w:sz w:val="18"/>
                <w:szCs w:val="16"/>
              </w:rPr>
            </w:pPr>
            <w:r>
              <w:rPr>
                <w:rFonts w:asciiTheme="minorHAnsi" w:eastAsia="Calibri" w:hAnsiTheme="minorHAnsi" w:cs="Arial"/>
                <w:noProof/>
                <w:color w:val="000000"/>
                <w:sz w:val="18"/>
                <w:szCs w:val="16"/>
              </w:rPr>
              <w:t>United Kingdom</w:t>
            </w:r>
          </w:p>
        </w:tc>
        <w:tc>
          <w:tcPr>
            <w:tcW w:w="1276" w:type="dxa"/>
            <w:tcBorders>
              <w:top w:val="nil"/>
              <w:left w:val="single" w:sz="8" w:space="0" w:color="auto"/>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noProof/>
                <w:color w:val="000000"/>
                <w:sz w:val="18"/>
                <w:szCs w:val="16"/>
              </w:rPr>
            </w:pPr>
            <w:r>
              <w:rPr>
                <w:rFonts w:asciiTheme="minorHAnsi" w:hAnsiTheme="minorHAnsi" w:cs="Arial"/>
                <w:noProof/>
                <w:color w:val="000000"/>
                <w:sz w:val="18"/>
                <w:szCs w:val="16"/>
              </w:rPr>
              <w:t>70 863</w:t>
            </w:r>
          </w:p>
        </w:tc>
        <w:tc>
          <w:tcPr>
            <w:tcW w:w="1559" w:type="dxa"/>
            <w:tcBorders>
              <w:top w:val="nil"/>
              <w:left w:val="nil"/>
              <w:bottom w:val="nil"/>
              <w:right w:val="single" w:sz="8" w:space="0" w:color="auto"/>
            </w:tcBorders>
            <w:shd w:val="clear" w:color="auto" w:fill="auto"/>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8.6</w:t>
            </w:r>
          </w:p>
        </w:tc>
        <w:tc>
          <w:tcPr>
            <w:tcW w:w="1282" w:type="dxa"/>
            <w:tcBorders>
              <w:top w:val="nil"/>
              <w:left w:val="nil"/>
              <w:bottom w:val="nil"/>
              <w:right w:val="single" w:sz="8" w:space="0" w:color="auto"/>
            </w:tcBorders>
            <w:shd w:val="clear" w:color="auto" w:fill="auto"/>
            <w:noWrap/>
            <w:vAlign w:val="center"/>
          </w:tcPr>
          <w:p>
            <w:pPr>
              <w:keepNext/>
              <w:autoSpaceDE w:val="0"/>
              <w:autoSpaceDN w:val="0"/>
              <w:adjustRightInd w:val="0"/>
              <w:jc w:val="right"/>
              <w:rPr>
                <w:rFonts w:asciiTheme="minorHAnsi" w:eastAsia="Calibri" w:hAnsiTheme="minorHAnsi" w:cs="Arial"/>
                <w:noProof/>
                <w:sz w:val="18"/>
                <w:szCs w:val="16"/>
              </w:rPr>
            </w:pPr>
            <w:r>
              <w:rPr>
                <w:rFonts w:asciiTheme="minorHAnsi" w:hAnsiTheme="minorHAnsi" w:cs="Arial"/>
                <w:noProof/>
                <w:color w:val="000000"/>
                <w:sz w:val="18"/>
                <w:szCs w:val="16"/>
              </w:rPr>
              <w:t>1 371</w:t>
            </w:r>
          </w:p>
        </w:tc>
        <w:tc>
          <w:tcPr>
            <w:tcW w:w="1416" w:type="dxa"/>
            <w:tcBorders>
              <w:top w:val="nil"/>
              <w:left w:val="nil"/>
              <w:bottom w:val="nil"/>
              <w:right w:val="single" w:sz="8" w:space="0" w:color="auto"/>
            </w:tcBorders>
            <w:shd w:val="clear" w:color="auto" w:fill="auto"/>
            <w:noWrap/>
          </w:tcPr>
          <w:p>
            <w:pPr>
              <w:keepNext/>
              <w:autoSpaceDE w:val="0"/>
              <w:autoSpaceDN w:val="0"/>
              <w:adjustRightInd w:val="0"/>
              <w:jc w:val="right"/>
              <w:rPr>
                <w:rFonts w:asciiTheme="minorHAnsi" w:eastAsia="Calibri" w:hAnsiTheme="minorHAnsi" w:cs="Arial"/>
                <w:i/>
                <w:noProof/>
                <w:color w:val="000000"/>
                <w:sz w:val="18"/>
                <w:szCs w:val="16"/>
              </w:rPr>
            </w:pPr>
            <w:r>
              <w:rPr>
                <w:rFonts w:asciiTheme="minorHAnsi" w:hAnsiTheme="minorHAnsi" w:cs="Arial"/>
                <w:i/>
                <w:iCs/>
                <w:noProof/>
                <w:color w:val="000000"/>
                <w:sz w:val="18"/>
                <w:szCs w:val="16"/>
              </w:rPr>
              <w:t>1.9</w:t>
            </w:r>
          </w:p>
        </w:tc>
        <w:tc>
          <w:tcPr>
            <w:tcW w:w="1413" w:type="dxa"/>
            <w:tcBorders>
              <w:top w:val="nil"/>
              <w:left w:val="nil"/>
              <w:bottom w:val="nil"/>
              <w:right w:val="single" w:sz="8" w:space="0" w:color="auto"/>
            </w:tcBorders>
            <w:shd w:val="clear" w:color="auto" w:fill="auto"/>
            <w:vAlign w:val="center"/>
          </w:tcPr>
          <w:p>
            <w:pPr>
              <w:keepNext/>
              <w:autoSpaceDE w:val="0"/>
              <w:autoSpaceDN w:val="0"/>
              <w:adjustRightInd w:val="0"/>
              <w:jc w:val="right"/>
              <w:rPr>
                <w:rFonts w:asciiTheme="minorHAnsi" w:eastAsia="Calibri" w:hAnsiTheme="minorHAnsi" w:cs="Arial"/>
                <w:i/>
                <w:noProof/>
                <w:sz w:val="18"/>
                <w:szCs w:val="16"/>
              </w:rPr>
            </w:pPr>
            <w:r>
              <w:rPr>
                <w:rFonts w:asciiTheme="minorHAnsi" w:hAnsiTheme="minorHAnsi" w:cs="Arial"/>
                <w:i/>
                <w:iCs/>
                <w:noProof/>
                <w:color w:val="000000"/>
                <w:sz w:val="18"/>
                <w:szCs w:val="16"/>
              </w:rPr>
              <w:t>9.5</w:t>
            </w:r>
          </w:p>
        </w:tc>
      </w:tr>
      <w:tr>
        <w:trPr>
          <w:trHeight w:val="300"/>
          <w:jc w:val="center"/>
        </w:trPr>
        <w:tc>
          <w:tcPr>
            <w:tcW w:w="1418" w:type="dxa"/>
            <w:tcBorders>
              <w:top w:val="nil"/>
              <w:left w:val="single" w:sz="8" w:space="0" w:color="auto"/>
              <w:bottom w:val="single" w:sz="8" w:space="0" w:color="auto"/>
              <w:right w:val="nil"/>
            </w:tcBorders>
            <w:shd w:val="clear" w:color="auto" w:fill="D9D9D9"/>
            <w:noWrap/>
            <w:vAlign w:val="center"/>
            <w:hideMark/>
          </w:tcPr>
          <w:p>
            <w:pPr>
              <w:keepNext/>
              <w:autoSpaceDE w:val="0"/>
              <w:autoSpaceDN w:val="0"/>
              <w:adjustRightInd w:val="0"/>
              <w:rPr>
                <w:rFonts w:asciiTheme="minorHAnsi" w:eastAsia="Calibri" w:hAnsiTheme="minorHAnsi" w:cs="Arial"/>
                <w:b/>
                <w:noProof/>
                <w:color w:val="000000"/>
                <w:sz w:val="18"/>
                <w:szCs w:val="16"/>
              </w:rPr>
            </w:pPr>
            <w:r>
              <w:rPr>
                <w:rFonts w:asciiTheme="minorHAnsi" w:eastAsia="Calibri" w:hAnsiTheme="minorHAnsi" w:cs="Arial"/>
                <w:b/>
                <w:noProof/>
                <w:color w:val="000000"/>
                <w:sz w:val="18"/>
                <w:szCs w:val="16"/>
              </w:rPr>
              <w:t>Total</w:t>
            </w:r>
          </w:p>
        </w:tc>
        <w:tc>
          <w:tcPr>
            <w:tcW w:w="1276" w:type="dxa"/>
            <w:tcBorders>
              <w:top w:val="single" w:sz="8" w:space="0" w:color="000000"/>
              <w:left w:val="single" w:sz="8" w:space="0" w:color="auto"/>
              <w:bottom w:val="single" w:sz="8" w:space="0" w:color="auto"/>
              <w:right w:val="single" w:sz="8" w:space="0" w:color="auto"/>
            </w:tcBorders>
            <w:shd w:val="clear" w:color="auto" w:fill="D9D9D9"/>
            <w:noWrap/>
            <w:vAlign w:val="center"/>
          </w:tcPr>
          <w:p>
            <w:pPr>
              <w:keepNext/>
              <w:autoSpaceDE w:val="0"/>
              <w:autoSpaceDN w:val="0"/>
              <w:adjustRightInd w:val="0"/>
              <w:jc w:val="right"/>
              <w:rPr>
                <w:rFonts w:asciiTheme="minorHAnsi" w:hAnsiTheme="minorHAnsi" w:cs="Arial"/>
                <w:b/>
                <w:bCs/>
                <w:noProof/>
                <w:color w:val="000000"/>
                <w:sz w:val="18"/>
                <w:szCs w:val="16"/>
              </w:rPr>
            </w:pPr>
            <w:r>
              <w:rPr>
                <w:rFonts w:asciiTheme="minorHAnsi" w:hAnsiTheme="minorHAnsi" w:cs="Arial"/>
                <w:b/>
                <w:bCs/>
                <w:noProof/>
                <w:color w:val="000000"/>
                <w:sz w:val="18"/>
                <w:szCs w:val="16"/>
              </w:rPr>
              <w:t>828 336</w:t>
            </w:r>
          </w:p>
        </w:tc>
        <w:tc>
          <w:tcPr>
            <w:tcW w:w="1559" w:type="dxa"/>
            <w:tcBorders>
              <w:top w:val="single" w:sz="8" w:space="0" w:color="auto"/>
              <w:left w:val="nil"/>
              <w:bottom w:val="single" w:sz="8" w:space="0" w:color="auto"/>
              <w:right w:val="single" w:sz="8" w:space="0" w:color="auto"/>
            </w:tcBorders>
            <w:shd w:val="clear" w:color="auto" w:fill="D9D9D9"/>
            <w:vAlign w:val="center"/>
          </w:tcPr>
          <w:p>
            <w:pPr>
              <w:keepNext/>
              <w:autoSpaceDE w:val="0"/>
              <w:autoSpaceDN w:val="0"/>
              <w:adjustRightInd w:val="0"/>
              <w:jc w:val="right"/>
              <w:rPr>
                <w:rFonts w:asciiTheme="minorHAnsi" w:eastAsia="Calibri" w:hAnsiTheme="minorHAnsi" w:cs="Arial"/>
                <w:b/>
                <w:i/>
                <w:noProof/>
                <w:color w:val="000000"/>
                <w:sz w:val="18"/>
                <w:szCs w:val="16"/>
              </w:rPr>
            </w:pPr>
            <w:r>
              <w:rPr>
                <w:rFonts w:asciiTheme="minorHAnsi" w:hAnsiTheme="minorHAnsi" w:cs="Arial"/>
                <w:b/>
                <w:bCs/>
                <w:i/>
                <w:iCs/>
                <w:noProof/>
                <w:color w:val="000000"/>
                <w:sz w:val="18"/>
                <w:szCs w:val="16"/>
              </w:rPr>
              <w:t>100.0</w:t>
            </w:r>
          </w:p>
        </w:tc>
        <w:tc>
          <w:tcPr>
            <w:tcW w:w="1282" w:type="dxa"/>
            <w:tcBorders>
              <w:top w:val="single" w:sz="8" w:space="0" w:color="000000"/>
              <w:left w:val="nil"/>
              <w:bottom w:val="single" w:sz="8" w:space="0" w:color="auto"/>
              <w:right w:val="single" w:sz="8" w:space="0" w:color="auto"/>
            </w:tcBorders>
            <w:shd w:val="clear" w:color="auto" w:fill="D9D9D9"/>
            <w:noWrap/>
            <w:vAlign w:val="center"/>
          </w:tcPr>
          <w:p>
            <w:pPr>
              <w:keepNext/>
              <w:autoSpaceDE w:val="0"/>
              <w:autoSpaceDN w:val="0"/>
              <w:adjustRightInd w:val="0"/>
              <w:jc w:val="right"/>
              <w:rPr>
                <w:rFonts w:asciiTheme="minorHAnsi" w:eastAsia="Calibri" w:hAnsiTheme="minorHAnsi" w:cs="Arial"/>
                <w:b/>
                <w:noProof/>
                <w:sz w:val="18"/>
                <w:szCs w:val="16"/>
              </w:rPr>
            </w:pPr>
            <w:r>
              <w:rPr>
                <w:rFonts w:asciiTheme="minorHAnsi" w:hAnsiTheme="minorHAnsi" w:cs="Arial"/>
                <w:b/>
                <w:bCs/>
                <w:noProof/>
                <w:color w:val="000000"/>
                <w:sz w:val="18"/>
                <w:szCs w:val="16"/>
              </w:rPr>
              <w:t>14 410</w:t>
            </w:r>
          </w:p>
        </w:tc>
        <w:tc>
          <w:tcPr>
            <w:tcW w:w="1416" w:type="dxa"/>
            <w:tcBorders>
              <w:top w:val="single" w:sz="8" w:space="0" w:color="auto"/>
              <w:left w:val="nil"/>
              <w:bottom w:val="single" w:sz="8" w:space="0" w:color="auto"/>
              <w:right w:val="single" w:sz="8" w:space="0" w:color="auto"/>
            </w:tcBorders>
            <w:shd w:val="clear" w:color="auto" w:fill="D9D9D9"/>
            <w:noWrap/>
            <w:vAlign w:val="center"/>
          </w:tcPr>
          <w:p>
            <w:pPr>
              <w:keepNext/>
              <w:autoSpaceDE w:val="0"/>
              <w:autoSpaceDN w:val="0"/>
              <w:adjustRightInd w:val="0"/>
              <w:jc w:val="right"/>
              <w:rPr>
                <w:rFonts w:asciiTheme="minorHAnsi" w:eastAsia="Calibri" w:hAnsiTheme="minorHAnsi" w:cs="Arial"/>
                <w:b/>
                <w:i/>
                <w:noProof/>
                <w:color w:val="000000"/>
                <w:sz w:val="18"/>
                <w:szCs w:val="16"/>
              </w:rPr>
            </w:pPr>
            <w:r>
              <w:rPr>
                <w:rFonts w:asciiTheme="minorHAnsi" w:hAnsiTheme="minorHAnsi" w:cs="Arial"/>
                <w:b/>
                <w:bCs/>
                <w:i/>
                <w:iCs/>
                <w:noProof/>
                <w:color w:val="000000"/>
                <w:sz w:val="18"/>
                <w:szCs w:val="16"/>
              </w:rPr>
              <w:t>1.7</w:t>
            </w:r>
          </w:p>
        </w:tc>
        <w:tc>
          <w:tcPr>
            <w:tcW w:w="1413" w:type="dxa"/>
            <w:tcBorders>
              <w:top w:val="single" w:sz="8" w:space="0" w:color="auto"/>
              <w:left w:val="nil"/>
              <w:bottom w:val="single" w:sz="8" w:space="0" w:color="auto"/>
              <w:right w:val="single" w:sz="8" w:space="0" w:color="auto"/>
            </w:tcBorders>
            <w:shd w:val="clear" w:color="auto" w:fill="D9D9D9"/>
            <w:vAlign w:val="center"/>
          </w:tcPr>
          <w:p>
            <w:pPr>
              <w:keepNext/>
              <w:autoSpaceDE w:val="0"/>
              <w:autoSpaceDN w:val="0"/>
              <w:adjustRightInd w:val="0"/>
              <w:ind w:left="-250" w:firstLine="250"/>
              <w:jc w:val="right"/>
              <w:rPr>
                <w:rFonts w:asciiTheme="minorHAnsi" w:eastAsia="Calibri" w:hAnsiTheme="minorHAnsi" w:cs="Arial"/>
                <w:b/>
                <w:i/>
                <w:noProof/>
                <w:sz w:val="18"/>
                <w:szCs w:val="16"/>
              </w:rPr>
            </w:pPr>
            <w:r>
              <w:rPr>
                <w:rFonts w:asciiTheme="minorHAnsi" w:hAnsiTheme="minorHAnsi" w:cs="Arial"/>
                <w:b/>
                <w:bCs/>
                <w:i/>
                <w:iCs/>
                <w:noProof/>
                <w:color w:val="000000"/>
                <w:sz w:val="18"/>
                <w:szCs w:val="16"/>
              </w:rPr>
              <w:t>100.0</w:t>
            </w:r>
          </w:p>
        </w:tc>
      </w:tr>
    </w:tbl>
    <w:p>
      <w:pPr>
        <w:pStyle w:val="Source-Table-Chart-PhotoCaption"/>
        <w:rPr>
          <w:noProof/>
        </w:rPr>
      </w:pPr>
      <w:r>
        <w:rPr>
          <w:rStyle w:val="italics"/>
          <w:noProof/>
        </w:rPr>
        <w:t>Table 2.4:</w:t>
      </w:r>
      <w:r>
        <w:rPr>
          <w:noProof/>
        </w:rPr>
        <w:t xml:space="preserve"> European Agricultural Guarantee Fund Cumulative financial corrections decided under conformity clearance of accounts from 1999 to end 2018; Breakdown by Member State in EUR</w:t>
      </w:r>
      <w:r>
        <w:rPr>
          <w:rFonts w:ascii="Arial" w:hAnsi="Arial" w:cs="Arial"/>
          <w:noProof/>
        </w:rPr>
        <w:t> </w:t>
      </w:r>
      <w:r>
        <w:rPr>
          <w:noProof/>
        </w:rPr>
        <w:t>million</w:t>
      </w:r>
    </w:p>
    <w:p>
      <w:pPr>
        <w:rPr>
          <w:rFonts w:eastAsia="Calibri"/>
          <w:b/>
          <w:i/>
          <w:noProof/>
        </w:rPr>
      </w:pPr>
    </w:p>
    <w:p>
      <w:pPr>
        <w:pStyle w:val="Source-Table-Chart-PhotoCaption"/>
        <w:rPr>
          <w:noProof/>
        </w:rPr>
      </w:pPr>
      <w:bookmarkStart w:id="157" w:name="_Toc456258169"/>
      <w:bookmarkStart w:id="158" w:name="_Toc456686577"/>
      <w:r>
        <w:rPr>
          <w:noProof/>
          <w:lang w:eastAsia="en-GB"/>
        </w:rPr>
        <w:drawing>
          <wp:inline distT="0" distB="0" distL="0" distR="0">
            <wp:extent cx="5759450" cy="3637280"/>
            <wp:effectExtent l="0" t="0" r="12700"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Pr>
          <w:rStyle w:val="italics"/>
          <w:noProof/>
        </w:rPr>
        <w:t>Chart 2.4:</w:t>
      </w:r>
      <w:r>
        <w:rPr>
          <w:noProof/>
        </w:rPr>
        <w:t xml:space="preserve"> European Agricultural Guarantee Fund cumulative financial corrections under conformity clearance of accounts from 1999 to end 2018 as compared to payments received from the EU Budget </w:t>
      </w:r>
    </w:p>
    <w:p>
      <w:pPr>
        <w:pStyle w:val="Annex4-H3"/>
      </w:pPr>
      <w:bookmarkStart w:id="159" w:name="_Toc484626495"/>
      <w:bookmarkStart w:id="160" w:name="_Toc512866537"/>
      <w:bookmarkStart w:id="161" w:name="_Toc8386209"/>
      <w:r>
        <w:t>2.5.</w:t>
      </w:r>
      <w:r>
        <w:tab/>
        <w:t>Member States corrections</w:t>
      </w:r>
      <w:bookmarkEnd w:id="157"/>
      <w:bookmarkEnd w:id="158"/>
      <w:bookmarkEnd w:id="159"/>
      <w:bookmarkEnd w:id="160"/>
      <w:bookmarkEnd w:id="161"/>
    </w:p>
    <w:p>
      <w:pPr>
        <w:pStyle w:val="AMPRText"/>
        <w:rPr>
          <w:rFonts w:eastAsia="Calibri" w:cs="Arial"/>
          <w:noProof/>
          <w:lang w:eastAsia="en-US"/>
        </w:rPr>
        <w:sectPr>
          <w:headerReference w:type="even" r:id="rId111"/>
          <w:headerReference w:type="default" r:id="rId112"/>
          <w:footerReference w:type="even" r:id="rId113"/>
          <w:footerReference w:type="default" r:id="rId114"/>
          <w:headerReference w:type="first" r:id="rId115"/>
          <w:footerReference w:type="first" r:id="rId116"/>
          <w:footnotePr>
            <w:numStart w:val="413"/>
          </w:footnotePr>
          <w:type w:val="continuous"/>
          <w:pgSz w:w="11906" w:h="16838" w:code="9"/>
          <w:pgMar w:top="1418" w:right="1418" w:bottom="1418" w:left="1418" w:header="635" w:footer="635" w:gutter="0"/>
          <w:cols w:space="720"/>
          <w:docGrid w:linePitch="360"/>
        </w:sectPr>
      </w:pPr>
    </w:p>
    <w:p>
      <w:pPr>
        <w:pStyle w:val="BodyText1spaceafter"/>
        <w:keepNext/>
        <w:rPr>
          <w:color w:val="auto"/>
          <w:szCs w:val="20"/>
        </w:rPr>
      </w:pPr>
      <w:r>
        <w:rPr>
          <w:color w:val="auto"/>
          <w:szCs w:val="20"/>
        </w:rPr>
        <w:t xml:space="preserve">Member States are required to put in place systems for </w:t>
      </w:r>
      <w:r>
        <w:rPr>
          <w:i/>
          <w:szCs w:val="20"/>
        </w:rPr>
        <w:t>ex</w:t>
      </w:r>
      <w:r>
        <w:rPr>
          <w:rFonts w:ascii="Calibri" w:hAnsi="Calibri"/>
          <w:i/>
          <w:szCs w:val="20"/>
        </w:rPr>
        <w:t> </w:t>
      </w:r>
      <w:r>
        <w:rPr>
          <w:i/>
          <w:szCs w:val="20"/>
        </w:rPr>
        <w:t>ante</w:t>
      </w:r>
      <w:r>
        <w:rPr>
          <w:color w:val="auto"/>
          <w:szCs w:val="20"/>
        </w:rPr>
        <w:t xml:space="preserve"> controls and reductions or exclusions of financing:</w:t>
      </w:r>
    </w:p>
    <w:p>
      <w:pPr>
        <w:pStyle w:val="BodyText1spaceafter"/>
        <w:numPr>
          <w:ilvl w:val="0"/>
          <w:numId w:val="41"/>
        </w:numPr>
        <w:spacing w:after="60"/>
        <w:rPr>
          <w:color w:val="auto"/>
          <w:szCs w:val="20"/>
        </w:rPr>
      </w:pPr>
      <w:r>
        <w:rPr>
          <w:color w:val="auto"/>
          <w:szCs w:val="20"/>
        </w:rPr>
        <w:t xml:space="preserve">For each aid support scheme </w:t>
      </w:r>
      <w:r>
        <w:rPr>
          <w:szCs w:val="20"/>
        </w:rPr>
        <w:t>financed</w:t>
      </w:r>
      <w:r>
        <w:rPr>
          <w:color w:val="auto"/>
          <w:szCs w:val="20"/>
        </w:rPr>
        <w:t xml:space="preserve"> by </w:t>
      </w:r>
      <w:r>
        <w:rPr>
          <w:rFonts w:eastAsia="Times New Roman"/>
          <w:bCs/>
          <w:color w:val="auto"/>
          <w:szCs w:val="20"/>
        </w:rPr>
        <w:t>European Agricultural Guarantee Fund</w:t>
      </w:r>
      <w:r>
        <w:rPr>
          <w:rFonts w:eastAsia="Times New Roman"/>
          <w:b/>
          <w:bCs/>
          <w:color w:val="auto"/>
          <w:szCs w:val="20"/>
        </w:rPr>
        <w:t xml:space="preserve"> </w:t>
      </w:r>
      <w:r>
        <w:rPr>
          <w:color w:val="auto"/>
          <w:szCs w:val="20"/>
        </w:rPr>
        <w:t xml:space="preserve">or </w:t>
      </w:r>
      <w:r>
        <w:rPr>
          <w:rFonts w:eastAsia="Times New Roman"/>
          <w:bCs/>
          <w:color w:val="auto"/>
          <w:szCs w:val="20"/>
        </w:rPr>
        <w:t>European Agricultural Fund for Rural Development</w:t>
      </w:r>
      <w:r>
        <w:rPr>
          <w:color w:val="auto"/>
          <w:szCs w:val="20"/>
        </w:rPr>
        <w:t xml:space="preserve">, </w:t>
      </w:r>
      <w:r>
        <w:rPr>
          <w:i/>
          <w:szCs w:val="20"/>
        </w:rPr>
        <w:t>ex</w:t>
      </w:r>
      <w:r>
        <w:rPr>
          <w:rFonts w:ascii="Calibri" w:hAnsi="Calibri"/>
          <w:i/>
          <w:szCs w:val="20"/>
        </w:rPr>
        <w:t> </w:t>
      </w:r>
      <w:r>
        <w:rPr>
          <w:i/>
          <w:szCs w:val="20"/>
        </w:rPr>
        <w:t>ante</w:t>
      </w:r>
      <w:r>
        <w:rPr>
          <w:color w:val="auto"/>
          <w:szCs w:val="20"/>
        </w:rPr>
        <w:t xml:space="preserve"> administrative and on-the-spot checks are performed and dissuasive sanctions are applied in case of non-compliance by the beneficiary. If on-the-spot checks reveal a high number of irregularities, additional controls must be carried out. </w:t>
      </w:r>
    </w:p>
    <w:p>
      <w:pPr>
        <w:pStyle w:val="BodyText1spaceafter"/>
        <w:numPr>
          <w:ilvl w:val="0"/>
          <w:numId w:val="41"/>
        </w:numPr>
        <w:spacing w:after="60"/>
        <w:rPr>
          <w:rStyle w:val="AMPRTextChar"/>
          <w:rFonts w:eastAsia="Calibri"/>
          <w:color w:val="auto"/>
          <w:sz w:val="20"/>
          <w:szCs w:val="20"/>
        </w:rPr>
      </w:pPr>
      <w:r>
        <w:rPr>
          <w:rStyle w:val="AMPRTextChar"/>
          <w:rFonts w:eastAsia="Calibri"/>
          <w:color w:val="auto"/>
          <w:sz w:val="20"/>
          <w:szCs w:val="20"/>
        </w:rPr>
        <w:t xml:space="preserve">In this context, the by far most important system is the Integrated Administration and Control System (IACS). The IACS covered in the financial year 2018 85.3% of </w:t>
      </w:r>
      <w:r>
        <w:rPr>
          <w:rFonts w:eastAsia="Times New Roman"/>
          <w:color w:val="auto"/>
          <w:szCs w:val="20"/>
        </w:rPr>
        <w:t>European Agricultural Guarantee Fund</w:t>
      </w:r>
      <w:r>
        <w:rPr>
          <w:rFonts w:eastAsia="Times New Roman"/>
          <w:b/>
          <w:bCs/>
          <w:color w:val="auto"/>
          <w:szCs w:val="20"/>
        </w:rPr>
        <w:t xml:space="preserve"> </w:t>
      </w:r>
      <w:r>
        <w:rPr>
          <w:rStyle w:val="AMPRTextChar"/>
          <w:rFonts w:eastAsia="Calibri"/>
          <w:color w:val="auto"/>
          <w:sz w:val="20"/>
          <w:szCs w:val="20"/>
        </w:rPr>
        <w:t>and Rural Development expenditure.</w:t>
      </w:r>
    </w:p>
    <w:p>
      <w:pPr>
        <w:pStyle w:val="BodyText1spaceafter"/>
        <w:numPr>
          <w:ilvl w:val="0"/>
          <w:numId w:val="41"/>
        </w:numPr>
        <w:spacing w:after="60"/>
        <w:rPr>
          <w:color w:val="auto"/>
          <w:szCs w:val="20"/>
        </w:rPr>
      </w:pPr>
      <w:r>
        <w:rPr>
          <w:color w:val="auto"/>
          <w:szCs w:val="20"/>
        </w:rPr>
        <w:t xml:space="preserve">A detailed reporting from Member States to the Commission on the checks carried out by them and on the sanctions applied is foreseen in the legislation and enables a calculation, for the main aid schemes, of the level of error found by Member States at the level of the final beneficiaries. </w:t>
      </w:r>
    </w:p>
    <w:p>
      <w:pPr>
        <w:pStyle w:val="BodyText1spacebeforeandafter"/>
        <w:rPr>
          <w:rStyle w:val="AMPRTextChar"/>
          <w:rFonts w:eastAsia="Calibri"/>
          <w:color w:val="000000" w:themeColor="text1"/>
          <w:sz w:val="20"/>
          <w:szCs w:val="22"/>
          <w:lang w:eastAsia="fr-BE"/>
        </w:rPr>
      </w:pPr>
      <w:r>
        <w:rPr>
          <w:rStyle w:val="AMPRTextChar"/>
          <w:rFonts w:eastAsia="Calibri"/>
          <w:color w:val="000000" w:themeColor="text1"/>
          <w:sz w:val="20"/>
          <w:szCs w:val="22"/>
          <w:lang w:eastAsia="fr-BE"/>
        </w:rPr>
        <w:t xml:space="preserve">These reports from the Member States disclose the preventive effect of the </w:t>
      </w:r>
      <w:r>
        <w:t>ex</w:t>
      </w:r>
      <w:r>
        <w:rPr>
          <w:rFonts w:ascii="Calibri" w:hAnsi="Calibri" w:cs="Calibri"/>
        </w:rPr>
        <w:t> </w:t>
      </w:r>
      <w:r>
        <w:t>ante</w:t>
      </w:r>
      <w:r>
        <w:rPr>
          <w:rStyle w:val="AMPRTextChar"/>
          <w:rFonts w:eastAsia="Calibri"/>
          <w:color w:val="000000" w:themeColor="text1"/>
          <w:sz w:val="20"/>
          <w:szCs w:val="22"/>
          <w:lang w:eastAsia="fr-BE"/>
        </w:rPr>
        <w:t>, administrative and on-the-spot controls carried out, which led to corrections amounting to EUR</w:t>
      </w:r>
      <w:r>
        <w:rPr>
          <w:rStyle w:val="Bodytext2Bold"/>
          <w:rFonts w:ascii="Calibri" w:eastAsia="Calibri" w:hAnsi="Calibri" w:cs="Calibri"/>
          <w:b w:val="0"/>
          <w:bCs w:val="0"/>
          <w:color w:val="000000" w:themeColor="text1"/>
          <w:sz w:val="20"/>
          <w:szCs w:val="22"/>
          <w:lang w:val="en-GB" w:eastAsia="fr-BE" w:bidi="ar-SA"/>
        </w:rPr>
        <w:t> </w:t>
      </w:r>
      <w:r>
        <w:rPr>
          <w:rStyle w:val="AMPRTextChar"/>
          <w:rFonts w:eastAsia="Calibri"/>
          <w:color w:val="000000" w:themeColor="text1"/>
          <w:sz w:val="20"/>
          <w:szCs w:val="22"/>
          <w:lang w:eastAsia="fr-BE"/>
        </w:rPr>
        <w:t>521</w:t>
      </w:r>
      <w:r>
        <w:rPr>
          <w:rStyle w:val="AMPRTextChar"/>
          <w:rFonts w:ascii="Calibri" w:eastAsia="Calibri" w:hAnsi="Calibri" w:cs="Calibri"/>
          <w:color w:val="000000" w:themeColor="text1"/>
          <w:sz w:val="20"/>
          <w:szCs w:val="22"/>
          <w:lang w:eastAsia="fr-BE"/>
        </w:rPr>
        <w:t> </w:t>
      </w:r>
      <w:r>
        <w:rPr>
          <w:rStyle w:val="AMPRTextChar"/>
          <w:rFonts w:eastAsia="Calibri"/>
          <w:color w:val="000000" w:themeColor="text1"/>
          <w:sz w:val="20"/>
          <w:szCs w:val="22"/>
          <w:lang w:eastAsia="fr-BE"/>
        </w:rPr>
        <w:t>million. The biggest corrections are related to Spain (EUR</w:t>
      </w:r>
      <w:r>
        <w:rPr>
          <w:rStyle w:val="Bodytext2Bold"/>
          <w:rFonts w:ascii="Calibri" w:eastAsia="Calibri" w:hAnsi="Calibri" w:cs="Calibri"/>
          <w:b w:val="0"/>
          <w:bCs w:val="0"/>
          <w:color w:val="000000" w:themeColor="text1"/>
          <w:sz w:val="20"/>
          <w:szCs w:val="22"/>
          <w:lang w:val="en-GB" w:eastAsia="fr-BE" w:bidi="ar-SA"/>
        </w:rPr>
        <w:t> </w:t>
      </w:r>
      <w:r>
        <w:rPr>
          <w:rStyle w:val="AMPRTextChar"/>
          <w:rFonts w:eastAsia="Calibri"/>
          <w:color w:val="000000" w:themeColor="text1"/>
          <w:sz w:val="20"/>
          <w:szCs w:val="22"/>
          <w:lang w:eastAsia="fr-BE"/>
        </w:rPr>
        <w:t>115</w:t>
      </w:r>
      <w:r>
        <w:rPr>
          <w:rStyle w:val="Bodytext2Bold"/>
          <w:rFonts w:ascii="Calibri" w:eastAsia="Calibri" w:hAnsi="Calibri" w:cs="Calibri"/>
          <w:b w:val="0"/>
          <w:bCs w:val="0"/>
          <w:color w:val="000000" w:themeColor="text1"/>
          <w:sz w:val="20"/>
          <w:szCs w:val="22"/>
          <w:lang w:val="en-GB" w:eastAsia="fr-BE" w:bidi="ar-SA"/>
        </w:rPr>
        <w:t> </w:t>
      </w:r>
      <w:r>
        <w:rPr>
          <w:rStyle w:val="AMPRTextChar"/>
          <w:rFonts w:eastAsia="Calibri"/>
          <w:color w:val="000000" w:themeColor="text1"/>
          <w:sz w:val="20"/>
          <w:szCs w:val="22"/>
          <w:lang w:eastAsia="fr-BE"/>
        </w:rPr>
        <w:t>million), Italy (EUR</w:t>
      </w:r>
      <w:r>
        <w:rPr>
          <w:rStyle w:val="Bodytext2Bold"/>
          <w:rFonts w:ascii="Calibri" w:eastAsia="Calibri" w:hAnsi="Calibri" w:cs="Calibri"/>
          <w:b w:val="0"/>
          <w:bCs w:val="0"/>
          <w:color w:val="000000" w:themeColor="text1"/>
          <w:sz w:val="20"/>
          <w:szCs w:val="22"/>
          <w:lang w:val="en-GB" w:eastAsia="fr-BE" w:bidi="ar-SA"/>
        </w:rPr>
        <w:t> </w:t>
      </w:r>
      <w:r>
        <w:rPr>
          <w:rStyle w:val="AMPRTextChar"/>
          <w:rFonts w:eastAsia="Calibri"/>
          <w:color w:val="000000" w:themeColor="text1"/>
          <w:sz w:val="20"/>
          <w:szCs w:val="22"/>
          <w:lang w:eastAsia="fr-BE"/>
        </w:rPr>
        <w:t>79</w:t>
      </w:r>
      <w:r>
        <w:rPr>
          <w:rStyle w:val="Bodytext2Bold"/>
          <w:rFonts w:ascii="Calibri" w:eastAsia="Calibri" w:hAnsi="Calibri" w:cs="Calibri"/>
          <w:b w:val="0"/>
          <w:bCs w:val="0"/>
          <w:color w:val="000000" w:themeColor="text1"/>
          <w:sz w:val="20"/>
          <w:szCs w:val="22"/>
          <w:lang w:val="en-GB" w:eastAsia="fr-BE" w:bidi="ar-SA"/>
        </w:rPr>
        <w:t> </w:t>
      </w:r>
      <w:r>
        <w:rPr>
          <w:rStyle w:val="AMPRTextChar"/>
          <w:rFonts w:eastAsia="Calibri"/>
          <w:color w:val="000000" w:themeColor="text1"/>
          <w:sz w:val="20"/>
          <w:szCs w:val="22"/>
          <w:lang w:eastAsia="fr-BE"/>
        </w:rPr>
        <w:t>million) and France (EUR</w:t>
      </w:r>
      <w:r>
        <w:rPr>
          <w:rStyle w:val="Bodytext2Bold"/>
          <w:rFonts w:ascii="Calibri" w:eastAsia="Calibri" w:hAnsi="Calibri" w:cs="Calibri"/>
          <w:b w:val="0"/>
          <w:bCs w:val="0"/>
          <w:color w:val="000000" w:themeColor="text1"/>
          <w:sz w:val="20"/>
          <w:szCs w:val="22"/>
          <w:lang w:val="en-GB" w:eastAsia="fr-BE" w:bidi="ar-SA"/>
        </w:rPr>
        <w:t> </w:t>
      </w:r>
      <w:r>
        <w:rPr>
          <w:rStyle w:val="AMPRTextChar"/>
          <w:rFonts w:eastAsia="Calibri"/>
          <w:color w:val="000000" w:themeColor="text1"/>
          <w:sz w:val="20"/>
          <w:szCs w:val="22"/>
          <w:lang w:eastAsia="fr-BE"/>
        </w:rPr>
        <w:t>57</w:t>
      </w:r>
      <w:r>
        <w:rPr>
          <w:rStyle w:val="Bodytext2Bold"/>
          <w:rFonts w:ascii="Calibri" w:eastAsia="Calibri" w:hAnsi="Calibri" w:cs="Calibri"/>
          <w:b w:val="0"/>
          <w:bCs w:val="0"/>
          <w:color w:val="000000" w:themeColor="text1"/>
          <w:sz w:val="20"/>
          <w:szCs w:val="22"/>
          <w:lang w:val="en-GB" w:eastAsia="fr-BE" w:bidi="ar-SA"/>
        </w:rPr>
        <w:t> </w:t>
      </w:r>
      <w:r>
        <w:rPr>
          <w:rStyle w:val="AMPRTextChar"/>
          <w:rFonts w:eastAsia="Calibri"/>
          <w:color w:val="000000" w:themeColor="text1"/>
          <w:sz w:val="20"/>
          <w:szCs w:val="22"/>
          <w:lang w:eastAsia="fr-BE"/>
        </w:rPr>
        <w:t>million).</w:t>
      </w:r>
    </w:p>
    <w:tbl>
      <w:tblPr>
        <w:tblW w:w="7229" w:type="dxa"/>
        <w:jc w:val="center"/>
        <w:tblLook w:val="04A0" w:firstRow="1" w:lastRow="0" w:firstColumn="1" w:lastColumn="0" w:noHBand="0" w:noVBand="1"/>
      </w:tblPr>
      <w:tblGrid>
        <w:gridCol w:w="1701"/>
        <w:gridCol w:w="1275"/>
        <w:gridCol w:w="1418"/>
        <w:gridCol w:w="1276"/>
        <w:gridCol w:w="1559"/>
      </w:tblGrid>
      <w:tr>
        <w:trPr>
          <w:trHeight w:val="435"/>
          <w:jc w:val="center"/>
        </w:trPr>
        <w:tc>
          <w:tcPr>
            <w:tcW w:w="1701" w:type="dxa"/>
            <w:tcBorders>
              <w:top w:val="single" w:sz="8" w:space="0" w:color="auto"/>
              <w:left w:val="single" w:sz="8" w:space="0" w:color="auto"/>
              <w:bottom w:val="single" w:sz="8" w:space="0" w:color="auto"/>
              <w:right w:val="nil"/>
            </w:tcBorders>
            <w:shd w:val="clear" w:color="auto" w:fill="E48C32"/>
            <w:vAlign w:val="center"/>
            <w:hideMark/>
          </w:tcPr>
          <w:p>
            <w:pPr>
              <w:keepNext/>
              <w:jc w:val="center"/>
              <w:rPr>
                <w:b/>
                <w:noProof/>
                <w:color w:val="FFFFFF"/>
                <w:sz w:val="16"/>
              </w:rPr>
            </w:pPr>
            <w:r>
              <w:rPr>
                <w:b/>
                <w:noProof/>
                <w:color w:val="FFFFFF"/>
                <w:sz w:val="16"/>
              </w:rPr>
              <w:t>Member State</w:t>
            </w:r>
          </w:p>
        </w:tc>
        <w:tc>
          <w:tcPr>
            <w:tcW w:w="1275" w:type="dxa"/>
            <w:tcBorders>
              <w:top w:val="single" w:sz="8" w:space="0" w:color="auto"/>
              <w:left w:val="single" w:sz="8" w:space="0" w:color="auto"/>
              <w:bottom w:val="single" w:sz="8" w:space="0" w:color="auto"/>
              <w:right w:val="nil"/>
            </w:tcBorders>
            <w:shd w:val="clear" w:color="auto" w:fill="E48C32"/>
            <w:vAlign w:val="center"/>
            <w:hideMark/>
          </w:tcPr>
          <w:p>
            <w:pPr>
              <w:keepNext/>
              <w:jc w:val="center"/>
              <w:rPr>
                <w:b/>
                <w:noProof/>
                <w:color w:val="FFFFFF"/>
                <w:sz w:val="16"/>
              </w:rPr>
            </w:pPr>
            <w:r>
              <w:rPr>
                <w:b/>
                <w:noProof/>
                <w:color w:val="FFFFFF"/>
                <w:sz w:val="16"/>
              </w:rPr>
              <w:t>European Agricultural Guarantee Fund Market Measures</w:t>
            </w:r>
          </w:p>
        </w:tc>
        <w:tc>
          <w:tcPr>
            <w:tcW w:w="1418" w:type="dxa"/>
            <w:tcBorders>
              <w:top w:val="single" w:sz="8" w:space="0" w:color="auto"/>
              <w:left w:val="single" w:sz="8" w:space="0" w:color="auto"/>
              <w:bottom w:val="single" w:sz="8" w:space="0" w:color="auto"/>
              <w:right w:val="nil"/>
            </w:tcBorders>
            <w:shd w:val="clear" w:color="auto" w:fill="E48C32"/>
            <w:vAlign w:val="center"/>
            <w:hideMark/>
          </w:tcPr>
          <w:p>
            <w:pPr>
              <w:keepNext/>
              <w:jc w:val="center"/>
              <w:rPr>
                <w:b/>
                <w:noProof/>
                <w:color w:val="FFFFFF"/>
                <w:sz w:val="16"/>
              </w:rPr>
            </w:pPr>
            <w:r>
              <w:rPr>
                <w:b/>
                <w:noProof/>
                <w:color w:val="FFFFFF"/>
                <w:sz w:val="16"/>
              </w:rPr>
              <w:t>European Agricultural Guarantee Fund Direct Payments</w:t>
            </w:r>
          </w:p>
        </w:tc>
        <w:tc>
          <w:tcPr>
            <w:tcW w:w="1276" w:type="dxa"/>
            <w:tcBorders>
              <w:top w:val="single" w:sz="8" w:space="0" w:color="auto"/>
              <w:left w:val="single" w:sz="8" w:space="0" w:color="auto"/>
              <w:bottom w:val="single" w:sz="8" w:space="0" w:color="auto"/>
              <w:right w:val="nil"/>
            </w:tcBorders>
            <w:shd w:val="clear" w:color="auto" w:fill="E48C32"/>
            <w:vAlign w:val="center"/>
            <w:hideMark/>
          </w:tcPr>
          <w:p>
            <w:pPr>
              <w:keepNext/>
              <w:jc w:val="center"/>
              <w:rPr>
                <w:b/>
                <w:noProof/>
                <w:color w:val="FFFFFF"/>
                <w:sz w:val="16"/>
              </w:rPr>
            </w:pPr>
            <w:r>
              <w:rPr>
                <w:b/>
                <w:noProof/>
                <w:color w:val="FFFFFF"/>
                <w:sz w:val="16"/>
              </w:rPr>
              <w:t>European Agricultural Fund for Rural Development</w:t>
            </w:r>
          </w:p>
        </w:tc>
        <w:tc>
          <w:tcPr>
            <w:tcW w:w="1559" w:type="dxa"/>
            <w:tcBorders>
              <w:top w:val="single" w:sz="8" w:space="0" w:color="auto"/>
              <w:left w:val="single" w:sz="8" w:space="0" w:color="auto"/>
              <w:bottom w:val="single" w:sz="8" w:space="0" w:color="auto"/>
              <w:right w:val="single" w:sz="8" w:space="0" w:color="auto"/>
            </w:tcBorders>
            <w:shd w:val="clear" w:color="auto" w:fill="E48C32"/>
            <w:vAlign w:val="center"/>
            <w:hideMark/>
          </w:tcPr>
          <w:p>
            <w:pPr>
              <w:keepNext/>
              <w:jc w:val="center"/>
              <w:rPr>
                <w:b/>
                <w:noProof/>
                <w:color w:val="FFFFFF"/>
                <w:sz w:val="16"/>
              </w:rPr>
            </w:pPr>
            <w:r>
              <w:rPr>
                <w:b/>
                <w:noProof/>
                <w:color w:val="FFFFFF"/>
                <w:sz w:val="16"/>
              </w:rPr>
              <w:t>Total 2018</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Belgium</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0.42</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1.82</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1.72</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3.96</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Bulgaria</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1.85</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9.42</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6.57</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17.84</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Czechia</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0.49</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1.09</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3.09</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4.67</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Denmark</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0.46</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0.93</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0.84</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2.23</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Germany</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4.71</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8.98</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9.07</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22.76</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Estonia</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0.81</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1.04</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2.21</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4.06</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Ireland</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0.00</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1.12</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1.23</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2.35</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Greece</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0.93</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8.48</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3.13</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12.53</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Spain</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11.35</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84.81</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19.26</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115.42</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France</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37.25</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15.24</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5.21</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57.71</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Croatia</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0.73</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9.35</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10.63</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20.72</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Italy</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14.52</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44.29</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20.93</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79.74</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Cyprus</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0.02</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0.93</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0.09</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1.04</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Latvia</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0.00</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0.51</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1.07</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1.58</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Lithuania</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2.49</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1.05</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3.54</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Luxembourg</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0.00</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0.26</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0.09</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0.35</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Hungary</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10.16</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16.86</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12.49</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39.51</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Malta</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0.00</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0.05</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0.09</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0.13</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Netherlands</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0.15</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10.23</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0.45</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10.83</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Austria</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0.83</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0.37</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2.65</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3.85</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Poland</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0.55</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29.65</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7.34</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37.55</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Portugal</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6.23</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2.13</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6.49</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14.84</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Romania</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0.97</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26.16</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13.86</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40.99</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Slovenia</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0.29</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0.38</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0.63</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1.30</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Slovakia</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0.01</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2.39</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2.07</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4.47</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Finland</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0.04</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0.74</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1.43</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2.21</w:t>
            </w:r>
          </w:p>
        </w:tc>
      </w:tr>
      <w:tr>
        <w:trPr>
          <w:trHeight w:val="227"/>
          <w:jc w:val="center"/>
        </w:trPr>
        <w:tc>
          <w:tcPr>
            <w:tcW w:w="1701"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Sweden</w:t>
            </w:r>
          </w:p>
        </w:tc>
        <w:tc>
          <w:tcPr>
            <w:tcW w:w="1275"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0.11</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2.10</w:t>
            </w:r>
          </w:p>
        </w:tc>
        <w:tc>
          <w:tcPr>
            <w:tcW w:w="1276"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2.70</w:t>
            </w:r>
          </w:p>
        </w:tc>
        <w:tc>
          <w:tcPr>
            <w:tcW w:w="1559"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4.91</w:t>
            </w:r>
          </w:p>
        </w:tc>
      </w:tr>
      <w:tr>
        <w:trPr>
          <w:trHeight w:val="227"/>
          <w:jc w:val="center"/>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pPr>
              <w:keepNext/>
              <w:autoSpaceDE w:val="0"/>
              <w:autoSpaceDN w:val="0"/>
              <w:adjustRightInd w:val="0"/>
              <w:rPr>
                <w:rFonts w:eastAsia="Calibri" w:cs="Arial"/>
                <w:noProof/>
                <w:color w:val="000000"/>
                <w:sz w:val="16"/>
              </w:rPr>
            </w:pPr>
            <w:r>
              <w:rPr>
                <w:noProof/>
                <w:color w:val="000000"/>
                <w:sz w:val="16"/>
                <w:szCs w:val="16"/>
              </w:rPr>
              <w:t>United Kingdom</w:t>
            </w:r>
          </w:p>
        </w:tc>
        <w:tc>
          <w:tcPr>
            <w:tcW w:w="1275" w:type="dxa"/>
            <w:tcBorders>
              <w:top w:val="nil"/>
              <w:left w:val="nil"/>
              <w:bottom w:val="single" w:sz="8" w:space="0" w:color="auto"/>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0.11</w:t>
            </w:r>
          </w:p>
        </w:tc>
        <w:tc>
          <w:tcPr>
            <w:tcW w:w="1418" w:type="dxa"/>
            <w:tcBorders>
              <w:top w:val="nil"/>
              <w:left w:val="nil"/>
              <w:bottom w:val="single" w:sz="8" w:space="0" w:color="auto"/>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8.62</w:t>
            </w:r>
          </w:p>
        </w:tc>
        <w:tc>
          <w:tcPr>
            <w:tcW w:w="1276" w:type="dxa"/>
            <w:tcBorders>
              <w:top w:val="nil"/>
              <w:left w:val="nil"/>
              <w:bottom w:val="single" w:sz="8" w:space="0" w:color="auto"/>
              <w:right w:val="single" w:sz="8" w:space="0" w:color="auto"/>
            </w:tcBorders>
            <w:shd w:val="clear" w:color="auto" w:fill="auto"/>
            <w:noWrap/>
            <w:vAlign w:val="center"/>
            <w:hideMark/>
          </w:tcPr>
          <w:p>
            <w:pPr>
              <w:keepNext/>
              <w:autoSpaceDE w:val="0"/>
              <w:autoSpaceDN w:val="0"/>
              <w:adjustRightInd w:val="0"/>
              <w:jc w:val="right"/>
              <w:rPr>
                <w:rFonts w:eastAsia="Calibri" w:cs="Arial"/>
                <w:noProof/>
                <w:color w:val="000000"/>
                <w:sz w:val="16"/>
              </w:rPr>
            </w:pPr>
            <w:r>
              <w:rPr>
                <w:noProof/>
                <w:color w:val="000000"/>
                <w:sz w:val="16"/>
                <w:szCs w:val="16"/>
              </w:rPr>
              <w:t>1.79</w:t>
            </w:r>
          </w:p>
        </w:tc>
        <w:tc>
          <w:tcPr>
            <w:tcW w:w="1559" w:type="dxa"/>
            <w:tcBorders>
              <w:top w:val="nil"/>
              <w:left w:val="nil"/>
              <w:bottom w:val="single" w:sz="8" w:space="0" w:color="auto"/>
              <w:right w:val="single" w:sz="8" w:space="0" w:color="auto"/>
            </w:tcBorders>
            <w:shd w:val="clear" w:color="auto" w:fill="auto"/>
            <w:noWrap/>
            <w:vAlign w:val="center"/>
            <w:hideMark/>
          </w:tcPr>
          <w:p>
            <w:pPr>
              <w:keepNext/>
              <w:autoSpaceDE w:val="0"/>
              <w:autoSpaceDN w:val="0"/>
              <w:adjustRightInd w:val="0"/>
              <w:jc w:val="right"/>
              <w:rPr>
                <w:rFonts w:eastAsia="Calibri" w:cs="Arial"/>
                <w:b/>
                <w:noProof/>
                <w:color w:val="000000"/>
                <w:sz w:val="16"/>
              </w:rPr>
            </w:pPr>
            <w:r>
              <w:rPr>
                <w:noProof/>
                <w:color w:val="000000"/>
                <w:sz w:val="16"/>
                <w:szCs w:val="16"/>
              </w:rPr>
              <w:t>10.52</w:t>
            </w:r>
          </w:p>
        </w:tc>
      </w:tr>
      <w:tr>
        <w:trPr>
          <w:trHeight w:val="284"/>
          <w:jc w:val="center"/>
        </w:trPr>
        <w:tc>
          <w:tcPr>
            <w:tcW w:w="1701" w:type="dxa"/>
            <w:tcBorders>
              <w:top w:val="single" w:sz="8" w:space="0" w:color="auto"/>
              <w:left w:val="single" w:sz="8" w:space="0" w:color="auto"/>
              <w:bottom w:val="single" w:sz="8" w:space="0" w:color="auto"/>
              <w:right w:val="single" w:sz="8" w:space="0" w:color="auto"/>
            </w:tcBorders>
            <w:shd w:val="clear" w:color="auto" w:fill="D9D9D9"/>
            <w:noWrap/>
            <w:vAlign w:val="center"/>
          </w:tcPr>
          <w:p>
            <w:pPr>
              <w:keepNext/>
              <w:autoSpaceDE w:val="0"/>
              <w:autoSpaceDN w:val="0"/>
              <w:adjustRightInd w:val="0"/>
              <w:rPr>
                <w:rFonts w:eastAsia="Calibri" w:cs="Arial"/>
                <w:b/>
                <w:noProof/>
                <w:color w:val="000000"/>
                <w:sz w:val="16"/>
              </w:rPr>
            </w:pPr>
            <w:r>
              <w:rPr>
                <w:b/>
                <w:bCs/>
                <w:noProof/>
                <w:color w:val="000000"/>
                <w:sz w:val="16"/>
                <w:szCs w:val="16"/>
              </w:rPr>
              <w:t>Total</w:t>
            </w:r>
          </w:p>
        </w:tc>
        <w:tc>
          <w:tcPr>
            <w:tcW w:w="1275" w:type="dxa"/>
            <w:tcBorders>
              <w:top w:val="single" w:sz="8" w:space="0" w:color="auto"/>
              <w:left w:val="nil"/>
              <w:bottom w:val="single" w:sz="8" w:space="0" w:color="auto"/>
              <w:right w:val="single" w:sz="8" w:space="0" w:color="auto"/>
            </w:tcBorders>
            <w:shd w:val="clear" w:color="auto" w:fill="D9D9D9"/>
            <w:noWrap/>
            <w:vAlign w:val="center"/>
          </w:tcPr>
          <w:p>
            <w:pPr>
              <w:keepNext/>
              <w:autoSpaceDE w:val="0"/>
              <w:autoSpaceDN w:val="0"/>
              <w:adjustRightInd w:val="0"/>
              <w:jc w:val="right"/>
              <w:rPr>
                <w:rFonts w:eastAsia="Calibri" w:cs="Arial"/>
                <w:b/>
                <w:noProof/>
                <w:color w:val="000000"/>
                <w:sz w:val="16"/>
              </w:rPr>
            </w:pPr>
            <w:r>
              <w:rPr>
                <w:b/>
                <w:bCs/>
                <w:noProof/>
                <w:color w:val="000000"/>
                <w:sz w:val="16"/>
                <w:szCs w:val="16"/>
              </w:rPr>
              <w:t>93.01</w:t>
            </w:r>
          </w:p>
        </w:tc>
        <w:tc>
          <w:tcPr>
            <w:tcW w:w="1418" w:type="dxa"/>
            <w:tcBorders>
              <w:top w:val="single" w:sz="8" w:space="0" w:color="auto"/>
              <w:left w:val="nil"/>
              <w:bottom w:val="single" w:sz="8" w:space="0" w:color="auto"/>
              <w:right w:val="single" w:sz="8" w:space="0" w:color="auto"/>
            </w:tcBorders>
            <w:shd w:val="clear" w:color="auto" w:fill="D9D9D9"/>
            <w:noWrap/>
            <w:vAlign w:val="center"/>
          </w:tcPr>
          <w:p>
            <w:pPr>
              <w:keepNext/>
              <w:autoSpaceDE w:val="0"/>
              <w:autoSpaceDN w:val="0"/>
              <w:adjustRightInd w:val="0"/>
              <w:jc w:val="right"/>
              <w:rPr>
                <w:rFonts w:eastAsia="Calibri" w:cs="Arial"/>
                <w:b/>
                <w:noProof/>
                <w:color w:val="000000"/>
                <w:sz w:val="16"/>
              </w:rPr>
            </w:pPr>
            <w:r>
              <w:rPr>
                <w:b/>
                <w:bCs/>
                <w:noProof/>
                <w:color w:val="000000"/>
                <w:sz w:val="16"/>
                <w:szCs w:val="16"/>
              </w:rPr>
              <w:t>290.44</w:t>
            </w:r>
          </w:p>
        </w:tc>
        <w:tc>
          <w:tcPr>
            <w:tcW w:w="1276" w:type="dxa"/>
            <w:tcBorders>
              <w:top w:val="single" w:sz="8" w:space="0" w:color="auto"/>
              <w:left w:val="nil"/>
              <w:bottom w:val="single" w:sz="8" w:space="0" w:color="auto"/>
              <w:right w:val="single" w:sz="8" w:space="0" w:color="auto"/>
            </w:tcBorders>
            <w:shd w:val="clear" w:color="auto" w:fill="D9D9D9"/>
            <w:noWrap/>
            <w:vAlign w:val="center"/>
          </w:tcPr>
          <w:p>
            <w:pPr>
              <w:keepNext/>
              <w:autoSpaceDE w:val="0"/>
              <w:autoSpaceDN w:val="0"/>
              <w:adjustRightInd w:val="0"/>
              <w:jc w:val="right"/>
              <w:rPr>
                <w:rFonts w:eastAsia="Calibri" w:cs="Arial"/>
                <w:b/>
                <w:noProof/>
                <w:color w:val="000000"/>
                <w:sz w:val="16"/>
              </w:rPr>
            </w:pPr>
            <w:r>
              <w:rPr>
                <w:b/>
                <w:bCs/>
                <w:noProof/>
                <w:color w:val="000000"/>
                <w:sz w:val="16"/>
                <w:szCs w:val="16"/>
              </w:rPr>
              <w:t>138.17</w:t>
            </w:r>
          </w:p>
        </w:tc>
        <w:tc>
          <w:tcPr>
            <w:tcW w:w="1559" w:type="dxa"/>
            <w:tcBorders>
              <w:top w:val="single" w:sz="8" w:space="0" w:color="auto"/>
              <w:left w:val="nil"/>
              <w:bottom w:val="single" w:sz="8" w:space="0" w:color="auto"/>
              <w:right w:val="single" w:sz="8" w:space="0" w:color="auto"/>
            </w:tcBorders>
            <w:shd w:val="clear" w:color="auto" w:fill="D9D9D9"/>
            <w:noWrap/>
            <w:vAlign w:val="center"/>
          </w:tcPr>
          <w:p>
            <w:pPr>
              <w:keepNext/>
              <w:autoSpaceDE w:val="0"/>
              <w:autoSpaceDN w:val="0"/>
              <w:adjustRightInd w:val="0"/>
              <w:jc w:val="right"/>
              <w:rPr>
                <w:rFonts w:eastAsia="Calibri" w:cs="Arial"/>
                <w:b/>
                <w:noProof/>
                <w:color w:val="000000"/>
                <w:sz w:val="16"/>
              </w:rPr>
            </w:pPr>
            <w:r>
              <w:rPr>
                <w:b/>
                <w:bCs/>
                <w:noProof/>
                <w:color w:val="000000"/>
                <w:sz w:val="16"/>
                <w:szCs w:val="16"/>
              </w:rPr>
              <w:t>521.61</w:t>
            </w:r>
          </w:p>
        </w:tc>
      </w:tr>
    </w:tbl>
    <w:p>
      <w:pPr>
        <w:pStyle w:val="Source-Table-Chart-PhotoCaption"/>
        <w:ind w:left="907" w:right="992"/>
        <w:rPr>
          <w:noProof/>
          <w:sz w:val="22"/>
        </w:rPr>
      </w:pPr>
      <w:r>
        <w:rPr>
          <w:rStyle w:val="italics"/>
          <w:noProof/>
        </w:rPr>
        <w:t>Table 2.5:</w:t>
      </w:r>
      <w:r>
        <w:rPr>
          <w:noProof/>
        </w:rPr>
        <w:t xml:space="preserve"> Member States own corrections in 2018 applied before payments to beneficiaries are executed, in addition to Commission reporting</w:t>
      </w:r>
      <w:r>
        <w:rPr>
          <w:rFonts w:ascii="Calibri" w:hAnsi="Calibri" w:cs="Calibri"/>
          <w:noProof/>
        </w:rPr>
        <w:t> (</w:t>
      </w:r>
      <w:r>
        <w:rPr>
          <w:noProof/>
        </w:rPr>
        <w:footnoteReference w:id="39"/>
      </w:r>
      <w:r>
        <w:rPr>
          <w:noProof/>
        </w:rPr>
        <w:t>) in EUR</w:t>
      </w:r>
      <w:r>
        <w:rPr>
          <w:rFonts w:ascii="Arial" w:hAnsi="Arial" w:cs="Arial"/>
          <w:noProof/>
        </w:rPr>
        <w:t> </w:t>
      </w:r>
      <w:r>
        <w:rPr>
          <w:noProof/>
        </w:rPr>
        <w:t>million</w:t>
      </w:r>
    </w:p>
    <w:p>
      <w:pPr>
        <w:pStyle w:val="Annex4-H2"/>
      </w:pPr>
      <w:bookmarkStart w:id="162" w:name="_Toc456258170"/>
      <w:bookmarkStart w:id="163" w:name="_Toc456686578"/>
      <w:bookmarkStart w:id="164" w:name="_Toc484626496"/>
      <w:bookmarkStart w:id="165" w:name="_Toc512866538"/>
      <w:bookmarkStart w:id="166" w:name="_Toc8386210"/>
      <w:r>
        <w:t>3.</w:t>
      </w:r>
      <w:r>
        <w:tab/>
        <w:t>Cohesion policy</w:t>
      </w:r>
      <w:bookmarkEnd w:id="162"/>
      <w:bookmarkEnd w:id="163"/>
      <w:bookmarkEnd w:id="164"/>
      <w:bookmarkEnd w:id="165"/>
      <w:bookmarkEnd w:id="166"/>
    </w:p>
    <w:p>
      <w:pPr>
        <w:pStyle w:val="Annex4-H3"/>
      </w:pPr>
      <w:bookmarkStart w:id="167" w:name="_Toc484626497"/>
      <w:bookmarkStart w:id="168" w:name="_Toc512866539"/>
      <w:bookmarkStart w:id="169" w:name="_Toc8386211"/>
      <w:r>
        <w:t>3.1.</w:t>
      </w:r>
      <w:r>
        <w:tab/>
        <w:t>Preventive actions</w:t>
      </w:r>
      <w:bookmarkEnd w:id="167"/>
      <w:bookmarkEnd w:id="168"/>
      <w:bookmarkEnd w:id="169"/>
    </w:p>
    <w:p>
      <w:pPr>
        <w:pStyle w:val="BodyText1spaceafter"/>
        <w:rPr>
          <w:rStyle w:val="AMPRTextChar"/>
          <w:rFonts w:asciiTheme="minorHAnsi" w:eastAsia="Calibri" w:hAnsiTheme="minorHAnsi"/>
          <w:color w:val="auto"/>
          <w:sz w:val="20"/>
          <w:szCs w:val="20"/>
        </w:rPr>
      </w:pPr>
      <w:r>
        <w:rPr>
          <w:rStyle w:val="AMPRTextChar"/>
          <w:rFonts w:asciiTheme="minorHAnsi" w:eastAsia="Calibri" w:hAnsiTheme="minorHAnsi"/>
          <w:color w:val="auto"/>
          <w:sz w:val="20"/>
          <w:szCs w:val="20"/>
        </w:rPr>
        <w:t xml:space="preserve">The regulations for all programming periods enable </w:t>
      </w:r>
      <w:r>
        <w:rPr>
          <w:rStyle w:val="BOLDORANGEAnnexes"/>
          <w:rFonts w:asciiTheme="minorHAnsi" w:hAnsiTheme="minorHAnsi"/>
          <w:szCs w:val="20"/>
        </w:rPr>
        <w:t>the Commission to apply preventive measures</w:t>
      </w:r>
      <w:r>
        <w:rPr>
          <w:rStyle w:val="AMPRTextChar"/>
          <w:rFonts w:asciiTheme="minorHAnsi" w:eastAsia="Calibri" w:hAnsiTheme="minorHAnsi"/>
          <w:color w:val="auto"/>
          <w:sz w:val="20"/>
          <w:szCs w:val="20"/>
        </w:rPr>
        <w:t>, i.e. payment interruptions</w:t>
      </w:r>
      <w:r>
        <w:rPr>
          <w:rStyle w:val="AMPRTextChar"/>
          <w:rFonts w:ascii="Calibri" w:eastAsia="Calibri" w:hAnsi="Calibri" w:cs="Calibri"/>
          <w:color w:val="auto"/>
          <w:sz w:val="20"/>
          <w:szCs w:val="20"/>
        </w:rPr>
        <w:t> </w:t>
      </w:r>
      <w:r>
        <w:rPr>
          <w:rStyle w:val="AMPRTextChar"/>
          <w:rFonts w:asciiTheme="minorHAnsi" w:eastAsia="Calibri" w:hAnsiTheme="minorHAnsi" w:cs="Calibri"/>
          <w:color w:val="auto"/>
          <w:sz w:val="20"/>
          <w:szCs w:val="20"/>
        </w:rPr>
        <w:t>(</w:t>
      </w:r>
      <w:r>
        <w:rPr>
          <w:rFonts w:asciiTheme="minorHAnsi" w:hAnsiTheme="minorHAnsi"/>
          <w:color w:val="auto"/>
        </w:rPr>
        <w:footnoteReference w:id="40"/>
      </w:r>
      <w:r>
        <w:rPr>
          <w:rStyle w:val="AMPRTextChar"/>
          <w:rFonts w:asciiTheme="minorHAnsi" w:eastAsia="Calibri" w:hAnsiTheme="minorHAnsi" w:cs="Calibri"/>
          <w:color w:val="auto"/>
          <w:sz w:val="20"/>
          <w:szCs w:val="20"/>
        </w:rPr>
        <w:t>)</w:t>
      </w:r>
      <w:r>
        <w:rPr>
          <w:rFonts w:asciiTheme="minorHAnsi" w:hAnsiTheme="minorHAnsi"/>
          <w:color w:val="auto"/>
          <w:szCs w:val="20"/>
        </w:rPr>
        <w:t xml:space="preserve"> </w:t>
      </w:r>
      <w:r>
        <w:rPr>
          <w:rStyle w:val="AMPRTextChar"/>
          <w:rFonts w:asciiTheme="minorHAnsi" w:eastAsia="Calibri" w:hAnsiTheme="minorHAnsi"/>
          <w:color w:val="auto"/>
          <w:sz w:val="20"/>
          <w:szCs w:val="20"/>
        </w:rPr>
        <w:t xml:space="preserve">and suspensions, and financial corrections. The Commission policy on interruption and suspension of payments operates on a preventive basis, triggering the interruption of interim payments as soon as there is evidence to suggest a significant deficiency in the management and control system of all or part of an operational programme, thus avoiding the reimbursement by the EU budget of amounts which might be affected by serious irregularities. As regards </w:t>
      </w:r>
      <w:r>
        <w:rPr>
          <w:rStyle w:val="BOLDORANGEAnnexes"/>
          <w:rFonts w:asciiTheme="minorHAnsi" w:hAnsiTheme="minorHAnsi"/>
          <w:szCs w:val="20"/>
        </w:rPr>
        <w:t>European Regional Development Fund/Cohesion Fund</w:t>
      </w:r>
      <w:r>
        <w:rPr>
          <w:rFonts w:asciiTheme="minorHAnsi" w:hAnsiTheme="minorHAnsi"/>
          <w:b/>
          <w:color w:val="auto"/>
          <w:szCs w:val="20"/>
        </w:rPr>
        <w:t xml:space="preserve"> </w:t>
      </w:r>
      <w:r>
        <w:rPr>
          <w:rStyle w:val="AMPRTextChar"/>
          <w:rFonts w:asciiTheme="minorHAnsi" w:eastAsia="Calibri" w:hAnsiTheme="minorHAnsi"/>
          <w:color w:val="auto"/>
          <w:sz w:val="20"/>
          <w:szCs w:val="20"/>
        </w:rPr>
        <w:t>and</w:t>
      </w:r>
      <w:r>
        <w:rPr>
          <w:rFonts w:asciiTheme="minorHAnsi" w:hAnsiTheme="minorHAnsi"/>
          <w:color w:val="auto"/>
          <w:szCs w:val="20"/>
        </w:rPr>
        <w:t xml:space="preserve"> </w:t>
      </w:r>
      <w:r>
        <w:rPr>
          <w:rStyle w:val="BOLDORANGEAnnexes"/>
          <w:rFonts w:asciiTheme="minorHAnsi" w:hAnsiTheme="minorHAnsi"/>
          <w:szCs w:val="20"/>
        </w:rPr>
        <w:t>European Social Fund</w:t>
      </w:r>
      <w:r>
        <w:rPr>
          <w:rFonts w:asciiTheme="minorHAnsi" w:hAnsiTheme="minorHAnsi"/>
          <w:b/>
          <w:color w:val="auto"/>
          <w:szCs w:val="20"/>
        </w:rPr>
        <w:t xml:space="preserve"> </w:t>
      </w:r>
      <w:r>
        <w:rPr>
          <w:rStyle w:val="AMPRTextChar"/>
          <w:rFonts w:asciiTheme="minorHAnsi" w:eastAsia="Calibri" w:hAnsiTheme="minorHAnsi"/>
          <w:color w:val="auto"/>
          <w:sz w:val="20"/>
          <w:szCs w:val="20"/>
        </w:rPr>
        <w:t>programmes, it is worth underlining that the remedial action plans agreed by the Member States as a result of the Commission's supervisory role also have a preventive impact on expenditure already incurred by beneficiaries and registered at national level in the certifying authority's accounts, but not yet declared to the Commission. For such expenditure, the certifying authority applies the financial correction requested by the Commission prior to declaring expenditure. Expenditure declared to the Commission is thus already the net amount (i.e. without irregular amounts.)</w:t>
      </w:r>
    </w:p>
    <w:p>
      <w:pPr>
        <w:pStyle w:val="BodyText1spaceafter"/>
        <w:rPr>
          <w:color w:val="auto"/>
          <w:szCs w:val="20"/>
        </w:rPr>
      </w:pPr>
      <w:r>
        <w:rPr>
          <w:color w:val="auto"/>
          <w:szCs w:val="20"/>
        </w:rPr>
        <w:t>Similarly, warning letters sent out by the Commission when system deficiencies are identified before a payment claim is submitted to the Commission may also have the same preventive effect on the protection of the EU budget, but no amount is reported by the Commission/Member States in this case as this effect is more difficult to quantify.</w:t>
      </w:r>
    </w:p>
    <w:p>
      <w:pPr>
        <w:pStyle w:val="BodyText1spaceafter"/>
        <w:rPr>
          <w:color w:val="auto"/>
          <w:szCs w:val="20"/>
        </w:rPr>
      </w:pPr>
      <w:r>
        <w:rPr>
          <w:color w:val="auto"/>
          <w:szCs w:val="20"/>
        </w:rPr>
        <w:t xml:space="preserve">Interruptions and suspensions are only lifted on the basis of reasonable assurance on the implementation of corrective measures and/or after financial corrections have been implemented. </w:t>
      </w:r>
      <w:r>
        <w:rPr>
          <w:rStyle w:val="AMPRTextChar"/>
          <w:rFonts w:eastAsia="Calibri"/>
          <w:color w:val="auto"/>
          <w:sz w:val="20"/>
          <w:szCs w:val="20"/>
        </w:rPr>
        <w:t>For 2007-2013 programming period under closure process the suspension of payments has been merged with the closure process.</w:t>
      </w:r>
    </w:p>
    <w:p>
      <w:pPr>
        <w:pStyle w:val="BodyText1spaceafter"/>
        <w:rPr>
          <w:color w:val="auto"/>
          <w:szCs w:val="20"/>
        </w:rPr>
      </w:pPr>
      <w:r>
        <w:rPr>
          <w:color w:val="auto"/>
          <w:szCs w:val="20"/>
        </w:rPr>
        <w:t>In view of the regulatory changes for 2014-2020 (in particular, the articulation between Article 83 CPR on interruption, Article 142 CPR on suspensions and two novelties of the CPR, the annual closure of accounts and the 10% retention on reimbursement of interim payments (Articles 130 and 139</w:t>
      </w:r>
      <w:r>
        <w:rPr>
          <w:rFonts w:ascii="Arial" w:hAnsi="Arial" w:cs="Arial"/>
          <w:color w:val="auto"/>
          <w:szCs w:val="20"/>
        </w:rPr>
        <w:t> </w:t>
      </w:r>
      <w:r>
        <w:rPr>
          <w:color w:val="auto"/>
          <w:szCs w:val="20"/>
        </w:rPr>
        <w:t xml:space="preserve">of the CPR)) DG </w:t>
      </w:r>
      <w:r>
        <w:rPr>
          <w:rFonts w:ascii="Calibri" w:hAnsi="Calibri" w:cs="Calibri"/>
          <w:color w:val="auto"/>
          <w:szCs w:val="20"/>
        </w:rPr>
        <w:t> </w:t>
      </w:r>
      <w:r>
        <w:rPr>
          <w:color w:val="auto"/>
          <w:szCs w:val="20"/>
        </w:rPr>
        <w:t>Regional</w:t>
      </w:r>
      <w:r>
        <w:rPr>
          <w:rFonts w:ascii="Calibri" w:hAnsi="Calibri" w:cs="Calibri"/>
          <w:color w:val="auto"/>
          <w:szCs w:val="20"/>
        </w:rPr>
        <w:t> </w:t>
      </w:r>
      <w:r>
        <w:rPr>
          <w:color w:val="auto"/>
          <w:szCs w:val="20"/>
        </w:rPr>
        <w:t>and</w:t>
      </w:r>
      <w:r>
        <w:rPr>
          <w:rFonts w:ascii="Calibri" w:hAnsi="Calibri" w:cs="Calibri"/>
          <w:color w:val="auto"/>
          <w:szCs w:val="20"/>
        </w:rPr>
        <w:t> </w:t>
      </w:r>
      <w:r>
        <w:rPr>
          <w:color w:val="auto"/>
          <w:szCs w:val="20"/>
        </w:rPr>
        <w:t>Urban</w:t>
      </w:r>
      <w:r>
        <w:rPr>
          <w:rFonts w:ascii="Calibri" w:hAnsi="Calibri" w:cs="Calibri"/>
          <w:color w:val="auto"/>
          <w:szCs w:val="20"/>
        </w:rPr>
        <w:t> </w:t>
      </w:r>
      <w:r>
        <w:rPr>
          <w:color w:val="auto"/>
          <w:szCs w:val="20"/>
        </w:rPr>
        <w:t xml:space="preserve">Policy and </w:t>
      </w:r>
      <w:r>
        <w:rPr>
          <w:rFonts w:asciiTheme="minorHAnsi" w:hAnsiTheme="minorHAnsi"/>
          <w:color w:val="auto"/>
          <w:szCs w:val="20"/>
        </w:rPr>
        <w:t>DG</w:t>
      </w:r>
      <w:r>
        <w:rPr>
          <w:rStyle w:val="update"/>
          <w:rFonts w:ascii="Calibri" w:hAnsi="Calibri" w:cs="Calibri"/>
          <w:color w:val="006666"/>
          <w:szCs w:val="20"/>
        </w:rPr>
        <w:t> </w:t>
      </w:r>
      <w:r>
        <w:rPr>
          <w:color w:val="auto"/>
          <w:szCs w:val="20"/>
        </w:rPr>
        <w:t>Employment, Social Affairs and Inclusion</w:t>
      </w:r>
      <w:r>
        <w:rPr>
          <w:rFonts w:asciiTheme="minorHAnsi" w:hAnsiTheme="minorHAnsi"/>
          <w:color w:val="auto"/>
          <w:szCs w:val="20"/>
        </w:rPr>
        <w:t xml:space="preserve"> </w:t>
      </w:r>
      <w:r>
        <w:rPr>
          <w:color w:val="auto"/>
          <w:szCs w:val="20"/>
        </w:rPr>
        <w:t>agreed to follow a common approach regarding interruption of payments, as a balanced solution that protects the EU budget against serious irregularities and serious deficiencies in the management and control system. This ensures a residual error rate below 2% and the possibility for the Commission to apply net financial corrections should serious deficiencies be identified by the Commission's audit directorates (or the European Court of Auditors) subsequent to the submission of the accounts not identified, reported or corrected by the Member State.</w:t>
      </w:r>
    </w:p>
    <w:p>
      <w:pPr>
        <w:pStyle w:val="BodyText1spaceafter"/>
        <w:rPr>
          <w:rStyle w:val="AMPRTextChar"/>
          <w:rFonts w:eastAsia="Calibri"/>
          <w:color w:val="000000" w:themeColor="text1"/>
          <w:sz w:val="20"/>
          <w:szCs w:val="22"/>
          <w:lang w:eastAsia="fr-BE"/>
        </w:rPr>
      </w:pPr>
      <w:r>
        <w:rPr>
          <w:color w:val="auto"/>
          <w:szCs w:val="20"/>
        </w:rPr>
        <w:t>Under the agreed approach, an interruption is necessary only where the serious deficiency in the management and control system would require a correction higher than 10% or where the irregularity would have serious financial consequences (impact above 10% of the programme's financial allocation or above the threshold of EUR</w:t>
      </w:r>
      <w:r>
        <w:rPr>
          <w:rStyle w:val="Bodytext2Bold"/>
          <w:rFonts w:ascii="Calibri" w:hAnsi="Calibri" w:cs="Calibri"/>
          <w:color w:val="auto"/>
          <w:szCs w:val="20"/>
          <w:lang w:val="en-GB"/>
        </w:rPr>
        <w:t> </w:t>
      </w:r>
      <w:r>
        <w:rPr>
          <w:color w:val="auto"/>
          <w:szCs w:val="20"/>
        </w:rPr>
        <w:t>50</w:t>
      </w:r>
      <w:r>
        <w:rPr>
          <w:rStyle w:val="Bodytext2Bold"/>
          <w:rFonts w:ascii="Calibri" w:hAnsi="Calibri" w:cs="Calibri"/>
          <w:color w:val="auto"/>
          <w:szCs w:val="20"/>
          <w:lang w:val="en-GB"/>
        </w:rPr>
        <w:t> </w:t>
      </w:r>
      <w:r>
        <w:rPr>
          <w:color w:val="auto"/>
          <w:szCs w:val="20"/>
        </w:rPr>
        <w:t>million) in application of Article 83 (1)(a) CPR. If no payment claim is submitted, a warning letter of possible interruption of payment deadline is to be sent. A warning letter is also sent for cases with estimated risk to the EU budget below 10%. In case of system deficiencies, the Member State is requested to take necessary measures to improve the system, and in case of irregularities the Member State is required to not include related expenditure in the interim claims and in the account until the legality and regularity of the expenditure is confirmed.</w:t>
      </w:r>
    </w:p>
    <w:p>
      <w:pPr>
        <w:pStyle w:val="BodyText1spaceafter"/>
        <w:sectPr>
          <w:headerReference w:type="even" r:id="rId117"/>
          <w:headerReference w:type="default" r:id="rId118"/>
          <w:footerReference w:type="even" r:id="rId119"/>
          <w:footerReference w:type="default" r:id="rId120"/>
          <w:headerReference w:type="first" r:id="rId121"/>
          <w:footerReference w:type="first" r:id="rId122"/>
          <w:footnotePr>
            <w:numStart w:val="413"/>
          </w:footnotePr>
          <w:type w:val="continuous"/>
          <w:pgSz w:w="11906" w:h="16838" w:code="9"/>
          <w:pgMar w:top="1418" w:right="1418" w:bottom="1418" w:left="1418" w:header="635" w:footer="635" w:gutter="0"/>
          <w:cols w:space="720"/>
          <w:docGrid w:linePitch="360"/>
        </w:sectPr>
      </w:pPr>
    </w:p>
    <w:p>
      <w:pPr>
        <w:pStyle w:val="Annex4-subheading1"/>
        <w:rPr>
          <w:rFonts w:ascii="Arial" w:hAnsi="Arial"/>
          <w:noProof/>
          <w:sz w:val="19"/>
          <w:szCs w:val="19"/>
        </w:rPr>
      </w:pPr>
      <w:r>
        <w:rPr>
          <w:noProof/>
        </w:rPr>
        <w:t>Interruptions</w:t>
      </w:r>
    </w:p>
    <w:p>
      <w:pPr>
        <w:pStyle w:val="BodyText1spaceafter"/>
        <w:rPr>
          <w:rStyle w:val="Bodytext21"/>
          <w:rFonts w:asciiTheme="minorHAnsi" w:hAnsiTheme="minorHAnsi"/>
          <w:color w:val="auto"/>
          <w:sz w:val="20"/>
          <w:szCs w:val="20"/>
          <w:lang w:val="en-GB"/>
        </w:rPr>
      </w:pPr>
      <w:bookmarkStart w:id="170" w:name="bookmark19"/>
      <w:r>
        <w:rPr>
          <w:rStyle w:val="Heading3NotBold"/>
          <w:rFonts w:asciiTheme="minorHAnsi" w:hAnsiTheme="minorHAnsi"/>
          <w:b w:val="0"/>
          <w:color w:val="auto"/>
          <w:sz w:val="20"/>
          <w:szCs w:val="20"/>
          <w:lang w:val="en-GB"/>
        </w:rPr>
        <w:t xml:space="preserve">For cohesion, at this stage of </w:t>
      </w:r>
      <w:r>
        <w:rPr>
          <w:rStyle w:val="BOLDORANGEAnnexes"/>
        </w:rPr>
        <w:t>the programming period 2007-2013</w:t>
      </w:r>
      <w:r>
        <w:rPr>
          <w:rStyle w:val="Heading3NotBold"/>
          <w:rFonts w:asciiTheme="minorHAnsi" w:hAnsiTheme="minorHAnsi"/>
          <w:b w:val="0"/>
          <w:color w:val="auto"/>
          <w:sz w:val="20"/>
          <w:szCs w:val="20"/>
          <w:lang w:val="en-GB"/>
        </w:rPr>
        <w:t xml:space="preserve">, since the submission of the closure packages end of March 2017, no further interim payments are processed. Once the Member State has sent an application for payment of the final balance, this application replaces all pending applications for interim payment. As of that moment, the Commission's obligation to honour pending applications for interim payment ceases. Consequently, an interruption or suspension decision in relation to applications for interim payment or the lifting of an existing suspension decision is no longer necessary. It should be noted that the Member State is nevertheless required to take the action necessary to solve all deficiencies identified during the closure procedure. </w:t>
      </w:r>
      <w:r>
        <w:rPr>
          <w:rStyle w:val="Bodytext21"/>
          <w:rFonts w:asciiTheme="minorHAnsi" w:hAnsiTheme="minorHAnsi"/>
          <w:color w:val="auto"/>
          <w:sz w:val="20"/>
          <w:szCs w:val="20"/>
          <w:lang w:val="en-GB"/>
        </w:rPr>
        <w:t>The interruptions and suspension cases will be followed during the closure of the respective programme and the suspension decisions will be formally repealed after the closure of programmes.</w:t>
      </w:r>
    </w:p>
    <w:p>
      <w:pPr>
        <w:pStyle w:val="BodyText1spaceafter"/>
        <w:rPr>
          <w:rStyle w:val="Bodytext21"/>
          <w:rFonts w:asciiTheme="minorHAnsi" w:hAnsiTheme="minorHAnsi"/>
          <w:color w:val="auto"/>
          <w:sz w:val="20"/>
          <w:szCs w:val="20"/>
          <w:lang w:val="en-GB"/>
        </w:rPr>
      </w:pPr>
      <w:r>
        <w:rPr>
          <w:rStyle w:val="Bodytext21"/>
          <w:rFonts w:asciiTheme="minorHAnsi" w:hAnsiTheme="minorHAnsi"/>
          <w:color w:val="auto"/>
          <w:sz w:val="20"/>
          <w:szCs w:val="20"/>
          <w:lang w:val="en-GB"/>
        </w:rPr>
        <w:t>For</w:t>
      </w:r>
      <w:r>
        <w:rPr>
          <w:rStyle w:val="Bodytext21"/>
          <w:rFonts w:asciiTheme="minorHAnsi" w:hAnsiTheme="minorHAnsi"/>
          <w:b/>
          <w:color w:val="auto"/>
          <w:sz w:val="20"/>
          <w:szCs w:val="20"/>
          <w:lang w:val="en-GB"/>
        </w:rPr>
        <w:t xml:space="preserve"> </w:t>
      </w:r>
      <w:r>
        <w:rPr>
          <w:rStyle w:val="BOLDORANGEAnnexes"/>
        </w:rPr>
        <w:t>the 2014-2020 programming period</w:t>
      </w:r>
      <w:r>
        <w:rPr>
          <w:rStyle w:val="Heading3NotBold"/>
          <w:rFonts w:asciiTheme="minorHAnsi" w:hAnsiTheme="minorHAnsi"/>
          <w:b w:val="0"/>
          <w:color w:val="auto"/>
          <w:sz w:val="20"/>
          <w:szCs w:val="20"/>
          <w:lang w:val="en-GB"/>
        </w:rPr>
        <w:t xml:space="preserve">, </w:t>
      </w:r>
      <w:r>
        <w:rPr>
          <w:rStyle w:val="Bodytext21"/>
          <w:rFonts w:asciiTheme="minorHAnsi" w:hAnsiTheme="minorHAnsi"/>
          <w:color w:val="auto"/>
          <w:sz w:val="20"/>
          <w:szCs w:val="20"/>
          <w:lang w:val="en-GB"/>
        </w:rPr>
        <w:t xml:space="preserve">there were three new interruptions concerning for the </w:t>
      </w:r>
      <w:r>
        <w:rPr>
          <w:rStyle w:val="BOLDORANGEAnnexes"/>
        </w:rPr>
        <w:t>European</w:t>
      </w:r>
      <w:r>
        <w:rPr>
          <w:rStyle w:val="BOLDORANGEAnnexes"/>
          <w:rFonts w:ascii="Calibri" w:hAnsi="Calibri" w:cs="Calibri"/>
        </w:rPr>
        <w:t> </w:t>
      </w:r>
      <w:r>
        <w:rPr>
          <w:rStyle w:val="BOLDORANGEAnnexes"/>
        </w:rPr>
        <w:t>Regional</w:t>
      </w:r>
      <w:r>
        <w:rPr>
          <w:rStyle w:val="BOLDORANGEAnnexes"/>
          <w:rFonts w:ascii="Calibri" w:hAnsi="Calibri" w:cs="Calibri"/>
        </w:rPr>
        <w:t> </w:t>
      </w:r>
      <w:r>
        <w:rPr>
          <w:rStyle w:val="BOLDORANGEAnnexes"/>
        </w:rPr>
        <w:t>Development</w:t>
      </w:r>
      <w:r>
        <w:rPr>
          <w:rStyle w:val="BOLDORANGEAnnexes"/>
          <w:rFonts w:ascii="Calibri" w:hAnsi="Calibri" w:cs="Calibri"/>
        </w:rPr>
        <w:t> </w:t>
      </w:r>
      <w:r>
        <w:rPr>
          <w:rStyle w:val="BOLDORANGEAnnexes"/>
        </w:rPr>
        <w:t>Fund/Cohesion</w:t>
      </w:r>
      <w:r>
        <w:rPr>
          <w:rStyle w:val="BOLDORANGEAnnexes"/>
          <w:rFonts w:ascii="Calibri" w:hAnsi="Calibri" w:cs="Calibri"/>
        </w:rPr>
        <w:t> </w:t>
      </w:r>
      <w:r>
        <w:rPr>
          <w:rStyle w:val="BOLDORANGEAnnexes"/>
        </w:rPr>
        <w:t>Fund</w:t>
      </w:r>
      <w:r>
        <w:rPr>
          <w:rStyle w:val="Bodytext2Bold"/>
          <w:rFonts w:asciiTheme="minorHAnsi" w:hAnsiTheme="minorHAnsi"/>
          <w:color w:val="auto"/>
          <w:sz w:val="20"/>
          <w:szCs w:val="20"/>
          <w:lang w:val="en-GB"/>
        </w:rPr>
        <w:t xml:space="preserve"> </w:t>
      </w:r>
      <w:r>
        <w:rPr>
          <w:rStyle w:val="Bodytext21"/>
          <w:rFonts w:asciiTheme="minorHAnsi" w:hAnsiTheme="minorHAnsi"/>
          <w:color w:val="auto"/>
          <w:sz w:val="20"/>
          <w:szCs w:val="20"/>
          <w:lang w:val="en-GB"/>
        </w:rPr>
        <w:t>programmes in 2018 (United Kingdom, Italy and European territorial cooperation programmes). The interruptions for United Kingdom and European territorial cooperation programmes were lifted before the end of 2018.</w:t>
      </w:r>
    </w:p>
    <w:p>
      <w:pPr>
        <w:pStyle w:val="BodyText1spaceafter"/>
        <w:rPr>
          <w:rStyle w:val="Heading3NotBold"/>
          <w:rFonts w:asciiTheme="minorHAnsi" w:hAnsiTheme="minorHAnsi"/>
          <w:b w:val="0"/>
          <w:color w:val="auto"/>
          <w:sz w:val="20"/>
          <w:szCs w:val="20"/>
          <w:lang w:val="en-GB"/>
        </w:rPr>
      </w:pPr>
      <w:r>
        <w:rPr>
          <w:rStyle w:val="Bodytext21"/>
          <w:rFonts w:asciiTheme="minorHAnsi" w:hAnsiTheme="minorHAnsi"/>
          <w:color w:val="auto"/>
          <w:sz w:val="20"/>
          <w:szCs w:val="20"/>
          <w:lang w:val="en-GB"/>
        </w:rPr>
        <w:t xml:space="preserve">For the </w:t>
      </w:r>
      <w:r>
        <w:rPr>
          <w:rStyle w:val="BOLDORANGEAnnexes"/>
        </w:rPr>
        <w:t>European Social Fund/Youth Employment Initiative</w:t>
      </w:r>
      <w:r>
        <w:rPr>
          <w:rStyle w:val="Bodytext2Bold"/>
          <w:rFonts w:asciiTheme="minorHAnsi" w:hAnsiTheme="minorHAnsi"/>
          <w:b w:val="0"/>
          <w:color w:val="auto"/>
          <w:sz w:val="20"/>
          <w:szCs w:val="20"/>
          <w:lang w:val="en-GB"/>
        </w:rPr>
        <w:t xml:space="preserve"> </w:t>
      </w:r>
      <w:r>
        <w:rPr>
          <w:rStyle w:val="Bodytext21"/>
          <w:rFonts w:asciiTheme="minorHAnsi" w:hAnsiTheme="minorHAnsi"/>
          <w:color w:val="auto"/>
          <w:sz w:val="20"/>
          <w:szCs w:val="20"/>
          <w:lang w:val="en-GB"/>
        </w:rPr>
        <w:t xml:space="preserve">and the </w:t>
      </w:r>
      <w:r>
        <w:rPr>
          <w:rStyle w:val="BOLDORANGEAnnexes"/>
        </w:rPr>
        <w:t>Fund for European Aid to the most Deprived</w:t>
      </w:r>
      <w:r>
        <w:rPr>
          <w:rStyle w:val="Bodytext2Bold"/>
          <w:rFonts w:asciiTheme="minorHAnsi" w:hAnsiTheme="minorHAnsi"/>
          <w:b w:val="0"/>
          <w:color w:val="auto"/>
          <w:sz w:val="20"/>
          <w:szCs w:val="20"/>
          <w:lang w:val="en-GB"/>
        </w:rPr>
        <w:t xml:space="preserve"> (FEAD) </w:t>
      </w:r>
      <w:r>
        <w:rPr>
          <w:rStyle w:val="Bodytext21"/>
          <w:rFonts w:asciiTheme="minorHAnsi" w:hAnsiTheme="minorHAnsi"/>
          <w:color w:val="auto"/>
          <w:sz w:val="20"/>
          <w:szCs w:val="20"/>
          <w:lang w:val="en-GB"/>
        </w:rPr>
        <w:t xml:space="preserve">3 </w:t>
      </w:r>
      <w:r>
        <w:rPr>
          <w:rFonts w:asciiTheme="minorHAnsi" w:hAnsiTheme="minorHAnsi"/>
          <w:color w:val="auto"/>
          <w:szCs w:val="20"/>
        </w:rPr>
        <w:t>European Social Fund</w:t>
      </w:r>
      <w:r>
        <w:rPr>
          <w:rStyle w:val="Bodytext21"/>
          <w:rFonts w:asciiTheme="minorHAnsi" w:hAnsiTheme="minorHAnsi"/>
          <w:color w:val="auto"/>
          <w:sz w:val="20"/>
          <w:szCs w:val="20"/>
          <w:lang w:val="en-GB"/>
        </w:rPr>
        <w:t>/</w:t>
      </w:r>
      <w:r>
        <w:rPr>
          <w:rFonts w:asciiTheme="minorHAnsi" w:hAnsiTheme="minorHAnsi"/>
          <w:color w:val="auto"/>
          <w:szCs w:val="20"/>
        </w:rPr>
        <w:t>Youth Employment Initiative</w:t>
      </w:r>
      <w:r>
        <w:rPr>
          <w:rStyle w:val="Bodytext21"/>
          <w:rFonts w:asciiTheme="minorHAnsi" w:hAnsiTheme="minorHAnsi"/>
          <w:color w:val="auto"/>
          <w:sz w:val="20"/>
          <w:szCs w:val="20"/>
          <w:lang w:val="en-GB"/>
        </w:rPr>
        <w:t xml:space="preserve"> programmes for UK, Italy and Hungary and 1 FEAD programme for Italy have been interrupted resulting in several payments being interrupted in 2018. Warning letters (33) were sent to the Member States concerned. The number of warning letters and interruptions significantly increased in 2018 compared to previous year due to the increased number of assurance packages received in February 2018 and the results of the compliance audits performed during the year. </w:t>
      </w:r>
    </w:p>
    <w:p>
      <w:pPr>
        <w:pStyle w:val="BodyText1spaceafter"/>
        <w:rPr>
          <w:rStyle w:val="Heading3NotBold"/>
          <w:b w:val="0"/>
          <w:szCs w:val="20"/>
          <w:lang w:val="en-GB"/>
        </w:rPr>
      </w:pPr>
      <w:r>
        <w:rPr>
          <w:rStyle w:val="Heading3NotBold"/>
          <w:rFonts w:asciiTheme="minorHAnsi" w:hAnsiTheme="minorHAnsi"/>
          <w:b w:val="0"/>
          <w:color w:val="auto"/>
          <w:sz w:val="20"/>
          <w:szCs w:val="20"/>
          <w:lang w:val="en-GB"/>
        </w:rPr>
        <w:t xml:space="preserve">For the </w:t>
      </w:r>
      <w:r>
        <w:rPr>
          <w:rStyle w:val="BOLDORANGEAnnexes"/>
        </w:rPr>
        <w:t>European Maritime and Fisheries Fund</w:t>
      </w:r>
      <w:r>
        <w:rPr>
          <w:rStyle w:val="Heading3NotBold"/>
          <w:rFonts w:asciiTheme="minorHAnsi" w:hAnsiTheme="minorHAnsi"/>
          <w:b w:val="0"/>
          <w:color w:val="auto"/>
          <w:sz w:val="20"/>
          <w:szCs w:val="20"/>
          <w:lang w:val="en-GB"/>
        </w:rPr>
        <w:t xml:space="preserve"> there were three open cases of interruptions as per 31</w:t>
      </w:r>
      <w:r>
        <w:rPr>
          <w:rStyle w:val="Heading3NotBold"/>
          <w:rFonts w:ascii="Calibri" w:hAnsi="Calibri" w:cs="Calibri"/>
          <w:b w:val="0"/>
          <w:color w:val="auto"/>
          <w:sz w:val="20"/>
          <w:szCs w:val="20"/>
          <w:lang w:val="en-GB"/>
        </w:rPr>
        <w:t> </w:t>
      </w:r>
      <w:r>
        <w:rPr>
          <w:rStyle w:val="Heading3NotBold"/>
          <w:rFonts w:asciiTheme="minorHAnsi" w:hAnsiTheme="minorHAnsi"/>
          <w:b w:val="0"/>
          <w:color w:val="auto"/>
          <w:sz w:val="20"/>
          <w:szCs w:val="20"/>
          <w:lang w:val="en-GB"/>
        </w:rPr>
        <w:t>December</w:t>
      </w:r>
      <w:r>
        <w:rPr>
          <w:rStyle w:val="Heading3NotBold"/>
          <w:rFonts w:ascii="Calibri" w:hAnsi="Calibri" w:cs="Calibri"/>
          <w:b w:val="0"/>
          <w:color w:val="auto"/>
          <w:sz w:val="20"/>
          <w:szCs w:val="20"/>
          <w:lang w:val="en-GB"/>
        </w:rPr>
        <w:t> </w:t>
      </w:r>
      <w:r>
        <w:rPr>
          <w:rStyle w:val="Heading3NotBold"/>
          <w:rFonts w:asciiTheme="minorHAnsi" w:hAnsiTheme="minorHAnsi"/>
          <w:b w:val="0"/>
          <w:color w:val="auto"/>
          <w:sz w:val="20"/>
          <w:szCs w:val="20"/>
          <w:lang w:val="en-GB"/>
        </w:rPr>
        <w:t>2018, out of which two relate to a lack of compliance with the management and control system, for a total amount of EUR</w:t>
      </w:r>
      <w:r>
        <w:rPr>
          <w:rStyle w:val="Bodytext2Bold"/>
          <w:color w:val="auto"/>
          <w:sz w:val="20"/>
          <w:szCs w:val="20"/>
          <w:lang w:val="en-GB"/>
        </w:rPr>
        <w:t> </w:t>
      </w:r>
      <w:r>
        <w:rPr>
          <w:rStyle w:val="Heading3NotBold"/>
          <w:rFonts w:asciiTheme="minorHAnsi" w:hAnsiTheme="minorHAnsi"/>
          <w:b w:val="0"/>
          <w:color w:val="auto"/>
          <w:sz w:val="20"/>
          <w:szCs w:val="20"/>
          <w:lang w:val="en-GB"/>
        </w:rPr>
        <w:t>28.2</w:t>
      </w:r>
      <w:r>
        <w:rPr>
          <w:rStyle w:val="Bodytext2Bold"/>
          <w:color w:val="auto"/>
          <w:sz w:val="20"/>
          <w:szCs w:val="20"/>
          <w:lang w:val="en-GB"/>
        </w:rPr>
        <w:t> </w:t>
      </w:r>
      <w:r>
        <w:rPr>
          <w:rStyle w:val="Heading3NotBold"/>
          <w:rFonts w:asciiTheme="minorHAnsi" w:hAnsiTheme="minorHAnsi"/>
          <w:b w:val="0"/>
          <w:color w:val="auto"/>
          <w:sz w:val="20"/>
          <w:szCs w:val="20"/>
          <w:lang w:val="en-GB"/>
        </w:rPr>
        <w:t>million. The cases are currently being followed up in close cooperation with the Member States concerned.</w:t>
      </w:r>
    </w:p>
    <w:bookmarkEnd w:id="170"/>
    <w:p>
      <w:pPr>
        <w:pStyle w:val="Annex4-subheading1"/>
        <w:rPr>
          <w:noProof/>
        </w:rPr>
      </w:pPr>
      <w:r>
        <w:rPr>
          <w:noProof/>
        </w:rPr>
        <w:t>Suspensions</w:t>
      </w:r>
    </w:p>
    <w:p>
      <w:pPr>
        <w:spacing w:before="240" w:after="240"/>
        <w:jc w:val="both"/>
        <w:rPr>
          <w:rStyle w:val="Bodytext21"/>
          <w:rFonts w:asciiTheme="minorHAnsi" w:hAnsiTheme="minorHAnsi"/>
          <w:noProof/>
          <w:color w:val="auto"/>
          <w:sz w:val="20"/>
          <w:szCs w:val="20"/>
          <w:lang w:val="en-GB"/>
        </w:rPr>
      </w:pPr>
      <w:r>
        <w:rPr>
          <w:rStyle w:val="Bodytext21"/>
          <w:rFonts w:asciiTheme="minorHAnsi" w:hAnsiTheme="minorHAnsi"/>
          <w:noProof/>
          <w:color w:val="auto"/>
          <w:sz w:val="20"/>
          <w:szCs w:val="20"/>
          <w:lang w:val="en-GB"/>
        </w:rPr>
        <w:t>For</w:t>
      </w:r>
      <w:r>
        <w:rPr>
          <w:rStyle w:val="Bodytext21"/>
          <w:rFonts w:asciiTheme="minorHAnsi" w:hAnsiTheme="minorHAnsi"/>
          <w:b/>
          <w:noProof/>
          <w:color w:val="auto"/>
          <w:sz w:val="20"/>
          <w:szCs w:val="20"/>
          <w:lang w:val="en-GB"/>
        </w:rPr>
        <w:t xml:space="preserve"> </w:t>
      </w:r>
      <w:r>
        <w:rPr>
          <w:rStyle w:val="Bodytext21"/>
          <w:rFonts w:asciiTheme="minorHAnsi" w:hAnsiTheme="minorHAnsi"/>
          <w:noProof/>
          <w:color w:val="auto"/>
          <w:sz w:val="20"/>
          <w:szCs w:val="20"/>
          <w:lang w:val="en-GB"/>
        </w:rPr>
        <w:t>the</w:t>
      </w:r>
      <w:r>
        <w:rPr>
          <w:rStyle w:val="Bodytext21"/>
          <w:rFonts w:asciiTheme="minorHAnsi" w:hAnsiTheme="minorHAnsi"/>
          <w:b/>
          <w:noProof/>
          <w:color w:val="auto"/>
          <w:sz w:val="20"/>
          <w:szCs w:val="20"/>
          <w:lang w:val="en-GB"/>
        </w:rPr>
        <w:t xml:space="preserve"> </w:t>
      </w:r>
      <w:r>
        <w:rPr>
          <w:rStyle w:val="BOLDORANGEAnnexes"/>
          <w:noProof/>
        </w:rPr>
        <w:t>2014-2020 programming period</w:t>
      </w:r>
      <w:r>
        <w:rPr>
          <w:rStyle w:val="Heading3NotBold"/>
          <w:rFonts w:asciiTheme="minorHAnsi" w:hAnsiTheme="minorHAnsi"/>
          <w:b w:val="0"/>
          <w:noProof/>
          <w:color w:val="auto"/>
          <w:sz w:val="20"/>
          <w:szCs w:val="20"/>
          <w:lang w:val="en-GB"/>
        </w:rPr>
        <w:t xml:space="preserve">, </w:t>
      </w:r>
      <w:r>
        <w:rPr>
          <w:rStyle w:val="Bodytext21"/>
          <w:rFonts w:asciiTheme="minorHAnsi" w:hAnsiTheme="minorHAnsi"/>
          <w:noProof/>
          <w:color w:val="auto"/>
          <w:sz w:val="20"/>
          <w:szCs w:val="20"/>
          <w:lang w:val="en-GB"/>
        </w:rPr>
        <w:t xml:space="preserve">there were no suspensions concerning any of the </w:t>
      </w:r>
      <w:r>
        <w:rPr>
          <w:rStyle w:val="BOLDORANGEAnnexes"/>
          <w:noProof/>
        </w:rPr>
        <w:t>European</w:t>
      </w:r>
      <w:r>
        <w:rPr>
          <w:rStyle w:val="BOLDORANGEAnnexes"/>
          <w:rFonts w:ascii="Calibri" w:hAnsi="Calibri" w:cs="Calibri"/>
          <w:noProof/>
        </w:rPr>
        <w:t> </w:t>
      </w:r>
      <w:r>
        <w:rPr>
          <w:rStyle w:val="BOLDORANGEAnnexes"/>
          <w:noProof/>
        </w:rPr>
        <w:t>Regional</w:t>
      </w:r>
      <w:r>
        <w:rPr>
          <w:rStyle w:val="BOLDORANGEAnnexes"/>
          <w:rFonts w:ascii="Calibri" w:hAnsi="Calibri" w:cs="Calibri"/>
          <w:noProof/>
        </w:rPr>
        <w:t> </w:t>
      </w:r>
      <w:r>
        <w:rPr>
          <w:rStyle w:val="BOLDORANGEAnnexes"/>
          <w:noProof/>
        </w:rPr>
        <w:t>Development</w:t>
      </w:r>
      <w:r>
        <w:rPr>
          <w:rStyle w:val="BOLDORANGEAnnexes"/>
          <w:rFonts w:ascii="Calibri" w:hAnsi="Calibri" w:cs="Calibri"/>
          <w:noProof/>
        </w:rPr>
        <w:t> </w:t>
      </w:r>
      <w:r>
        <w:rPr>
          <w:rStyle w:val="BOLDORANGEAnnexes"/>
          <w:noProof/>
        </w:rPr>
        <w:t>Fund,</w:t>
      </w:r>
      <w:r>
        <w:rPr>
          <w:rStyle w:val="Bodytext2Bold"/>
          <w:rFonts w:asciiTheme="minorHAnsi" w:hAnsiTheme="minorHAnsi"/>
          <w:noProof/>
          <w:color w:val="auto"/>
          <w:sz w:val="20"/>
          <w:szCs w:val="20"/>
          <w:lang w:val="en-GB"/>
        </w:rPr>
        <w:t xml:space="preserve"> </w:t>
      </w:r>
      <w:r>
        <w:rPr>
          <w:rStyle w:val="BOLDORANGEAnnexes"/>
          <w:noProof/>
        </w:rPr>
        <w:t>Cohesion</w:t>
      </w:r>
      <w:r>
        <w:rPr>
          <w:rStyle w:val="BOLDORANGEAnnexes"/>
          <w:rFonts w:ascii="Calibri" w:hAnsi="Calibri" w:cs="Calibri"/>
          <w:noProof/>
        </w:rPr>
        <w:t> </w:t>
      </w:r>
      <w:r>
        <w:rPr>
          <w:rStyle w:val="BOLDORANGEAnnexes"/>
          <w:noProof/>
        </w:rPr>
        <w:t xml:space="preserve">Fund </w:t>
      </w:r>
      <w:r>
        <w:rPr>
          <w:rStyle w:val="Bodytext21"/>
          <w:rFonts w:asciiTheme="minorHAnsi" w:hAnsiTheme="minorHAnsi"/>
          <w:noProof/>
          <w:color w:val="auto"/>
          <w:sz w:val="20"/>
          <w:szCs w:val="20"/>
          <w:lang w:val="en-GB"/>
        </w:rPr>
        <w:t>or</w:t>
      </w:r>
      <w:r>
        <w:rPr>
          <w:rStyle w:val="BOLDORANGEAnnexes"/>
          <w:noProof/>
        </w:rPr>
        <w:t xml:space="preserve"> European Social Fund</w:t>
      </w:r>
      <w:r>
        <w:rPr>
          <w:rStyle w:val="Bodytext2Bold"/>
          <w:rFonts w:asciiTheme="minorHAnsi" w:hAnsiTheme="minorHAnsi"/>
          <w:noProof/>
          <w:color w:val="auto"/>
          <w:sz w:val="20"/>
          <w:szCs w:val="20"/>
          <w:lang w:val="en-GB"/>
        </w:rPr>
        <w:t xml:space="preserve"> </w:t>
      </w:r>
      <w:r>
        <w:rPr>
          <w:rStyle w:val="Bodytext21"/>
          <w:rFonts w:asciiTheme="minorHAnsi" w:hAnsiTheme="minorHAnsi"/>
          <w:noProof/>
          <w:color w:val="auto"/>
          <w:sz w:val="20"/>
          <w:szCs w:val="20"/>
          <w:lang w:val="en-GB"/>
        </w:rPr>
        <w:t xml:space="preserve">programmes. </w:t>
      </w:r>
    </w:p>
    <w:p>
      <w:pPr>
        <w:pStyle w:val="BodyText1spaceafter"/>
        <w:rPr>
          <w:rStyle w:val="Bodytext21"/>
          <w:rFonts w:asciiTheme="minorHAnsi" w:hAnsiTheme="minorHAnsi"/>
          <w:color w:val="auto"/>
          <w:sz w:val="20"/>
          <w:szCs w:val="20"/>
          <w:lang w:val="en-GB"/>
        </w:rPr>
      </w:pPr>
      <w:r>
        <w:rPr>
          <w:rStyle w:val="Bodytext21"/>
          <w:rFonts w:asciiTheme="minorHAnsi" w:hAnsiTheme="minorHAnsi"/>
          <w:color w:val="auto"/>
          <w:sz w:val="20"/>
          <w:szCs w:val="20"/>
          <w:lang w:val="en-GB"/>
        </w:rPr>
        <w:t xml:space="preserve">For the </w:t>
      </w:r>
      <w:r>
        <w:rPr>
          <w:rStyle w:val="BOLDORANGEAnnexes"/>
        </w:rPr>
        <w:t>European Social Fund (ESF)</w:t>
      </w:r>
      <w:r>
        <w:rPr>
          <w:rStyle w:val="Bodytext2Bold"/>
          <w:rFonts w:asciiTheme="minorHAnsi" w:hAnsiTheme="minorHAnsi"/>
          <w:b w:val="0"/>
          <w:color w:val="auto"/>
          <w:sz w:val="20"/>
          <w:szCs w:val="20"/>
          <w:lang w:val="en-GB"/>
        </w:rPr>
        <w:t>,</w:t>
      </w:r>
      <w:r>
        <w:rPr>
          <w:rStyle w:val="Bodytext21"/>
          <w:rFonts w:asciiTheme="minorHAnsi" w:hAnsiTheme="minorHAnsi"/>
          <w:b/>
          <w:color w:val="auto"/>
          <w:sz w:val="20"/>
          <w:szCs w:val="20"/>
          <w:lang w:val="en-GB"/>
        </w:rPr>
        <w:t xml:space="preserve"> </w:t>
      </w:r>
      <w:r>
        <w:rPr>
          <w:rStyle w:val="Bodytext21"/>
          <w:rFonts w:asciiTheme="minorHAnsi" w:hAnsiTheme="minorHAnsi"/>
          <w:color w:val="auto"/>
          <w:sz w:val="20"/>
          <w:szCs w:val="20"/>
          <w:lang w:val="en-GB"/>
        </w:rPr>
        <w:t>the interruption and suspension have been merged with the closure process for the 2007-2013 programmes. Financial corrections resulting from this process have been implemented for the programmes concerned and closed in 2018, however 14 programmes remained in reservation at the end of 2018 for which final payments will be made for the closure of the programme only when all issues are cleared. Following the in-depth assessment of closure documents, a non-quantified reservation is made for those programmes, where either additional audit work is requested due to the high or unreliable error rate or financial corrections may need to be applied at closure.</w:t>
      </w:r>
    </w:p>
    <w:p>
      <w:pPr>
        <w:pStyle w:val="BodyText1spaceafter"/>
        <w:rPr>
          <w:rStyle w:val="AMPRTextChar"/>
          <w:rFonts w:eastAsia="Calibri"/>
          <w:color w:val="000000" w:themeColor="text1"/>
          <w:sz w:val="20"/>
          <w:szCs w:val="22"/>
          <w:lang w:eastAsia="fr-BE"/>
        </w:rPr>
      </w:pPr>
      <w:r>
        <w:rPr>
          <w:rStyle w:val="AMPRTextChar"/>
          <w:rFonts w:asciiTheme="minorHAnsi" w:eastAsia="Calibri" w:hAnsiTheme="minorHAnsi"/>
          <w:color w:val="auto"/>
          <w:sz w:val="20"/>
          <w:szCs w:val="20"/>
        </w:rPr>
        <w:t xml:space="preserve">For the </w:t>
      </w:r>
      <w:r>
        <w:rPr>
          <w:rStyle w:val="BOLDORANGEAnnexes"/>
        </w:rPr>
        <w:t>European Maritime and Fisheries Fund</w:t>
      </w:r>
      <w:r>
        <w:rPr>
          <w:rStyle w:val="AMPRTextChar"/>
          <w:rFonts w:asciiTheme="minorHAnsi" w:eastAsia="Calibri" w:hAnsiTheme="minorHAnsi"/>
          <w:color w:val="auto"/>
          <w:sz w:val="20"/>
          <w:szCs w:val="20"/>
        </w:rPr>
        <w:t xml:space="preserve"> one operational programme (Ireland) was suspended as of 31</w:t>
      </w:r>
      <w:r>
        <w:rPr>
          <w:rStyle w:val="AMPRTextChar"/>
          <w:rFonts w:ascii="Calibri" w:eastAsia="Calibri" w:hAnsi="Calibri" w:cs="Calibri"/>
          <w:color w:val="auto"/>
          <w:sz w:val="20"/>
          <w:szCs w:val="20"/>
        </w:rPr>
        <w:t> </w:t>
      </w:r>
      <w:r>
        <w:rPr>
          <w:rStyle w:val="AMPRTextChar"/>
          <w:rFonts w:asciiTheme="minorHAnsi" w:eastAsia="Calibri" w:hAnsiTheme="minorHAnsi"/>
          <w:color w:val="auto"/>
          <w:sz w:val="20"/>
          <w:szCs w:val="20"/>
        </w:rPr>
        <w:t xml:space="preserve">December 2018 due to non-fulfilment of the </w:t>
      </w:r>
      <w:r>
        <w:rPr>
          <w:i/>
        </w:rPr>
        <w:t>ex</w:t>
      </w:r>
      <w:r>
        <w:rPr>
          <w:rFonts w:ascii="Calibri" w:hAnsi="Calibri"/>
          <w:i/>
        </w:rPr>
        <w:t> </w:t>
      </w:r>
      <w:r>
        <w:rPr>
          <w:i/>
        </w:rPr>
        <w:t>ante</w:t>
      </w:r>
      <w:r>
        <w:rPr>
          <w:rStyle w:val="AMPRTextChar"/>
          <w:rFonts w:asciiTheme="minorHAnsi" w:eastAsia="Calibri" w:hAnsiTheme="minorHAnsi"/>
          <w:color w:val="auto"/>
          <w:sz w:val="20"/>
          <w:szCs w:val="20"/>
        </w:rPr>
        <w:t xml:space="preserve"> conditionality relating to the administrative capacity to comply with the implementation of an EU control, inspection and enforcement system as provided for in Article 36 of Regulation (EU) No 1380/2013.</w:t>
      </w:r>
      <w:r>
        <w:rPr>
          <w:rStyle w:val="AMPRTextChar"/>
          <w:rFonts w:eastAsia="Calibri"/>
          <w:color w:val="auto"/>
        </w:rPr>
        <w:t xml:space="preserve"> </w:t>
      </w:r>
    </w:p>
    <w:p>
      <w:pPr>
        <w:pStyle w:val="Annex4-H3"/>
      </w:pPr>
      <w:bookmarkStart w:id="171" w:name="_Toc484626498"/>
      <w:bookmarkStart w:id="172" w:name="_Toc512866540"/>
      <w:bookmarkStart w:id="173" w:name="_Toc8386212"/>
      <w:r>
        <w:t>3.2.</w:t>
      </w:r>
      <w:r>
        <w:tab/>
        <w:t>Corrective actions</w:t>
      </w:r>
      <w:bookmarkEnd w:id="171"/>
      <w:bookmarkEnd w:id="172"/>
      <w:bookmarkEnd w:id="173"/>
      <w:r>
        <w:t xml:space="preserve"> </w:t>
      </w:r>
    </w:p>
    <w:p>
      <w:pPr>
        <w:pStyle w:val="BodyText1spaceafter"/>
      </w:pPr>
      <w:r>
        <w:t>For Cohesion policy where the Commission identifies individual irregularities (including the ones of systemic nature) or serious deficiencies in the Member State management and control systems, it can apply financial corrections with the purpose of restoring a situation where all of the expenditure declared for co-financing from the European Regional Development Fund, Cohesion Fund or European Social Fund and reimbursed by the Commission is brought back in line with the applicable rules.</w:t>
      </w:r>
    </w:p>
    <w:p>
      <w:pPr>
        <w:pStyle w:val="BodyText1spaceafter"/>
      </w:pPr>
      <w:r>
        <w:t xml:space="preserve">During the 2000-2006 and 2007-2013 programming periods, </w:t>
      </w:r>
      <w:r>
        <w:rPr>
          <w:rStyle w:val="BOLDORANGEAnnexes"/>
        </w:rPr>
        <w:t>Member States were able to replace irregular expenditure with new expenditure</w:t>
      </w:r>
      <w:r>
        <w:t xml:space="preserve"> if they took the necessary corrective actions and applied the related financial correction. If the Member State did not have such additional expenditure to declare, the financial correction resulted in a net correction (loss of funding). In contrast, a Commission financial correction decision had always a direct and net impact on the Member State: it had to pay the amount back and its financial allocation was reduced (i.e. the Member State could spend less money throughout the programming period). </w:t>
      </w:r>
    </w:p>
    <w:p>
      <w:pPr>
        <w:pStyle w:val="BodyText1spaceafter"/>
      </w:pPr>
      <w:r>
        <w:rPr>
          <w:rStyle w:val="Bodytext21"/>
          <w:rFonts w:ascii="EC Square Sans Pro" w:eastAsia="Calibri" w:hAnsi="EC Square Sans Pro" w:cs="Times New Roman"/>
          <w:color w:val="000000" w:themeColor="text1"/>
          <w:sz w:val="20"/>
          <w:szCs w:val="22"/>
          <w:lang w:val="en-GB" w:eastAsia="fr-BE" w:bidi="ar-SA"/>
        </w:rPr>
        <w:t>Net corrections are rather the exception under the 2007-2013 framework, due to the legal framework and budget-management type (reinforced preventive mechanism). The regulatory provisions for the 2014</w:t>
      </w:r>
      <w:r>
        <w:rPr>
          <w:rStyle w:val="Bodytext21"/>
          <w:rFonts w:ascii="EC Square Sans Pro" w:eastAsia="Calibri" w:hAnsi="EC Square Sans Pro" w:cs="Times New Roman"/>
          <w:color w:val="000000" w:themeColor="text1"/>
          <w:sz w:val="20"/>
          <w:szCs w:val="22"/>
          <w:lang w:val="en-GB" w:eastAsia="fr-BE" w:bidi="ar-SA"/>
        </w:rPr>
        <w:softHyphen/>
        <w:t>-2020 period significantly strengthen the Commission's position on protecting the EU budget from irregular expenditure. This is mainly due to the set-up of the new yearly based assurance model, which reduces the risk of having a material level of error. In fact, the new legal framework provides for increased accountability for programme-managing authorities which have to apply sound verifications on time for the submission of programme accounts each year. The Commission retains 10% of each interim payment until the finalisation of the whole national control cycle. Timely identification of serious deficiencies in functioning of the management and control system and reporting of reliable error rates is in the Member States' best interest since the Commission makes net financial corrections where Member States have not appropriately addressed them before submitting annual accounts to the Commission</w:t>
      </w:r>
      <w:r>
        <w:t>.</w:t>
      </w:r>
    </w:p>
    <w:p>
      <w:pPr>
        <w:spacing w:after="200" w:line="276" w:lineRule="auto"/>
        <w:rPr>
          <w:rFonts w:ascii="Calibri" w:eastAsia="Calibri" w:hAnsi="Calibri"/>
          <w:noProof/>
          <w:sz w:val="22"/>
        </w:rPr>
        <w:sectPr>
          <w:headerReference w:type="even" r:id="rId123"/>
          <w:headerReference w:type="default" r:id="rId124"/>
          <w:footerReference w:type="even" r:id="rId125"/>
          <w:footerReference w:type="default" r:id="rId126"/>
          <w:headerReference w:type="first" r:id="rId127"/>
          <w:footerReference w:type="first" r:id="rId128"/>
          <w:footnotePr>
            <w:numStart w:val="413"/>
          </w:footnotePr>
          <w:type w:val="continuous"/>
          <w:pgSz w:w="11906" w:h="16838" w:code="9"/>
          <w:pgMar w:top="1418" w:right="1418" w:bottom="1418" w:left="1418" w:header="635" w:footer="635" w:gutter="0"/>
          <w:cols w:space="720"/>
          <w:docGrid w:linePitch="360"/>
        </w:sectPr>
      </w:pPr>
    </w:p>
    <w:p>
      <w:pPr>
        <w:pStyle w:val="Annex4-H3"/>
      </w:pPr>
      <w:bookmarkStart w:id="174" w:name="_Toc454809918"/>
      <w:bookmarkStart w:id="175" w:name="_Toc456258173"/>
      <w:bookmarkStart w:id="176" w:name="_Toc456686581"/>
      <w:bookmarkStart w:id="177" w:name="_Toc484626499"/>
      <w:bookmarkStart w:id="178" w:name="_Toc512866541"/>
      <w:bookmarkStart w:id="179" w:name="_Toc8386213"/>
      <w:r>
        <w:t>3.3.</w:t>
      </w:r>
      <w:r>
        <w:tab/>
        <w:t>Deficiencies in Member States' management and control identified and measures undertaken</w:t>
      </w:r>
      <w:bookmarkEnd w:id="174"/>
      <w:bookmarkEnd w:id="175"/>
      <w:bookmarkEnd w:id="176"/>
      <w:bookmarkEnd w:id="177"/>
      <w:bookmarkEnd w:id="178"/>
      <w:bookmarkEnd w:id="179"/>
    </w:p>
    <w:p>
      <w:pPr>
        <w:pStyle w:val="BodyText1spaceafter"/>
        <w:rPr>
          <w:rStyle w:val="AMPRTextChar"/>
          <w:rFonts w:eastAsia="Calibri"/>
          <w:color w:val="000000" w:themeColor="text1"/>
          <w:sz w:val="20"/>
          <w:szCs w:val="22"/>
          <w:lang w:eastAsia="fr-BE"/>
        </w:rPr>
      </w:pPr>
      <w:r>
        <w:rPr>
          <w:rStyle w:val="AMPRTextChar"/>
          <w:rFonts w:eastAsia="Calibri"/>
          <w:color w:val="000000" w:themeColor="text1"/>
          <w:sz w:val="20"/>
          <w:szCs w:val="22"/>
          <w:lang w:eastAsia="fr-BE"/>
        </w:rPr>
        <w:t xml:space="preserve">As mentioned above, under shared management Member States are primarily responsible for the effective and efficient functioning of the management and control systems at national level. Nevertheless, the Commission seeks to ensure that the national systems prevent errors before certification and the Commission takes a number of actions (such as capacity-building actions) in Member States, pursuing further the single audit approach, carrying out complementary risk-based audits and exercising strict supervision over programme management, using the available legal tools such as </w:t>
      </w:r>
      <w:r>
        <w:rPr>
          <w:rStyle w:val="BOLDORANGEAnnexes"/>
        </w:rPr>
        <w:t>interruptions</w:t>
      </w:r>
      <w:r>
        <w:rPr>
          <w:rStyle w:val="AMPRTextChar"/>
          <w:rFonts w:eastAsia="Calibri"/>
          <w:color w:val="000000" w:themeColor="text1"/>
          <w:sz w:val="20"/>
          <w:szCs w:val="22"/>
          <w:lang w:eastAsia="fr-BE"/>
        </w:rPr>
        <w:t xml:space="preserve">, </w:t>
      </w:r>
      <w:r>
        <w:rPr>
          <w:rStyle w:val="BOLDORANGEAnnexes"/>
        </w:rPr>
        <w:t>suspensions</w:t>
      </w:r>
      <w:r>
        <w:rPr>
          <w:rStyle w:val="AMPRTextChar"/>
          <w:rFonts w:eastAsia="Calibri"/>
          <w:color w:val="000000" w:themeColor="text1"/>
          <w:sz w:val="20"/>
          <w:szCs w:val="22"/>
          <w:lang w:eastAsia="fr-BE"/>
        </w:rPr>
        <w:t xml:space="preserve"> and, where necessary, </w:t>
      </w:r>
      <w:r>
        <w:rPr>
          <w:rStyle w:val="BOLDORANGEAnnexes"/>
        </w:rPr>
        <w:t>financial corrections</w:t>
      </w:r>
      <w:r>
        <w:rPr>
          <w:rStyle w:val="AMPRTextChar"/>
          <w:rFonts w:eastAsia="Calibri"/>
          <w:color w:val="000000" w:themeColor="text1"/>
          <w:sz w:val="20"/>
          <w:szCs w:val="22"/>
          <w:lang w:eastAsia="fr-BE"/>
        </w:rPr>
        <w:t xml:space="preserve">. </w:t>
      </w:r>
    </w:p>
    <w:p>
      <w:pPr>
        <w:pStyle w:val="BodyText1spaceafter"/>
      </w:pPr>
      <w:r>
        <w:t>During the 2007-2013 period, the Commission put in place targeted actions to improve the administrative capacity in the Member States, which continue under the 2014-2020 period. Crosscutting initiatives to mitigate the main risks and weaknesses identified include the following.</w:t>
      </w:r>
    </w:p>
    <w:p>
      <w:pPr>
        <w:pStyle w:val="BodyText1spaceafter"/>
        <w:keepNext/>
      </w:pPr>
      <w:r>
        <w:t>A general administrative-capacity initiative with the following measures already implemented or ongoing.</w:t>
      </w:r>
    </w:p>
    <w:p>
      <w:pPr>
        <w:pStyle w:val="BodyText1spaceafter"/>
        <w:numPr>
          <w:ilvl w:val="0"/>
          <w:numId w:val="37"/>
        </w:numPr>
        <w:ind w:left="426" w:hanging="426"/>
      </w:pPr>
      <w:r>
        <w:t>TAIEX-REGIO PEER2PEER, an exchange tool for regional policy practitioners/experts in Member States, which experienced great success throughout the year. In this framework, 171 exchanges were implemented by December 2018, involving 2</w:t>
      </w:r>
      <w:r>
        <w:rPr>
          <w:rFonts w:ascii="Calibri" w:hAnsi="Calibri"/>
        </w:rPr>
        <w:t> </w:t>
      </w:r>
      <w:r>
        <w:t>576 participants from 27 Member States (mainly from Lithuania, Czechia, Romania, Bulgaria and Croatia). These exchanges should help Member States increase the quality and the legality of spending and accelerate the absorption of funds. A peer-to-peer exchange of expertise between authorities managing and implementing European Regional Development Fund and Cohesion Fund programmes</w:t>
      </w:r>
      <w:r>
        <w:rPr>
          <w:rFonts w:ascii="Calibri" w:hAnsi="Calibri" w:cs="Calibri"/>
        </w:rPr>
        <w:t> (</w:t>
      </w:r>
      <w:r>
        <w:footnoteReference w:id="41"/>
      </w:r>
      <w:r>
        <w:rPr>
          <w:rFonts w:ascii="Calibri" w:hAnsi="Calibri" w:cs="Calibri"/>
        </w:rPr>
        <w:t>)</w:t>
      </w:r>
      <w:r>
        <w:t xml:space="preserve">. </w:t>
      </w:r>
    </w:p>
    <w:p>
      <w:pPr>
        <w:pStyle w:val="BodyText1spaceafter"/>
        <w:numPr>
          <w:ilvl w:val="0"/>
          <w:numId w:val="37"/>
        </w:numPr>
        <w:ind w:left="426" w:hanging="426"/>
      </w:pPr>
      <w:r>
        <w:t>A strategic training programme for managing, certifying and audit authorities and intermediate bodies on the implementation of the 2014-2020 regulations: 756 participants from all Member States have attended the five different training modules organised so far. In total</w:t>
      </w:r>
      <w:r>
        <w:rPr>
          <w:rFonts w:ascii="Calibri" w:hAnsi="Calibri" w:cs="Calibri"/>
        </w:rPr>
        <w:t> </w:t>
      </w:r>
      <w:r>
        <w:t xml:space="preserve">26 2-day training sessions have been organised in the premises of DG </w:t>
      </w:r>
      <w:r>
        <w:rPr>
          <w:color w:val="auto"/>
          <w:szCs w:val="20"/>
        </w:rPr>
        <w:t>Regional</w:t>
      </w:r>
      <w:r>
        <w:rPr>
          <w:rFonts w:ascii="Calibri" w:hAnsi="Calibri" w:cs="Calibri"/>
          <w:color w:val="auto"/>
          <w:szCs w:val="20"/>
        </w:rPr>
        <w:t> </w:t>
      </w:r>
      <w:r>
        <w:rPr>
          <w:color w:val="auto"/>
          <w:szCs w:val="20"/>
        </w:rPr>
        <w:t>and</w:t>
      </w:r>
      <w:r>
        <w:rPr>
          <w:rFonts w:ascii="Calibri" w:hAnsi="Calibri" w:cs="Calibri"/>
          <w:color w:val="auto"/>
          <w:szCs w:val="20"/>
        </w:rPr>
        <w:t> </w:t>
      </w:r>
      <w:r>
        <w:rPr>
          <w:color w:val="auto"/>
          <w:szCs w:val="20"/>
        </w:rPr>
        <w:t>Urban</w:t>
      </w:r>
      <w:r>
        <w:rPr>
          <w:rFonts w:ascii="Calibri" w:hAnsi="Calibri" w:cs="Calibri"/>
          <w:color w:val="auto"/>
          <w:szCs w:val="20"/>
        </w:rPr>
        <w:t> </w:t>
      </w:r>
      <w:r>
        <w:rPr>
          <w:color w:val="auto"/>
          <w:szCs w:val="20"/>
        </w:rPr>
        <w:t>Policy</w:t>
      </w:r>
      <w:r>
        <w:t>.</w:t>
      </w:r>
    </w:p>
    <w:p>
      <w:pPr>
        <w:pStyle w:val="BodyText1spaceafter"/>
        <w:numPr>
          <w:ilvl w:val="0"/>
          <w:numId w:val="37"/>
        </w:numPr>
        <w:ind w:left="426" w:hanging="426"/>
      </w:pPr>
      <w:r>
        <w:t>A competency framework for efficient management and implementation of European Regional Development Fund and the Cohesion Fund, aimed at supporting further professionalisation of the fund management. The framework is accompanied by a self-assessment tool which is a flexible instrument enabling employees to self-assess the proficiency level for each competency required for their job. The assessment results can be aggregated at institution level thereby providing evidence for the preparation of learning and development plans. Translations of the user guidelines and other support documents are now available in 21 EU languages</w:t>
      </w:r>
    </w:p>
    <w:p>
      <w:pPr>
        <w:pStyle w:val="BodyText1spaceafter"/>
        <w:numPr>
          <w:ilvl w:val="0"/>
          <w:numId w:val="37"/>
        </w:numPr>
        <w:ind w:left="426" w:hanging="426"/>
      </w:pPr>
      <w:r>
        <w:t>Prevention of fraud and corruption: organisation of 13 fraud and corruption conferences/workshops in different Member States (together with European Anti-Fraud Office, DG Migration and Home Affairs, DG Internal Market, Industry, Entrepreneurship and small and medium-sized enterprises and the departments(</w:t>
      </w:r>
      <w:r>
        <w:footnoteReference w:id="42"/>
      </w:r>
      <w:r>
        <w:t>) dealing with the European Structural and Investment Funds</w:t>
      </w:r>
      <w:r>
        <w:rPr>
          <w:rFonts w:asciiTheme="minorHAnsi" w:hAnsiTheme="minorHAnsi"/>
          <w:szCs w:val="20"/>
        </w:rPr>
        <w:t xml:space="preserve"> (ESIF) </w:t>
      </w:r>
      <w:r>
        <w:t>and in cooperation with Transparency International)</w:t>
      </w:r>
      <w:r>
        <w:rPr>
          <w:rFonts w:ascii="Calibri" w:hAnsi="Calibri" w:cs="Calibri"/>
        </w:rPr>
        <w:t> </w:t>
      </w:r>
      <w:r>
        <w:t>focusing on awareness raising and practical tools and instruments to fight fraud and corruption such as data-mining tools, open data and intensified cooperation with civil society; launch of a study on appropriate anti-fraud and anti-corruption practices in the management of the funds applied in the Member States which will be summarised in a handbook.</w:t>
      </w:r>
    </w:p>
    <w:p>
      <w:pPr>
        <w:pStyle w:val="BodyText1spaceafter"/>
        <w:numPr>
          <w:ilvl w:val="0"/>
          <w:numId w:val="37"/>
        </w:numPr>
        <w:ind w:left="426" w:hanging="426"/>
      </w:pPr>
      <w:r>
        <w:t>Pilot integrity pacts: an integrity pact is an innovative tool developed by Transparency International to help governments, businesses and civil society fighting corruption in public contracting. It is based on an agreement between a contracting authority and economic operators bidding for public contracts that they will abstain from corrupt practices and will conduct a transparent procurement process. To ensure accountability and legitimacy, a civil-society organisation monitors that all parties comply with their ethical commitments throughout the entire project lifecycle, i.e. from the drafting of the terms of reference to the closure of the project.</w:t>
      </w:r>
      <w:r>
        <w:rPr>
          <w:rFonts w:ascii="Calibri" w:hAnsi="Calibri" w:cs="Calibri"/>
        </w:rPr>
        <w:t> </w:t>
      </w:r>
      <w:r>
        <w:t>17 pilot integrity pacts are being implemented in 11 Member States (Bulgaria,  Czechia,  Greece, Hungary, Lithuania, Latvia, Slovenia, Portugal, Romania, Italy, Poland) showing some first important results, and run for a period of 4</w:t>
      </w:r>
      <w:r>
        <w:rPr>
          <w:rFonts w:ascii="Calibri" w:hAnsi="Calibri" w:cs="Calibri"/>
        </w:rPr>
        <w:t> </w:t>
      </w:r>
      <w:r>
        <w:t>years.</w:t>
      </w:r>
      <w:r>
        <w:rPr>
          <w:rFonts w:ascii="Calibri" w:hAnsi="Calibri" w:cs="Calibri"/>
        </w:rPr>
        <w:t> </w:t>
      </w:r>
    </w:p>
    <w:p>
      <w:pPr>
        <w:pStyle w:val="BodyText1spaceafter"/>
        <w:numPr>
          <w:ilvl w:val="0"/>
          <w:numId w:val="37"/>
        </w:numPr>
        <w:ind w:left="426" w:hanging="426"/>
      </w:pPr>
      <w:r>
        <w:t>A dedicated action plan on public procurement for strengthening capacity in that field in close cooperation with DG</w:t>
      </w:r>
      <w:r>
        <w:rPr>
          <w:rFonts w:ascii="Calibri" w:hAnsi="Calibri" w:cs="Calibri"/>
        </w:rPr>
        <w:t> </w:t>
      </w:r>
      <w:r>
        <w:t>Internal Market, Industry, Entrepreneurship and small and medium-sized enterprises, other departments dealing with the European Structural and Investment Funds</w:t>
      </w:r>
      <w:r>
        <w:rPr>
          <w:rFonts w:asciiTheme="minorHAnsi" w:hAnsiTheme="minorHAnsi"/>
          <w:szCs w:val="20"/>
        </w:rPr>
        <w:t xml:space="preserve"> (ESIF)</w:t>
      </w:r>
      <w:r>
        <w:t xml:space="preserve"> and the European Investment Bank (EIB). The action plan includes 26 actions (13 closed; 13 ongoing). Some of them are as follows.</w:t>
      </w:r>
    </w:p>
    <w:p>
      <w:pPr>
        <w:pStyle w:val="BodyText1spaceafter"/>
        <w:numPr>
          <w:ilvl w:val="1"/>
          <w:numId w:val="37"/>
        </w:numPr>
        <w:ind w:left="1134"/>
      </w:pPr>
      <w:r>
        <w:rPr>
          <w:i/>
        </w:rPr>
        <w:t>Public procurement guidance for practitioners on the avoidance of errors in projects funded by the European Structural and Investment Funds (ESIF)</w:t>
      </w:r>
      <w:r>
        <w:t xml:space="preserve">. An updated guide taking into account the new PP directives is now available in English; all other language versions follow by end May. </w:t>
      </w:r>
    </w:p>
    <w:p>
      <w:pPr>
        <w:pStyle w:val="BodyText1spaceafter"/>
        <w:numPr>
          <w:ilvl w:val="1"/>
          <w:numId w:val="37"/>
        </w:numPr>
        <w:ind w:left="1134"/>
      </w:pPr>
      <w:r>
        <w:t xml:space="preserve">Monitoring of the </w:t>
      </w:r>
      <w:r>
        <w:rPr>
          <w:i/>
        </w:rPr>
        <w:t>ex</w:t>
      </w:r>
      <w:r>
        <w:rPr>
          <w:rFonts w:ascii="Calibri" w:hAnsi="Calibri"/>
          <w:i/>
        </w:rPr>
        <w:t> </w:t>
      </w:r>
      <w:r>
        <w:rPr>
          <w:i/>
        </w:rPr>
        <w:t>ante</w:t>
      </w:r>
      <w:r>
        <w:t xml:space="preserve"> conditionality action plans on public procurement with a focus on those Member States which are still implementing their action plans.</w:t>
      </w:r>
    </w:p>
    <w:p>
      <w:pPr>
        <w:pStyle w:val="BodyText1spaceafter"/>
        <w:numPr>
          <w:ilvl w:val="1"/>
          <w:numId w:val="37"/>
        </w:numPr>
        <w:ind w:left="1134"/>
      </w:pPr>
      <w:r>
        <w:t>A public procurement stock-taking study including more than 50 good practice examples in public procurement across the EU, has been widely disseminated. A large follow-up study on in-depth analysis of some good-practice examples and their transferability to other Member States.</w:t>
      </w:r>
    </w:p>
    <w:p>
      <w:pPr>
        <w:pStyle w:val="BodyText1spaceafter"/>
        <w:numPr>
          <w:ilvl w:val="1"/>
          <w:numId w:val="37"/>
        </w:numPr>
        <w:ind w:left="1134"/>
      </w:pPr>
      <w:r>
        <w:t>Promotion of transparency and open data on public procurement.</w:t>
      </w:r>
    </w:p>
    <w:p>
      <w:pPr>
        <w:pStyle w:val="BodyText1spaceafter"/>
        <w:numPr>
          <w:ilvl w:val="1"/>
          <w:numId w:val="37"/>
        </w:numPr>
        <w:ind w:left="1134"/>
      </w:pPr>
      <w:r>
        <w:t xml:space="preserve">Two pilot projects in cooperation with the Organisation for Economic Co-operation and Development where support was given to Bulgaria and Slovakia for their implementation of their </w:t>
      </w:r>
      <w:r>
        <w:rPr>
          <w:i/>
        </w:rPr>
        <w:t>ex ante</w:t>
      </w:r>
      <w:r>
        <w:t xml:space="preserve"> conditionality action plan on public procurement (especially training) and (in Slovakia) on preparation for an e-procurement strategy.</w:t>
      </w:r>
    </w:p>
    <w:p>
      <w:pPr>
        <w:pStyle w:val="BodyText1spaceafter"/>
        <w:numPr>
          <w:ilvl w:val="1"/>
          <w:numId w:val="37"/>
        </w:numPr>
        <w:ind w:left="1134"/>
      </w:pPr>
      <w:r>
        <w:t>Promotion of strategic procurement (smart, green, inclusive, small and medium-sized enterprises) in cohesion policy in cooperation with the Organisation for Economic Co-operation and Development.</w:t>
      </w:r>
    </w:p>
    <w:p>
      <w:pPr>
        <w:pStyle w:val="BodyText1spaceafter"/>
        <w:numPr>
          <w:ilvl w:val="0"/>
          <w:numId w:val="37"/>
        </w:numPr>
        <w:ind w:left="426" w:hanging="426"/>
      </w:pPr>
      <w:r>
        <w:t>A state aid action plan designed in close cooperation with DG Competition. It aims at increasing awareness and understanding of the impact of state aid on cohesion policy, improving the cooperation between the various actors involved in the monitoring of state aid in the Member States, and providing proactive support to the EU Member States and regions in the correct application of state aid rules. it includes measures for the following.</w:t>
      </w:r>
    </w:p>
    <w:p>
      <w:pPr>
        <w:pStyle w:val="BodyText1spaceafter"/>
        <w:numPr>
          <w:ilvl w:val="1"/>
          <w:numId w:val="37"/>
        </w:numPr>
        <w:ind w:left="1134"/>
      </w:pPr>
      <w:r>
        <w:t>Reviewing existing good practices and their dissemination.</w:t>
      </w:r>
    </w:p>
    <w:p>
      <w:pPr>
        <w:pStyle w:val="BodyText1spaceafter"/>
        <w:numPr>
          <w:ilvl w:val="1"/>
          <w:numId w:val="37"/>
        </w:numPr>
        <w:ind w:left="1134"/>
      </w:pPr>
      <w:r>
        <w:t>Strategic training programmes, including expert and country specific seminars.</w:t>
      </w:r>
    </w:p>
    <w:p>
      <w:pPr>
        <w:pStyle w:val="BodyText1spaceafter"/>
        <w:numPr>
          <w:ilvl w:val="1"/>
          <w:numId w:val="37"/>
        </w:numPr>
        <w:ind w:left="1134"/>
      </w:pPr>
      <w:r>
        <w:t>Exchanges between the Commission and audit authorities, for further dissemination of audit checklists adapted to the 2014 General Block Exemption Regulation (GBER) revisions.</w:t>
      </w:r>
    </w:p>
    <w:p>
      <w:pPr>
        <w:pStyle w:val="BodyText1spaceafter"/>
        <w:numPr>
          <w:ilvl w:val="1"/>
          <w:numId w:val="37"/>
        </w:numPr>
        <w:ind w:left="1134"/>
      </w:pPr>
      <w:r>
        <w:t>Tailor-made assistance to Member States offering them expert support.</w:t>
      </w:r>
    </w:p>
    <w:p>
      <w:pPr>
        <w:pStyle w:val="BodyText1spaceafter"/>
      </w:pPr>
      <w:r>
        <w:t xml:space="preserve">As regards </w:t>
      </w:r>
      <w:r>
        <w:rPr>
          <w:rStyle w:val="BOLDORANGEAnnexes"/>
        </w:rPr>
        <w:t>European Social Fund</w:t>
      </w:r>
      <w:r>
        <w:t xml:space="preserve"> ineligible costs continue to be the main source of error, together with ineligible projects/beneficiaries and then public procurement issues. The Commission has initiated targeted measures to address root causes of errors in these areas. </w:t>
      </w:r>
    </w:p>
    <w:p>
      <w:pPr>
        <w:pStyle w:val="Annex4-H3"/>
      </w:pPr>
      <w:bookmarkStart w:id="180" w:name="_Toc453328859"/>
      <w:bookmarkStart w:id="181" w:name="_Toc484626500"/>
      <w:bookmarkStart w:id="182" w:name="_Toc512866542"/>
      <w:bookmarkStart w:id="183" w:name="_Toc8386214"/>
      <w:bookmarkEnd w:id="180"/>
      <w:r>
        <w:t>3.4.</w:t>
      </w:r>
      <w:r>
        <w:tab/>
        <w:t>Cumulative figures</w:t>
      </w:r>
      <w:bookmarkEnd w:id="181"/>
      <w:bookmarkEnd w:id="182"/>
      <w:bookmarkEnd w:id="183"/>
    </w:p>
    <w:p>
      <w:pPr>
        <w:pStyle w:val="Annex4-H4"/>
        <w:rPr>
          <w:noProof/>
        </w:rPr>
      </w:pPr>
      <w:bookmarkStart w:id="184" w:name="_Toc484626502"/>
      <w:bookmarkStart w:id="185" w:name="_Toc512866544"/>
      <w:bookmarkStart w:id="186" w:name="_Toc8386215"/>
      <w:r>
        <w:rPr>
          <w:noProof/>
        </w:rPr>
        <w:t>3.4.1.</w:t>
      </w:r>
      <w:r>
        <w:rPr>
          <w:noProof/>
        </w:rPr>
        <w:tab/>
        <w:t>Cohesion Policy: European Regional Development Fund / Cohesion Fund and ESF 2007-2013</w:t>
      </w:r>
      <w:bookmarkEnd w:id="184"/>
      <w:bookmarkEnd w:id="185"/>
      <w:bookmarkEnd w:id="186"/>
    </w:p>
    <w:p>
      <w:pPr>
        <w:pStyle w:val="BodyText1spaceafter"/>
      </w:pPr>
      <w:r>
        <w:t>The lower volume of financial corrections reflects the improved capacity of the management and control systems to detect problems and to correct errors before expenditure is declared to the Commission, as reflected in the lower error rates for cohesion policy in the period 2007-2013 compared to the period 2000-2006. Reference is also made to the corrections made by Member States in this period.</w:t>
      </w:r>
    </w:p>
    <w:tbl>
      <w:tblPr>
        <w:tblW w:w="9576" w:type="dxa"/>
        <w:tblInd w:w="108" w:type="dxa"/>
        <w:tblLook w:val="04A0" w:firstRow="1" w:lastRow="0" w:firstColumn="1" w:lastColumn="0" w:noHBand="0" w:noVBand="1"/>
      </w:tblPr>
      <w:tblGrid>
        <w:gridCol w:w="9576"/>
      </w:tblGrid>
      <w:tr>
        <w:trPr>
          <w:trHeight w:val="720"/>
        </w:trPr>
        <w:tc>
          <w:tcPr>
            <w:tcW w:w="9576" w:type="dxa"/>
            <w:tcBorders>
              <w:top w:val="nil"/>
              <w:left w:val="nil"/>
              <w:bottom w:val="nil"/>
              <w:right w:val="nil"/>
            </w:tcBorders>
            <w:shd w:val="clear" w:color="auto" w:fill="auto"/>
            <w:noWrap/>
            <w:vAlign w:val="center"/>
            <w:hideMark/>
          </w:tcPr>
          <w:tbl>
            <w:tblPr>
              <w:tblW w:w="9070" w:type="dxa"/>
              <w:jc w:val="center"/>
              <w:tblLook w:val="04A0" w:firstRow="1" w:lastRow="0" w:firstColumn="1" w:lastColumn="0" w:noHBand="0" w:noVBand="1"/>
            </w:tblPr>
            <w:tblGrid>
              <w:gridCol w:w="1605"/>
              <w:gridCol w:w="1471"/>
              <w:gridCol w:w="1550"/>
              <w:gridCol w:w="1270"/>
              <w:gridCol w:w="1586"/>
              <w:gridCol w:w="1588"/>
            </w:tblGrid>
            <w:tr>
              <w:trPr>
                <w:trHeight w:val="1780"/>
                <w:tblHeader/>
                <w:jc w:val="center"/>
              </w:trPr>
              <w:tc>
                <w:tcPr>
                  <w:tcW w:w="1434" w:type="dxa"/>
                  <w:tcBorders>
                    <w:top w:val="single" w:sz="8" w:space="0" w:color="auto"/>
                    <w:left w:val="single" w:sz="8" w:space="0" w:color="auto"/>
                    <w:bottom w:val="single" w:sz="8" w:space="0" w:color="auto"/>
                    <w:right w:val="single" w:sz="8" w:space="0" w:color="auto"/>
                  </w:tcBorders>
                  <w:shd w:val="clear" w:color="auto" w:fill="E48C32"/>
                  <w:vAlign w:val="center"/>
                  <w:hideMark/>
                </w:tcPr>
                <w:p>
                  <w:pPr>
                    <w:keepNext/>
                    <w:jc w:val="center"/>
                    <w:rPr>
                      <w:rFonts w:cs="Arial"/>
                      <w:b/>
                      <w:noProof/>
                      <w:color w:val="FFFFFF"/>
                      <w:sz w:val="16"/>
                    </w:rPr>
                  </w:pPr>
                  <w:r>
                    <w:rPr>
                      <w:rFonts w:cs="Arial"/>
                      <w:b/>
                      <w:noProof/>
                      <w:color w:val="FFFFFF"/>
                      <w:sz w:val="16"/>
                    </w:rPr>
                    <w:t>Member State</w:t>
                  </w:r>
                </w:p>
              </w:tc>
              <w:tc>
                <w:tcPr>
                  <w:tcW w:w="1314" w:type="dxa"/>
                  <w:tcBorders>
                    <w:top w:val="single" w:sz="8" w:space="0" w:color="auto"/>
                    <w:left w:val="nil"/>
                    <w:bottom w:val="single" w:sz="8" w:space="0" w:color="auto"/>
                    <w:right w:val="single" w:sz="8" w:space="0" w:color="auto"/>
                  </w:tcBorders>
                  <w:shd w:val="clear" w:color="auto" w:fill="E48C32"/>
                  <w:vAlign w:val="center"/>
                  <w:hideMark/>
                </w:tcPr>
                <w:p>
                  <w:pPr>
                    <w:keepNext/>
                    <w:jc w:val="center"/>
                    <w:rPr>
                      <w:rFonts w:cs="Arial"/>
                      <w:b/>
                      <w:noProof/>
                      <w:color w:val="FFFFFF"/>
                      <w:sz w:val="16"/>
                    </w:rPr>
                  </w:pPr>
                  <w:r>
                    <w:rPr>
                      <w:rFonts w:cs="Arial"/>
                      <w:b/>
                      <w:noProof/>
                      <w:color w:val="FFFFFF"/>
                      <w:sz w:val="16"/>
                    </w:rPr>
                    <w:t>ERDF/CF+ESF contribution amount</w:t>
                  </w:r>
                </w:p>
              </w:tc>
              <w:tc>
                <w:tcPr>
                  <w:tcW w:w="1384" w:type="dxa"/>
                  <w:tcBorders>
                    <w:top w:val="single" w:sz="8" w:space="0" w:color="auto"/>
                    <w:left w:val="nil"/>
                    <w:bottom w:val="single" w:sz="8" w:space="0" w:color="auto"/>
                    <w:right w:val="single" w:sz="8" w:space="0" w:color="auto"/>
                  </w:tcBorders>
                  <w:shd w:val="clear" w:color="auto" w:fill="E48C32"/>
                  <w:vAlign w:val="center"/>
                  <w:hideMark/>
                </w:tcPr>
                <w:p>
                  <w:pPr>
                    <w:keepNext/>
                    <w:jc w:val="center"/>
                    <w:rPr>
                      <w:rFonts w:cs="Arial"/>
                      <w:b/>
                      <w:noProof/>
                      <w:color w:val="FFFFFF"/>
                      <w:sz w:val="16"/>
                    </w:rPr>
                  </w:pPr>
                  <w:r>
                    <w:rPr>
                      <w:rFonts w:cs="Arial"/>
                      <w:b/>
                      <w:noProof/>
                      <w:color w:val="FFFFFF"/>
                      <w:sz w:val="16"/>
                    </w:rPr>
                    <w:t>% of contribution amount to total contributions</w:t>
                  </w:r>
                </w:p>
              </w:tc>
              <w:tc>
                <w:tcPr>
                  <w:tcW w:w="1134" w:type="dxa"/>
                  <w:tcBorders>
                    <w:top w:val="single" w:sz="8" w:space="0" w:color="auto"/>
                    <w:left w:val="nil"/>
                    <w:bottom w:val="single" w:sz="8" w:space="0" w:color="auto"/>
                    <w:right w:val="single" w:sz="8" w:space="0" w:color="auto"/>
                  </w:tcBorders>
                  <w:shd w:val="clear" w:color="auto" w:fill="E48C32"/>
                  <w:vAlign w:val="center"/>
                  <w:hideMark/>
                </w:tcPr>
                <w:p>
                  <w:pPr>
                    <w:keepNext/>
                    <w:jc w:val="center"/>
                    <w:rPr>
                      <w:rFonts w:cs="Arial"/>
                      <w:b/>
                      <w:noProof/>
                      <w:color w:val="FFFFFF"/>
                      <w:sz w:val="16"/>
                    </w:rPr>
                  </w:pPr>
                  <w:r>
                    <w:rPr>
                      <w:rFonts w:cs="Arial"/>
                      <w:b/>
                      <w:noProof/>
                      <w:color w:val="FFFFFF"/>
                      <w:sz w:val="16"/>
                    </w:rPr>
                    <w:t>Financial corrections confirmed</w:t>
                  </w:r>
                </w:p>
              </w:tc>
              <w:tc>
                <w:tcPr>
                  <w:tcW w:w="1417" w:type="dxa"/>
                  <w:tcBorders>
                    <w:top w:val="single" w:sz="8" w:space="0" w:color="auto"/>
                    <w:left w:val="nil"/>
                    <w:bottom w:val="single" w:sz="8" w:space="0" w:color="auto"/>
                    <w:right w:val="single" w:sz="8" w:space="0" w:color="auto"/>
                  </w:tcBorders>
                  <w:shd w:val="clear" w:color="auto" w:fill="E48C32"/>
                  <w:vAlign w:val="center"/>
                  <w:hideMark/>
                </w:tcPr>
                <w:p>
                  <w:pPr>
                    <w:keepNext/>
                    <w:jc w:val="center"/>
                    <w:rPr>
                      <w:rFonts w:cs="Arial"/>
                      <w:b/>
                      <w:noProof/>
                      <w:color w:val="FFFFFF"/>
                      <w:sz w:val="16"/>
                    </w:rPr>
                  </w:pPr>
                  <w:r>
                    <w:rPr>
                      <w:rFonts w:cs="Arial"/>
                      <w:b/>
                      <w:noProof/>
                      <w:color w:val="FFFFFF"/>
                      <w:sz w:val="16"/>
                    </w:rPr>
                    <w:t>Percentage of financial corrections in relation to the ERDF/CF+ESF contributions</w:t>
                  </w:r>
                </w:p>
              </w:tc>
              <w:tc>
                <w:tcPr>
                  <w:tcW w:w="1418" w:type="dxa"/>
                  <w:tcBorders>
                    <w:top w:val="single" w:sz="8" w:space="0" w:color="auto"/>
                    <w:left w:val="nil"/>
                    <w:bottom w:val="single" w:sz="8" w:space="0" w:color="auto"/>
                    <w:right w:val="single" w:sz="8" w:space="0" w:color="auto"/>
                  </w:tcBorders>
                  <w:shd w:val="clear" w:color="auto" w:fill="E48C32"/>
                  <w:vAlign w:val="center"/>
                  <w:hideMark/>
                </w:tcPr>
                <w:p>
                  <w:pPr>
                    <w:keepNext/>
                    <w:jc w:val="center"/>
                    <w:rPr>
                      <w:rFonts w:cs="Arial"/>
                      <w:b/>
                      <w:noProof/>
                      <w:color w:val="FFFFFF"/>
                      <w:sz w:val="16"/>
                    </w:rPr>
                  </w:pPr>
                  <w:r>
                    <w:rPr>
                      <w:rFonts w:cs="Arial"/>
                      <w:b/>
                      <w:noProof/>
                      <w:color w:val="FFFFFF"/>
                      <w:sz w:val="16"/>
                    </w:rPr>
                    <w:t>Share of financial corrections imposed compared to total financial corrections (%)</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Belgium</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2 059</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0.6</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17</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0.8</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0.2</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Bulgaria</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6 595</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1.9</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155</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2.3</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2.3</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Czechia</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25 819</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7.5</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846</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3.3</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12.5</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Denmark</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510</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0.1</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0</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0.0</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0.0</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Germany</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25 458</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7.4</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193</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0.8</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2.9</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Estonia</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3 403</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1.0</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10</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0.3</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0.1</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Ireland</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751</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0.2</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24</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3.2</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0.4</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Greece</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20 210</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5.8</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564</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2.8</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8.3</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Spain</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34 521</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10.0</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773</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2.2</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11.4</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France</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13 546</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3.9</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84</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0.6</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1.2</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Croatia</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858</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0.2</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0</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0.1</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0.0</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Italy</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27 940</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8.1</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415</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1.5</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6.1</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Cyprus</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612</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0.2</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2</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0.3</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0.0</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Latvia</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4 530</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1.3</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67</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1.5</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1.0</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Lithuania</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6 775</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2.0</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0</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0.0</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0.0</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Luxembourg</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50</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0.0</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0</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0.1</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0.0</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Hungary</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24 893</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7.2</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1 059</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4.3</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15.7</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Malta</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840</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0.2</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12</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1.4</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0.2</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Netherlands</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1 660</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0.5</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0</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0.0</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0.0</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Austria</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1 170</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0.3</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16</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1.4</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0.2</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Poland</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67 186</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19.4</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735</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1.1</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10.9</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Portugal</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21 412</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6.2</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88</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0.4</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1.3</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Romania</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18 782</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5.4</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1 042</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5.5</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15.4</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Slovenia</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4 101</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1.2</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50</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1.2</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0.7</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Slovakia</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11 483</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3.3</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474</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4.1</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7.0</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Finland</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1 596</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0.5</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0</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0.0</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0.0</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Sweden</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1 626</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0.5</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1</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0.1</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0.0</w:t>
                  </w:r>
                </w:p>
              </w:tc>
            </w:tr>
            <w:tr>
              <w:trPr>
                <w:trHeight w:val="255"/>
                <w:jc w:val="center"/>
              </w:trPr>
              <w:tc>
                <w:tcPr>
                  <w:tcW w:w="1434" w:type="dxa"/>
                  <w:tcBorders>
                    <w:top w:val="nil"/>
                    <w:left w:val="single" w:sz="8" w:space="0" w:color="auto"/>
                    <w:bottom w:val="nil"/>
                    <w:right w:val="nil"/>
                  </w:tcBorders>
                  <w:shd w:val="clear" w:color="auto" w:fill="auto"/>
                  <w:noWrap/>
                  <w:vAlign w:val="center"/>
                  <w:hideMark/>
                </w:tcPr>
                <w:p>
                  <w:pPr>
                    <w:keepNext/>
                    <w:rPr>
                      <w:rFonts w:cs="Arial"/>
                      <w:noProof/>
                      <w:color w:val="000000"/>
                      <w:sz w:val="16"/>
                    </w:rPr>
                  </w:pPr>
                  <w:r>
                    <w:rPr>
                      <w:rFonts w:cs="Arial"/>
                      <w:noProof/>
                      <w:color w:val="000000"/>
                      <w:sz w:val="16"/>
                    </w:rPr>
                    <w:t>United Kingdom</w:t>
                  </w:r>
                </w:p>
              </w:tc>
              <w:tc>
                <w:tcPr>
                  <w:tcW w:w="1314" w:type="dxa"/>
                  <w:tcBorders>
                    <w:top w:val="nil"/>
                    <w:left w:val="single" w:sz="8" w:space="0" w:color="auto"/>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9 878</w:t>
                  </w:r>
                </w:p>
              </w:tc>
              <w:tc>
                <w:tcPr>
                  <w:tcW w:w="1384" w:type="dxa"/>
                  <w:tcBorders>
                    <w:top w:val="nil"/>
                    <w:left w:val="nil"/>
                    <w:bottom w:val="nil"/>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2.9</w:t>
                  </w:r>
                </w:p>
              </w:tc>
              <w:tc>
                <w:tcPr>
                  <w:tcW w:w="1134"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122</w:t>
                  </w:r>
                </w:p>
              </w:tc>
              <w:tc>
                <w:tcPr>
                  <w:tcW w:w="1417"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1.2</w:t>
                  </w:r>
                </w:p>
              </w:tc>
              <w:tc>
                <w:tcPr>
                  <w:tcW w:w="1418" w:type="dxa"/>
                  <w:tcBorders>
                    <w:top w:val="nil"/>
                    <w:left w:val="nil"/>
                    <w:bottom w:val="nil"/>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1.8</w:t>
                  </w:r>
                </w:p>
              </w:tc>
            </w:tr>
            <w:tr>
              <w:trPr>
                <w:trHeight w:val="270"/>
                <w:jc w:val="center"/>
              </w:trPr>
              <w:tc>
                <w:tcPr>
                  <w:tcW w:w="1434" w:type="dxa"/>
                  <w:tcBorders>
                    <w:top w:val="nil"/>
                    <w:left w:val="single" w:sz="8" w:space="0" w:color="auto"/>
                    <w:bottom w:val="single" w:sz="8" w:space="0" w:color="auto"/>
                    <w:right w:val="nil"/>
                  </w:tcBorders>
                  <w:shd w:val="clear" w:color="auto" w:fill="auto"/>
                  <w:noWrap/>
                  <w:vAlign w:val="center"/>
                  <w:hideMark/>
                </w:tcPr>
                <w:p>
                  <w:pPr>
                    <w:keepNext/>
                    <w:rPr>
                      <w:rFonts w:cs="Arial"/>
                      <w:noProof/>
                      <w:color w:val="000000"/>
                      <w:sz w:val="16"/>
                    </w:rPr>
                  </w:pPr>
                  <w:r>
                    <w:rPr>
                      <w:rFonts w:cs="Arial"/>
                      <w:noProof/>
                      <w:color w:val="000000"/>
                      <w:sz w:val="16"/>
                    </w:rPr>
                    <w:t>Interreg (</w:t>
                  </w:r>
                  <w:r>
                    <w:rPr>
                      <w:rFonts w:cs="Arial"/>
                      <w:noProof/>
                      <w:color w:val="000000"/>
                    </w:rPr>
                    <w:footnoteReference w:id="43"/>
                  </w:r>
                  <w:r>
                    <w:rPr>
                      <w:rFonts w:cs="Arial"/>
                      <w:noProof/>
                      <w:color w:val="000000"/>
                      <w:sz w:val="16"/>
                    </w:rPr>
                    <w:t>)</w:t>
                  </w:r>
                </w:p>
              </w:tc>
              <w:tc>
                <w:tcPr>
                  <w:tcW w:w="1314" w:type="dxa"/>
                  <w:tcBorders>
                    <w:top w:val="nil"/>
                    <w:left w:val="single" w:sz="8" w:space="0" w:color="auto"/>
                    <w:bottom w:val="single" w:sz="8" w:space="0" w:color="auto"/>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7 956</w:t>
                  </w:r>
                </w:p>
              </w:tc>
              <w:tc>
                <w:tcPr>
                  <w:tcW w:w="1384" w:type="dxa"/>
                  <w:tcBorders>
                    <w:top w:val="nil"/>
                    <w:left w:val="nil"/>
                    <w:bottom w:val="single" w:sz="8" w:space="0" w:color="auto"/>
                    <w:right w:val="single" w:sz="8" w:space="0" w:color="auto"/>
                  </w:tcBorders>
                  <w:shd w:val="clear" w:color="auto" w:fill="auto"/>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2.3</w:t>
                  </w:r>
                </w:p>
              </w:tc>
              <w:tc>
                <w:tcPr>
                  <w:tcW w:w="1134" w:type="dxa"/>
                  <w:tcBorders>
                    <w:top w:val="nil"/>
                    <w:left w:val="nil"/>
                    <w:bottom w:val="single" w:sz="8" w:space="0" w:color="auto"/>
                    <w:right w:val="single" w:sz="8" w:space="0" w:color="auto"/>
                  </w:tcBorders>
                  <w:shd w:val="clear" w:color="auto" w:fill="auto"/>
                  <w:noWrap/>
                  <w:vAlign w:val="center"/>
                  <w:hideMark/>
                </w:tcPr>
                <w:p>
                  <w:pPr>
                    <w:keepNext/>
                    <w:autoSpaceDE w:val="0"/>
                    <w:autoSpaceDN w:val="0"/>
                    <w:adjustRightInd w:val="0"/>
                    <w:jc w:val="right"/>
                    <w:rPr>
                      <w:rFonts w:cs="Arial"/>
                      <w:noProof/>
                      <w:color w:val="000000"/>
                      <w:sz w:val="16"/>
                      <w:szCs w:val="16"/>
                    </w:rPr>
                  </w:pPr>
                  <w:r>
                    <w:rPr>
                      <w:rFonts w:cs="Arial"/>
                      <w:noProof/>
                      <w:color w:val="000000"/>
                      <w:sz w:val="16"/>
                      <w:szCs w:val="16"/>
                    </w:rPr>
                    <w:t xml:space="preserve"> 11</w:t>
                  </w:r>
                </w:p>
              </w:tc>
              <w:tc>
                <w:tcPr>
                  <w:tcW w:w="1417" w:type="dxa"/>
                  <w:tcBorders>
                    <w:top w:val="nil"/>
                    <w:left w:val="nil"/>
                    <w:bottom w:val="single" w:sz="8" w:space="0" w:color="auto"/>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0.1</w:t>
                  </w:r>
                </w:p>
              </w:tc>
              <w:tc>
                <w:tcPr>
                  <w:tcW w:w="1418" w:type="dxa"/>
                  <w:tcBorders>
                    <w:top w:val="nil"/>
                    <w:left w:val="nil"/>
                    <w:bottom w:val="single" w:sz="8" w:space="0" w:color="auto"/>
                    <w:right w:val="single" w:sz="8" w:space="0" w:color="auto"/>
                  </w:tcBorders>
                  <w:shd w:val="clear" w:color="auto" w:fill="auto"/>
                  <w:noWrap/>
                  <w:vAlign w:val="center"/>
                  <w:hideMark/>
                </w:tcPr>
                <w:p>
                  <w:pPr>
                    <w:keepNext/>
                    <w:autoSpaceDE w:val="0"/>
                    <w:autoSpaceDN w:val="0"/>
                    <w:adjustRightInd w:val="0"/>
                    <w:jc w:val="right"/>
                    <w:rPr>
                      <w:rFonts w:cs="Arial"/>
                      <w:i/>
                      <w:noProof/>
                      <w:color w:val="000000"/>
                      <w:sz w:val="16"/>
                      <w:szCs w:val="16"/>
                    </w:rPr>
                  </w:pPr>
                  <w:r>
                    <w:rPr>
                      <w:rFonts w:cs="Arial"/>
                      <w:noProof/>
                      <w:color w:val="000000"/>
                      <w:sz w:val="16"/>
                      <w:szCs w:val="16"/>
                    </w:rPr>
                    <w:t>0.2</w:t>
                  </w:r>
                </w:p>
              </w:tc>
            </w:tr>
            <w:tr>
              <w:trPr>
                <w:trHeight w:val="270"/>
                <w:jc w:val="center"/>
              </w:trPr>
              <w:tc>
                <w:tcPr>
                  <w:tcW w:w="1434" w:type="dxa"/>
                  <w:tcBorders>
                    <w:top w:val="single" w:sz="8" w:space="0" w:color="auto"/>
                    <w:left w:val="single" w:sz="8" w:space="0" w:color="auto"/>
                    <w:bottom w:val="single" w:sz="8" w:space="0" w:color="auto"/>
                    <w:right w:val="nil"/>
                  </w:tcBorders>
                  <w:shd w:val="clear" w:color="auto" w:fill="D9D9D9"/>
                  <w:noWrap/>
                  <w:vAlign w:val="center"/>
                  <w:hideMark/>
                </w:tcPr>
                <w:p>
                  <w:pPr>
                    <w:keepNext/>
                    <w:rPr>
                      <w:rFonts w:cs="Arial"/>
                      <w:b/>
                      <w:noProof/>
                      <w:color w:val="000000"/>
                      <w:sz w:val="16"/>
                    </w:rPr>
                  </w:pPr>
                  <w:r>
                    <w:rPr>
                      <w:rFonts w:cs="Arial"/>
                      <w:b/>
                      <w:noProof/>
                      <w:color w:val="000000"/>
                      <w:sz w:val="16"/>
                    </w:rPr>
                    <w:t>Total</w:t>
                  </w:r>
                </w:p>
              </w:tc>
              <w:tc>
                <w:tcPr>
                  <w:tcW w:w="1314" w:type="dxa"/>
                  <w:tcBorders>
                    <w:top w:val="single" w:sz="8" w:space="0" w:color="auto"/>
                    <w:left w:val="single" w:sz="8" w:space="0" w:color="auto"/>
                    <w:bottom w:val="single" w:sz="8" w:space="0" w:color="auto"/>
                    <w:right w:val="single" w:sz="8" w:space="0" w:color="auto"/>
                  </w:tcBorders>
                  <w:shd w:val="clear" w:color="auto" w:fill="D9D9D9"/>
                  <w:noWrap/>
                  <w:vAlign w:val="bottom"/>
                  <w:hideMark/>
                </w:tcPr>
                <w:p>
                  <w:pPr>
                    <w:keepNext/>
                    <w:autoSpaceDE w:val="0"/>
                    <w:autoSpaceDN w:val="0"/>
                    <w:adjustRightInd w:val="0"/>
                    <w:jc w:val="right"/>
                    <w:rPr>
                      <w:rFonts w:cs="Arial"/>
                      <w:b/>
                      <w:bCs/>
                      <w:noProof/>
                      <w:color w:val="000000"/>
                      <w:sz w:val="16"/>
                      <w:szCs w:val="16"/>
                    </w:rPr>
                  </w:pPr>
                  <w:r>
                    <w:rPr>
                      <w:rFonts w:cs="Arial"/>
                      <w:b/>
                      <w:bCs/>
                      <w:noProof/>
                      <w:color w:val="000000"/>
                      <w:sz w:val="16"/>
                      <w:szCs w:val="16"/>
                    </w:rPr>
                    <w:t>346 220</w:t>
                  </w:r>
                </w:p>
              </w:tc>
              <w:tc>
                <w:tcPr>
                  <w:tcW w:w="1384" w:type="dxa"/>
                  <w:tcBorders>
                    <w:top w:val="single" w:sz="8" w:space="0" w:color="auto"/>
                    <w:left w:val="nil"/>
                    <w:bottom w:val="single" w:sz="8" w:space="0" w:color="auto"/>
                    <w:right w:val="single" w:sz="8" w:space="0" w:color="auto"/>
                  </w:tcBorders>
                  <w:shd w:val="clear" w:color="auto" w:fill="D9D9D9"/>
                  <w:vAlign w:val="bottom"/>
                  <w:hideMark/>
                </w:tcPr>
                <w:p>
                  <w:pPr>
                    <w:keepNext/>
                    <w:autoSpaceDE w:val="0"/>
                    <w:autoSpaceDN w:val="0"/>
                    <w:adjustRightInd w:val="0"/>
                    <w:jc w:val="right"/>
                    <w:rPr>
                      <w:rFonts w:cs="Arial"/>
                      <w:b/>
                      <w:i/>
                      <w:noProof/>
                      <w:color w:val="000000"/>
                      <w:sz w:val="16"/>
                      <w:szCs w:val="16"/>
                    </w:rPr>
                  </w:pPr>
                  <w:r>
                    <w:rPr>
                      <w:rFonts w:cs="Arial"/>
                      <w:b/>
                      <w:bCs/>
                      <w:noProof/>
                      <w:color w:val="000000"/>
                      <w:sz w:val="16"/>
                      <w:szCs w:val="16"/>
                    </w:rPr>
                    <w:t>100.0</w:t>
                  </w:r>
                </w:p>
              </w:tc>
              <w:tc>
                <w:tcPr>
                  <w:tcW w:w="1134" w:type="dxa"/>
                  <w:tcBorders>
                    <w:top w:val="single" w:sz="8" w:space="0" w:color="auto"/>
                    <w:left w:val="nil"/>
                    <w:bottom w:val="single" w:sz="8" w:space="0" w:color="auto"/>
                    <w:right w:val="single" w:sz="8" w:space="0" w:color="auto"/>
                  </w:tcBorders>
                  <w:shd w:val="clear" w:color="auto" w:fill="D9D9D9"/>
                  <w:noWrap/>
                  <w:vAlign w:val="bottom"/>
                  <w:hideMark/>
                </w:tcPr>
                <w:p>
                  <w:pPr>
                    <w:keepNext/>
                    <w:autoSpaceDE w:val="0"/>
                    <w:autoSpaceDN w:val="0"/>
                    <w:adjustRightInd w:val="0"/>
                    <w:jc w:val="right"/>
                    <w:rPr>
                      <w:rFonts w:cs="Arial"/>
                      <w:b/>
                      <w:bCs/>
                      <w:noProof/>
                      <w:color w:val="000000"/>
                      <w:sz w:val="16"/>
                      <w:szCs w:val="16"/>
                    </w:rPr>
                  </w:pPr>
                  <w:r>
                    <w:rPr>
                      <w:rFonts w:cs="Arial"/>
                      <w:b/>
                      <w:bCs/>
                      <w:noProof/>
                      <w:color w:val="000000"/>
                      <w:sz w:val="16"/>
                      <w:szCs w:val="16"/>
                    </w:rPr>
                    <w:t>6 759</w:t>
                  </w:r>
                </w:p>
              </w:tc>
              <w:tc>
                <w:tcPr>
                  <w:tcW w:w="1417" w:type="dxa"/>
                  <w:tcBorders>
                    <w:top w:val="single" w:sz="8" w:space="0" w:color="auto"/>
                    <w:left w:val="nil"/>
                    <w:bottom w:val="single" w:sz="8" w:space="0" w:color="auto"/>
                    <w:right w:val="single" w:sz="8" w:space="0" w:color="auto"/>
                  </w:tcBorders>
                  <w:shd w:val="clear" w:color="auto" w:fill="D9D9D9"/>
                  <w:noWrap/>
                  <w:vAlign w:val="bottom"/>
                  <w:hideMark/>
                </w:tcPr>
                <w:p>
                  <w:pPr>
                    <w:keepNext/>
                    <w:autoSpaceDE w:val="0"/>
                    <w:autoSpaceDN w:val="0"/>
                    <w:adjustRightInd w:val="0"/>
                    <w:jc w:val="right"/>
                    <w:rPr>
                      <w:rFonts w:cs="Arial"/>
                      <w:b/>
                      <w:i/>
                      <w:noProof/>
                      <w:color w:val="000000"/>
                      <w:sz w:val="16"/>
                      <w:szCs w:val="16"/>
                    </w:rPr>
                  </w:pPr>
                  <w:r>
                    <w:rPr>
                      <w:rFonts w:cs="Arial"/>
                      <w:b/>
                      <w:bCs/>
                      <w:noProof/>
                      <w:color w:val="000000"/>
                      <w:sz w:val="16"/>
                      <w:szCs w:val="16"/>
                    </w:rPr>
                    <w:t>2.0</w:t>
                  </w:r>
                </w:p>
              </w:tc>
              <w:tc>
                <w:tcPr>
                  <w:tcW w:w="1418" w:type="dxa"/>
                  <w:tcBorders>
                    <w:top w:val="single" w:sz="8" w:space="0" w:color="auto"/>
                    <w:left w:val="nil"/>
                    <w:bottom w:val="single" w:sz="8" w:space="0" w:color="auto"/>
                    <w:right w:val="single" w:sz="8" w:space="0" w:color="auto"/>
                  </w:tcBorders>
                  <w:shd w:val="clear" w:color="auto" w:fill="D9D9D9"/>
                  <w:noWrap/>
                  <w:vAlign w:val="bottom"/>
                  <w:hideMark/>
                </w:tcPr>
                <w:p>
                  <w:pPr>
                    <w:keepNext/>
                    <w:autoSpaceDE w:val="0"/>
                    <w:autoSpaceDN w:val="0"/>
                    <w:adjustRightInd w:val="0"/>
                    <w:jc w:val="right"/>
                    <w:rPr>
                      <w:rFonts w:cs="Arial"/>
                      <w:b/>
                      <w:i/>
                      <w:noProof/>
                      <w:color w:val="000000"/>
                      <w:sz w:val="16"/>
                      <w:szCs w:val="16"/>
                    </w:rPr>
                  </w:pPr>
                  <w:r>
                    <w:rPr>
                      <w:rFonts w:cs="Arial"/>
                      <w:b/>
                      <w:bCs/>
                      <w:noProof/>
                      <w:color w:val="000000"/>
                      <w:sz w:val="16"/>
                      <w:szCs w:val="16"/>
                    </w:rPr>
                    <w:t>100.0</w:t>
                  </w:r>
                </w:p>
              </w:tc>
            </w:tr>
          </w:tbl>
          <w:p>
            <w:pPr>
              <w:pStyle w:val="Source-Table-Chart-PhotoCaption"/>
              <w:ind w:left="180"/>
              <w:rPr>
                <w:noProof/>
              </w:rPr>
            </w:pPr>
            <w:r>
              <w:rPr>
                <w:rStyle w:val="italics"/>
                <w:noProof/>
              </w:rPr>
              <w:t>Table 3.4.1:</w:t>
            </w:r>
            <w:r>
              <w:rPr>
                <w:noProof/>
              </w:rPr>
              <w:t xml:space="preserve"> Programming period 2007-2013 — European Regional Development Fund / Cohesion Fund and ESF Financial corrections confirmed at 31</w:t>
            </w:r>
            <w:r>
              <w:rPr>
                <w:rFonts w:ascii="Arial" w:hAnsi="Arial"/>
                <w:noProof/>
              </w:rPr>
              <w:t> </w:t>
            </w:r>
            <w:r>
              <w:rPr>
                <w:noProof/>
              </w:rPr>
              <w:t>December</w:t>
            </w:r>
            <w:r>
              <w:rPr>
                <w:rFonts w:ascii="Arial" w:hAnsi="Arial"/>
                <w:noProof/>
              </w:rPr>
              <w:t> </w:t>
            </w:r>
            <w:r>
              <w:rPr>
                <w:noProof/>
              </w:rPr>
              <w:t>2018; Breakdown by Member State in EUR million</w:t>
            </w:r>
          </w:p>
          <w:p>
            <w:pPr>
              <w:pStyle w:val="BodyText1spacebeforeandafter"/>
              <w:rPr>
                <w:b/>
                <w:i/>
              </w:rPr>
            </w:pPr>
            <w:r>
              <w:rPr>
                <w:b/>
                <w:i/>
              </w:rPr>
              <w:t>As 2007-2013 programmes are multi-funds, no split is given between European Regional Development Fund and Cohesion Fund in the above table.</w:t>
            </w:r>
          </w:p>
          <w:p>
            <w:pPr>
              <w:pStyle w:val="AMPRTABLECHART"/>
            </w:pPr>
          </w:p>
          <w:p>
            <w:pPr>
              <w:rPr>
                <w:rFonts w:ascii="Arial" w:hAnsi="Arial" w:cs="Arial"/>
                <w:b/>
                <w:i/>
                <w:noProof/>
                <w:color w:val="000000"/>
              </w:rPr>
            </w:pPr>
            <w:r>
              <w:rPr>
                <w:noProof/>
                <w:lang w:eastAsia="en-GB"/>
              </w:rPr>
              <w:drawing>
                <wp:inline distT="0" distB="0" distL="0" distR="0">
                  <wp:extent cx="5943600" cy="3166745"/>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pPr>
              <w:rPr>
                <w:rFonts w:ascii="Arial" w:hAnsi="Arial" w:cs="Arial"/>
                <w:b/>
                <w:i/>
                <w:noProof/>
                <w:color w:val="000000"/>
              </w:rPr>
            </w:pPr>
          </w:p>
        </w:tc>
      </w:tr>
    </w:tbl>
    <w:p>
      <w:pPr>
        <w:pStyle w:val="Source-Table-Chart-PhotoCaption"/>
        <w:rPr>
          <w:noProof/>
          <w:sz w:val="22"/>
        </w:rPr>
      </w:pPr>
      <w:r>
        <w:rPr>
          <w:rStyle w:val="italics"/>
          <w:noProof/>
        </w:rPr>
        <w:t>Chart 3.4.1:</w:t>
      </w:r>
      <w:r>
        <w:rPr>
          <w:noProof/>
        </w:rPr>
        <w:t xml:space="preserve"> Member States' cumulative financial corrections confirmed at 31 December 2018 for European Regional Development Fund / Cohesion Fund and European Social Fund programming period 2007-2013 as compared to contributions received</w:t>
      </w:r>
    </w:p>
    <w:p>
      <w:pPr>
        <w:pStyle w:val="BodyText1spacebeforeandafter"/>
        <w:rPr>
          <w:lang w:eastAsia="en-US"/>
        </w:rPr>
      </w:pPr>
      <w:r>
        <w:t xml:space="preserve">For the </w:t>
      </w:r>
      <w:r>
        <w:rPr>
          <w:rStyle w:val="BOLDORANGEAnnexes"/>
        </w:rPr>
        <w:t>European Regional Development Fund/Cohesion Fund</w:t>
      </w:r>
      <w:r>
        <w:rPr>
          <w:b/>
        </w:rPr>
        <w:t xml:space="preserve"> </w:t>
      </w:r>
      <w:r>
        <w:t>programmes, the Commission has imposed around EUR</w:t>
      </w:r>
      <w:r>
        <w:rPr>
          <w:rStyle w:val="Bodytext2Bold"/>
          <w:rFonts w:ascii="Calibri" w:hAnsi="Calibri" w:cs="Calibri"/>
          <w:color w:val="auto"/>
          <w:sz w:val="20"/>
          <w:szCs w:val="20"/>
          <w:lang w:val="en-GB"/>
        </w:rPr>
        <w:t> </w:t>
      </w:r>
      <w:r>
        <w:t>5.2</w:t>
      </w:r>
      <w:r>
        <w:rPr>
          <w:rFonts w:ascii="Arial" w:hAnsi="Arial" w:cs="Arial"/>
          <w:lang w:eastAsia="en-US"/>
        </w:rPr>
        <w:t> </w:t>
      </w:r>
      <w:r>
        <w:t>billion of financial corrections</w:t>
      </w:r>
      <w:r>
        <w:rPr>
          <w:rFonts w:ascii="Calibri" w:hAnsi="Calibri" w:cs="Calibri"/>
        </w:rPr>
        <w:t> </w:t>
      </w:r>
      <w:r>
        <w:t>(</w:t>
      </w:r>
      <w:r>
        <w:rPr>
          <w:color w:val="auto"/>
        </w:rPr>
        <w:footnoteReference w:id="44"/>
      </w:r>
      <w:r>
        <w:t>) cumulatively since the beginning of the 2007-2013 programming period (which includes EUR</w:t>
      </w:r>
      <w:r>
        <w:rPr>
          <w:rStyle w:val="Bodytext2Bold"/>
          <w:rFonts w:ascii="Calibri" w:hAnsi="Calibri" w:cs="Calibri"/>
          <w:color w:val="auto"/>
          <w:sz w:val="20"/>
          <w:szCs w:val="20"/>
          <w:lang w:val="en-GB"/>
        </w:rPr>
        <w:t> </w:t>
      </w:r>
      <w:r>
        <w:t>1.4</w:t>
      </w:r>
      <w:r>
        <w:rPr>
          <w:rFonts w:ascii="Arial" w:hAnsi="Arial" w:cs="Arial"/>
          <w:lang w:eastAsia="en-US"/>
        </w:rPr>
        <w:t> </w:t>
      </w:r>
      <w:r>
        <w:t>billion of financial corrections applied by the Member States before or at the time of declaring the expenditure to the Commission as a result of requested remedial actions). The main Member States concerned are Hungary (EUR</w:t>
      </w:r>
      <w:r>
        <w:rPr>
          <w:rStyle w:val="Bodytext2Bold"/>
          <w:rFonts w:ascii="Calibri" w:hAnsi="Calibri" w:cs="Calibri"/>
          <w:color w:val="auto"/>
          <w:sz w:val="20"/>
          <w:szCs w:val="20"/>
          <w:lang w:val="en-GB"/>
        </w:rPr>
        <w:t> </w:t>
      </w:r>
      <w:r>
        <w:t>1</w:t>
      </w:r>
      <w:r>
        <w:rPr>
          <w:rFonts w:ascii="Calibri" w:hAnsi="Calibri" w:cs="Calibri"/>
        </w:rPr>
        <w:t> </w:t>
      </w:r>
      <w:r>
        <w:t>023</w:t>
      </w:r>
      <w:r>
        <w:rPr>
          <w:rFonts w:ascii="Arial" w:hAnsi="Arial" w:cs="Arial"/>
          <w:lang w:eastAsia="en-US"/>
        </w:rPr>
        <w:t> </w:t>
      </w:r>
      <w:r>
        <w:t>million), Czechia (EUR</w:t>
      </w:r>
      <w:r>
        <w:rPr>
          <w:rStyle w:val="Bodytext2Bold"/>
          <w:rFonts w:ascii="Calibri" w:hAnsi="Calibri" w:cs="Calibri"/>
          <w:color w:val="auto"/>
          <w:sz w:val="20"/>
          <w:szCs w:val="20"/>
          <w:lang w:val="en-GB"/>
        </w:rPr>
        <w:t> </w:t>
      </w:r>
      <w:r>
        <w:t>776</w:t>
      </w:r>
      <w:r>
        <w:rPr>
          <w:rFonts w:ascii="Arial" w:hAnsi="Arial" w:cs="Arial"/>
          <w:lang w:eastAsia="en-US"/>
        </w:rPr>
        <w:t> </w:t>
      </w:r>
      <w:r>
        <w:t>million), Romania (EUR</w:t>
      </w:r>
      <w:r>
        <w:rPr>
          <w:rStyle w:val="Bodytext2Bold"/>
          <w:rFonts w:ascii="Calibri" w:hAnsi="Calibri" w:cs="Calibri"/>
          <w:color w:val="auto"/>
          <w:sz w:val="20"/>
          <w:szCs w:val="20"/>
          <w:lang w:val="en-GB"/>
        </w:rPr>
        <w:t> </w:t>
      </w:r>
      <w:r>
        <w:t>580</w:t>
      </w:r>
      <w:r>
        <w:rPr>
          <w:rFonts w:ascii="Arial" w:hAnsi="Arial" w:cs="Arial"/>
          <w:lang w:eastAsia="en-US"/>
        </w:rPr>
        <w:t> </w:t>
      </w:r>
      <w:r>
        <w:t>million), Poland (EUR</w:t>
      </w:r>
      <w:r>
        <w:rPr>
          <w:rStyle w:val="Bodytext2Bold"/>
          <w:rFonts w:ascii="Calibri" w:hAnsi="Calibri" w:cs="Calibri"/>
          <w:color w:val="auto"/>
          <w:sz w:val="20"/>
          <w:szCs w:val="20"/>
          <w:lang w:val="en-GB"/>
        </w:rPr>
        <w:t> </w:t>
      </w:r>
      <w:r>
        <w:t>578 million), Greece (EUR</w:t>
      </w:r>
      <w:r>
        <w:rPr>
          <w:rStyle w:val="Bodytext2Bold"/>
          <w:rFonts w:ascii="Calibri" w:hAnsi="Calibri" w:cs="Calibri"/>
          <w:color w:val="auto"/>
          <w:sz w:val="20"/>
          <w:szCs w:val="20"/>
          <w:lang w:val="en-GB"/>
        </w:rPr>
        <w:t> </w:t>
      </w:r>
      <w:r>
        <w:t>485</w:t>
      </w:r>
      <w:r>
        <w:rPr>
          <w:rFonts w:ascii="Arial" w:hAnsi="Arial" w:cs="Arial"/>
          <w:lang w:eastAsia="en-US"/>
        </w:rPr>
        <w:t> </w:t>
      </w:r>
      <w:r>
        <w:t>million), Slovakia (EUR</w:t>
      </w:r>
      <w:r>
        <w:rPr>
          <w:rStyle w:val="Bodytext2Bold"/>
          <w:rFonts w:ascii="Calibri" w:hAnsi="Calibri" w:cs="Calibri"/>
          <w:color w:val="auto"/>
          <w:sz w:val="20"/>
          <w:szCs w:val="20"/>
          <w:lang w:val="en-GB"/>
        </w:rPr>
        <w:t> </w:t>
      </w:r>
      <w:r>
        <w:t>429</w:t>
      </w:r>
      <w:r>
        <w:rPr>
          <w:rFonts w:ascii="Arial" w:hAnsi="Arial" w:cs="Arial"/>
          <w:lang w:eastAsia="en-US"/>
        </w:rPr>
        <w:t> </w:t>
      </w:r>
      <w:r>
        <w:t>million), Spain (EUR</w:t>
      </w:r>
      <w:r>
        <w:rPr>
          <w:rStyle w:val="Bodytext2Bold"/>
          <w:rFonts w:ascii="Calibri" w:hAnsi="Calibri" w:cs="Calibri"/>
          <w:color w:val="auto"/>
          <w:sz w:val="20"/>
          <w:szCs w:val="20"/>
          <w:lang w:val="en-GB"/>
        </w:rPr>
        <w:t> </w:t>
      </w:r>
      <w:r>
        <w:t>399</w:t>
      </w:r>
      <w:r>
        <w:rPr>
          <w:rFonts w:ascii="Arial" w:hAnsi="Arial" w:cs="Arial"/>
          <w:lang w:eastAsia="en-US"/>
        </w:rPr>
        <w:t> </w:t>
      </w:r>
      <w:r>
        <w:t>million) and Italy (EUR</w:t>
      </w:r>
      <w:r>
        <w:rPr>
          <w:rStyle w:val="Bodytext2Bold"/>
          <w:rFonts w:ascii="Calibri" w:hAnsi="Calibri" w:cs="Calibri"/>
          <w:color w:val="auto"/>
          <w:sz w:val="20"/>
          <w:szCs w:val="20"/>
          <w:lang w:val="en-GB"/>
        </w:rPr>
        <w:t> </w:t>
      </w:r>
      <w:r>
        <w:t>310</w:t>
      </w:r>
      <w:r>
        <w:rPr>
          <w:rFonts w:ascii="Arial" w:hAnsi="Arial" w:cs="Arial"/>
          <w:lang w:eastAsia="en-US"/>
        </w:rPr>
        <w:t> </w:t>
      </w:r>
      <w:r>
        <w:rPr>
          <w:lang w:eastAsia="en-US"/>
        </w:rPr>
        <w:t>million).</w:t>
      </w:r>
    </w:p>
    <w:p>
      <w:pPr>
        <w:pStyle w:val="BodyText1spaceafter"/>
        <w:rPr>
          <w:rStyle w:val="AMPRTextChar"/>
          <w:rFonts w:eastAsia="Calibri"/>
          <w:color w:val="auto"/>
          <w:sz w:val="20"/>
          <w:szCs w:val="20"/>
          <w:lang w:eastAsia="fr-BE"/>
        </w:rPr>
      </w:pPr>
      <w:r>
        <w:rPr>
          <w:color w:val="auto"/>
          <w:szCs w:val="20"/>
        </w:rPr>
        <w:t xml:space="preserve">For the </w:t>
      </w:r>
      <w:r>
        <w:rPr>
          <w:rStyle w:val="BOLDORANGEAnnexes"/>
        </w:rPr>
        <w:t>European Social Fund</w:t>
      </w:r>
      <w:r>
        <w:rPr>
          <w:rStyle w:val="AMPRTextChar"/>
          <w:rFonts w:eastAsia="Calibri"/>
          <w:color w:val="auto"/>
          <w:sz w:val="20"/>
          <w:szCs w:val="20"/>
        </w:rPr>
        <w:t>, the Member States with the highest level of cumulative amount of financial corrections confirmed are Romania (EUR</w:t>
      </w:r>
      <w:r>
        <w:rPr>
          <w:rStyle w:val="Bodytext2Bold"/>
          <w:rFonts w:ascii="Calibri" w:hAnsi="Calibri" w:cs="Calibri"/>
          <w:color w:val="auto"/>
          <w:sz w:val="20"/>
          <w:szCs w:val="20"/>
          <w:lang w:val="en-GB"/>
        </w:rPr>
        <w:t> </w:t>
      </w:r>
      <w:r>
        <w:rPr>
          <w:rStyle w:val="AMPRTextChar"/>
          <w:rFonts w:eastAsia="Calibri"/>
          <w:color w:val="auto"/>
          <w:sz w:val="20"/>
          <w:szCs w:val="20"/>
        </w:rPr>
        <w:t>461</w:t>
      </w:r>
      <w:r>
        <w:rPr>
          <w:rFonts w:ascii="Arial" w:hAnsi="Arial" w:cs="Arial"/>
          <w:color w:val="auto"/>
          <w:szCs w:val="20"/>
        </w:rPr>
        <w:t> </w:t>
      </w:r>
      <w:r>
        <w:rPr>
          <w:rStyle w:val="AMPRTextChar"/>
          <w:rFonts w:eastAsia="Calibri"/>
          <w:color w:val="auto"/>
          <w:sz w:val="20"/>
          <w:szCs w:val="20"/>
        </w:rPr>
        <w:t>million), Spain (EUR</w:t>
      </w:r>
      <w:r>
        <w:rPr>
          <w:rStyle w:val="Bodytext2Bold"/>
          <w:rFonts w:ascii="Calibri" w:hAnsi="Calibri" w:cs="Calibri"/>
          <w:color w:val="auto"/>
          <w:sz w:val="20"/>
          <w:szCs w:val="20"/>
          <w:lang w:val="en-GB"/>
        </w:rPr>
        <w:t> </w:t>
      </w:r>
      <w:r>
        <w:rPr>
          <w:rStyle w:val="AMPRTextChar"/>
          <w:rFonts w:eastAsia="Calibri"/>
          <w:color w:val="auto"/>
          <w:sz w:val="20"/>
          <w:szCs w:val="20"/>
        </w:rPr>
        <w:t>374</w:t>
      </w:r>
      <w:r>
        <w:rPr>
          <w:rFonts w:ascii="Arial" w:hAnsi="Arial" w:cs="Arial"/>
          <w:color w:val="auto"/>
          <w:szCs w:val="20"/>
        </w:rPr>
        <w:t> </w:t>
      </w:r>
      <w:r>
        <w:rPr>
          <w:rStyle w:val="AMPRTextChar"/>
          <w:rFonts w:eastAsia="Calibri"/>
          <w:color w:val="auto"/>
          <w:sz w:val="20"/>
          <w:szCs w:val="20"/>
        </w:rPr>
        <w:t>million), Poland (EUR</w:t>
      </w:r>
      <w:r>
        <w:rPr>
          <w:rStyle w:val="Bodytext2Bold"/>
          <w:rFonts w:ascii="Calibri" w:hAnsi="Calibri" w:cs="Calibri"/>
          <w:color w:val="auto"/>
          <w:sz w:val="20"/>
          <w:szCs w:val="20"/>
          <w:lang w:val="en-GB"/>
        </w:rPr>
        <w:t> </w:t>
      </w:r>
      <w:r>
        <w:rPr>
          <w:rStyle w:val="AMPRTextChar"/>
          <w:rFonts w:eastAsia="Calibri"/>
          <w:color w:val="auto"/>
          <w:sz w:val="20"/>
          <w:szCs w:val="20"/>
        </w:rPr>
        <w:t>158</w:t>
      </w:r>
      <w:r>
        <w:rPr>
          <w:rFonts w:ascii="Arial" w:hAnsi="Arial" w:cs="Arial"/>
          <w:color w:val="auto"/>
          <w:szCs w:val="20"/>
        </w:rPr>
        <w:t> </w:t>
      </w:r>
      <w:r>
        <w:rPr>
          <w:rStyle w:val="AMPRTextChar"/>
          <w:rFonts w:eastAsia="Calibri"/>
          <w:color w:val="auto"/>
          <w:sz w:val="20"/>
          <w:szCs w:val="20"/>
        </w:rPr>
        <w:t>million) and Italy (EUR</w:t>
      </w:r>
      <w:r>
        <w:rPr>
          <w:rStyle w:val="Bodytext2Bold"/>
          <w:rFonts w:ascii="Calibri" w:hAnsi="Calibri" w:cs="Calibri"/>
          <w:color w:val="auto"/>
          <w:sz w:val="20"/>
          <w:szCs w:val="20"/>
          <w:lang w:val="en-GB"/>
        </w:rPr>
        <w:t> </w:t>
      </w:r>
      <w:r>
        <w:rPr>
          <w:rStyle w:val="AMPRTextChar"/>
          <w:rFonts w:eastAsia="Calibri"/>
          <w:color w:val="auto"/>
          <w:sz w:val="20"/>
          <w:szCs w:val="20"/>
        </w:rPr>
        <w:t>105</w:t>
      </w:r>
      <w:r>
        <w:rPr>
          <w:rStyle w:val="Bodytext2Bold"/>
          <w:rFonts w:ascii="Calibri" w:hAnsi="Calibri" w:cs="Calibri"/>
          <w:color w:val="auto"/>
          <w:sz w:val="20"/>
          <w:szCs w:val="20"/>
          <w:lang w:val="en-GB"/>
        </w:rPr>
        <w:t> </w:t>
      </w:r>
      <w:r>
        <w:rPr>
          <w:rStyle w:val="AMPRTextChar"/>
          <w:rFonts w:eastAsia="Calibri"/>
          <w:color w:val="auto"/>
          <w:sz w:val="20"/>
          <w:szCs w:val="20"/>
        </w:rPr>
        <w:t>million). At this stage of the implementation and at closure of the programmes the cumulative amount of financial corrections confirmed stands at EUR</w:t>
      </w:r>
      <w:r>
        <w:rPr>
          <w:rStyle w:val="Bodytext2Bold"/>
          <w:rFonts w:ascii="Calibri" w:hAnsi="Calibri" w:cs="Calibri"/>
          <w:color w:val="auto"/>
          <w:sz w:val="20"/>
          <w:szCs w:val="20"/>
          <w:lang w:val="en-GB"/>
        </w:rPr>
        <w:t> </w:t>
      </w:r>
      <w:r>
        <w:rPr>
          <w:rStyle w:val="AMPRTextChar"/>
          <w:rFonts w:eastAsia="Calibri"/>
          <w:color w:val="auto"/>
          <w:sz w:val="20"/>
          <w:szCs w:val="20"/>
        </w:rPr>
        <w:t>1.5</w:t>
      </w:r>
      <w:r>
        <w:rPr>
          <w:rFonts w:ascii="Arial" w:hAnsi="Arial" w:cs="Arial"/>
          <w:color w:val="auto"/>
          <w:szCs w:val="20"/>
        </w:rPr>
        <w:t> </w:t>
      </w:r>
      <w:r>
        <w:rPr>
          <w:rStyle w:val="AMPRTextChar"/>
          <w:rFonts w:eastAsia="Calibri"/>
          <w:color w:val="auto"/>
          <w:sz w:val="20"/>
          <w:szCs w:val="20"/>
        </w:rPr>
        <w:t xml:space="preserve">billion representing 2% of the </w:t>
      </w:r>
      <w:r>
        <w:rPr>
          <w:color w:val="auto"/>
          <w:szCs w:val="20"/>
        </w:rPr>
        <w:t xml:space="preserve">European Social Fund </w:t>
      </w:r>
      <w:r>
        <w:rPr>
          <w:rStyle w:val="AMPRTextChar"/>
          <w:rFonts w:eastAsia="Calibri"/>
          <w:color w:val="auto"/>
          <w:sz w:val="20"/>
          <w:szCs w:val="20"/>
        </w:rPr>
        <w:t>declared expenditure at closure. The cumulative amount of the financial corrections implemented stands at EUR</w:t>
      </w:r>
      <w:r>
        <w:rPr>
          <w:rStyle w:val="Bodytext2Bold"/>
          <w:rFonts w:ascii="Calibri" w:hAnsi="Calibri" w:cs="Calibri"/>
          <w:color w:val="auto"/>
          <w:sz w:val="20"/>
          <w:szCs w:val="20"/>
          <w:lang w:val="en-GB"/>
        </w:rPr>
        <w:t> </w:t>
      </w:r>
      <w:r>
        <w:rPr>
          <w:rStyle w:val="AMPRTextChar"/>
          <w:rFonts w:eastAsia="Calibri"/>
          <w:color w:val="auto"/>
          <w:sz w:val="20"/>
          <w:szCs w:val="20"/>
        </w:rPr>
        <w:t>2</w:t>
      </w:r>
      <w:r>
        <w:rPr>
          <w:rStyle w:val="Bodytext2Bold"/>
          <w:rFonts w:ascii="Calibri" w:hAnsi="Calibri" w:cs="Calibri"/>
          <w:color w:val="auto"/>
          <w:sz w:val="20"/>
          <w:szCs w:val="20"/>
          <w:lang w:val="en-GB"/>
        </w:rPr>
        <w:t> </w:t>
      </w:r>
      <w:r>
        <w:rPr>
          <w:rStyle w:val="AMPRTextChar"/>
          <w:rFonts w:eastAsia="Calibri"/>
          <w:color w:val="auto"/>
          <w:sz w:val="20"/>
          <w:szCs w:val="20"/>
        </w:rPr>
        <w:t>785</w:t>
      </w:r>
      <w:r>
        <w:rPr>
          <w:rStyle w:val="Bodytext2Bold"/>
          <w:rFonts w:ascii="Calibri" w:hAnsi="Calibri" w:cs="Calibri"/>
          <w:color w:val="auto"/>
          <w:sz w:val="20"/>
          <w:szCs w:val="20"/>
          <w:lang w:val="en-GB"/>
        </w:rPr>
        <w:t> </w:t>
      </w:r>
      <w:r>
        <w:rPr>
          <w:rStyle w:val="AMPRTextChar"/>
          <w:rFonts w:eastAsia="Calibri"/>
          <w:color w:val="auto"/>
          <w:sz w:val="20"/>
          <w:szCs w:val="20"/>
        </w:rPr>
        <w:t>million (EUR</w:t>
      </w:r>
      <w:r>
        <w:rPr>
          <w:rStyle w:val="Bodytext2Bold"/>
          <w:rFonts w:ascii="Calibri" w:hAnsi="Calibri" w:cs="Calibri"/>
          <w:color w:val="auto"/>
          <w:sz w:val="20"/>
          <w:szCs w:val="20"/>
          <w:lang w:val="en-GB"/>
        </w:rPr>
        <w:t> </w:t>
      </w:r>
      <w:r>
        <w:rPr>
          <w:rStyle w:val="AMPRTextChar"/>
          <w:rFonts w:eastAsia="Calibri"/>
          <w:color w:val="auto"/>
          <w:sz w:val="20"/>
          <w:szCs w:val="20"/>
        </w:rPr>
        <w:t>1</w:t>
      </w:r>
      <w:r>
        <w:rPr>
          <w:rStyle w:val="Bodytext2Bold"/>
          <w:rFonts w:ascii="Calibri" w:hAnsi="Calibri" w:cs="Calibri"/>
          <w:color w:val="auto"/>
          <w:sz w:val="20"/>
          <w:szCs w:val="20"/>
          <w:lang w:val="en-GB"/>
        </w:rPr>
        <w:t> </w:t>
      </w:r>
      <w:r>
        <w:rPr>
          <w:rStyle w:val="AMPRTextChar"/>
          <w:rFonts w:eastAsia="Calibri"/>
          <w:color w:val="auto"/>
          <w:sz w:val="20"/>
          <w:szCs w:val="20"/>
        </w:rPr>
        <w:t>509</w:t>
      </w:r>
      <w:r>
        <w:rPr>
          <w:rStyle w:val="Bodytext2Bold"/>
          <w:rFonts w:ascii="Calibri" w:hAnsi="Calibri" w:cs="Calibri"/>
          <w:color w:val="auto"/>
          <w:sz w:val="20"/>
          <w:szCs w:val="20"/>
          <w:lang w:val="en-GB"/>
        </w:rPr>
        <w:t> </w:t>
      </w:r>
      <w:r>
        <w:rPr>
          <w:rStyle w:val="AMPRTextChar"/>
          <w:rFonts w:eastAsia="Calibri"/>
          <w:color w:val="auto"/>
          <w:sz w:val="20"/>
          <w:szCs w:val="20"/>
        </w:rPr>
        <w:t>million implemented at Member State level and EUR</w:t>
      </w:r>
      <w:r>
        <w:rPr>
          <w:rStyle w:val="Bodytext2Bold"/>
          <w:rFonts w:ascii="Calibri" w:hAnsi="Calibri" w:cs="Calibri"/>
          <w:color w:val="auto"/>
          <w:sz w:val="20"/>
          <w:szCs w:val="20"/>
          <w:lang w:val="en-GB"/>
        </w:rPr>
        <w:t> </w:t>
      </w:r>
      <w:r>
        <w:rPr>
          <w:rStyle w:val="AMPRTextChar"/>
          <w:rFonts w:eastAsia="Calibri"/>
          <w:color w:val="auto"/>
          <w:sz w:val="20"/>
          <w:szCs w:val="20"/>
        </w:rPr>
        <w:t>1</w:t>
      </w:r>
      <w:r>
        <w:rPr>
          <w:rStyle w:val="Bodytext2Bold"/>
          <w:rFonts w:ascii="Calibri" w:hAnsi="Calibri" w:cs="Calibri"/>
          <w:color w:val="auto"/>
          <w:sz w:val="20"/>
          <w:szCs w:val="20"/>
          <w:lang w:val="en-GB"/>
        </w:rPr>
        <w:t> </w:t>
      </w:r>
      <w:r>
        <w:rPr>
          <w:rStyle w:val="AMPRTextChar"/>
          <w:rFonts w:eastAsia="Calibri"/>
          <w:color w:val="auto"/>
          <w:sz w:val="20"/>
          <w:szCs w:val="20"/>
        </w:rPr>
        <w:t>276 million implemented by the Commission), representing around 3.6% of the declared expenditure.</w:t>
      </w:r>
    </w:p>
    <w:p>
      <w:pPr>
        <w:spacing w:before="120" w:after="240"/>
        <w:rPr>
          <w:rFonts w:eastAsia="Calibri"/>
          <w:noProof/>
          <w:color w:val="000000" w:themeColor="text1"/>
          <w:szCs w:val="20"/>
        </w:rPr>
        <w:sectPr>
          <w:headerReference w:type="even" r:id="rId130"/>
          <w:headerReference w:type="default" r:id="rId131"/>
          <w:footerReference w:type="even" r:id="rId132"/>
          <w:footerReference w:type="default" r:id="rId133"/>
          <w:headerReference w:type="first" r:id="rId134"/>
          <w:footerReference w:type="first" r:id="rId135"/>
          <w:footnotePr>
            <w:numStart w:val="413"/>
          </w:footnotePr>
          <w:type w:val="continuous"/>
          <w:pgSz w:w="11906" w:h="16838" w:code="9"/>
          <w:pgMar w:top="1418" w:right="1418" w:bottom="1418" w:left="1418" w:header="635" w:footer="635" w:gutter="0"/>
          <w:cols w:space="720"/>
          <w:docGrid w:linePitch="360"/>
        </w:sectPr>
      </w:pPr>
    </w:p>
    <w:p>
      <w:pPr>
        <w:pStyle w:val="Annex4-H3"/>
      </w:pPr>
      <w:bookmarkStart w:id="187" w:name="_Toc484626503"/>
      <w:bookmarkStart w:id="188" w:name="_Toc512866545"/>
      <w:bookmarkStart w:id="189" w:name="_Toc8386216"/>
      <w:r>
        <w:t>3.5.</w:t>
      </w:r>
      <w:r>
        <w:tab/>
        <w:t>Member States corrections</w:t>
      </w:r>
      <w:bookmarkEnd w:id="187"/>
      <w:bookmarkEnd w:id="188"/>
      <w:bookmarkEnd w:id="189"/>
    </w:p>
    <w:p>
      <w:pPr>
        <w:spacing w:after="120"/>
        <w:rPr>
          <w:rStyle w:val="AMPRTextChar"/>
          <w:rFonts w:eastAsia="Calibri" w:cs="Arial"/>
          <w:noProof/>
        </w:rPr>
        <w:sectPr>
          <w:headerReference w:type="even" r:id="rId136"/>
          <w:headerReference w:type="default" r:id="rId137"/>
          <w:footerReference w:type="even" r:id="rId138"/>
          <w:footerReference w:type="default" r:id="rId139"/>
          <w:headerReference w:type="first" r:id="rId140"/>
          <w:footerReference w:type="first" r:id="rId141"/>
          <w:footnotePr>
            <w:numStart w:val="413"/>
          </w:footnotePr>
          <w:type w:val="continuous"/>
          <w:pgSz w:w="11906" w:h="16838" w:code="9"/>
          <w:pgMar w:top="1418" w:right="1418" w:bottom="1418" w:left="1418" w:header="635" w:footer="635" w:gutter="0"/>
          <w:cols w:space="720"/>
          <w:docGrid w:linePitch="360"/>
        </w:sectPr>
      </w:pPr>
    </w:p>
    <w:p>
      <w:pPr>
        <w:pStyle w:val="BodyText1spaceafter"/>
        <w:keepNext/>
      </w:pPr>
      <w:r>
        <w:rPr>
          <w:color w:val="E48C32" w:themeColor="accent5"/>
          <w:sz w:val="22"/>
          <w:u w:val="single"/>
        </w:rPr>
        <w:t>Financial corrections declared by the Member States for Cohesion Policy period 2014-2020</w:t>
      </w:r>
      <w:r>
        <w:rPr>
          <w:rFonts w:ascii="Calibri" w:hAnsi="Calibri" w:cs="Calibri"/>
          <w:color w:val="E48C32" w:themeColor="accent5"/>
          <w:sz w:val="22"/>
        </w:rPr>
        <w:t> </w:t>
      </w:r>
      <w:r>
        <w:rPr>
          <w:color w:val="E48C32" w:themeColor="accent5"/>
          <w:sz w:val="22"/>
        </w:rPr>
        <w:t>(</w:t>
      </w:r>
      <w:r>
        <w:rPr>
          <w:color w:val="E48C32" w:themeColor="accent5"/>
          <w:sz w:val="22"/>
          <w:vertAlign w:val="superscript"/>
        </w:rPr>
        <w:footnoteReference w:id="45"/>
      </w:r>
      <w:r>
        <w:rPr>
          <w:color w:val="E48C32" w:themeColor="accent5"/>
          <w:sz w:val="22"/>
        </w:rPr>
        <w:t>)</w:t>
      </w:r>
    </w:p>
    <w:p>
      <w:pPr>
        <w:pStyle w:val="BodyText1spaceafter"/>
      </w:pPr>
      <w:r>
        <w:rPr>
          <w:color w:val="auto"/>
          <w:szCs w:val="20"/>
        </w:rPr>
        <w:t>In February 2019 the Member State authorities have submitted the certified accounts for the accounting year 1</w:t>
      </w:r>
      <w:r>
        <w:rPr>
          <w:rFonts w:ascii="Calibri" w:hAnsi="Calibri" w:cs="Calibri"/>
          <w:color w:val="auto"/>
          <w:szCs w:val="20"/>
        </w:rPr>
        <w:t> July</w:t>
      </w:r>
      <w:r>
        <w:rPr>
          <w:color w:val="auto"/>
          <w:szCs w:val="20"/>
        </w:rPr>
        <w:t xml:space="preserve"> 2017 to 30 June 2018. According to the information received in the assurance packages, following the results of audit of operations, for European Regional Development Fund/Cohesion Fund the Member States have applied financial corrections totalling EUR</w:t>
      </w:r>
      <w:r>
        <w:rPr>
          <w:rStyle w:val="Bodytext2Bold"/>
          <w:rFonts w:ascii="Calibri" w:hAnsi="Calibri" w:cs="Calibri"/>
          <w:color w:val="auto"/>
          <w:szCs w:val="20"/>
          <w:lang w:val="en-GB"/>
        </w:rPr>
        <w:t> </w:t>
      </w:r>
      <w:r>
        <w:rPr>
          <w:color w:val="auto"/>
          <w:szCs w:val="20"/>
        </w:rPr>
        <w:t>163</w:t>
      </w:r>
      <w:r>
        <w:rPr>
          <w:rFonts w:ascii="Calibri" w:hAnsi="Calibri" w:cs="Calibri"/>
          <w:color w:val="auto"/>
          <w:szCs w:val="20"/>
        </w:rPr>
        <w:t> </w:t>
      </w:r>
      <w:r>
        <w:rPr>
          <w:color w:val="auto"/>
          <w:szCs w:val="20"/>
        </w:rPr>
        <w:t>million. The financial corrections imposed for European Social Fund/Youth Employment Initiative and Fund for European Aid to the most Deprived amounted to EUR</w:t>
      </w:r>
      <w:r>
        <w:rPr>
          <w:rStyle w:val="Bodytext2Bold"/>
          <w:rFonts w:ascii="Calibri" w:hAnsi="Calibri" w:cs="Calibri"/>
          <w:color w:val="auto"/>
          <w:szCs w:val="20"/>
          <w:lang w:val="en-GB"/>
        </w:rPr>
        <w:t> </w:t>
      </w:r>
      <w:r>
        <w:rPr>
          <w:color w:val="auto"/>
          <w:szCs w:val="20"/>
        </w:rPr>
        <w:t>147</w:t>
      </w:r>
      <w:r>
        <w:rPr>
          <w:rStyle w:val="Bodytext2Bold"/>
          <w:rFonts w:ascii="Calibri" w:hAnsi="Calibri" w:cs="Calibri"/>
          <w:color w:val="auto"/>
          <w:szCs w:val="20"/>
          <w:lang w:val="en-GB"/>
        </w:rPr>
        <w:t> </w:t>
      </w:r>
      <w:r>
        <w:rPr>
          <w:color w:val="auto"/>
          <w:szCs w:val="20"/>
        </w:rPr>
        <w:t>million</w:t>
      </w:r>
      <w:r>
        <w:t>, while for the European Maritime and Fisheries Fund there were EUR 5</w:t>
      </w:r>
      <w:r>
        <w:rPr>
          <w:rFonts w:ascii="Calibri" w:hAnsi="Calibri" w:cs="Calibri"/>
        </w:rPr>
        <w:t xml:space="preserve"> million reported </w:t>
      </w:r>
      <w:r>
        <w:t>in 2018.</w:t>
      </w:r>
    </w:p>
    <w:tbl>
      <w:tblPr>
        <w:tblW w:w="6904" w:type="dxa"/>
        <w:jc w:val="center"/>
        <w:tblLook w:val="04A0" w:firstRow="1" w:lastRow="0" w:firstColumn="1" w:lastColumn="0" w:noHBand="0" w:noVBand="1"/>
      </w:tblPr>
      <w:tblGrid>
        <w:gridCol w:w="2409"/>
        <w:gridCol w:w="1161"/>
        <w:gridCol w:w="1269"/>
        <w:gridCol w:w="1073"/>
        <w:gridCol w:w="992"/>
      </w:tblGrid>
      <w:tr>
        <w:trPr>
          <w:trHeight w:val="635"/>
          <w:jc w:val="center"/>
        </w:trPr>
        <w:tc>
          <w:tcPr>
            <w:tcW w:w="2409" w:type="dxa"/>
            <w:tcBorders>
              <w:top w:val="single" w:sz="8" w:space="0" w:color="auto"/>
              <w:left w:val="single" w:sz="8" w:space="0" w:color="auto"/>
              <w:bottom w:val="single" w:sz="8" w:space="0" w:color="000000"/>
              <w:right w:val="single" w:sz="8" w:space="0" w:color="auto"/>
            </w:tcBorders>
            <w:shd w:val="clear" w:color="auto" w:fill="E48C32"/>
            <w:vAlign w:val="center"/>
            <w:hideMark/>
          </w:tcPr>
          <w:p>
            <w:pPr>
              <w:jc w:val="center"/>
              <w:rPr>
                <w:rFonts w:cs="Arial"/>
                <w:b/>
                <w:noProof/>
                <w:color w:val="FFFFFF"/>
                <w:sz w:val="18"/>
                <w:szCs w:val="18"/>
              </w:rPr>
            </w:pPr>
            <w:r>
              <w:rPr>
                <w:rFonts w:cs="Arial"/>
                <w:b/>
                <w:noProof/>
                <w:color w:val="FFFFFF"/>
                <w:sz w:val="18"/>
                <w:szCs w:val="18"/>
              </w:rPr>
              <w:t>Member State</w:t>
            </w:r>
          </w:p>
        </w:tc>
        <w:tc>
          <w:tcPr>
            <w:tcW w:w="1161" w:type="dxa"/>
            <w:tcBorders>
              <w:top w:val="single" w:sz="8" w:space="0" w:color="auto"/>
              <w:left w:val="single" w:sz="8" w:space="0" w:color="auto"/>
              <w:bottom w:val="single" w:sz="8" w:space="0" w:color="000000"/>
              <w:right w:val="single" w:sz="8" w:space="0" w:color="auto"/>
            </w:tcBorders>
            <w:shd w:val="clear" w:color="auto" w:fill="E48C32"/>
            <w:vAlign w:val="center"/>
            <w:hideMark/>
          </w:tcPr>
          <w:p>
            <w:pPr>
              <w:jc w:val="center"/>
              <w:rPr>
                <w:rFonts w:cs="Arial"/>
                <w:b/>
                <w:bCs/>
                <w:noProof/>
                <w:color w:val="FFFFFF"/>
                <w:sz w:val="18"/>
                <w:szCs w:val="18"/>
              </w:rPr>
            </w:pPr>
            <w:r>
              <w:rPr>
                <w:rFonts w:cs="Arial"/>
                <w:b/>
                <w:bCs/>
                <w:noProof/>
                <w:color w:val="FFFFFF"/>
                <w:sz w:val="18"/>
                <w:szCs w:val="18"/>
              </w:rPr>
              <w:t>ERDF/CF</w:t>
            </w:r>
          </w:p>
        </w:tc>
        <w:tc>
          <w:tcPr>
            <w:tcW w:w="1269" w:type="dxa"/>
            <w:tcBorders>
              <w:top w:val="single" w:sz="8" w:space="0" w:color="auto"/>
              <w:left w:val="single" w:sz="8" w:space="0" w:color="auto"/>
              <w:bottom w:val="single" w:sz="8" w:space="0" w:color="000000"/>
              <w:right w:val="single" w:sz="8" w:space="0" w:color="auto"/>
            </w:tcBorders>
            <w:shd w:val="clear" w:color="auto" w:fill="E48C32"/>
            <w:vAlign w:val="center"/>
            <w:hideMark/>
          </w:tcPr>
          <w:p>
            <w:pPr>
              <w:jc w:val="center"/>
              <w:rPr>
                <w:rFonts w:cs="Arial"/>
                <w:b/>
                <w:bCs/>
                <w:noProof/>
                <w:color w:val="FFFFFF"/>
                <w:sz w:val="18"/>
                <w:szCs w:val="18"/>
              </w:rPr>
            </w:pPr>
            <w:r>
              <w:rPr>
                <w:rFonts w:cs="Arial"/>
                <w:b/>
                <w:bCs/>
                <w:noProof/>
                <w:color w:val="FFFFFF"/>
                <w:sz w:val="18"/>
                <w:szCs w:val="18"/>
              </w:rPr>
              <w:t>ESF</w:t>
            </w:r>
            <w:r>
              <w:rPr>
                <w:rFonts w:ascii="Calibri" w:hAnsi="Calibri" w:cs="Calibri"/>
                <w:b/>
                <w:bCs/>
                <w:noProof/>
                <w:color w:val="FFFFFF"/>
                <w:szCs w:val="18"/>
              </w:rPr>
              <w:t> </w:t>
            </w:r>
            <w:r>
              <w:rPr>
                <w:rFonts w:cs="Arial"/>
                <w:b/>
                <w:bCs/>
                <w:noProof/>
                <w:color w:val="FFFFFF"/>
                <w:szCs w:val="18"/>
              </w:rPr>
              <w:t>-</w:t>
            </w:r>
            <w:r>
              <w:rPr>
                <w:rFonts w:ascii="Calibri" w:hAnsi="Calibri" w:cs="Calibri"/>
                <w:b/>
                <w:bCs/>
                <w:noProof/>
                <w:color w:val="FFFFFF"/>
                <w:szCs w:val="18"/>
              </w:rPr>
              <w:t> </w:t>
            </w:r>
            <w:r>
              <w:rPr>
                <w:rFonts w:cs="Arial"/>
                <w:b/>
                <w:bCs/>
                <w:noProof/>
                <w:color w:val="FFFFFF"/>
                <w:sz w:val="18"/>
                <w:szCs w:val="18"/>
              </w:rPr>
              <w:t>YEI/FEAD</w:t>
            </w:r>
          </w:p>
        </w:tc>
        <w:tc>
          <w:tcPr>
            <w:tcW w:w="1073" w:type="dxa"/>
            <w:tcBorders>
              <w:top w:val="single" w:sz="8" w:space="0" w:color="auto"/>
              <w:left w:val="single" w:sz="8" w:space="0" w:color="auto"/>
              <w:bottom w:val="single" w:sz="8" w:space="0" w:color="auto"/>
              <w:right w:val="single" w:sz="8" w:space="0" w:color="auto"/>
            </w:tcBorders>
            <w:shd w:val="clear" w:color="auto" w:fill="E48C32"/>
          </w:tcPr>
          <w:p>
            <w:pPr>
              <w:jc w:val="center"/>
              <w:rPr>
                <w:rFonts w:cs="Arial"/>
                <w:b/>
                <w:bCs/>
                <w:noProof/>
                <w:color w:val="FFFFFF"/>
                <w:sz w:val="18"/>
                <w:szCs w:val="18"/>
              </w:rPr>
            </w:pPr>
          </w:p>
          <w:p>
            <w:pPr>
              <w:jc w:val="center"/>
              <w:rPr>
                <w:rFonts w:cs="Arial"/>
                <w:b/>
                <w:bCs/>
                <w:noProof/>
                <w:color w:val="FFFFFF"/>
                <w:sz w:val="18"/>
                <w:szCs w:val="18"/>
              </w:rPr>
            </w:pPr>
            <w:r>
              <w:rPr>
                <w:rFonts w:cs="Arial"/>
                <w:b/>
                <w:bCs/>
                <w:noProof/>
                <w:color w:val="FFFFFF"/>
                <w:sz w:val="18"/>
                <w:szCs w:val="18"/>
              </w:rPr>
              <w:t>EMFF</w:t>
            </w:r>
          </w:p>
        </w:tc>
        <w:tc>
          <w:tcPr>
            <w:tcW w:w="992" w:type="dxa"/>
            <w:tcBorders>
              <w:top w:val="single" w:sz="8" w:space="0" w:color="auto"/>
              <w:left w:val="single" w:sz="8" w:space="0" w:color="auto"/>
              <w:bottom w:val="single" w:sz="8" w:space="0" w:color="000000"/>
              <w:right w:val="single" w:sz="8" w:space="0" w:color="auto"/>
            </w:tcBorders>
            <w:shd w:val="clear" w:color="auto" w:fill="E48C32"/>
            <w:vAlign w:val="center"/>
            <w:hideMark/>
          </w:tcPr>
          <w:p>
            <w:pPr>
              <w:jc w:val="center"/>
              <w:rPr>
                <w:rFonts w:cs="Arial"/>
                <w:b/>
                <w:bCs/>
                <w:noProof/>
                <w:color w:val="FFFFFF"/>
                <w:sz w:val="18"/>
                <w:szCs w:val="18"/>
              </w:rPr>
            </w:pPr>
            <w:r>
              <w:rPr>
                <w:rFonts w:cs="Arial"/>
                <w:b/>
                <w:bCs/>
                <w:noProof/>
                <w:color w:val="FFFFFF"/>
                <w:sz w:val="18"/>
                <w:szCs w:val="18"/>
              </w:rPr>
              <w:t>Total</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tcPr>
          <w:p>
            <w:pPr>
              <w:rPr>
                <w:rFonts w:asciiTheme="minorHAnsi" w:hAnsiTheme="minorHAnsi" w:cs="Arial"/>
                <w:noProof/>
                <w:color w:val="000000"/>
                <w:sz w:val="18"/>
                <w:szCs w:val="18"/>
              </w:rPr>
            </w:pPr>
            <w:r>
              <w:rPr>
                <w:rFonts w:asciiTheme="minorHAnsi" w:hAnsiTheme="minorHAnsi" w:cs="Arial"/>
                <w:noProof/>
                <w:color w:val="000000"/>
                <w:sz w:val="18"/>
                <w:szCs w:val="18"/>
              </w:rPr>
              <w:t>Belgium</w:t>
            </w:r>
          </w:p>
        </w:tc>
        <w:tc>
          <w:tcPr>
            <w:tcW w:w="1161" w:type="dxa"/>
            <w:tcBorders>
              <w:top w:val="nil"/>
              <w:left w:val="nil"/>
              <w:bottom w:val="nil"/>
              <w:right w:val="single" w:sz="8" w:space="0" w:color="auto"/>
            </w:tcBorders>
            <w:shd w:val="clear" w:color="auto" w:fill="auto"/>
            <w:noWrap/>
            <w:vAlign w:val="center"/>
          </w:tcPr>
          <w:p>
            <w:pPr>
              <w:jc w:val="right"/>
              <w:rPr>
                <w:rFonts w:asciiTheme="minorHAnsi" w:hAnsiTheme="minorHAnsi" w:cs="Arial"/>
                <w:noProof/>
                <w:sz w:val="18"/>
                <w:szCs w:val="18"/>
              </w:rPr>
            </w:pPr>
            <w:r>
              <w:rPr>
                <w:rFonts w:asciiTheme="minorHAnsi" w:hAnsiTheme="minorHAnsi" w:cs="Verdana"/>
                <w:noProof/>
                <w:sz w:val="18"/>
                <w:szCs w:val="18"/>
              </w:rPr>
              <w:t>0.6</w:t>
            </w:r>
          </w:p>
        </w:tc>
        <w:tc>
          <w:tcPr>
            <w:tcW w:w="1269" w:type="dxa"/>
            <w:tcBorders>
              <w:top w:val="nil"/>
              <w:left w:val="nil"/>
              <w:bottom w:val="nil"/>
              <w:right w:val="single" w:sz="8" w:space="0" w:color="auto"/>
            </w:tcBorders>
            <w:shd w:val="clear" w:color="auto" w:fill="auto"/>
            <w:noWrap/>
            <w:vAlign w:val="center"/>
          </w:tcPr>
          <w:p>
            <w:pPr>
              <w:jc w:val="right"/>
              <w:rPr>
                <w:rFonts w:asciiTheme="minorHAnsi" w:hAnsiTheme="minorHAnsi" w:cs="Arial"/>
                <w:noProof/>
                <w:sz w:val="18"/>
                <w:szCs w:val="18"/>
              </w:rPr>
            </w:pPr>
            <w:r>
              <w:rPr>
                <w:rFonts w:asciiTheme="minorHAnsi" w:hAnsiTheme="minorHAnsi" w:cs="Calibri"/>
                <w:noProof/>
                <w:color w:val="000000"/>
                <w:sz w:val="18"/>
                <w:szCs w:val="18"/>
              </w:rPr>
              <w:t>1.6</w:t>
            </w:r>
          </w:p>
        </w:tc>
        <w:tc>
          <w:tcPr>
            <w:tcW w:w="1073" w:type="dxa"/>
            <w:tcBorders>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0.0</w:t>
            </w:r>
          </w:p>
        </w:tc>
        <w:tc>
          <w:tcPr>
            <w:tcW w:w="992" w:type="dxa"/>
            <w:tcBorders>
              <w:top w:val="nil"/>
              <w:left w:val="single" w:sz="8" w:space="0" w:color="auto"/>
              <w:bottom w:val="nil"/>
              <w:right w:val="single" w:sz="8" w:space="0" w:color="auto"/>
            </w:tcBorders>
            <w:shd w:val="clear" w:color="auto" w:fill="auto"/>
            <w:noWrap/>
            <w:vAlign w:val="center"/>
          </w:tcPr>
          <w:p>
            <w:pPr>
              <w:ind w:left="-66"/>
              <w:jc w:val="right"/>
              <w:rPr>
                <w:rFonts w:cstheme="minorHAnsi"/>
                <w:b/>
                <w:noProof/>
                <w:sz w:val="18"/>
                <w:szCs w:val="18"/>
              </w:rPr>
            </w:pPr>
            <w:r>
              <w:rPr>
                <w:rFonts w:cs="Calibri"/>
                <w:b/>
                <w:bCs/>
                <w:noProof/>
                <w:color w:val="000000"/>
                <w:sz w:val="18"/>
                <w:szCs w:val="16"/>
              </w:rPr>
              <w:t>2.2</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Bulgaria</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2.0</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0.1</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0.0</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2.1</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Czechia</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5.7</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0.4</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0.2</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6.4</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Denmark</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0.1</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0.1</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Germany</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14.1</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14.1</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0.0</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28.2</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Estonia</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0.3</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0.3</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0.6</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Ireland</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1.1</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0.0</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1.1</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Greece</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5.8</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19.3</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25.1</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Spain</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4.7</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67.7</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0.6</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73.0</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France</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13.3</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10.2</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1.0</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24.5</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Croatia</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9.7</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1.5</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0.5</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11.6</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Italy</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4.9</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2.6</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7.5</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Cyprus</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0.1</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0.0</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0.1</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Latvia</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1.4</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0.0</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1.4</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Lithuania</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0.1</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0.0</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0.2</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tcPr>
          <w:p>
            <w:pPr>
              <w:rPr>
                <w:rFonts w:asciiTheme="minorHAnsi" w:hAnsiTheme="minorHAnsi" w:cs="Arial"/>
                <w:noProof/>
                <w:color w:val="000000"/>
                <w:sz w:val="18"/>
                <w:szCs w:val="18"/>
              </w:rPr>
            </w:pPr>
            <w:r>
              <w:rPr>
                <w:rFonts w:asciiTheme="minorHAnsi" w:hAnsiTheme="minorHAnsi" w:cs="Arial"/>
                <w:noProof/>
                <w:color w:val="000000"/>
                <w:sz w:val="18"/>
                <w:szCs w:val="18"/>
              </w:rPr>
              <w:t>Luxembourg</w:t>
            </w:r>
          </w:p>
        </w:tc>
        <w:tc>
          <w:tcPr>
            <w:tcW w:w="1161" w:type="dxa"/>
            <w:tcBorders>
              <w:top w:val="nil"/>
              <w:left w:val="nil"/>
              <w:bottom w:val="nil"/>
              <w:right w:val="single" w:sz="8" w:space="0" w:color="auto"/>
            </w:tcBorders>
            <w:shd w:val="clear" w:color="auto" w:fill="auto"/>
            <w:noWrap/>
          </w:tcPr>
          <w:p>
            <w:pPr>
              <w:jc w:val="right"/>
              <w:rPr>
                <w:rFonts w:asciiTheme="minorHAnsi" w:hAnsiTheme="minorHAnsi" w:cs="Verdana"/>
                <w:noProof/>
                <w:sz w:val="18"/>
                <w:szCs w:val="18"/>
              </w:rPr>
            </w:pPr>
            <w:r>
              <w:rPr>
                <w:rFonts w:asciiTheme="minorHAnsi" w:hAnsiTheme="minorHAnsi"/>
                <w:noProof/>
                <w:color w:val="000000"/>
                <w:sz w:val="18"/>
                <w:szCs w:val="18"/>
              </w:rPr>
              <w:t>-</w:t>
            </w:r>
          </w:p>
        </w:tc>
        <w:tc>
          <w:tcPr>
            <w:tcW w:w="1269" w:type="dxa"/>
            <w:tcBorders>
              <w:top w:val="nil"/>
              <w:left w:val="nil"/>
              <w:bottom w:val="nil"/>
              <w:right w:val="single" w:sz="8" w:space="0" w:color="auto"/>
            </w:tcBorders>
            <w:shd w:val="clear" w:color="auto" w:fill="auto"/>
            <w:noWrap/>
          </w:tcPr>
          <w:p>
            <w:pPr>
              <w:jc w:val="right"/>
              <w:rPr>
                <w:rFonts w:asciiTheme="minorHAnsi" w:hAnsiTheme="minorHAnsi" w:cs="Calibri"/>
                <w:noProof/>
                <w:color w:val="000000"/>
                <w:sz w:val="18"/>
                <w:szCs w:val="18"/>
              </w:rPr>
            </w:pPr>
            <w:r>
              <w:rPr>
                <w:rFonts w:asciiTheme="minorHAnsi" w:hAnsiTheme="minorHAnsi"/>
                <w:noProof/>
                <w:color w:val="000000"/>
                <w:sz w:val="18"/>
                <w:szCs w:val="18"/>
              </w:rPr>
              <w:t>-</w:t>
            </w:r>
          </w:p>
        </w:tc>
        <w:tc>
          <w:tcPr>
            <w:tcW w:w="1073" w:type="dxa"/>
            <w:tcBorders>
              <w:top w:val="nil"/>
              <w:left w:val="nil"/>
              <w:bottom w:val="nil"/>
              <w:right w:val="single" w:sz="8" w:space="0" w:color="auto"/>
            </w:tcBorders>
          </w:tcPr>
          <w:p>
            <w:pPr>
              <w:jc w:val="right"/>
              <w:rPr>
                <w:rFonts w:asciiTheme="minorHAnsi" w:hAnsiTheme="minorHAnsi"/>
                <w:noProof/>
                <w:color w:val="000000"/>
                <w:sz w:val="18"/>
                <w:szCs w:val="18"/>
              </w:rPr>
            </w:pPr>
            <w:r>
              <w:rPr>
                <w:rFonts w:asciiTheme="minorHAnsi" w:hAnsiTheme="minorHAnsi"/>
                <w:noProof/>
                <w:color w:val="000000"/>
                <w:sz w:val="18"/>
                <w:szCs w:val="18"/>
              </w:rPr>
              <w:t>-</w:t>
            </w:r>
          </w:p>
        </w:tc>
        <w:tc>
          <w:tcPr>
            <w:tcW w:w="992" w:type="dxa"/>
            <w:tcBorders>
              <w:top w:val="nil"/>
              <w:left w:val="single" w:sz="8" w:space="0" w:color="auto"/>
              <w:bottom w:val="nil"/>
              <w:right w:val="single" w:sz="8" w:space="0" w:color="auto"/>
            </w:tcBorders>
            <w:shd w:val="clear" w:color="auto" w:fill="auto"/>
            <w:noWrap/>
          </w:tcPr>
          <w:p>
            <w:pPr>
              <w:jc w:val="right"/>
              <w:rPr>
                <w:rFonts w:cs="Calibri"/>
                <w:b/>
                <w:bCs/>
                <w:noProof/>
                <w:color w:val="000000"/>
                <w:sz w:val="18"/>
                <w:szCs w:val="16"/>
              </w:rPr>
            </w:pPr>
            <w:r>
              <w:rPr>
                <w:rFonts w:asciiTheme="minorHAnsi" w:hAnsiTheme="minorHAnsi"/>
                <w:noProof/>
                <w:color w:val="000000"/>
                <w:sz w:val="18"/>
                <w:szCs w:val="18"/>
              </w:rPr>
              <w:t>-</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Hungary</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28.2</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9.9</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38.0</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tcPr>
          <w:p>
            <w:pPr>
              <w:rPr>
                <w:rFonts w:asciiTheme="minorHAnsi" w:hAnsiTheme="minorHAnsi" w:cs="Arial"/>
                <w:noProof/>
                <w:color w:val="000000"/>
                <w:sz w:val="18"/>
                <w:szCs w:val="18"/>
              </w:rPr>
            </w:pPr>
            <w:r>
              <w:rPr>
                <w:rFonts w:asciiTheme="minorHAnsi" w:hAnsiTheme="minorHAnsi" w:cs="Arial"/>
                <w:noProof/>
                <w:color w:val="000000"/>
                <w:sz w:val="18"/>
                <w:szCs w:val="18"/>
              </w:rPr>
              <w:t>Malta</w:t>
            </w:r>
          </w:p>
          <w:p>
            <w:pPr>
              <w:rPr>
                <w:rFonts w:asciiTheme="minorHAnsi" w:hAnsiTheme="minorHAnsi" w:cs="Arial"/>
                <w:noProof/>
                <w:color w:val="000000"/>
                <w:sz w:val="18"/>
                <w:szCs w:val="18"/>
              </w:rPr>
            </w:pPr>
          </w:p>
        </w:tc>
        <w:tc>
          <w:tcPr>
            <w:tcW w:w="1161" w:type="dxa"/>
            <w:tcBorders>
              <w:top w:val="nil"/>
              <w:left w:val="nil"/>
              <w:bottom w:val="nil"/>
              <w:right w:val="single" w:sz="8" w:space="0" w:color="auto"/>
            </w:tcBorders>
            <w:shd w:val="clear" w:color="auto" w:fill="auto"/>
            <w:noWrap/>
            <w:vAlign w:val="center"/>
          </w:tcPr>
          <w:p>
            <w:pPr>
              <w:jc w:val="right"/>
              <w:rPr>
                <w:rFonts w:asciiTheme="minorHAnsi" w:hAnsiTheme="minorHAnsi" w:cs="Arial"/>
                <w:noProof/>
                <w:sz w:val="18"/>
                <w:szCs w:val="18"/>
              </w:rPr>
            </w:pPr>
            <w:r>
              <w:rPr>
                <w:rFonts w:asciiTheme="minorHAnsi" w:hAnsiTheme="minorHAnsi" w:cs="Verdana"/>
                <w:noProof/>
                <w:sz w:val="18"/>
                <w:szCs w:val="18"/>
              </w:rPr>
              <w:t>-</w:t>
            </w:r>
          </w:p>
        </w:tc>
        <w:tc>
          <w:tcPr>
            <w:tcW w:w="1269" w:type="dxa"/>
            <w:tcBorders>
              <w:top w:val="nil"/>
              <w:left w:val="nil"/>
              <w:bottom w:val="nil"/>
              <w:right w:val="single" w:sz="8" w:space="0" w:color="auto"/>
            </w:tcBorders>
            <w:shd w:val="clear" w:color="auto" w:fill="auto"/>
            <w:noWrap/>
            <w:vAlign w:val="center"/>
          </w:tcPr>
          <w:p>
            <w:pPr>
              <w:jc w:val="right"/>
              <w:rPr>
                <w:rFonts w:asciiTheme="minorHAnsi" w:hAnsiTheme="minorHAnsi" w:cs="Arial"/>
                <w:noProof/>
                <w:sz w:val="18"/>
                <w:szCs w:val="18"/>
              </w:rPr>
            </w:pPr>
            <w:r>
              <w:rPr>
                <w:rFonts w:asciiTheme="minorHAnsi" w:hAnsiTheme="minorHAnsi" w:cs="Calibri"/>
                <w:noProof/>
                <w:color w:val="000000"/>
                <w:sz w:val="18"/>
                <w:szCs w:val="18"/>
              </w:rPr>
              <w:t>0.0</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w:t>
            </w:r>
          </w:p>
        </w:tc>
        <w:tc>
          <w:tcPr>
            <w:tcW w:w="992" w:type="dxa"/>
            <w:tcBorders>
              <w:top w:val="nil"/>
              <w:left w:val="single" w:sz="8" w:space="0" w:color="auto"/>
              <w:bottom w:val="nil"/>
              <w:right w:val="single" w:sz="8" w:space="0" w:color="auto"/>
            </w:tcBorders>
            <w:shd w:val="clear" w:color="auto" w:fill="auto"/>
            <w:noWrap/>
            <w:vAlign w:val="center"/>
          </w:tcPr>
          <w:p>
            <w:pPr>
              <w:jc w:val="right"/>
              <w:rPr>
                <w:rFonts w:cstheme="minorHAnsi"/>
                <w:b/>
                <w:noProof/>
                <w:sz w:val="18"/>
                <w:szCs w:val="18"/>
              </w:rPr>
            </w:pPr>
            <w:r>
              <w:rPr>
                <w:rFonts w:cs="Calibri"/>
                <w:b/>
                <w:bCs/>
                <w:noProof/>
                <w:color w:val="000000"/>
                <w:sz w:val="18"/>
                <w:szCs w:val="16"/>
              </w:rPr>
              <w:t>0.0</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tcPr>
          <w:p>
            <w:pPr>
              <w:rPr>
                <w:rFonts w:asciiTheme="minorHAnsi" w:hAnsiTheme="minorHAnsi" w:cs="Arial"/>
                <w:noProof/>
                <w:color w:val="000000"/>
                <w:sz w:val="18"/>
                <w:szCs w:val="18"/>
              </w:rPr>
            </w:pPr>
            <w:r>
              <w:rPr>
                <w:rFonts w:asciiTheme="minorHAnsi" w:hAnsiTheme="minorHAnsi" w:cs="Arial"/>
                <w:noProof/>
                <w:color w:val="000000"/>
                <w:sz w:val="18"/>
                <w:szCs w:val="18"/>
              </w:rPr>
              <w:t>Netherlands</w:t>
            </w:r>
          </w:p>
        </w:tc>
        <w:tc>
          <w:tcPr>
            <w:tcW w:w="1161" w:type="dxa"/>
            <w:tcBorders>
              <w:top w:val="nil"/>
              <w:left w:val="nil"/>
              <w:bottom w:val="nil"/>
              <w:right w:val="single" w:sz="8" w:space="0" w:color="auto"/>
            </w:tcBorders>
            <w:shd w:val="clear" w:color="auto" w:fill="auto"/>
            <w:noWrap/>
            <w:vAlign w:val="center"/>
          </w:tcPr>
          <w:p>
            <w:pPr>
              <w:jc w:val="right"/>
              <w:rPr>
                <w:rFonts w:asciiTheme="minorHAnsi" w:hAnsiTheme="minorHAnsi" w:cs="Arial"/>
                <w:noProof/>
                <w:sz w:val="18"/>
                <w:szCs w:val="18"/>
              </w:rPr>
            </w:pPr>
            <w:r>
              <w:rPr>
                <w:rFonts w:asciiTheme="minorHAnsi" w:hAnsiTheme="minorHAnsi" w:cs="Verdana"/>
                <w:noProof/>
                <w:sz w:val="18"/>
                <w:szCs w:val="18"/>
              </w:rPr>
              <w:t>0.1</w:t>
            </w:r>
          </w:p>
        </w:tc>
        <w:tc>
          <w:tcPr>
            <w:tcW w:w="1269" w:type="dxa"/>
            <w:tcBorders>
              <w:top w:val="nil"/>
              <w:left w:val="nil"/>
              <w:bottom w:val="nil"/>
              <w:right w:val="single" w:sz="8" w:space="0" w:color="auto"/>
            </w:tcBorders>
            <w:shd w:val="clear" w:color="auto" w:fill="auto"/>
            <w:noWrap/>
            <w:vAlign w:val="center"/>
          </w:tcPr>
          <w:p>
            <w:pPr>
              <w:jc w:val="right"/>
              <w:rPr>
                <w:rFonts w:asciiTheme="minorHAnsi" w:hAnsiTheme="minorHAnsi" w:cs="Arial"/>
                <w:noProof/>
                <w:sz w:val="18"/>
                <w:szCs w:val="18"/>
              </w:rPr>
            </w:pPr>
            <w:r>
              <w:rPr>
                <w:rFonts w:asciiTheme="minorHAnsi" w:hAnsiTheme="minorHAnsi" w:cs="Calibri"/>
                <w:noProof/>
                <w:color w:val="000000"/>
                <w:sz w:val="18"/>
                <w:szCs w:val="18"/>
              </w:rPr>
              <w:t>0.0</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w:t>
            </w:r>
          </w:p>
        </w:tc>
        <w:tc>
          <w:tcPr>
            <w:tcW w:w="992" w:type="dxa"/>
            <w:tcBorders>
              <w:top w:val="nil"/>
              <w:left w:val="single" w:sz="8" w:space="0" w:color="auto"/>
              <w:bottom w:val="nil"/>
              <w:right w:val="single" w:sz="8" w:space="0" w:color="auto"/>
            </w:tcBorders>
            <w:shd w:val="clear" w:color="auto" w:fill="auto"/>
            <w:noWrap/>
            <w:vAlign w:val="center"/>
          </w:tcPr>
          <w:p>
            <w:pPr>
              <w:jc w:val="right"/>
              <w:rPr>
                <w:rFonts w:cstheme="minorHAnsi"/>
                <w:b/>
                <w:noProof/>
                <w:sz w:val="18"/>
                <w:szCs w:val="18"/>
              </w:rPr>
            </w:pPr>
            <w:r>
              <w:rPr>
                <w:rFonts w:cs="Calibri"/>
                <w:b/>
                <w:bCs/>
                <w:noProof/>
                <w:color w:val="000000"/>
                <w:sz w:val="18"/>
                <w:szCs w:val="16"/>
              </w:rPr>
              <w:t>0.1</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tcPr>
          <w:p>
            <w:pPr>
              <w:rPr>
                <w:rFonts w:asciiTheme="minorHAnsi" w:hAnsiTheme="minorHAnsi" w:cs="Arial"/>
                <w:noProof/>
                <w:color w:val="000000"/>
                <w:sz w:val="18"/>
                <w:szCs w:val="18"/>
              </w:rPr>
            </w:pPr>
            <w:r>
              <w:rPr>
                <w:rFonts w:asciiTheme="minorHAnsi" w:hAnsiTheme="minorHAnsi" w:cs="Arial"/>
                <w:noProof/>
                <w:color w:val="000000"/>
                <w:sz w:val="18"/>
                <w:szCs w:val="18"/>
              </w:rPr>
              <w:t>Austria</w:t>
            </w:r>
          </w:p>
        </w:tc>
        <w:tc>
          <w:tcPr>
            <w:tcW w:w="1161" w:type="dxa"/>
            <w:tcBorders>
              <w:top w:val="nil"/>
              <w:left w:val="nil"/>
              <w:bottom w:val="nil"/>
              <w:right w:val="single" w:sz="8" w:space="0" w:color="auto"/>
            </w:tcBorders>
            <w:shd w:val="clear" w:color="auto" w:fill="auto"/>
            <w:noWrap/>
            <w:vAlign w:val="center"/>
          </w:tcPr>
          <w:p>
            <w:pPr>
              <w:jc w:val="right"/>
              <w:rPr>
                <w:rFonts w:asciiTheme="minorHAnsi" w:hAnsiTheme="minorHAnsi" w:cs="Arial"/>
                <w:noProof/>
                <w:sz w:val="18"/>
                <w:szCs w:val="18"/>
              </w:rPr>
            </w:pPr>
            <w:r>
              <w:rPr>
                <w:rFonts w:asciiTheme="minorHAnsi" w:hAnsiTheme="minorHAnsi" w:cs="Verdana"/>
                <w:noProof/>
                <w:sz w:val="18"/>
                <w:szCs w:val="18"/>
              </w:rPr>
              <w:t>0.3</w:t>
            </w:r>
          </w:p>
        </w:tc>
        <w:tc>
          <w:tcPr>
            <w:tcW w:w="1269" w:type="dxa"/>
            <w:tcBorders>
              <w:top w:val="nil"/>
              <w:left w:val="nil"/>
              <w:bottom w:val="nil"/>
              <w:right w:val="single" w:sz="8" w:space="0" w:color="auto"/>
            </w:tcBorders>
            <w:shd w:val="clear" w:color="auto" w:fill="auto"/>
            <w:noWrap/>
            <w:vAlign w:val="center"/>
          </w:tcPr>
          <w:p>
            <w:pPr>
              <w:jc w:val="right"/>
              <w:rPr>
                <w:rFonts w:asciiTheme="minorHAnsi" w:hAnsiTheme="minorHAnsi" w:cs="Arial"/>
                <w:noProof/>
                <w:sz w:val="18"/>
                <w:szCs w:val="18"/>
              </w:rPr>
            </w:pPr>
            <w:r>
              <w:rPr>
                <w:rFonts w:asciiTheme="minorHAnsi" w:hAnsiTheme="minorHAnsi" w:cs="Calibri"/>
                <w:noProof/>
                <w:color w:val="000000"/>
                <w:sz w:val="18"/>
                <w:szCs w:val="18"/>
              </w:rPr>
              <w:t>0.1</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0.0</w:t>
            </w:r>
          </w:p>
        </w:tc>
        <w:tc>
          <w:tcPr>
            <w:tcW w:w="992" w:type="dxa"/>
            <w:tcBorders>
              <w:top w:val="nil"/>
              <w:left w:val="single" w:sz="8" w:space="0" w:color="auto"/>
              <w:bottom w:val="nil"/>
              <w:right w:val="single" w:sz="8" w:space="0" w:color="auto"/>
            </w:tcBorders>
            <w:shd w:val="clear" w:color="auto" w:fill="auto"/>
            <w:noWrap/>
            <w:vAlign w:val="center"/>
          </w:tcPr>
          <w:p>
            <w:pPr>
              <w:jc w:val="right"/>
              <w:rPr>
                <w:rFonts w:cstheme="minorHAnsi"/>
                <w:b/>
                <w:noProof/>
                <w:sz w:val="18"/>
                <w:szCs w:val="18"/>
              </w:rPr>
            </w:pPr>
            <w:r>
              <w:rPr>
                <w:rFonts w:cs="Calibri"/>
                <w:b/>
                <w:bCs/>
                <w:noProof/>
                <w:color w:val="000000"/>
                <w:sz w:val="18"/>
                <w:szCs w:val="16"/>
              </w:rPr>
              <w:t>0.4</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Poland</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6.1</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2.3</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0.0</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8.4</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Portugal</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2.2</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1.8</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1.4</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5.4</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Romania</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13.0</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0.4</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0.1</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13.5</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Slovenia</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1.1</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0.1</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1.1</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Slovakia</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5.6</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0.8</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6.4</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Finland</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0.2</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0.2</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Sweden</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0.7</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0.7</w:t>
            </w:r>
          </w:p>
        </w:tc>
      </w:tr>
      <w:tr>
        <w:trPr>
          <w:trHeight w:hRule="exact" w:val="227"/>
          <w:jc w:val="center"/>
        </w:trPr>
        <w:tc>
          <w:tcPr>
            <w:tcW w:w="2409"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United Kingdom</w:t>
            </w:r>
          </w:p>
        </w:tc>
        <w:tc>
          <w:tcPr>
            <w:tcW w:w="1161"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42.2</w:t>
            </w:r>
          </w:p>
        </w:tc>
        <w:tc>
          <w:tcPr>
            <w:tcW w:w="126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12.8</w:t>
            </w:r>
          </w:p>
        </w:tc>
        <w:tc>
          <w:tcPr>
            <w:tcW w:w="1073" w:type="dxa"/>
            <w:tcBorders>
              <w:top w:val="nil"/>
              <w:left w:val="nil"/>
              <w:bottom w:val="nil"/>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1.2</w:t>
            </w:r>
          </w:p>
        </w:tc>
        <w:tc>
          <w:tcPr>
            <w:tcW w:w="992" w:type="dxa"/>
            <w:tcBorders>
              <w:top w:val="nil"/>
              <w:left w:val="single" w:sz="8" w:space="0" w:color="auto"/>
              <w:bottom w:val="nil"/>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56.2</w:t>
            </w:r>
          </w:p>
        </w:tc>
      </w:tr>
      <w:tr>
        <w:trPr>
          <w:trHeight w:hRule="exact" w:val="227"/>
          <w:jc w:val="center"/>
        </w:trPr>
        <w:tc>
          <w:tcPr>
            <w:tcW w:w="2409" w:type="dxa"/>
            <w:tcBorders>
              <w:top w:val="nil"/>
              <w:left w:val="single" w:sz="8" w:space="0" w:color="auto"/>
              <w:bottom w:val="single" w:sz="8" w:space="0" w:color="auto"/>
              <w:right w:val="single" w:sz="8" w:space="0" w:color="auto"/>
            </w:tcBorders>
            <w:shd w:val="clear" w:color="auto" w:fill="auto"/>
            <w:noWrap/>
            <w:vAlign w:val="center"/>
            <w:hideMark/>
          </w:tcPr>
          <w:p>
            <w:pPr>
              <w:rPr>
                <w:rFonts w:asciiTheme="minorHAnsi" w:hAnsiTheme="minorHAnsi" w:cs="Arial"/>
                <w:noProof/>
                <w:color w:val="000000"/>
                <w:sz w:val="18"/>
                <w:szCs w:val="18"/>
              </w:rPr>
            </w:pPr>
            <w:r>
              <w:rPr>
                <w:rFonts w:asciiTheme="minorHAnsi" w:hAnsiTheme="minorHAnsi" w:cs="Arial"/>
                <w:noProof/>
                <w:color w:val="000000"/>
                <w:sz w:val="18"/>
                <w:szCs w:val="18"/>
              </w:rPr>
              <w:t>Territorial Cooperation</w:t>
            </w:r>
          </w:p>
        </w:tc>
        <w:tc>
          <w:tcPr>
            <w:tcW w:w="1161" w:type="dxa"/>
            <w:tcBorders>
              <w:top w:val="nil"/>
              <w:left w:val="nil"/>
              <w:bottom w:val="single" w:sz="8" w:space="0" w:color="auto"/>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Verdana"/>
                <w:noProof/>
                <w:sz w:val="18"/>
                <w:szCs w:val="18"/>
              </w:rPr>
              <w:t>0.4</w:t>
            </w:r>
          </w:p>
        </w:tc>
        <w:tc>
          <w:tcPr>
            <w:tcW w:w="1269" w:type="dxa"/>
            <w:tcBorders>
              <w:top w:val="nil"/>
              <w:left w:val="nil"/>
              <w:bottom w:val="single" w:sz="8" w:space="0" w:color="auto"/>
              <w:right w:val="single" w:sz="8" w:space="0" w:color="auto"/>
            </w:tcBorders>
            <w:shd w:val="clear" w:color="auto" w:fill="auto"/>
            <w:noWrap/>
            <w:vAlign w:val="center"/>
            <w:hideMark/>
          </w:tcPr>
          <w:p>
            <w:pPr>
              <w:jc w:val="right"/>
              <w:rPr>
                <w:rFonts w:asciiTheme="minorHAnsi" w:hAnsiTheme="minorHAnsi" w:cs="Arial"/>
                <w:noProof/>
                <w:sz w:val="18"/>
                <w:szCs w:val="18"/>
              </w:rPr>
            </w:pPr>
            <w:r>
              <w:rPr>
                <w:rFonts w:asciiTheme="minorHAnsi" w:hAnsiTheme="minorHAnsi" w:cs="Calibri"/>
                <w:noProof/>
                <w:color w:val="000000"/>
                <w:sz w:val="18"/>
                <w:szCs w:val="18"/>
              </w:rPr>
              <w:t>-</w:t>
            </w:r>
          </w:p>
        </w:tc>
        <w:tc>
          <w:tcPr>
            <w:tcW w:w="1073" w:type="dxa"/>
            <w:tcBorders>
              <w:top w:val="nil"/>
              <w:left w:val="nil"/>
              <w:bottom w:val="single" w:sz="8" w:space="0" w:color="auto"/>
              <w:right w:val="single" w:sz="8" w:space="0" w:color="auto"/>
            </w:tcBorders>
            <w:vAlign w:val="center"/>
          </w:tcPr>
          <w:p>
            <w:pPr>
              <w:jc w:val="right"/>
              <w:rPr>
                <w:rFonts w:asciiTheme="minorHAnsi" w:hAnsiTheme="minorHAnsi" w:cs="Arial"/>
                <w:noProof/>
                <w:sz w:val="18"/>
                <w:szCs w:val="18"/>
              </w:rPr>
            </w:pPr>
            <w:r>
              <w:rPr>
                <w:rFonts w:asciiTheme="minorHAnsi" w:hAnsiTheme="minorHAnsi"/>
                <w:noProof/>
                <w:color w:val="000000"/>
                <w:sz w:val="18"/>
                <w:szCs w:val="18"/>
              </w:rPr>
              <w:t>-</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pPr>
              <w:jc w:val="right"/>
              <w:rPr>
                <w:rFonts w:cstheme="minorHAnsi"/>
                <w:b/>
                <w:noProof/>
                <w:sz w:val="18"/>
                <w:szCs w:val="18"/>
              </w:rPr>
            </w:pPr>
            <w:r>
              <w:rPr>
                <w:rFonts w:cs="Calibri"/>
                <w:b/>
                <w:bCs/>
                <w:noProof/>
                <w:color w:val="000000"/>
                <w:sz w:val="18"/>
                <w:szCs w:val="16"/>
              </w:rPr>
              <w:t>0.4</w:t>
            </w:r>
          </w:p>
        </w:tc>
      </w:tr>
      <w:tr>
        <w:trPr>
          <w:trHeight w:val="330"/>
          <w:jc w:val="center"/>
        </w:trPr>
        <w:tc>
          <w:tcPr>
            <w:tcW w:w="2409" w:type="dxa"/>
            <w:tcBorders>
              <w:top w:val="single" w:sz="8" w:space="0" w:color="auto"/>
              <w:left w:val="single" w:sz="8" w:space="0" w:color="auto"/>
              <w:bottom w:val="single" w:sz="8" w:space="0" w:color="auto"/>
              <w:right w:val="nil"/>
            </w:tcBorders>
            <w:shd w:val="clear" w:color="auto" w:fill="D9D9D9"/>
            <w:noWrap/>
            <w:vAlign w:val="center"/>
            <w:hideMark/>
          </w:tcPr>
          <w:p>
            <w:pPr>
              <w:rPr>
                <w:rFonts w:asciiTheme="minorHAnsi" w:hAnsiTheme="minorHAnsi" w:cs="Arial"/>
                <w:b/>
                <w:bCs/>
                <w:noProof/>
                <w:color w:val="000000"/>
                <w:sz w:val="18"/>
                <w:szCs w:val="18"/>
              </w:rPr>
            </w:pPr>
            <w:r>
              <w:rPr>
                <w:rFonts w:asciiTheme="minorHAnsi" w:hAnsiTheme="minorHAnsi" w:cs="Arial"/>
                <w:b/>
                <w:bCs/>
                <w:noProof/>
                <w:color w:val="000000"/>
                <w:sz w:val="18"/>
                <w:szCs w:val="18"/>
              </w:rPr>
              <w:t>Total implemented</w:t>
            </w:r>
          </w:p>
        </w:tc>
        <w:tc>
          <w:tcPr>
            <w:tcW w:w="1161"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pPr>
              <w:jc w:val="right"/>
              <w:rPr>
                <w:rFonts w:asciiTheme="minorHAnsi" w:hAnsiTheme="minorHAnsi" w:cs="Arial"/>
                <w:b/>
                <w:bCs/>
                <w:noProof/>
                <w:sz w:val="18"/>
                <w:szCs w:val="18"/>
              </w:rPr>
            </w:pPr>
            <w:r>
              <w:rPr>
                <w:rFonts w:asciiTheme="minorHAnsi" w:hAnsiTheme="minorHAnsi" w:cs="Verdana"/>
                <w:b/>
                <w:bCs/>
                <w:noProof/>
                <w:sz w:val="18"/>
                <w:szCs w:val="18"/>
              </w:rPr>
              <w:t>163.0</w:t>
            </w:r>
          </w:p>
        </w:tc>
        <w:tc>
          <w:tcPr>
            <w:tcW w:w="1269" w:type="dxa"/>
            <w:tcBorders>
              <w:top w:val="single" w:sz="8" w:space="0" w:color="auto"/>
              <w:left w:val="nil"/>
              <w:bottom w:val="single" w:sz="8" w:space="0" w:color="auto"/>
              <w:right w:val="single" w:sz="8" w:space="0" w:color="auto"/>
            </w:tcBorders>
            <w:shd w:val="clear" w:color="auto" w:fill="D9D9D9"/>
            <w:noWrap/>
            <w:vAlign w:val="center"/>
            <w:hideMark/>
          </w:tcPr>
          <w:p>
            <w:pPr>
              <w:jc w:val="right"/>
              <w:rPr>
                <w:rFonts w:asciiTheme="minorHAnsi" w:hAnsiTheme="minorHAnsi" w:cs="Verdana"/>
                <w:b/>
                <w:bCs/>
                <w:noProof/>
                <w:sz w:val="18"/>
                <w:szCs w:val="18"/>
              </w:rPr>
            </w:pPr>
            <w:r>
              <w:rPr>
                <w:rFonts w:asciiTheme="minorHAnsi" w:hAnsiTheme="minorHAnsi" w:cs="Verdana"/>
                <w:b/>
                <w:bCs/>
                <w:noProof/>
                <w:sz w:val="18"/>
                <w:szCs w:val="18"/>
              </w:rPr>
              <w:t>146.9</w:t>
            </w:r>
          </w:p>
        </w:tc>
        <w:tc>
          <w:tcPr>
            <w:tcW w:w="1073" w:type="dxa"/>
            <w:tcBorders>
              <w:top w:val="single" w:sz="8" w:space="0" w:color="auto"/>
              <w:left w:val="nil"/>
              <w:bottom w:val="single" w:sz="8" w:space="0" w:color="auto"/>
              <w:right w:val="single" w:sz="8" w:space="0" w:color="auto"/>
            </w:tcBorders>
            <w:shd w:val="clear" w:color="auto" w:fill="D9D9D9"/>
            <w:vAlign w:val="center"/>
          </w:tcPr>
          <w:p>
            <w:pPr>
              <w:jc w:val="right"/>
              <w:rPr>
                <w:rFonts w:asciiTheme="minorHAnsi" w:hAnsiTheme="minorHAnsi" w:cs="Arial"/>
                <w:b/>
                <w:noProof/>
                <w:sz w:val="18"/>
                <w:szCs w:val="18"/>
              </w:rPr>
            </w:pPr>
            <w:r>
              <w:rPr>
                <w:rFonts w:asciiTheme="minorHAnsi" w:hAnsiTheme="minorHAnsi"/>
                <w:b/>
                <w:bCs/>
                <w:noProof/>
                <w:color w:val="000000"/>
                <w:sz w:val="18"/>
                <w:szCs w:val="18"/>
              </w:rPr>
              <w:t>5.0</w:t>
            </w:r>
          </w:p>
        </w:tc>
        <w:tc>
          <w:tcPr>
            <w:tcW w:w="992"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pPr>
              <w:jc w:val="right"/>
              <w:rPr>
                <w:rFonts w:cs="Verdana"/>
                <w:b/>
                <w:bCs/>
                <w:noProof/>
                <w:sz w:val="18"/>
                <w:szCs w:val="18"/>
              </w:rPr>
            </w:pPr>
            <w:r>
              <w:rPr>
                <w:rFonts w:cs="Calibri"/>
                <w:b/>
                <w:bCs/>
                <w:noProof/>
                <w:color w:val="000000"/>
                <w:sz w:val="18"/>
                <w:szCs w:val="16"/>
              </w:rPr>
              <w:t>315.0</w:t>
            </w:r>
          </w:p>
        </w:tc>
      </w:tr>
    </w:tbl>
    <w:p>
      <w:pPr>
        <w:pStyle w:val="Source-Table-Chart-PhotoCaption"/>
        <w:ind w:left="1049" w:right="1134"/>
        <w:rPr>
          <w:noProof/>
        </w:rPr>
      </w:pPr>
      <w:r>
        <w:rPr>
          <w:i/>
          <w:noProof/>
        </w:rPr>
        <w:t>Table 3.5.2:</w:t>
      </w:r>
      <w:r>
        <w:rPr>
          <w:noProof/>
        </w:rPr>
        <w:t xml:space="preserve"> Financial corrections for the accounting year 1/07/2017 to 30/06/2018 reported by Member States for Cohesion Policy period 2014-2020</w:t>
      </w:r>
      <w:r>
        <w:rPr>
          <w:rFonts w:ascii="Calibri" w:hAnsi="Calibri" w:cs="Calibri"/>
          <w:noProof/>
        </w:rPr>
        <w:t> (</w:t>
      </w:r>
      <w:r>
        <w:rPr>
          <w:noProof/>
        </w:rPr>
        <w:footnoteReference w:id="46"/>
      </w:r>
      <w:r>
        <w:rPr>
          <w:rFonts w:ascii="Calibri" w:hAnsi="Calibri" w:cs="Calibri"/>
          <w:noProof/>
        </w:rPr>
        <w:t>)</w:t>
      </w:r>
      <w:r>
        <w:rPr>
          <w:noProof/>
        </w:rPr>
        <w:t xml:space="preserve"> in EUR</w:t>
      </w:r>
      <w:r>
        <w:rPr>
          <w:rStyle w:val="Bodytext2Bold"/>
          <w:rFonts w:ascii="Calibri" w:eastAsia="Calibri" w:hAnsi="Calibri" w:cs="Calibri"/>
          <w:noProof/>
          <w:sz w:val="20"/>
          <w:szCs w:val="20"/>
          <w:lang w:val="en-GB"/>
        </w:rPr>
        <w:t> </w:t>
      </w:r>
      <w:r>
        <w:rPr>
          <w:noProof/>
        </w:rPr>
        <w:t>million</w:t>
      </w:r>
    </w:p>
    <w:p>
      <w:pPr>
        <w:pStyle w:val="Annex4-H2"/>
      </w:pPr>
      <w:bookmarkStart w:id="190" w:name="_Toc484626504"/>
      <w:bookmarkStart w:id="191" w:name="_Toc512866546"/>
      <w:bookmarkStart w:id="192" w:name="_Toc8386217"/>
      <w:r>
        <w:t>4.</w:t>
      </w:r>
      <w:r>
        <w:tab/>
        <w:t>Direct and indirect management</w:t>
      </w:r>
      <w:bookmarkEnd w:id="190"/>
      <w:bookmarkEnd w:id="191"/>
      <w:bookmarkEnd w:id="192"/>
    </w:p>
    <w:p>
      <w:pPr>
        <w:pStyle w:val="BodyText1spaceafter"/>
      </w:pPr>
      <w:r>
        <w:t>For direct and indirect management expenditure, the Commission has control frameworks in place to prevent, detect, correct and thus deter irregularities at the different stages of the grant management process in order to achieve both operational and financial objectives. An overview of the controls made in two key areas of direct and indirect management expenditure, research and international aid, are given below.</w:t>
      </w:r>
    </w:p>
    <w:p>
      <w:pPr>
        <w:pStyle w:val="BodyText1spaceafter"/>
      </w:pPr>
      <w:r>
        <w:t xml:space="preserve">For </w:t>
      </w:r>
      <w:r>
        <w:rPr>
          <w:rStyle w:val="BOLDORANGEAnnexes"/>
        </w:rPr>
        <w:t>Research expenditure</w:t>
      </w:r>
      <w:r>
        <w:rPr>
          <w:color w:val="auto"/>
        </w:rPr>
        <w:t xml:space="preserve">, </w:t>
      </w:r>
      <w:r>
        <w:t>the control framework applicable to both direct</w:t>
      </w:r>
      <w:r>
        <w:rPr>
          <w:rFonts w:ascii="Calibri" w:hAnsi="Calibri" w:cs="Calibri"/>
        </w:rPr>
        <w:t> (</w:t>
      </w:r>
      <w:r>
        <w:rPr>
          <w:rFonts w:cs="Arial"/>
        </w:rPr>
        <w:footnoteReference w:id="47"/>
      </w:r>
      <w:r>
        <w:rPr>
          <w:rFonts w:ascii="Calibri" w:hAnsi="Calibri" w:cs="Calibri"/>
        </w:rPr>
        <w:t>)</w:t>
      </w:r>
      <w:r>
        <w:t xml:space="preserve"> and indirect</w:t>
      </w:r>
      <w:r>
        <w:rPr>
          <w:rFonts w:ascii="Calibri" w:hAnsi="Calibri" w:cs="Calibri"/>
        </w:rPr>
        <w:t> (</w:t>
      </w:r>
      <w:r>
        <w:rPr>
          <w:rFonts w:cs="Arial"/>
        </w:rPr>
        <w:footnoteReference w:id="48"/>
      </w:r>
      <w:r>
        <w:rPr>
          <w:rFonts w:ascii="Calibri" w:hAnsi="Calibri" w:cs="Calibri"/>
        </w:rPr>
        <w:t>)</w:t>
      </w:r>
      <w:r>
        <w:t xml:space="preserve"> management modes starts with the development of a work programme, which goes through a wide-ranging consultation process to ensure that it best meets the expectations of all stakeholders and will maximise the research outcome. Following the evaluation of proposals, further controls are then carried out as the selected proposals are translated into legally binding contracts. Project implementation is monitored throughout the lifetime of the project. Payments against cost claims are all subject to </w:t>
      </w:r>
      <w:r>
        <w:rPr>
          <w:i/>
        </w:rPr>
        <w:t>ex</w:t>
      </w:r>
      <w:r>
        <w:rPr>
          <w:rFonts w:ascii="Calibri" w:hAnsi="Calibri"/>
          <w:i/>
        </w:rPr>
        <w:t> </w:t>
      </w:r>
      <w:r>
        <w:rPr>
          <w:i/>
        </w:rPr>
        <w:t>ante</w:t>
      </w:r>
      <w:r>
        <w:t xml:space="preserve"> checks according to standard procedures, which include an audit certificate given by a qualified auditor. As well as standard controls, additional, targeted, controls can also be carried out according to the information received and the risk of the transaction. </w:t>
      </w:r>
    </w:p>
    <w:p>
      <w:pPr>
        <w:pStyle w:val="BodyText1spaceafter"/>
      </w:pPr>
      <w:r>
        <w:t xml:space="preserve">A main source of assurance comes from in-depth </w:t>
      </w:r>
      <w:r>
        <w:rPr>
          <w:i/>
        </w:rPr>
        <w:t>ex</w:t>
      </w:r>
      <w:r>
        <w:rPr>
          <w:rFonts w:ascii="Calibri" w:hAnsi="Calibri"/>
          <w:i/>
        </w:rPr>
        <w:t> </w:t>
      </w:r>
      <w:r>
        <w:rPr>
          <w:i/>
        </w:rPr>
        <w:t>post</w:t>
      </w:r>
      <w:r>
        <w:t xml:space="preserve"> checks carried out on a sample of claims, at the beneficiaries' premises, after costs have been incurred and declared. A large number of these in-depth checks are carried out over the lifetime of the programme. Any amounts paid in excess of what is due are recovered, and systemic errors are extended to all ongoing participations of a beneficiary.</w:t>
      </w:r>
    </w:p>
    <w:p>
      <w:pPr>
        <w:pStyle w:val="BodyText1spaceafter"/>
      </w:pPr>
      <w:r>
        <w:t xml:space="preserve">In the field </w:t>
      </w:r>
      <w:r>
        <w:rPr>
          <w:color w:val="auto"/>
        </w:rPr>
        <w:t xml:space="preserve">of </w:t>
      </w:r>
      <w:r>
        <w:rPr>
          <w:rStyle w:val="BOLDORANGEAnnexes"/>
        </w:rPr>
        <w:t>International Cooperation and Development</w:t>
      </w:r>
      <w:r>
        <w:rPr>
          <w:color w:val="auto"/>
        </w:rPr>
        <w:t xml:space="preserve">, </w:t>
      </w:r>
      <w:r>
        <w:t>the Commission has established a control framework to prevent, detect, correct and thus deter irregularities at the different stages of the implementation of funding, applicable to both management modes, direct and indirect</w:t>
      </w:r>
      <w:r>
        <w:rPr>
          <w:rFonts w:ascii="Calibri" w:hAnsi="Calibri" w:cs="Calibri"/>
        </w:rPr>
        <w:t> (</w:t>
      </w:r>
      <w:r>
        <w:rPr>
          <w:rFonts w:cs="Arial"/>
        </w:rPr>
        <w:footnoteReference w:id="49"/>
      </w:r>
      <w:r>
        <w:t xml:space="preserve">), used for this implementation. This strategy starts from the choice of the most appropriate tool when drafting the planning documents and the financial decisions, and translates into the actual checks carried out at all stages of the implementation. From the point of view of financial control, the system is made up of a number of instruments systematically applied to the implementation of contracts and grants for all management modes: </w:t>
      </w:r>
      <w:r>
        <w:rPr>
          <w:i/>
        </w:rPr>
        <w:t>ex</w:t>
      </w:r>
      <w:r>
        <w:rPr>
          <w:rFonts w:ascii="Calibri" w:hAnsi="Calibri"/>
          <w:i/>
        </w:rPr>
        <w:t> </w:t>
      </w:r>
      <w:r>
        <w:rPr>
          <w:i/>
        </w:rPr>
        <w:t>ante</w:t>
      </w:r>
      <w:r>
        <w:t xml:space="preserve"> checks on payments, audits carried out by the Commission and foreseen in an audit plan, expenditure verifications carried out prior to payments by beneficiaries of grants, verification missions to international organisations and an overall </w:t>
      </w:r>
      <w:r>
        <w:rPr>
          <w:i/>
        </w:rPr>
        <w:t>ex</w:t>
      </w:r>
      <w:r>
        <w:rPr>
          <w:rFonts w:ascii="Calibri" w:hAnsi="Calibri"/>
          <w:i/>
        </w:rPr>
        <w:t> </w:t>
      </w:r>
      <w:r>
        <w:rPr>
          <w:i/>
        </w:rPr>
        <w:t>post</w:t>
      </w:r>
      <w:r>
        <w:t xml:space="preserve"> control on the basis of the Residual Error Rate study carried out every year.</w:t>
      </w:r>
    </w:p>
    <w:p>
      <w:pPr>
        <w:pStyle w:val="BodyText1spaceafter"/>
      </w:pPr>
      <w:r>
        <w:t xml:space="preserve">The EU financial interests are therefore safeguarded, in addition to all the other possible means offered by the Financial Regulation, by the Commission's </w:t>
      </w:r>
      <w:r>
        <w:rPr>
          <w:i/>
        </w:rPr>
        <w:t>ex</w:t>
      </w:r>
      <w:r>
        <w:rPr>
          <w:rFonts w:ascii="Calibri" w:hAnsi="Calibri"/>
          <w:i/>
        </w:rPr>
        <w:t> </w:t>
      </w:r>
      <w:r>
        <w:rPr>
          <w:i/>
        </w:rPr>
        <w:t>ante</w:t>
      </w:r>
      <w:r>
        <w:t xml:space="preserve"> control of individual transactions as well as subsequent controls or audits, and by the resulting recovery of any unduly disbursed funds where the agreed procedures have not been respected, or where the activities were not eligible for EU financing.</w:t>
      </w:r>
    </w:p>
    <w:p>
      <w:pPr>
        <w:rPr>
          <w:rFonts w:eastAsia="Calibri"/>
          <w:b/>
          <w:noProof/>
          <w:color w:val="E48C32" w:themeColor="accent5"/>
          <w:sz w:val="24"/>
          <w:szCs w:val="24"/>
          <w:lang w:eastAsia="fr-BE"/>
        </w:rPr>
      </w:pPr>
      <w:bookmarkStart w:id="193" w:name="_Toc484626505"/>
      <w:bookmarkStart w:id="194" w:name="_Toc512866547"/>
      <w:bookmarkStart w:id="195" w:name="_Toc8386218"/>
      <w:r>
        <w:rPr>
          <w:noProof/>
        </w:rPr>
        <w:br w:type="page"/>
      </w:r>
    </w:p>
    <w:p>
      <w:pPr>
        <w:pStyle w:val="Annex4-H2"/>
      </w:pPr>
      <w:r>
        <w:t>5.</w:t>
      </w:r>
      <w:r>
        <w:tab/>
        <w:t>Detailed financial corrections and recoveries information</w:t>
      </w:r>
      <w:bookmarkEnd w:id="193"/>
      <w:bookmarkEnd w:id="194"/>
      <w:bookmarkEnd w:id="195"/>
    </w:p>
    <w:p>
      <w:pPr>
        <w:pStyle w:val="Annex4-H3"/>
      </w:pPr>
      <w:bookmarkStart w:id="196" w:name="_Toc484626506"/>
      <w:bookmarkStart w:id="197" w:name="_Toc512866548"/>
      <w:bookmarkStart w:id="198" w:name="_Toc8386219"/>
      <w:r>
        <w:t>5.1.</w:t>
      </w:r>
      <w:r>
        <w:tab/>
        <w:t>Net financial corrections 2018</w:t>
      </w:r>
      <w:bookmarkEnd w:id="196"/>
      <w:bookmarkEnd w:id="197"/>
      <w:bookmarkEnd w:id="198"/>
    </w:p>
    <w:p>
      <w:pPr>
        <w:rPr>
          <w:noProof/>
        </w:rPr>
      </w:pPr>
      <w:r>
        <w:rPr>
          <w:rFonts w:cs="Arial"/>
          <w:b/>
          <w:i/>
          <w:noProof/>
          <w:color w:val="000000"/>
          <w:u w:val="single"/>
        </w:rPr>
        <w:t>Confirmed</w:t>
      </w:r>
    </w:p>
    <w:tbl>
      <w:tblPr>
        <w:tblW w:w="9070" w:type="dxa"/>
        <w:jc w:val="center"/>
        <w:tblLook w:val="04A0" w:firstRow="1" w:lastRow="0" w:firstColumn="1" w:lastColumn="0" w:noHBand="0" w:noVBand="1"/>
      </w:tblPr>
      <w:tblGrid>
        <w:gridCol w:w="3402"/>
        <w:gridCol w:w="1701"/>
        <w:gridCol w:w="1988"/>
        <w:gridCol w:w="1979"/>
      </w:tblGrid>
      <w:tr>
        <w:trPr>
          <w:trHeight w:val="1338"/>
          <w:jc w:val="center"/>
        </w:trPr>
        <w:tc>
          <w:tcPr>
            <w:tcW w:w="3402" w:type="dxa"/>
            <w:tcBorders>
              <w:top w:val="single" w:sz="4" w:space="0" w:color="auto"/>
              <w:left w:val="single" w:sz="8" w:space="0" w:color="auto"/>
              <w:bottom w:val="single" w:sz="8" w:space="0" w:color="000000"/>
              <w:right w:val="single" w:sz="8" w:space="0" w:color="auto"/>
            </w:tcBorders>
            <w:shd w:val="clear" w:color="auto" w:fill="E48C32"/>
            <w:noWrap/>
            <w:vAlign w:val="center"/>
            <w:hideMark/>
          </w:tcPr>
          <w:p>
            <w:pPr>
              <w:keepNext/>
              <w:jc w:val="center"/>
              <w:rPr>
                <w:rFonts w:cs="Arial"/>
                <w:b/>
                <w:noProof/>
                <w:color w:val="FFFFFF"/>
                <w:sz w:val="18"/>
                <w:szCs w:val="18"/>
              </w:rPr>
            </w:pPr>
            <w:r>
              <w:rPr>
                <w:rFonts w:cs="Arial"/>
                <w:b/>
                <w:noProof/>
                <w:color w:val="FFFFFF"/>
                <w:sz w:val="18"/>
                <w:szCs w:val="18"/>
              </w:rPr>
              <w:t>MFF Heading</w:t>
            </w:r>
          </w:p>
        </w:tc>
        <w:tc>
          <w:tcPr>
            <w:tcW w:w="1701" w:type="dxa"/>
            <w:tcBorders>
              <w:top w:val="single" w:sz="4" w:space="0" w:color="auto"/>
              <w:left w:val="nil"/>
              <w:bottom w:val="single" w:sz="8" w:space="0" w:color="auto"/>
              <w:right w:val="nil"/>
            </w:tcBorders>
            <w:shd w:val="clear" w:color="auto" w:fill="E48C32"/>
            <w:vAlign w:val="center"/>
            <w:hideMark/>
          </w:tcPr>
          <w:p>
            <w:pPr>
              <w:keepNext/>
              <w:jc w:val="center"/>
              <w:rPr>
                <w:rFonts w:cs="Arial"/>
                <w:b/>
                <w:noProof/>
                <w:color w:val="FFFFFF"/>
                <w:sz w:val="18"/>
                <w:szCs w:val="18"/>
              </w:rPr>
            </w:pPr>
            <w:r>
              <w:rPr>
                <w:rFonts w:cs="Arial"/>
                <w:b/>
                <w:noProof/>
                <w:color w:val="FFFFFF"/>
                <w:sz w:val="18"/>
                <w:szCs w:val="18"/>
              </w:rPr>
              <w:t>Net financial corrections confirmed in 2018*</w:t>
            </w:r>
          </w:p>
        </w:tc>
        <w:tc>
          <w:tcPr>
            <w:tcW w:w="1988" w:type="dxa"/>
            <w:tcBorders>
              <w:top w:val="single" w:sz="4" w:space="0" w:color="auto"/>
              <w:left w:val="single" w:sz="8" w:space="0" w:color="auto"/>
              <w:bottom w:val="single" w:sz="8" w:space="0" w:color="auto"/>
              <w:right w:val="single" w:sz="8" w:space="0" w:color="auto"/>
            </w:tcBorders>
            <w:shd w:val="clear" w:color="auto" w:fill="E48C32"/>
            <w:vAlign w:val="center"/>
            <w:hideMark/>
          </w:tcPr>
          <w:p>
            <w:pPr>
              <w:keepNext/>
              <w:jc w:val="center"/>
              <w:rPr>
                <w:rFonts w:cs="Arial"/>
                <w:b/>
                <w:noProof/>
                <w:color w:val="FFFFFF"/>
                <w:sz w:val="18"/>
                <w:szCs w:val="18"/>
              </w:rPr>
            </w:pPr>
            <w:r>
              <w:rPr>
                <w:rFonts w:cs="Arial"/>
                <w:b/>
                <w:noProof/>
                <w:color w:val="FFFFFF"/>
                <w:sz w:val="18"/>
                <w:szCs w:val="18"/>
              </w:rPr>
              <w:t>Financial corrections with replacement of expenditure and other corrections confirmed in 2018</w:t>
            </w:r>
          </w:p>
        </w:tc>
        <w:tc>
          <w:tcPr>
            <w:tcW w:w="1979" w:type="dxa"/>
            <w:tcBorders>
              <w:top w:val="single" w:sz="4" w:space="0" w:color="auto"/>
              <w:left w:val="nil"/>
              <w:bottom w:val="single" w:sz="8" w:space="0" w:color="auto"/>
              <w:right w:val="single" w:sz="8" w:space="0" w:color="auto"/>
            </w:tcBorders>
            <w:shd w:val="clear" w:color="auto" w:fill="E48C32"/>
            <w:vAlign w:val="center"/>
            <w:hideMark/>
          </w:tcPr>
          <w:p>
            <w:pPr>
              <w:keepNext/>
              <w:jc w:val="center"/>
              <w:rPr>
                <w:rFonts w:cs="Arial"/>
                <w:b/>
                <w:noProof/>
                <w:color w:val="FFFFFF"/>
                <w:sz w:val="18"/>
                <w:szCs w:val="18"/>
              </w:rPr>
            </w:pPr>
            <w:r>
              <w:rPr>
                <w:rFonts w:cs="Arial"/>
                <w:b/>
                <w:noProof/>
                <w:color w:val="FFFFFF"/>
                <w:sz w:val="18"/>
                <w:szCs w:val="18"/>
              </w:rPr>
              <w:t xml:space="preserve">Total financial corrections </w:t>
            </w:r>
            <w:r>
              <w:rPr>
                <w:rFonts w:cs="Arial"/>
                <w:b/>
                <w:noProof/>
                <w:color w:val="FFFFFF"/>
                <w:sz w:val="18"/>
                <w:szCs w:val="18"/>
                <w:u w:val="single"/>
              </w:rPr>
              <w:t>confirmed</w:t>
            </w:r>
            <w:r>
              <w:rPr>
                <w:rFonts w:cs="Arial"/>
                <w:b/>
                <w:noProof/>
                <w:color w:val="FFFFFF"/>
                <w:sz w:val="18"/>
                <w:szCs w:val="18"/>
              </w:rPr>
              <w:t xml:space="preserve"> in 2018</w:t>
            </w:r>
          </w:p>
        </w:tc>
      </w:tr>
      <w:tr>
        <w:trPr>
          <w:trHeight w:val="270"/>
          <w:jc w:val="center"/>
        </w:trPr>
        <w:tc>
          <w:tcPr>
            <w:tcW w:w="3402" w:type="dxa"/>
            <w:tcBorders>
              <w:top w:val="nil"/>
              <w:left w:val="single" w:sz="8" w:space="0" w:color="auto"/>
              <w:bottom w:val="single" w:sz="8" w:space="0" w:color="auto"/>
              <w:right w:val="single" w:sz="8" w:space="0" w:color="auto"/>
            </w:tcBorders>
            <w:shd w:val="clear" w:color="000000" w:fill="D9D9D9"/>
            <w:noWrap/>
            <w:vAlign w:val="center"/>
            <w:hideMark/>
          </w:tcPr>
          <w:p>
            <w:pPr>
              <w:keepNext/>
              <w:rPr>
                <w:rFonts w:cs="Arial"/>
                <w:b/>
                <w:i/>
                <w:noProof/>
                <w:color w:val="000000"/>
                <w:sz w:val="18"/>
                <w:szCs w:val="18"/>
              </w:rPr>
            </w:pPr>
            <w:r>
              <w:rPr>
                <w:rFonts w:cs="Arial"/>
                <w:b/>
                <w:i/>
                <w:noProof/>
                <w:color w:val="000000"/>
                <w:sz w:val="18"/>
                <w:szCs w:val="18"/>
              </w:rPr>
              <w:t>Smart &amp; inclusive growth</w:t>
            </w:r>
          </w:p>
        </w:tc>
        <w:tc>
          <w:tcPr>
            <w:tcW w:w="1701" w:type="dxa"/>
            <w:tcBorders>
              <w:top w:val="nil"/>
              <w:left w:val="nil"/>
              <w:bottom w:val="single" w:sz="8" w:space="0" w:color="auto"/>
              <w:right w:val="nil"/>
            </w:tcBorders>
            <w:shd w:val="clear" w:color="000000" w:fill="D9D9D9"/>
            <w:hideMark/>
          </w:tcPr>
          <w:p>
            <w:pPr>
              <w:keepNext/>
              <w:jc w:val="right"/>
              <w:rPr>
                <w:b/>
                <w:i/>
                <w:noProof/>
                <w:sz w:val="18"/>
                <w:szCs w:val="18"/>
              </w:rPr>
            </w:pPr>
            <w:r>
              <w:rPr>
                <w:rFonts w:cs="Arial"/>
                <w:b/>
                <w:bCs/>
                <w:i/>
                <w:iCs/>
                <w:noProof/>
                <w:sz w:val="18"/>
                <w:szCs w:val="18"/>
              </w:rPr>
              <w:t xml:space="preserve"> 97</w:t>
            </w:r>
          </w:p>
        </w:tc>
        <w:tc>
          <w:tcPr>
            <w:tcW w:w="1988" w:type="dxa"/>
            <w:tcBorders>
              <w:top w:val="nil"/>
              <w:left w:val="single" w:sz="8" w:space="0" w:color="auto"/>
              <w:bottom w:val="single" w:sz="8" w:space="0" w:color="auto"/>
              <w:right w:val="single" w:sz="8" w:space="0" w:color="auto"/>
            </w:tcBorders>
            <w:shd w:val="clear" w:color="000000" w:fill="D9D9D9"/>
            <w:hideMark/>
          </w:tcPr>
          <w:p>
            <w:pPr>
              <w:keepNext/>
              <w:jc w:val="right"/>
              <w:rPr>
                <w:b/>
                <w:i/>
                <w:noProof/>
                <w:sz w:val="18"/>
                <w:szCs w:val="18"/>
              </w:rPr>
            </w:pPr>
            <w:r>
              <w:rPr>
                <w:rFonts w:cs="Arial"/>
                <w:b/>
                <w:bCs/>
                <w:i/>
                <w:iCs/>
                <w:noProof/>
                <w:sz w:val="18"/>
                <w:szCs w:val="18"/>
              </w:rPr>
              <w:t xml:space="preserve"> 314</w:t>
            </w:r>
          </w:p>
        </w:tc>
        <w:tc>
          <w:tcPr>
            <w:tcW w:w="1979" w:type="dxa"/>
            <w:tcBorders>
              <w:top w:val="nil"/>
              <w:left w:val="nil"/>
              <w:bottom w:val="single" w:sz="8" w:space="0" w:color="auto"/>
              <w:right w:val="single" w:sz="8" w:space="0" w:color="auto"/>
            </w:tcBorders>
            <w:shd w:val="clear" w:color="000000" w:fill="D9D9D9"/>
            <w:hideMark/>
          </w:tcPr>
          <w:p>
            <w:pPr>
              <w:keepNext/>
              <w:jc w:val="right"/>
              <w:rPr>
                <w:b/>
                <w:i/>
                <w:noProof/>
                <w:sz w:val="18"/>
                <w:szCs w:val="18"/>
              </w:rPr>
            </w:pPr>
            <w:r>
              <w:rPr>
                <w:rFonts w:cs="Arial"/>
                <w:b/>
                <w:bCs/>
                <w:i/>
                <w:iCs/>
                <w:noProof/>
                <w:sz w:val="18"/>
                <w:szCs w:val="18"/>
              </w:rPr>
              <w:t xml:space="preserve"> 411</w:t>
            </w:r>
          </w:p>
        </w:tc>
      </w:tr>
      <w:tr>
        <w:trPr>
          <w:trHeight w:val="255"/>
          <w:jc w:val="center"/>
        </w:trPr>
        <w:tc>
          <w:tcPr>
            <w:tcW w:w="3402" w:type="dxa"/>
            <w:tcBorders>
              <w:top w:val="nil"/>
              <w:left w:val="single" w:sz="8" w:space="0" w:color="auto"/>
              <w:bottom w:val="nil"/>
              <w:right w:val="single" w:sz="8" w:space="0" w:color="auto"/>
            </w:tcBorders>
            <w:shd w:val="clear" w:color="auto" w:fill="auto"/>
            <w:noWrap/>
            <w:vAlign w:val="center"/>
            <w:hideMark/>
          </w:tcPr>
          <w:p>
            <w:pPr>
              <w:keepNext/>
              <w:rPr>
                <w:rFonts w:cs="Arial"/>
                <w:i/>
                <w:noProof/>
                <w:color w:val="000000"/>
                <w:sz w:val="18"/>
                <w:szCs w:val="18"/>
              </w:rPr>
            </w:pPr>
            <w:r>
              <w:rPr>
                <w:rFonts w:cs="Arial"/>
                <w:i/>
                <w:noProof/>
                <w:color w:val="000000"/>
                <w:sz w:val="18"/>
                <w:szCs w:val="18"/>
              </w:rPr>
              <w:t>European Regional Development Fund</w:t>
            </w:r>
          </w:p>
        </w:tc>
        <w:tc>
          <w:tcPr>
            <w:tcW w:w="1701" w:type="dxa"/>
            <w:tcBorders>
              <w:top w:val="nil"/>
              <w:left w:val="nil"/>
              <w:bottom w:val="nil"/>
              <w:right w:val="nil"/>
            </w:tcBorders>
            <w:shd w:val="clear" w:color="auto" w:fill="auto"/>
            <w:hideMark/>
          </w:tcPr>
          <w:p>
            <w:pPr>
              <w:keepNext/>
              <w:jc w:val="right"/>
              <w:rPr>
                <w:noProof/>
                <w:sz w:val="18"/>
                <w:szCs w:val="18"/>
              </w:rPr>
            </w:pPr>
            <w:r>
              <w:rPr>
                <w:rFonts w:cs="Arial"/>
                <w:noProof/>
                <w:sz w:val="18"/>
                <w:szCs w:val="18"/>
              </w:rPr>
              <w:t xml:space="preserve"> 95</w:t>
            </w:r>
          </w:p>
        </w:tc>
        <w:tc>
          <w:tcPr>
            <w:tcW w:w="1988" w:type="dxa"/>
            <w:tcBorders>
              <w:top w:val="nil"/>
              <w:left w:val="single" w:sz="8" w:space="0" w:color="auto"/>
              <w:bottom w:val="nil"/>
              <w:right w:val="single" w:sz="8" w:space="0" w:color="auto"/>
            </w:tcBorders>
            <w:shd w:val="clear" w:color="auto" w:fill="auto"/>
            <w:hideMark/>
          </w:tcPr>
          <w:p>
            <w:pPr>
              <w:keepNext/>
              <w:jc w:val="right"/>
              <w:rPr>
                <w:noProof/>
                <w:sz w:val="18"/>
                <w:szCs w:val="18"/>
              </w:rPr>
            </w:pPr>
            <w:r>
              <w:rPr>
                <w:rFonts w:cs="Arial"/>
                <w:noProof/>
                <w:sz w:val="18"/>
                <w:szCs w:val="18"/>
              </w:rPr>
              <w:t xml:space="preserve"> 190</w:t>
            </w:r>
          </w:p>
        </w:tc>
        <w:tc>
          <w:tcPr>
            <w:tcW w:w="1979" w:type="dxa"/>
            <w:tcBorders>
              <w:top w:val="single" w:sz="8" w:space="0" w:color="auto"/>
              <w:left w:val="nil"/>
              <w:bottom w:val="nil"/>
              <w:right w:val="single" w:sz="8" w:space="0" w:color="auto"/>
            </w:tcBorders>
            <w:shd w:val="clear" w:color="auto" w:fill="E9AE46"/>
            <w:hideMark/>
          </w:tcPr>
          <w:p>
            <w:pPr>
              <w:keepNext/>
              <w:jc w:val="right"/>
              <w:rPr>
                <w:b/>
                <w:noProof/>
                <w:sz w:val="18"/>
                <w:szCs w:val="18"/>
              </w:rPr>
            </w:pPr>
            <w:r>
              <w:rPr>
                <w:rFonts w:cs="Arial"/>
                <w:noProof/>
                <w:sz w:val="18"/>
                <w:szCs w:val="18"/>
              </w:rPr>
              <w:t xml:space="preserve"> 286</w:t>
            </w:r>
          </w:p>
        </w:tc>
      </w:tr>
      <w:tr>
        <w:trPr>
          <w:trHeight w:val="255"/>
          <w:jc w:val="center"/>
        </w:trPr>
        <w:tc>
          <w:tcPr>
            <w:tcW w:w="3402" w:type="dxa"/>
            <w:tcBorders>
              <w:top w:val="nil"/>
              <w:left w:val="single" w:sz="8" w:space="0" w:color="auto"/>
              <w:bottom w:val="nil"/>
              <w:right w:val="single" w:sz="8" w:space="0" w:color="auto"/>
            </w:tcBorders>
            <w:shd w:val="clear" w:color="auto" w:fill="auto"/>
            <w:noWrap/>
            <w:vAlign w:val="center"/>
            <w:hideMark/>
          </w:tcPr>
          <w:p>
            <w:pPr>
              <w:keepNext/>
              <w:rPr>
                <w:rFonts w:cs="Arial"/>
                <w:i/>
                <w:noProof/>
                <w:color w:val="000000"/>
                <w:sz w:val="18"/>
                <w:szCs w:val="18"/>
              </w:rPr>
            </w:pPr>
            <w:r>
              <w:rPr>
                <w:rFonts w:cs="Arial"/>
                <w:i/>
                <w:noProof/>
                <w:color w:val="000000"/>
                <w:sz w:val="18"/>
                <w:szCs w:val="18"/>
              </w:rPr>
              <w:t>Cohesion Fund</w:t>
            </w:r>
          </w:p>
        </w:tc>
        <w:tc>
          <w:tcPr>
            <w:tcW w:w="1701" w:type="dxa"/>
            <w:tcBorders>
              <w:top w:val="nil"/>
              <w:left w:val="nil"/>
              <w:bottom w:val="nil"/>
              <w:right w:val="nil"/>
            </w:tcBorders>
            <w:shd w:val="clear" w:color="auto" w:fill="auto"/>
            <w:hideMark/>
          </w:tcPr>
          <w:p>
            <w:pPr>
              <w:keepNext/>
              <w:jc w:val="right"/>
              <w:rPr>
                <w:noProof/>
                <w:sz w:val="18"/>
                <w:szCs w:val="18"/>
              </w:rPr>
            </w:pPr>
            <w:r>
              <w:rPr>
                <w:rFonts w:cs="Arial"/>
                <w:noProof/>
                <w:sz w:val="18"/>
                <w:szCs w:val="18"/>
              </w:rPr>
              <w:t xml:space="preserve"> 1</w:t>
            </w:r>
          </w:p>
        </w:tc>
        <w:tc>
          <w:tcPr>
            <w:tcW w:w="1988" w:type="dxa"/>
            <w:tcBorders>
              <w:top w:val="nil"/>
              <w:left w:val="single" w:sz="8" w:space="0" w:color="auto"/>
              <w:bottom w:val="nil"/>
              <w:right w:val="single" w:sz="8" w:space="0" w:color="auto"/>
            </w:tcBorders>
            <w:shd w:val="clear" w:color="auto" w:fill="auto"/>
            <w:hideMark/>
          </w:tcPr>
          <w:p>
            <w:pPr>
              <w:keepNext/>
              <w:jc w:val="right"/>
              <w:rPr>
                <w:noProof/>
                <w:sz w:val="18"/>
                <w:szCs w:val="18"/>
              </w:rPr>
            </w:pPr>
            <w:r>
              <w:rPr>
                <w:rFonts w:cs="Arial"/>
                <w:noProof/>
                <w:sz w:val="18"/>
                <w:szCs w:val="18"/>
              </w:rPr>
              <w:t xml:space="preserve"> 90</w:t>
            </w:r>
          </w:p>
        </w:tc>
        <w:tc>
          <w:tcPr>
            <w:tcW w:w="1979" w:type="dxa"/>
            <w:tcBorders>
              <w:top w:val="nil"/>
              <w:left w:val="nil"/>
              <w:bottom w:val="nil"/>
              <w:right w:val="single" w:sz="8" w:space="0" w:color="auto"/>
            </w:tcBorders>
            <w:shd w:val="clear" w:color="auto" w:fill="E9AE46"/>
            <w:hideMark/>
          </w:tcPr>
          <w:p>
            <w:pPr>
              <w:keepNext/>
              <w:jc w:val="right"/>
              <w:rPr>
                <w:b/>
                <w:noProof/>
                <w:sz w:val="18"/>
                <w:szCs w:val="18"/>
              </w:rPr>
            </w:pPr>
            <w:r>
              <w:rPr>
                <w:rFonts w:cs="Arial"/>
                <w:noProof/>
                <w:sz w:val="18"/>
                <w:szCs w:val="18"/>
              </w:rPr>
              <w:t xml:space="preserve"> 90</w:t>
            </w:r>
          </w:p>
        </w:tc>
      </w:tr>
      <w:tr>
        <w:trPr>
          <w:trHeight w:val="270"/>
          <w:jc w:val="center"/>
        </w:trPr>
        <w:tc>
          <w:tcPr>
            <w:tcW w:w="3402" w:type="dxa"/>
            <w:tcBorders>
              <w:top w:val="nil"/>
              <w:left w:val="single" w:sz="8" w:space="0" w:color="auto"/>
              <w:bottom w:val="nil"/>
              <w:right w:val="single" w:sz="8" w:space="0" w:color="auto"/>
            </w:tcBorders>
            <w:shd w:val="clear" w:color="auto" w:fill="auto"/>
            <w:noWrap/>
            <w:vAlign w:val="center"/>
            <w:hideMark/>
          </w:tcPr>
          <w:p>
            <w:pPr>
              <w:keepNext/>
              <w:rPr>
                <w:rFonts w:cs="Arial"/>
                <w:i/>
                <w:noProof/>
                <w:color w:val="000000"/>
                <w:sz w:val="18"/>
                <w:szCs w:val="18"/>
              </w:rPr>
            </w:pPr>
            <w:r>
              <w:rPr>
                <w:rFonts w:cs="Arial"/>
                <w:i/>
                <w:noProof/>
                <w:color w:val="000000"/>
                <w:sz w:val="18"/>
                <w:szCs w:val="18"/>
              </w:rPr>
              <w:t>European Social Fund</w:t>
            </w:r>
          </w:p>
        </w:tc>
        <w:tc>
          <w:tcPr>
            <w:tcW w:w="1701" w:type="dxa"/>
            <w:tcBorders>
              <w:top w:val="nil"/>
              <w:left w:val="nil"/>
              <w:bottom w:val="nil"/>
              <w:right w:val="nil"/>
            </w:tcBorders>
            <w:shd w:val="clear" w:color="auto" w:fill="auto"/>
            <w:noWrap/>
            <w:hideMark/>
          </w:tcPr>
          <w:p>
            <w:pPr>
              <w:keepNext/>
              <w:jc w:val="right"/>
              <w:rPr>
                <w:noProof/>
                <w:sz w:val="18"/>
                <w:szCs w:val="18"/>
              </w:rPr>
            </w:pPr>
            <w:r>
              <w:rPr>
                <w:rFonts w:cs="Arial"/>
                <w:noProof/>
                <w:sz w:val="18"/>
                <w:szCs w:val="18"/>
              </w:rPr>
              <w:t xml:space="preserve"> 1</w:t>
            </w:r>
          </w:p>
        </w:tc>
        <w:tc>
          <w:tcPr>
            <w:tcW w:w="1988" w:type="dxa"/>
            <w:tcBorders>
              <w:top w:val="nil"/>
              <w:left w:val="single" w:sz="8" w:space="0" w:color="auto"/>
              <w:bottom w:val="single" w:sz="8" w:space="0" w:color="auto"/>
              <w:right w:val="single" w:sz="8" w:space="0" w:color="auto"/>
            </w:tcBorders>
            <w:shd w:val="clear" w:color="auto" w:fill="auto"/>
            <w:hideMark/>
          </w:tcPr>
          <w:p>
            <w:pPr>
              <w:keepNext/>
              <w:jc w:val="right"/>
              <w:rPr>
                <w:noProof/>
                <w:sz w:val="18"/>
                <w:szCs w:val="18"/>
              </w:rPr>
            </w:pPr>
            <w:r>
              <w:rPr>
                <w:rFonts w:cs="Arial"/>
                <w:noProof/>
                <w:sz w:val="18"/>
                <w:szCs w:val="18"/>
              </w:rPr>
              <w:t xml:space="preserve"> 34</w:t>
            </w:r>
          </w:p>
        </w:tc>
        <w:tc>
          <w:tcPr>
            <w:tcW w:w="1979" w:type="dxa"/>
            <w:tcBorders>
              <w:top w:val="nil"/>
              <w:left w:val="nil"/>
              <w:bottom w:val="single" w:sz="8" w:space="0" w:color="auto"/>
              <w:right w:val="single" w:sz="8" w:space="0" w:color="auto"/>
            </w:tcBorders>
            <w:shd w:val="clear" w:color="auto" w:fill="E9AE46"/>
            <w:hideMark/>
          </w:tcPr>
          <w:p>
            <w:pPr>
              <w:keepNext/>
              <w:jc w:val="right"/>
              <w:rPr>
                <w:b/>
                <w:noProof/>
                <w:sz w:val="18"/>
                <w:szCs w:val="18"/>
              </w:rPr>
            </w:pPr>
            <w:r>
              <w:rPr>
                <w:rFonts w:cs="Arial"/>
                <w:noProof/>
                <w:sz w:val="18"/>
                <w:szCs w:val="18"/>
              </w:rPr>
              <w:t xml:space="preserve"> 34</w:t>
            </w:r>
          </w:p>
        </w:tc>
      </w:tr>
      <w:tr>
        <w:trPr>
          <w:trHeight w:val="270"/>
          <w:jc w:val="center"/>
        </w:trPr>
        <w:tc>
          <w:tcPr>
            <w:tcW w:w="340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pPr>
              <w:keepNext/>
              <w:rPr>
                <w:rFonts w:cs="Arial"/>
                <w:b/>
                <w:i/>
                <w:noProof/>
                <w:color w:val="000000"/>
                <w:sz w:val="18"/>
                <w:szCs w:val="18"/>
              </w:rPr>
            </w:pPr>
            <w:r>
              <w:rPr>
                <w:rFonts w:cs="Arial"/>
                <w:b/>
                <w:i/>
                <w:noProof/>
                <w:color w:val="000000"/>
                <w:sz w:val="18"/>
                <w:szCs w:val="18"/>
              </w:rPr>
              <w:t>Sustainable growth: natural resources</w:t>
            </w:r>
          </w:p>
        </w:tc>
        <w:tc>
          <w:tcPr>
            <w:tcW w:w="1701" w:type="dxa"/>
            <w:tcBorders>
              <w:top w:val="single" w:sz="8" w:space="0" w:color="auto"/>
              <w:left w:val="nil"/>
              <w:bottom w:val="single" w:sz="8" w:space="0" w:color="auto"/>
              <w:right w:val="single" w:sz="8" w:space="0" w:color="auto"/>
            </w:tcBorders>
            <w:shd w:val="clear" w:color="000000" w:fill="D9D9D9"/>
            <w:hideMark/>
          </w:tcPr>
          <w:p>
            <w:pPr>
              <w:keepNext/>
              <w:jc w:val="right"/>
              <w:rPr>
                <w:b/>
                <w:i/>
                <w:noProof/>
                <w:sz w:val="18"/>
                <w:szCs w:val="18"/>
              </w:rPr>
            </w:pPr>
            <w:r>
              <w:rPr>
                <w:rFonts w:cs="Arial"/>
                <w:b/>
                <w:bCs/>
                <w:i/>
                <w:iCs/>
                <w:noProof/>
                <w:sz w:val="18"/>
                <w:szCs w:val="18"/>
              </w:rPr>
              <w:t xml:space="preserve"> 414</w:t>
            </w:r>
          </w:p>
        </w:tc>
        <w:tc>
          <w:tcPr>
            <w:tcW w:w="1988" w:type="dxa"/>
            <w:tcBorders>
              <w:top w:val="nil"/>
              <w:left w:val="nil"/>
              <w:bottom w:val="single" w:sz="8" w:space="0" w:color="auto"/>
              <w:right w:val="single" w:sz="8" w:space="0" w:color="auto"/>
            </w:tcBorders>
            <w:shd w:val="clear" w:color="000000" w:fill="D9D9D9"/>
            <w:hideMark/>
          </w:tcPr>
          <w:p>
            <w:pPr>
              <w:keepNext/>
              <w:jc w:val="right"/>
              <w:rPr>
                <w:b/>
                <w:i/>
                <w:noProof/>
                <w:sz w:val="18"/>
                <w:szCs w:val="18"/>
              </w:rPr>
            </w:pPr>
            <w:r>
              <w:rPr>
                <w:rFonts w:cs="Arial"/>
                <w:b/>
                <w:bCs/>
                <w:i/>
                <w:iCs/>
                <w:noProof/>
                <w:sz w:val="18"/>
                <w:szCs w:val="18"/>
              </w:rPr>
              <w:t xml:space="preserve"> 87</w:t>
            </w:r>
          </w:p>
        </w:tc>
        <w:tc>
          <w:tcPr>
            <w:tcW w:w="1979" w:type="dxa"/>
            <w:tcBorders>
              <w:top w:val="single" w:sz="8" w:space="0" w:color="auto"/>
              <w:left w:val="nil"/>
              <w:bottom w:val="single" w:sz="8" w:space="0" w:color="auto"/>
              <w:right w:val="single" w:sz="8" w:space="0" w:color="auto"/>
            </w:tcBorders>
            <w:shd w:val="clear" w:color="000000" w:fill="D9D9D9"/>
            <w:hideMark/>
          </w:tcPr>
          <w:p>
            <w:pPr>
              <w:keepNext/>
              <w:jc w:val="right"/>
              <w:rPr>
                <w:b/>
                <w:i/>
                <w:noProof/>
                <w:sz w:val="18"/>
                <w:szCs w:val="18"/>
              </w:rPr>
            </w:pPr>
            <w:r>
              <w:rPr>
                <w:rFonts w:cs="Arial"/>
                <w:b/>
                <w:bCs/>
                <w:i/>
                <w:iCs/>
                <w:noProof/>
                <w:sz w:val="18"/>
                <w:szCs w:val="18"/>
              </w:rPr>
              <w:t xml:space="preserve"> 501</w:t>
            </w:r>
          </w:p>
        </w:tc>
      </w:tr>
      <w:tr>
        <w:trPr>
          <w:trHeight w:val="255"/>
          <w:jc w:val="center"/>
        </w:trPr>
        <w:tc>
          <w:tcPr>
            <w:tcW w:w="3402" w:type="dxa"/>
            <w:tcBorders>
              <w:top w:val="nil"/>
              <w:left w:val="single" w:sz="8" w:space="0" w:color="auto"/>
              <w:bottom w:val="nil"/>
              <w:right w:val="single" w:sz="8" w:space="0" w:color="auto"/>
            </w:tcBorders>
            <w:shd w:val="clear" w:color="auto" w:fill="auto"/>
            <w:noWrap/>
            <w:vAlign w:val="center"/>
            <w:hideMark/>
          </w:tcPr>
          <w:p>
            <w:pPr>
              <w:keepNext/>
              <w:rPr>
                <w:rFonts w:cs="Arial"/>
                <w:i/>
                <w:noProof/>
                <w:color w:val="000000"/>
                <w:sz w:val="18"/>
                <w:szCs w:val="18"/>
              </w:rPr>
            </w:pPr>
            <w:r>
              <w:rPr>
                <w:rFonts w:cs="Arial"/>
                <w:i/>
                <w:noProof/>
                <w:color w:val="000000"/>
                <w:sz w:val="18"/>
                <w:szCs w:val="18"/>
              </w:rPr>
              <w:t>European Agricultural Guarantee Fund **</w:t>
            </w:r>
          </w:p>
        </w:tc>
        <w:tc>
          <w:tcPr>
            <w:tcW w:w="1701" w:type="dxa"/>
            <w:tcBorders>
              <w:top w:val="nil"/>
              <w:left w:val="nil"/>
              <w:bottom w:val="nil"/>
              <w:right w:val="nil"/>
            </w:tcBorders>
            <w:shd w:val="clear" w:color="auto" w:fill="auto"/>
            <w:hideMark/>
          </w:tcPr>
          <w:p>
            <w:pPr>
              <w:keepNext/>
              <w:jc w:val="right"/>
              <w:rPr>
                <w:noProof/>
                <w:sz w:val="18"/>
                <w:szCs w:val="18"/>
              </w:rPr>
            </w:pPr>
            <w:r>
              <w:rPr>
                <w:rFonts w:cs="Arial"/>
                <w:noProof/>
                <w:sz w:val="18"/>
                <w:szCs w:val="18"/>
              </w:rPr>
              <w:t xml:space="preserve"> 219</w:t>
            </w:r>
          </w:p>
        </w:tc>
        <w:tc>
          <w:tcPr>
            <w:tcW w:w="1988" w:type="dxa"/>
            <w:tcBorders>
              <w:top w:val="nil"/>
              <w:left w:val="single" w:sz="8" w:space="0" w:color="auto"/>
              <w:bottom w:val="nil"/>
              <w:right w:val="single" w:sz="8" w:space="0" w:color="auto"/>
            </w:tcBorders>
            <w:shd w:val="clear" w:color="auto" w:fill="auto"/>
            <w:hideMark/>
          </w:tcPr>
          <w:p>
            <w:pPr>
              <w:keepNext/>
              <w:jc w:val="right"/>
              <w:rPr>
                <w:noProof/>
                <w:sz w:val="18"/>
                <w:szCs w:val="18"/>
              </w:rPr>
            </w:pPr>
            <w:r>
              <w:rPr>
                <w:rFonts w:cs="Arial"/>
                <w:noProof/>
                <w:sz w:val="18"/>
                <w:szCs w:val="18"/>
              </w:rPr>
              <w:t xml:space="preserve"> 87</w:t>
            </w:r>
          </w:p>
        </w:tc>
        <w:tc>
          <w:tcPr>
            <w:tcW w:w="1979" w:type="dxa"/>
            <w:tcBorders>
              <w:top w:val="single" w:sz="8" w:space="0" w:color="auto"/>
              <w:left w:val="nil"/>
              <w:bottom w:val="nil"/>
              <w:right w:val="single" w:sz="8" w:space="0" w:color="auto"/>
            </w:tcBorders>
            <w:shd w:val="clear" w:color="auto" w:fill="E9AE46"/>
            <w:hideMark/>
          </w:tcPr>
          <w:p>
            <w:pPr>
              <w:keepNext/>
              <w:jc w:val="right"/>
              <w:rPr>
                <w:b/>
                <w:noProof/>
                <w:sz w:val="18"/>
                <w:szCs w:val="18"/>
              </w:rPr>
            </w:pPr>
            <w:r>
              <w:rPr>
                <w:rFonts w:cs="Arial"/>
                <w:noProof/>
                <w:sz w:val="18"/>
                <w:szCs w:val="18"/>
              </w:rPr>
              <w:t xml:space="preserve"> 306</w:t>
            </w:r>
          </w:p>
        </w:tc>
      </w:tr>
      <w:tr>
        <w:trPr>
          <w:trHeight w:val="255"/>
          <w:jc w:val="center"/>
        </w:trPr>
        <w:tc>
          <w:tcPr>
            <w:tcW w:w="3402" w:type="dxa"/>
            <w:tcBorders>
              <w:top w:val="nil"/>
              <w:left w:val="single" w:sz="8" w:space="0" w:color="auto"/>
              <w:bottom w:val="nil"/>
              <w:right w:val="single" w:sz="8" w:space="0" w:color="auto"/>
            </w:tcBorders>
            <w:shd w:val="clear" w:color="auto" w:fill="auto"/>
            <w:noWrap/>
            <w:vAlign w:val="center"/>
            <w:hideMark/>
          </w:tcPr>
          <w:p>
            <w:pPr>
              <w:keepNext/>
              <w:rPr>
                <w:rFonts w:cs="Arial"/>
                <w:i/>
                <w:noProof/>
                <w:color w:val="000000"/>
                <w:sz w:val="18"/>
                <w:szCs w:val="18"/>
              </w:rPr>
            </w:pPr>
            <w:r>
              <w:rPr>
                <w:rFonts w:cs="Arial"/>
                <w:i/>
                <w:noProof/>
                <w:color w:val="000000"/>
                <w:sz w:val="18"/>
                <w:szCs w:val="18"/>
              </w:rPr>
              <w:t>Rural Development</w:t>
            </w:r>
          </w:p>
        </w:tc>
        <w:tc>
          <w:tcPr>
            <w:tcW w:w="1701" w:type="dxa"/>
            <w:tcBorders>
              <w:top w:val="nil"/>
              <w:left w:val="nil"/>
              <w:bottom w:val="nil"/>
              <w:right w:val="nil"/>
            </w:tcBorders>
            <w:shd w:val="clear" w:color="auto" w:fill="auto"/>
            <w:hideMark/>
          </w:tcPr>
          <w:p>
            <w:pPr>
              <w:keepNext/>
              <w:jc w:val="right"/>
              <w:rPr>
                <w:noProof/>
                <w:sz w:val="18"/>
                <w:szCs w:val="18"/>
              </w:rPr>
            </w:pPr>
            <w:r>
              <w:rPr>
                <w:rFonts w:cs="Arial"/>
                <w:noProof/>
                <w:sz w:val="18"/>
                <w:szCs w:val="18"/>
              </w:rPr>
              <w:t xml:space="preserve"> 195</w:t>
            </w:r>
          </w:p>
        </w:tc>
        <w:tc>
          <w:tcPr>
            <w:tcW w:w="1988" w:type="dxa"/>
            <w:tcBorders>
              <w:top w:val="nil"/>
              <w:left w:val="single" w:sz="8" w:space="0" w:color="auto"/>
              <w:bottom w:val="nil"/>
              <w:right w:val="single" w:sz="8" w:space="0" w:color="auto"/>
            </w:tcBorders>
            <w:shd w:val="clear" w:color="auto" w:fill="auto"/>
            <w:hideMark/>
          </w:tcPr>
          <w:p>
            <w:pPr>
              <w:keepNext/>
              <w:jc w:val="right"/>
              <w:rPr>
                <w:b/>
                <w:noProof/>
                <w:sz w:val="18"/>
                <w:szCs w:val="18"/>
              </w:rPr>
            </w:pPr>
            <w:r>
              <w:rPr>
                <w:rFonts w:cs="Arial"/>
                <w:b/>
                <w:bCs/>
                <w:noProof/>
                <w:sz w:val="18"/>
                <w:szCs w:val="18"/>
              </w:rPr>
              <w:t>-</w:t>
            </w:r>
          </w:p>
        </w:tc>
        <w:tc>
          <w:tcPr>
            <w:tcW w:w="1979" w:type="dxa"/>
            <w:tcBorders>
              <w:top w:val="nil"/>
              <w:left w:val="nil"/>
              <w:bottom w:val="nil"/>
              <w:right w:val="single" w:sz="8" w:space="0" w:color="auto"/>
            </w:tcBorders>
            <w:shd w:val="clear" w:color="auto" w:fill="E9AE46"/>
            <w:hideMark/>
          </w:tcPr>
          <w:p>
            <w:pPr>
              <w:keepNext/>
              <w:jc w:val="right"/>
              <w:rPr>
                <w:b/>
                <w:noProof/>
                <w:sz w:val="18"/>
                <w:szCs w:val="18"/>
              </w:rPr>
            </w:pPr>
            <w:r>
              <w:rPr>
                <w:rFonts w:cs="Arial"/>
                <w:noProof/>
                <w:sz w:val="18"/>
                <w:szCs w:val="18"/>
              </w:rPr>
              <w:t xml:space="preserve"> 195</w:t>
            </w:r>
          </w:p>
        </w:tc>
      </w:tr>
      <w:tr>
        <w:trPr>
          <w:trHeight w:val="255"/>
          <w:jc w:val="center"/>
        </w:trPr>
        <w:tc>
          <w:tcPr>
            <w:tcW w:w="3402" w:type="dxa"/>
            <w:tcBorders>
              <w:top w:val="nil"/>
              <w:left w:val="single" w:sz="8" w:space="0" w:color="auto"/>
              <w:bottom w:val="nil"/>
              <w:right w:val="single" w:sz="8" w:space="0" w:color="auto"/>
            </w:tcBorders>
            <w:shd w:val="clear" w:color="auto" w:fill="auto"/>
            <w:noWrap/>
            <w:vAlign w:val="center"/>
            <w:hideMark/>
          </w:tcPr>
          <w:p>
            <w:pPr>
              <w:keepNext/>
              <w:rPr>
                <w:rFonts w:cs="Arial"/>
                <w:i/>
                <w:noProof/>
                <w:color w:val="000000"/>
                <w:sz w:val="18"/>
                <w:szCs w:val="18"/>
              </w:rPr>
            </w:pPr>
            <w:r>
              <w:rPr>
                <w:rFonts w:cs="Arial"/>
                <w:i/>
                <w:noProof/>
                <w:color w:val="000000"/>
                <w:sz w:val="18"/>
                <w:szCs w:val="18"/>
              </w:rPr>
              <w:t>Financial Instrument for Fisheries Guidance /</w:t>
            </w:r>
            <w:r>
              <w:rPr>
                <w:noProof/>
              </w:rPr>
              <w:t xml:space="preserve"> </w:t>
            </w:r>
            <w:r>
              <w:rPr>
                <w:rFonts w:cs="Arial"/>
                <w:i/>
                <w:noProof/>
                <w:color w:val="000000"/>
                <w:sz w:val="18"/>
                <w:szCs w:val="18"/>
              </w:rPr>
              <w:t>European Fisheries Fund</w:t>
            </w:r>
          </w:p>
        </w:tc>
        <w:tc>
          <w:tcPr>
            <w:tcW w:w="1701" w:type="dxa"/>
            <w:tcBorders>
              <w:top w:val="nil"/>
              <w:left w:val="nil"/>
              <w:bottom w:val="nil"/>
              <w:right w:val="nil"/>
            </w:tcBorders>
            <w:shd w:val="clear" w:color="auto" w:fill="auto"/>
            <w:hideMark/>
          </w:tcPr>
          <w:p>
            <w:pPr>
              <w:keepNext/>
              <w:jc w:val="right"/>
              <w:rPr>
                <w:b/>
                <w:noProof/>
                <w:sz w:val="18"/>
                <w:szCs w:val="18"/>
              </w:rPr>
            </w:pPr>
            <w:r>
              <w:rPr>
                <w:rFonts w:cs="Arial"/>
                <w:b/>
                <w:noProof/>
                <w:sz w:val="18"/>
                <w:szCs w:val="18"/>
              </w:rPr>
              <w:t xml:space="preserve"> -</w:t>
            </w:r>
          </w:p>
        </w:tc>
        <w:tc>
          <w:tcPr>
            <w:tcW w:w="1988" w:type="dxa"/>
            <w:tcBorders>
              <w:top w:val="nil"/>
              <w:left w:val="single" w:sz="8" w:space="0" w:color="auto"/>
              <w:bottom w:val="nil"/>
              <w:right w:val="single" w:sz="8" w:space="0" w:color="auto"/>
            </w:tcBorders>
            <w:shd w:val="clear" w:color="auto" w:fill="auto"/>
            <w:hideMark/>
          </w:tcPr>
          <w:p>
            <w:pPr>
              <w:keepNext/>
              <w:jc w:val="right"/>
              <w:rPr>
                <w:b/>
                <w:noProof/>
                <w:sz w:val="18"/>
                <w:szCs w:val="18"/>
              </w:rPr>
            </w:pPr>
            <w:r>
              <w:rPr>
                <w:b/>
                <w:noProof/>
                <w:sz w:val="18"/>
                <w:szCs w:val="18"/>
              </w:rPr>
              <w:t>-</w:t>
            </w:r>
          </w:p>
        </w:tc>
        <w:tc>
          <w:tcPr>
            <w:tcW w:w="1979" w:type="dxa"/>
            <w:tcBorders>
              <w:top w:val="nil"/>
              <w:left w:val="nil"/>
              <w:bottom w:val="nil"/>
              <w:right w:val="single" w:sz="8" w:space="0" w:color="auto"/>
            </w:tcBorders>
            <w:shd w:val="clear" w:color="auto" w:fill="E9AE46"/>
            <w:hideMark/>
          </w:tcPr>
          <w:p>
            <w:pPr>
              <w:keepNext/>
              <w:jc w:val="right"/>
              <w:rPr>
                <w:b/>
                <w:noProof/>
                <w:sz w:val="18"/>
                <w:szCs w:val="18"/>
              </w:rPr>
            </w:pPr>
            <w:r>
              <w:rPr>
                <w:rFonts w:cs="Arial"/>
                <w:b/>
                <w:noProof/>
                <w:sz w:val="18"/>
                <w:szCs w:val="18"/>
              </w:rPr>
              <w:t xml:space="preserve">- </w:t>
            </w:r>
          </w:p>
        </w:tc>
      </w:tr>
      <w:tr>
        <w:trPr>
          <w:trHeight w:val="270"/>
          <w:jc w:val="center"/>
        </w:trPr>
        <w:tc>
          <w:tcPr>
            <w:tcW w:w="3402" w:type="dxa"/>
            <w:tcBorders>
              <w:top w:val="nil"/>
              <w:left w:val="single" w:sz="8" w:space="0" w:color="auto"/>
              <w:bottom w:val="nil"/>
              <w:right w:val="single" w:sz="8" w:space="0" w:color="auto"/>
            </w:tcBorders>
            <w:shd w:val="clear" w:color="auto" w:fill="auto"/>
            <w:noWrap/>
            <w:vAlign w:val="center"/>
            <w:hideMark/>
          </w:tcPr>
          <w:p>
            <w:pPr>
              <w:keepNext/>
              <w:rPr>
                <w:rFonts w:cs="Arial"/>
                <w:i/>
                <w:noProof/>
                <w:color w:val="000000"/>
                <w:sz w:val="18"/>
                <w:szCs w:val="18"/>
              </w:rPr>
            </w:pPr>
            <w:r>
              <w:rPr>
                <w:rFonts w:cs="Arial"/>
                <w:i/>
                <w:noProof/>
                <w:color w:val="000000"/>
                <w:sz w:val="18"/>
                <w:szCs w:val="18"/>
              </w:rPr>
              <w:t>European Agricultural Guidance and Guarantee Fund</w:t>
            </w:r>
          </w:p>
        </w:tc>
        <w:tc>
          <w:tcPr>
            <w:tcW w:w="1701" w:type="dxa"/>
            <w:tcBorders>
              <w:top w:val="nil"/>
              <w:left w:val="nil"/>
              <w:bottom w:val="nil"/>
              <w:right w:val="nil"/>
            </w:tcBorders>
            <w:shd w:val="clear" w:color="auto" w:fill="auto"/>
            <w:hideMark/>
          </w:tcPr>
          <w:p>
            <w:pPr>
              <w:keepNext/>
              <w:jc w:val="right"/>
              <w:rPr>
                <w:b/>
                <w:noProof/>
                <w:sz w:val="18"/>
                <w:szCs w:val="18"/>
              </w:rPr>
            </w:pPr>
            <w:r>
              <w:rPr>
                <w:rFonts w:cs="Arial"/>
                <w:b/>
                <w:noProof/>
                <w:sz w:val="18"/>
                <w:szCs w:val="18"/>
              </w:rPr>
              <w:t>-</w:t>
            </w:r>
          </w:p>
        </w:tc>
        <w:tc>
          <w:tcPr>
            <w:tcW w:w="1988" w:type="dxa"/>
            <w:tcBorders>
              <w:top w:val="nil"/>
              <w:left w:val="single" w:sz="8" w:space="0" w:color="auto"/>
              <w:bottom w:val="nil"/>
              <w:right w:val="single" w:sz="8" w:space="0" w:color="auto"/>
            </w:tcBorders>
            <w:shd w:val="clear" w:color="auto" w:fill="auto"/>
            <w:hideMark/>
          </w:tcPr>
          <w:p>
            <w:pPr>
              <w:keepNext/>
              <w:jc w:val="right"/>
              <w:rPr>
                <w:b/>
                <w:noProof/>
                <w:sz w:val="18"/>
                <w:szCs w:val="18"/>
              </w:rPr>
            </w:pPr>
            <w:r>
              <w:rPr>
                <w:rFonts w:cs="Arial"/>
                <w:b/>
                <w:bCs/>
                <w:noProof/>
                <w:sz w:val="18"/>
                <w:szCs w:val="18"/>
              </w:rPr>
              <w:t>-</w:t>
            </w:r>
          </w:p>
        </w:tc>
        <w:tc>
          <w:tcPr>
            <w:tcW w:w="1979" w:type="dxa"/>
            <w:tcBorders>
              <w:top w:val="nil"/>
              <w:left w:val="nil"/>
              <w:bottom w:val="single" w:sz="8" w:space="0" w:color="auto"/>
              <w:right w:val="single" w:sz="8" w:space="0" w:color="auto"/>
            </w:tcBorders>
            <w:shd w:val="clear" w:color="auto" w:fill="E9AE46"/>
            <w:hideMark/>
          </w:tcPr>
          <w:p>
            <w:pPr>
              <w:keepNext/>
              <w:jc w:val="right"/>
              <w:rPr>
                <w:b/>
                <w:noProof/>
                <w:sz w:val="18"/>
                <w:szCs w:val="18"/>
              </w:rPr>
            </w:pPr>
            <w:r>
              <w:rPr>
                <w:rFonts w:cs="Arial"/>
                <w:b/>
                <w:noProof/>
                <w:sz w:val="18"/>
                <w:szCs w:val="18"/>
              </w:rPr>
              <w:t xml:space="preserve"> - </w:t>
            </w:r>
          </w:p>
        </w:tc>
      </w:tr>
      <w:tr>
        <w:trPr>
          <w:trHeight w:val="270"/>
          <w:jc w:val="center"/>
        </w:trPr>
        <w:tc>
          <w:tcPr>
            <w:tcW w:w="340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pPr>
              <w:keepNext/>
              <w:rPr>
                <w:rFonts w:cs="Arial"/>
                <w:b/>
                <w:i/>
                <w:noProof/>
                <w:color w:val="000000"/>
                <w:sz w:val="18"/>
                <w:szCs w:val="18"/>
              </w:rPr>
            </w:pPr>
            <w:r>
              <w:rPr>
                <w:rFonts w:cs="Arial"/>
                <w:b/>
                <w:i/>
                <w:noProof/>
                <w:color w:val="000000"/>
                <w:sz w:val="18"/>
                <w:szCs w:val="18"/>
              </w:rPr>
              <w:t xml:space="preserve">Security &amp; citizenship </w:t>
            </w:r>
          </w:p>
        </w:tc>
        <w:tc>
          <w:tcPr>
            <w:tcW w:w="1701" w:type="dxa"/>
            <w:tcBorders>
              <w:top w:val="single" w:sz="8" w:space="0" w:color="auto"/>
              <w:left w:val="nil"/>
              <w:bottom w:val="single" w:sz="8" w:space="0" w:color="auto"/>
              <w:right w:val="nil"/>
            </w:tcBorders>
            <w:shd w:val="clear" w:color="000000" w:fill="D9D9D9"/>
            <w:hideMark/>
          </w:tcPr>
          <w:p>
            <w:pPr>
              <w:keepNext/>
              <w:jc w:val="right"/>
              <w:rPr>
                <w:b/>
                <w:i/>
                <w:noProof/>
                <w:sz w:val="18"/>
                <w:szCs w:val="18"/>
              </w:rPr>
            </w:pPr>
            <w:r>
              <w:rPr>
                <w:rFonts w:cs="Arial"/>
                <w:b/>
                <w:bCs/>
                <w:i/>
                <w:iCs/>
                <w:noProof/>
                <w:sz w:val="18"/>
                <w:szCs w:val="18"/>
              </w:rPr>
              <w:t xml:space="preserve"> 0</w:t>
            </w:r>
          </w:p>
        </w:tc>
        <w:tc>
          <w:tcPr>
            <w:tcW w:w="1988" w:type="dxa"/>
            <w:tcBorders>
              <w:top w:val="single" w:sz="8" w:space="0" w:color="auto"/>
              <w:left w:val="single" w:sz="8" w:space="0" w:color="auto"/>
              <w:bottom w:val="single" w:sz="8" w:space="0" w:color="auto"/>
              <w:right w:val="single" w:sz="8" w:space="0" w:color="auto"/>
            </w:tcBorders>
            <w:shd w:val="clear" w:color="000000" w:fill="D9D9D9"/>
            <w:hideMark/>
          </w:tcPr>
          <w:p>
            <w:pPr>
              <w:keepNext/>
              <w:jc w:val="right"/>
              <w:rPr>
                <w:b/>
                <w:i/>
                <w:noProof/>
                <w:sz w:val="18"/>
                <w:szCs w:val="18"/>
              </w:rPr>
            </w:pPr>
            <w:r>
              <w:rPr>
                <w:rFonts w:cs="Arial"/>
                <w:b/>
                <w:bCs/>
                <w:i/>
                <w:iCs/>
                <w:noProof/>
                <w:sz w:val="18"/>
                <w:szCs w:val="18"/>
              </w:rPr>
              <w:t xml:space="preserve"> 1</w:t>
            </w:r>
          </w:p>
        </w:tc>
        <w:tc>
          <w:tcPr>
            <w:tcW w:w="1979" w:type="dxa"/>
            <w:tcBorders>
              <w:top w:val="single" w:sz="8" w:space="0" w:color="auto"/>
              <w:left w:val="nil"/>
              <w:bottom w:val="single" w:sz="8" w:space="0" w:color="auto"/>
              <w:right w:val="single" w:sz="8" w:space="0" w:color="auto"/>
            </w:tcBorders>
            <w:shd w:val="clear" w:color="000000" w:fill="D9D9D9"/>
            <w:hideMark/>
          </w:tcPr>
          <w:p>
            <w:pPr>
              <w:keepNext/>
              <w:jc w:val="right"/>
              <w:rPr>
                <w:b/>
                <w:i/>
                <w:noProof/>
                <w:sz w:val="18"/>
                <w:szCs w:val="18"/>
              </w:rPr>
            </w:pPr>
            <w:r>
              <w:rPr>
                <w:rFonts w:cs="Arial"/>
                <w:b/>
                <w:bCs/>
                <w:i/>
                <w:iCs/>
                <w:noProof/>
                <w:sz w:val="18"/>
                <w:szCs w:val="18"/>
              </w:rPr>
              <w:t xml:space="preserve"> 2</w:t>
            </w:r>
          </w:p>
        </w:tc>
      </w:tr>
      <w:tr>
        <w:trPr>
          <w:trHeight w:val="270"/>
          <w:jc w:val="center"/>
        </w:trPr>
        <w:tc>
          <w:tcPr>
            <w:tcW w:w="3402" w:type="dxa"/>
            <w:tcBorders>
              <w:top w:val="nil"/>
              <w:left w:val="single" w:sz="8" w:space="0" w:color="auto"/>
              <w:bottom w:val="single" w:sz="8" w:space="0" w:color="auto"/>
              <w:right w:val="single" w:sz="8" w:space="0" w:color="auto"/>
            </w:tcBorders>
            <w:shd w:val="clear" w:color="auto" w:fill="auto"/>
            <w:noWrap/>
            <w:vAlign w:val="center"/>
            <w:hideMark/>
          </w:tcPr>
          <w:p>
            <w:pPr>
              <w:keepNext/>
              <w:rPr>
                <w:rFonts w:cs="Arial"/>
                <w:i/>
                <w:noProof/>
                <w:color w:val="000000"/>
                <w:sz w:val="18"/>
                <w:szCs w:val="18"/>
              </w:rPr>
            </w:pPr>
            <w:r>
              <w:rPr>
                <w:rFonts w:cs="Arial"/>
                <w:i/>
                <w:noProof/>
                <w:color w:val="000000"/>
                <w:sz w:val="18"/>
                <w:szCs w:val="18"/>
              </w:rPr>
              <w:t>Migration and home affairs</w:t>
            </w:r>
          </w:p>
        </w:tc>
        <w:tc>
          <w:tcPr>
            <w:tcW w:w="1701" w:type="dxa"/>
            <w:tcBorders>
              <w:top w:val="nil"/>
              <w:left w:val="nil"/>
              <w:bottom w:val="nil"/>
              <w:right w:val="nil"/>
            </w:tcBorders>
            <w:shd w:val="clear" w:color="auto" w:fill="auto"/>
            <w:noWrap/>
            <w:hideMark/>
          </w:tcPr>
          <w:p>
            <w:pPr>
              <w:keepNext/>
              <w:jc w:val="right"/>
              <w:rPr>
                <w:noProof/>
                <w:sz w:val="18"/>
                <w:szCs w:val="18"/>
              </w:rPr>
            </w:pPr>
            <w:r>
              <w:rPr>
                <w:rFonts w:cs="Arial"/>
                <w:noProof/>
                <w:sz w:val="18"/>
                <w:szCs w:val="18"/>
              </w:rPr>
              <w:t xml:space="preserve"> 0</w:t>
            </w:r>
          </w:p>
        </w:tc>
        <w:tc>
          <w:tcPr>
            <w:tcW w:w="1988" w:type="dxa"/>
            <w:tcBorders>
              <w:top w:val="nil"/>
              <w:left w:val="single" w:sz="8" w:space="0" w:color="auto"/>
              <w:bottom w:val="nil"/>
              <w:right w:val="single" w:sz="8" w:space="0" w:color="auto"/>
            </w:tcBorders>
            <w:shd w:val="clear" w:color="000000" w:fill="FFFFFF"/>
            <w:noWrap/>
            <w:hideMark/>
          </w:tcPr>
          <w:p>
            <w:pPr>
              <w:keepNext/>
              <w:jc w:val="right"/>
              <w:rPr>
                <w:i/>
                <w:noProof/>
                <w:sz w:val="18"/>
                <w:szCs w:val="18"/>
              </w:rPr>
            </w:pPr>
            <w:r>
              <w:rPr>
                <w:rFonts w:cs="Arial"/>
                <w:i/>
                <w:iCs/>
                <w:noProof/>
                <w:sz w:val="18"/>
                <w:szCs w:val="18"/>
              </w:rPr>
              <w:t xml:space="preserve"> 1</w:t>
            </w:r>
          </w:p>
        </w:tc>
        <w:tc>
          <w:tcPr>
            <w:tcW w:w="1979" w:type="dxa"/>
            <w:tcBorders>
              <w:top w:val="single" w:sz="8" w:space="0" w:color="auto"/>
              <w:left w:val="nil"/>
              <w:bottom w:val="single" w:sz="8" w:space="0" w:color="auto"/>
              <w:right w:val="single" w:sz="8" w:space="0" w:color="auto"/>
            </w:tcBorders>
            <w:shd w:val="clear" w:color="auto" w:fill="E9AE46"/>
            <w:noWrap/>
            <w:hideMark/>
          </w:tcPr>
          <w:p>
            <w:pPr>
              <w:keepNext/>
              <w:jc w:val="right"/>
              <w:rPr>
                <w:b/>
                <w:noProof/>
                <w:sz w:val="18"/>
                <w:szCs w:val="18"/>
              </w:rPr>
            </w:pPr>
            <w:r>
              <w:rPr>
                <w:rFonts w:cs="Arial"/>
                <w:noProof/>
                <w:sz w:val="18"/>
                <w:szCs w:val="18"/>
              </w:rPr>
              <w:t xml:space="preserve"> 6</w:t>
            </w:r>
          </w:p>
        </w:tc>
      </w:tr>
      <w:tr>
        <w:trPr>
          <w:trHeight w:val="270"/>
          <w:jc w:val="center"/>
        </w:trPr>
        <w:tc>
          <w:tcPr>
            <w:tcW w:w="3402" w:type="dxa"/>
            <w:tcBorders>
              <w:top w:val="nil"/>
              <w:left w:val="single" w:sz="8" w:space="0" w:color="auto"/>
              <w:bottom w:val="single" w:sz="8" w:space="0" w:color="auto"/>
              <w:right w:val="single" w:sz="8" w:space="0" w:color="auto"/>
            </w:tcBorders>
            <w:shd w:val="clear" w:color="000000" w:fill="D9D9D9"/>
            <w:noWrap/>
            <w:vAlign w:val="center"/>
            <w:hideMark/>
          </w:tcPr>
          <w:p>
            <w:pPr>
              <w:keepNext/>
              <w:rPr>
                <w:rFonts w:cs="Arial"/>
                <w:b/>
                <w:i/>
                <w:noProof/>
                <w:color w:val="000000"/>
                <w:sz w:val="18"/>
                <w:szCs w:val="18"/>
              </w:rPr>
            </w:pPr>
            <w:r>
              <w:rPr>
                <w:rFonts w:cs="Arial"/>
                <w:b/>
                <w:i/>
                <w:noProof/>
                <w:color w:val="000000"/>
                <w:sz w:val="18"/>
                <w:szCs w:val="18"/>
              </w:rPr>
              <w:t>Total</w:t>
            </w:r>
          </w:p>
        </w:tc>
        <w:tc>
          <w:tcPr>
            <w:tcW w:w="1701" w:type="dxa"/>
            <w:tcBorders>
              <w:top w:val="single" w:sz="8" w:space="0" w:color="auto"/>
              <w:left w:val="nil"/>
              <w:bottom w:val="single" w:sz="8" w:space="0" w:color="auto"/>
              <w:right w:val="single" w:sz="8" w:space="0" w:color="auto"/>
            </w:tcBorders>
            <w:shd w:val="clear" w:color="000000" w:fill="D9D9D9"/>
            <w:hideMark/>
          </w:tcPr>
          <w:p>
            <w:pPr>
              <w:keepNext/>
              <w:jc w:val="right"/>
              <w:rPr>
                <w:b/>
                <w:noProof/>
                <w:sz w:val="18"/>
                <w:szCs w:val="18"/>
              </w:rPr>
            </w:pPr>
            <w:r>
              <w:rPr>
                <w:rFonts w:cs="Arial"/>
                <w:b/>
                <w:bCs/>
                <w:i/>
                <w:iCs/>
                <w:noProof/>
                <w:sz w:val="18"/>
                <w:szCs w:val="18"/>
              </w:rPr>
              <w:t xml:space="preserve"> 511</w:t>
            </w:r>
          </w:p>
        </w:tc>
        <w:tc>
          <w:tcPr>
            <w:tcW w:w="1988" w:type="dxa"/>
            <w:tcBorders>
              <w:top w:val="single" w:sz="8" w:space="0" w:color="auto"/>
              <w:left w:val="nil"/>
              <w:bottom w:val="single" w:sz="8" w:space="0" w:color="auto"/>
              <w:right w:val="single" w:sz="8" w:space="0" w:color="auto"/>
            </w:tcBorders>
            <w:shd w:val="clear" w:color="000000" w:fill="D9D9D9"/>
            <w:hideMark/>
          </w:tcPr>
          <w:p>
            <w:pPr>
              <w:keepNext/>
              <w:jc w:val="right"/>
              <w:rPr>
                <w:b/>
                <w:noProof/>
                <w:sz w:val="18"/>
                <w:szCs w:val="18"/>
              </w:rPr>
            </w:pPr>
            <w:r>
              <w:rPr>
                <w:rFonts w:cs="Arial"/>
                <w:b/>
                <w:bCs/>
                <w:i/>
                <w:iCs/>
                <w:noProof/>
                <w:sz w:val="18"/>
                <w:szCs w:val="18"/>
              </w:rPr>
              <w:t xml:space="preserve"> 403</w:t>
            </w:r>
          </w:p>
        </w:tc>
        <w:tc>
          <w:tcPr>
            <w:tcW w:w="1979" w:type="dxa"/>
            <w:tcBorders>
              <w:top w:val="single" w:sz="8" w:space="0" w:color="auto"/>
              <w:left w:val="nil"/>
              <w:bottom w:val="single" w:sz="8" w:space="0" w:color="auto"/>
              <w:right w:val="single" w:sz="8" w:space="0" w:color="auto"/>
            </w:tcBorders>
            <w:shd w:val="clear" w:color="000000" w:fill="D9D9D9"/>
            <w:hideMark/>
          </w:tcPr>
          <w:p>
            <w:pPr>
              <w:keepNext/>
              <w:jc w:val="right"/>
              <w:rPr>
                <w:b/>
                <w:noProof/>
                <w:sz w:val="18"/>
                <w:szCs w:val="18"/>
              </w:rPr>
            </w:pPr>
            <w:r>
              <w:rPr>
                <w:rFonts w:cs="Arial"/>
                <w:b/>
                <w:bCs/>
                <w:i/>
                <w:iCs/>
                <w:noProof/>
                <w:sz w:val="18"/>
                <w:szCs w:val="18"/>
              </w:rPr>
              <w:t xml:space="preserve"> 913</w:t>
            </w:r>
          </w:p>
        </w:tc>
      </w:tr>
      <w:tr>
        <w:trPr>
          <w:trHeight w:val="255"/>
          <w:jc w:val="center"/>
        </w:trPr>
        <w:tc>
          <w:tcPr>
            <w:tcW w:w="9070" w:type="dxa"/>
            <w:gridSpan w:val="4"/>
            <w:tcBorders>
              <w:top w:val="single" w:sz="8" w:space="0" w:color="auto"/>
              <w:left w:val="nil"/>
              <w:bottom w:val="nil"/>
              <w:right w:val="nil"/>
            </w:tcBorders>
            <w:shd w:val="clear" w:color="auto" w:fill="auto"/>
            <w:noWrap/>
            <w:vAlign w:val="center"/>
            <w:hideMark/>
          </w:tcPr>
          <w:p>
            <w:pPr>
              <w:pStyle w:val="Source-Table-Chart-PhotoCaption"/>
              <w:rPr>
                <w:noProof/>
              </w:rPr>
            </w:pPr>
            <w:r>
              <w:rPr>
                <w:rStyle w:val="italics"/>
                <w:noProof/>
              </w:rPr>
              <w:t>Table:</w:t>
            </w:r>
            <w:r>
              <w:rPr>
                <w:noProof/>
              </w:rPr>
              <w:t xml:space="preserve"> in EUR</w:t>
            </w:r>
            <w:r>
              <w:rPr>
                <w:rFonts w:ascii="Calibri" w:hAnsi="Calibri" w:cs="Calibri"/>
                <w:noProof/>
              </w:rPr>
              <w:t> </w:t>
            </w:r>
            <w:r>
              <w:rPr>
                <w:noProof/>
              </w:rPr>
              <w:t>million</w:t>
            </w:r>
            <w:r>
              <w:rPr>
                <w:rFonts w:ascii="Calibri" w:hAnsi="Calibri" w:cs="Calibri"/>
                <w:noProof/>
              </w:rPr>
              <w:t> </w:t>
            </w:r>
            <w:r>
              <w:rPr>
                <w:noProof/>
              </w:rPr>
              <w:t>(</w:t>
            </w:r>
            <w:r>
              <w:rPr>
                <w:noProof/>
              </w:rPr>
              <w:footnoteReference w:id="50"/>
            </w:r>
            <w:r>
              <w:rPr>
                <w:noProof/>
              </w:rPr>
              <w:t>)</w:t>
            </w:r>
          </w:p>
          <w:p>
            <w:pPr>
              <w:pStyle w:val="Source-Table-Chart-PhotoCaption"/>
              <w:ind w:left="284" w:hanging="284"/>
              <w:rPr>
                <w:noProof/>
              </w:rPr>
            </w:pPr>
            <w:r>
              <w:rPr>
                <w:noProof/>
              </w:rPr>
              <w:t xml:space="preserve">  *</w:t>
            </w:r>
            <w:r>
              <w:rPr>
                <w:noProof/>
              </w:rPr>
              <w:tab/>
              <w:t>A total of EUR</w:t>
            </w:r>
            <w:r>
              <w:rPr>
                <w:rFonts w:ascii="Calibri" w:hAnsi="Calibri" w:cs="Calibri"/>
                <w:noProof/>
              </w:rPr>
              <w:t> </w:t>
            </w:r>
            <w:r>
              <w:rPr>
                <w:noProof/>
              </w:rPr>
              <w:t>64 million remain to be classified and is treated as non-net corrections in this table.</w:t>
            </w:r>
          </w:p>
          <w:p>
            <w:pPr>
              <w:pStyle w:val="Source-Table-Chart-PhotoCaption"/>
              <w:ind w:left="284" w:hanging="284"/>
              <w:rPr>
                <w:noProof/>
              </w:rPr>
            </w:pPr>
            <w:r>
              <w:rPr>
                <w:noProof/>
              </w:rPr>
              <w:t>**</w:t>
            </w:r>
            <w:r>
              <w:rPr>
                <w:noProof/>
              </w:rPr>
              <w:tab/>
              <w:t>For the purpose of calculating its corrective capacity in the AAR, DG Agriculture and Rural Development takes into account only the amounts related to conformity clearance decisions adopted by the Commission and published in the Official Journal of the EU and deducts the corrections in respect of cross-compliance.</w:t>
            </w:r>
          </w:p>
        </w:tc>
      </w:tr>
    </w:tbl>
    <w:p>
      <w:pPr>
        <w:spacing w:before="120"/>
        <w:rPr>
          <w:i/>
          <w:noProof/>
        </w:rPr>
      </w:pPr>
      <w:r>
        <w:rPr>
          <w:rFonts w:cs="Arial"/>
          <w:b/>
          <w:i/>
          <w:noProof/>
          <w:color w:val="000000"/>
          <w:u w:val="single"/>
        </w:rPr>
        <w:t>Implemented</w:t>
      </w:r>
    </w:p>
    <w:tbl>
      <w:tblPr>
        <w:tblW w:w="9072" w:type="dxa"/>
        <w:jc w:val="center"/>
        <w:tblLook w:val="04A0" w:firstRow="1" w:lastRow="0" w:firstColumn="1" w:lastColumn="0" w:noHBand="0" w:noVBand="1"/>
      </w:tblPr>
      <w:tblGrid>
        <w:gridCol w:w="3403"/>
        <w:gridCol w:w="1701"/>
        <w:gridCol w:w="1983"/>
        <w:gridCol w:w="1985"/>
      </w:tblGrid>
      <w:tr>
        <w:trPr>
          <w:trHeight w:val="1265"/>
          <w:jc w:val="center"/>
        </w:trPr>
        <w:tc>
          <w:tcPr>
            <w:tcW w:w="3403" w:type="dxa"/>
            <w:tcBorders>
              <w:top w:val="single" w:sz="4" w:space="0" w:color="auto"/>
              <w:left w:val="single" w:sz="8" w:space="0" w:color="auto"/>
              <w:bottom w:val="single" w:sz="8" w:space="0" w:color="000000"/>
              <w:right w:val="single" w:sz="8" w:space="0" w:color="auto"/>
            </w:tcBorders>
            <w:shd w:val="clear" w:color="auto" w:fill="E48C32"/>
            <w:noWrap/>
            <w:vAlign w:val="center"/>
            <w:hideMark/>
          </w:tcPr>
          <w:p>
            <w:pPr>
              <w:jc w:val="center"/>
              <w:rPr>
                <w:rFonts w:cs="Arial"/>
                <w:b/>
                <w:noProof/>
                <w:color w:val="FFFFFF"/>
                <w:sz w:val="18"/>
                <w:szCs w:val="18"/>
              </w:rPr>
            </w:pPr>
            <w:r>
              <w:rPr>
                <w:rFonts w:cs="Arial"/>
                <w:b/>
                <w:noProof/>
                <w:color w:val="FFFFFF"/>
                <w:sz w:val="18"/>
                <w:szCs w:val="18"/>
              </w:rPr>
              <w:t>MFF Heading</w:t>
            </w:r>
          </w:p>
        </w:tc>
        <w:tc>
          <w:tcPr>
            <w:tcW w:w="1701" w:type="dxa"/>
            <w:tcBorders>
              <w:top w:val="single" w:sz="4" w:space="0" w:color="auto"/>
              <w:left w:val="nil"/>
              <w:bottom w:val="single" w:sz="8" w:space="0" w:color="auto"/>
              <w:right w:val="nil"/>
            </w:tcBorders>
            <w:shd w:val="clear" w:color="auto" w:fill="E48C32"/>
            <w:vAlign w:val="center"/>
            <w:hideMark/>
          </w:tcPr>
          <w:p>
            <w:pPr>
              <w:jc w:val="center"/>
              <w:rPr>
                <w:rFonts w:cs="Arial"/>
                <w:b/>
                <w:noProof/>
                <w:color w:val="FFFFFF"/>
                <w:sz w:val="18"/>
                <w:szCs w:val="18"/>
              </w:rPr>
            </w:pPr>
            <w:r>
              <w:rPr>
                <w:rFonts w:cs="Arial"/>
                <w:b/>
                <w:noProof/>
                <w:color w:val="FFFFFF"/>
                <w:sz w:val="18"/>
                <w:szCs w:val="18"/>
              </w:rPr>
              <w:t>Net financial corrections implemented in 2018</w:t>
            </w:r>
          </w:p>
        </w:tc>
        <w:tc>
          <w:tcPr>
            <w:tcW w:w="1983" w:type="dxa"/>
            <w:tcBorders>
              <w:top w:val="single" w:sz="4" w:space="0" w:color="auto"/>
              <w:left w:val="single" w:sz="8" w:space="0" w:color="auto"/>
              <w:bottom w:val="single" w:sz="8" w:space="0" w:color="auto"/>
              <w:right w:val="single" w:sz="8" w:space="0" w:color="auto"/>
            </w:tcBorders>
            <w:shd w:val="clear" w:color="auto" w:fill="E48C32"/>
            <w:vAlign w:val="center"/>
            <w:hideMark/>
          </w:tcPr>
          <w:p>
            <w:pPr>
              <w:jc w:val="center"/>
              <w:rPr>
                <w:rFonts w:cs="Arial"/>
                <w:b/>
                <w:noProof/>
                <w:color w:val="FFFFFF"/>
                <w:sz w:val="18"/>
                <w:szCs w:val="18"/>
              </w:rPr>
            </w:pPr>
            <w:r>
              <w:rPr>
                <w:rFonts w:cs="Arial"/>
                <w:b/>
                <w:noProof/>
                <w:color w:val="FFFFFF"/>
                <w:sz w:val="18"/>
                <w:szCs w:val="18"/>
              </w:rPr>
              <w:t>Financial corrections with replacement of expenditure and other corrections implemented in 2018</w:t>
            </w:r>
          </w:p>
        </w:tc>
        <w:tc>
          <w:tcPr>
            <w:tcW w:w="1985" w:type="dxa"/>
            <w:tcBorders>
              <w:top w:val="single" w:sz="4" w:space="0" w:color="auto"/>
              <w:left w:val="nil"/>
              <w:bottom w:val="single" w:sz="8" w:space="0" w:color="auto"/>
              <w:right w:val="single" w:sz="8" w:space="0" w:color="auto"/>
            </w:tcBorders>
            <w:shd w:val="clear" w:color="auto" w:fill="E48C32"/>
            <w:vAlign w:val="center"/>
            <w:hideMark/>
          </w:tcPr>
          <w:p>
            <w:pPr>
              <w:jc w:val="center"/>
              <w:rPr>
                <w:rFonts w:cs="Arial"/>
                <w:b/>
                <w:noProof/>
                <w:color w:val="FFFFFF"/>
                <w:sz w:val="18"/>
                <w:szCs w:val="18"/>
              </w:rPr>
            </w:pPr>
            <w:r>
              <w:rPr>
                <w:rFonts w:cs="Arial"/>
                <w:b/>
                <w:noProof/>
                <w:color w:val="FFFFFF"/>
                <w:sz w:val="18"/>
                <w:szCs w:val="18"/>
              </w:rPr>
              <w:t xml:space="preserve">Total financial corrections </w:t>
            </w:r>
            <w:r>
              <w:rPr>
                <w:rFonts w:cs="Arial"/>
                <w:b/>
                <w:noProof/>
                <w:color w:val="FFFFFF"/>
                <w:sz w:val="18"/>
                <w:szCs w:val="18"/>
                <w:u w:val="single"/>
              </w:rPr>
              <w:t>implemented</w:t>
            </w:r>
            <w:r>
              <w:rPr>
                <w:rFonts w:cs="Arial"/>
                <w:b/>
                <w:noProof/>
                <w:color w:val="FFFFFF"/>
                <w:sz w:val="18"/>
                <w:szCs w:val="18"/>
              </w:rPr>
              <w:t xml:space="preserve"> in 2018</w:t>
            </w:r>
          </w:p>
        </w:tc>
      </w:tr>
      <w:tr>
        <w:trPr>
          <w:trHeight w:val="270"/>
          <w:jc w:val="center"/>
        </w:trPr>
        <w:tc>
          <w:tcPr>
            <w:tcW w:w="3403" w:type="dxa"/>
            <w:tcBorders>
              <w:top w:val="nil"/>
              <w:left w:val="single" w:sz="8" w:space="0" w:color="auto"/>
              <w:bottom w:val="single" w:sz="8" w:space="0" w:color="auto"/>
              <w:right w:val="single" w:sz="8" w:space="0" w:color="auto"/>
            </w:tcBorders>
            <w:shd w:val="clear" w:color="000000" w:fill="D9D9D9"/>
            <w:noWrap/>
            <w:vAlign w:val="center"/>
            <w:hideMark/>
          </w:tcPr>
          <w:p>
            <w:pPr>
              <w:rPr>
                <w:rFonts w:cs="Arial"/>
                <w:b/>
                <w:i/>
                <w:noProof/>
                <w:color w:val="000000"/>
                <w:sz w:val="18"/>
                <w:szCs w:val="18"/>
              </w:rPr>
            </w:pPr>
            <w:r>
              <w:rPr>
                <w:rFonts w:cs="Arial"/>
                <w:b/>
                <w:i/>
                <w:noProof/>
                <w:color w:val="000000"/>
                <w:sz w:val="18"/>
                <w:szCs w:val="18"/>
              </w:rPr>
              <w:t>Smart &amp; inclusive growth</w:t>
            </w:r>
          </w:p>
        </w:tc>
        <w:tc>
          <w:tcPr>
            <w:tcW w:w="1701" w:type="dxa"/>
            <w:tcBorders>
              <w:top w:val="nil"/>
              <w:left w:val="nil"/>
              <w:bottom w:val="single" w:sz="8" w:space="0" w:color="auto"/>
              <w:right w:val="nil"/>
            </w:tcBorders>
            <w:shd w:val="clear" w:color="000000" w:fill="D9D9D9"/>
            <w:hideMark/>
          </w:tcPr>
          <w:p>
            <w:pPr>
              <w:jc w:val="right"/>
              <w:rPr>
                <w:b/>
                <w:i/>
                <w:noProof/>
                <w:sz w:val="18"/>
                <w:szCs w:val="18"/>
              </w:rPr>
            </w:pPr>
            <w:r>
              <w:rPr>
                <w:rFonts w:cs="Arial"/>
                <w:b/>
                <w:bCs/>
                <w:i/>
                <w:iCs/>
                <w:noProof/>
                <w:sz w:val="18"/>
                <w:szCs w:val="18"/>
              </w:rPr>
              <w:t xml:space="preserve"> 96</w:t>
            </w:r>
          </w:p>
        </w:tc>
        <w:tc>
          <w:tcPr>
            <w:tcW w:w="1983" w:type="dxa"/>
            <w:tcBorders>
              <w:top w:val="nil"/>
              <w:left w:val="single" w:sz="8" w:space="0" w:color="auto"/>
              <w:bottom w:val="single" w:sz="8" w:space="0" w:color="auto"/>
              <w:right w:val="single" w:sz="8" w:space="0" w:color="auto"/>
            </w:tcBorders>
            <w:shd w:val="clear" w:color="000000" w:fill="D9D9D9"/>
            <w:hideMark/>
          </w:tcPr>
          <w:p>
            <w:pPr>
              <w:jc w:val="right"/>
              <w:rPr>
                <w:b/>
                <w:i/>
                <w:noProof/>
                <w:sz w:val="18"/>
                <w:szCs w:val="18"/>
              </w:rPr>
            </w:pPr>
            <w:r>
              <w:rPr>
                <w:rFonts w:cs="Arial"/>
                <w:b/>
                <w:bCs/>
                <w:i/>
                <w:iCs/>
                <w:noProof/>
                <w:sz w:val="18"/>
                <w:szCs w:val="18"/>
              </w:rPr>
              <w:t xml:space="preserve"> 971</w:t>
            </w:r>
          </w:p>
        </w:tc>
        <w:tc>
          <w:tcPr>
            <w:tcW w:w="1985" w:type="dxa"/>
            <w:tcBorders>
              <w:top w:val="nil"/>
              <w:left w:val="nil"/>
              <w:bottom w:val="single" w:sz="8" w:space="0" w:color="auto"/>
              <w:right w:val="single" w:sz="8" w:space="0" w:color="auto"/>
            </w:tcBorders>
            <w:shd w:val="clear" w:color="000000" w:fill="D9D9D9"/>
            <w:hideMark/>
          </w:tcPr>
          <w:p>
            <w:pPr>
              <w:jc w:val="right"/>
              <w:rPr>
                <w:b/>
                <w:i/>
                <w:noProof/>
                <w:sz w:val="18"/>
                <w:szCs w:val="18"/>
              </w:rPr>
            </w:pPr>
            <w:r>
              <w:rPr>
                <w:rFonts w:cs="Arial"/>
                <w:b/>
                <w:bCs/>
                <w:i/>
                <w:iCs/>
                <w:noProof/>
                <w:sz w:val="18"/>
                <w:szCs w:val="18"/>
              </w:rPr>
              <w:t>1 067</w:t>
            </w:r>
          </w:p>
        </w:tc>
      </w:tr>
      <w:tr>
        <w:trPr>
          <w:trHeight w:val="255"/>
          <w:jc w:val="center"/>
        </w:trPr>
        <w:tc>
          <w:tcPr>
            <w:tcW w:w="3403" w:type="dxa"/>
            <w:tcBorders>
              <w:top w:val="nil"/>
              <w:left w:val="single" w:sz="8" w:space="0" w:color="auto"/>
              <w:bottom w:val="nil"/>
              <w:right w:val="single" w:sz="8" w:space="0" w:color="auto"/>
            </w:tcBorders>
            <w:shd w:val="clear" w:color="auto" w:fill="auto"/>
            <w:noWrap/>
            <w:vAlign w:val="center"/>
            <w:hideMark/>
          </w:tcPr>
          <w:p>
            <w:pPr>
              <w:rPr>
                <w:rFonts w:cs="Arial"/>
                <w:i/>
                <w:noProof/>
                <w:color w:val="000000"/>
                <w:sz w:val="18"/>
                <w:szCs w:val="18"/>
              </w:rPr>
            </w:pPr>
            <w:r>
              <w:rPr>
                <w:rFonts w:cs="Arial"/>
                <w:i/>
                <w:noProof/>
                <w:color w:val="000000"/>
                <w:sz w:val="18"/>
                <w:szCs w:val="18"/>
              </w:rPr>
              <w:t>European Regional Development Fund</w:t>
            </w:r>
          </w:p>
        </w:tc>
        <w:tc>
          <w:tcPr>
            <w:tcW w:w="1701" w:type="dxa"/>
            <w:tcBorders>
              <w:top w:val="nil"/>
              <w:left w:val="nil"/>
              <w:bottom w:val="nil"/>
              <w:right w:val="nil"/>
            </w:tcBorders>
            <w:shd w:val="clear" w:color="auto" w:fill="auto"/>
            <w:hideMark/>
          </w:tcPr>
          <w:p>
            <w:pPr>
              <w:jc w:val="right"/>
              <w:rPr>
                <w:noProof/>
                <w:sz w:val="18"/>
                <w:szCs w:val="18"/>
              </w:rPr>
            </w:pPr>
            <w:r>
              <w:rPr>
                <w:rFonts w:cs="Arial"/>
                <w:noProof/>
                <w:sz w:val="18"/>
                <w:szCs w:val="18"/>
              </w:rPr>
              <w:t xml:space="preserve"> 95</w:t>
            </w:r>
          </w:p>
        </w:tc>
        <w:tc>
          <w:tcPr>
            <w:tcW w:w="1983" w:type="dxa"/>
            <w:tcBorders>
              <w:top w:val="nil"/>
              <w:left w:val="single" w:sz="8" w:space="0" w:color="auto"/>
              <w:bottom w:val="nil"/>
              <w:right w:val="single" w:sz="8" w:space="0" w:color="auto"/>
            </w:tcBorders>
            <w:shd w:val="clear" w:color="auto" w:fill="auto"/>
            <w:hideMark/>
          </w:tcPr>
          <w:p>
            <w:pPr>
              <w:jc w:val="right"/>
              <w:rPr>
                <w:noProof/>
                <w:sz w:val="18"/>
                <w:szCs w:val="18"/>
              </w:rPr>
            </w:pPr>
            <w:r>
              <w:rPr>
                <w:rFonts w:cs="Arial"/>
                <w:noProof/>
                <w:sz w:val="18"/>
                <w:szCs w:val="18"/>
              </w:rPr>
              <w:t xml:space="preserve"> 912</w:t>
            </w:r>
          </w:p>
        </w:tc>
        <w:tc>
          <w:tcPr>
            <w:tcW w:w="1985" w:type="dxa"/>
            <w:tcBorders>
              <w:top w:val="single" w:sz="8" w:space="0" w:color="auto"/>
              <w:left w:val="nil"/>
              <w:bottom w:val="nil"/>
              <w:right w:val="single" w:sz="8" w:space="0" w:color="auto"/>
            </w:tcBorders>
            <w:shd w:val="clear" w:color="auto" w:fill="E9AE46"/>
            <w:hideMark/>
          </w:tcPr>
          <w:p>
            <w:pPr>
              <w:jc w:val="right"/>
              <w:rPr>
                <w:b/>
                <w:noProof/>
                <w:sz w:val="18"/>
                <w:szCs w:val="18"/>
              </w:rPr>
            </w:pPr>
            <w:r>
              <w:rPr>
                <w:rFonts w:cs="Arial"/>
                <w:b/>
                <w:bCs/>
                <w:noProof/>
                <w:sz w:val="18"/>
                <w:szCs w:val="18"/>
              </w:rPr>
              <w:t>1 007</w:t>
            </w:r>
          </w:p>
        </w:tc>
      </w:tr>
      <w:tr>
        <w:trPr>
          <w:trHeight w:val="255"/>
          <w:jc w:val="center"/>
        </w:trPr>
        <w:tc>
          <w:tcPr>
            <w:tcW w:w="3403" w:type="dxa"/>
            <w:tcBorders>
              <w:top w:val="nil"/>
              <w:left w:val="single" w:sz="8" w:space="0" w:color="auto"/>
              <w:bottom w:val="nil"/>
              <w:right w:val="single" w:sz="8" w:space="0" w:color="auto"/>
            </w:tcBorders>
            <w:shd w:val="clear" w:color="auto" w:fill="auto"/>
            <w:noWrap/>
            <w:vAlign w:val="center"/>
            <w:hideMark/>
          </w:tcPr>
          <w:p>
            <w:pPr>
              <w:rPr>
                <w:rFonts w:cs="Arial"/>
                <w:i/>
                <w:noProof/>
                <w:color w:val="000000"/>
                <w:sz w:val="18"/>
                <w:szCs w:val="18"/>
              </w:rPr>
            </w:pPr>
            <w:r>
              <w:rPr>
                <w:rFonts w:cs="Arial"/>
                <w:i/>
                <w:noProof/>
                <w:color w:val="000000"/>
                <w:sz w:val="18"/>
                <w:szCs w:val="18"/>
              </w:rPr>
              <w:t>Cohesion Fund</w:t>
            </w:r>
          </w:p>
        </w:tc>
        <w:tc>
          <w:tcPr>
            <w:tcW w:w="1701" w:type="dxa"/>
            <w:tcBorders>
              <w:top w:val="nil"/>
              <w:left w:val="nil"/>
              <w:bottom w:val="nil"/>
              <w:right w:val="nil"/>
            </w:tcBorders>
            <w:shd w:val="clear" w:color="auto" w:fill="auto"/>
            <w:hideMark/>
          </w:tcPr>
          <w:p>
            <w:pPr>
              <w:jc w:val="right"/>
              <w:rPr>
                <w:noProof/>
                <w:sz w:val="18"/>
                <w:szCs w:val="18"/>
              </w:rPr>
            </w:pPr>
            <w:r>
              <w:rPr>
                <w:rFonts w:cs="Arial"/>
                <w:noProof/>
                <w:sz w:val="18"/>
                <w:szCs w:val="18"/>
              </w:rPr>
              <w:t xml:space="preserve"> 1</w:t>
            </w:r>
          </w:p>
        </w:tc>
        <w:tc>
          <w:tcPr>
            <w:tcW w:w="1983" w:type="dxa"/>
            <w:tcBorders>
              <w:top w:val="nil"/>
              <w:left w:val="single" w:sz="8" w:space="0" w:color="auto"/>
              <w:bottom w:val="nil"/>
              <w:right w:val="single" w:sz="8" w:space="0" w:color="auto"/>
            </w:tcBorders>
            <w:shd w:val="clear" w:color="auto" w:fill="auto"/>
            <w:hideMark/>
          </w:tcPr>
          <w:p>
            <w:pPr>
              <w:jc w:val="right"/>
              <w:rPr>
                <w:noProof/>
                <w:sz w:val="18"/>
                <w:szCs w:val="18"/>
              </w:rPr>
            </w:pPr>
            <w:r>
              <w:rPr>
                <w:rFonts w:cs="Arial"/>
                <w:noProof/>
                <w:sz w:val="18"/>
                <w:szCs w:val="18"/>
              </w:rPr>
              <w:t xml:space="preserve"> 47</w:t>
            </w:r>
          </w:p>
        </w:tc>
        <w:tc>
          <w:tcPr>
            <w:tcW w:w="1985" w:type="dxa"/>
            <w:tcBorders>
              <w:top w:val="nil"/>
              <w:left w:val="nil"/>
              <w:bottom w:val="nil"/>
              <w:right w:val="single" w:sz="8" w:space="0" w:color="auto"/>
            </w:tcBorders>
            <w:shd w:val="clear" w:color="auto" w:fill="E9AE46"/>
            <w:hideMark/>
          </w:tcPr>
          <w:p>
            <w:pPr>
              <w:jc w:val="right"/>
              <w:rPr>
                <w:b/>
                <w:noProof/>
                <w:sz w:val="18"/>
                <w:szCs w:val="18"/>
              </w:rPr>
            </w:pPr>
            <w:r>
              <w:rPr>
                <w:rFonts w:cs="Arial"/>
                <w:b/>
                <w:bCs/>
                <w:noProof/>
                <w:sz w:val="18"/>
                <w:szCs w:val="18"/>
              </w:rPr>
              <w:t xml:space="preserve"> 48</w:t>
            </w:r>
          </w:p>
        </w:tc>
      </w:tr>
      <w:tr>
        <w:trPr>
          <w:trHeight w:val="270"/>
          <w:jc w:val="center"/>
        </w:trPr>
        <w:tc>
          <w:tcPr>
            <w:tcW w:w="3403" w:type="dxa"/>
            <w:tcBorders>
              <w:top w:val="nil"/>
              <w:left w:val="single" w:sz="8" w:space="0" w:color="auto"/>
              <w:bottom w:val="nil"/>
              <w:right w:val="single" w:sz="8" w:space="0" w:color="auto"/>
            </w:tcBorders>
            <w:shd w:val="clear" w:color="auto" w:fill="auto"/>
            <w:noWrap/>
            <w:vAlign w:val="center"/>
            <w:hideMark/>
          </w:tcPr>
          <w:p>
            <w:pPr>
              <w:rPr>
                <w:rFonts w:cs="Arial"/>
                <w:i/>
                <w:noProof/>
                <w:color w:val="000000"/>
                <w:sz w:val="18"/>
                <w:szCs w:val="18"/>
              </w:rPr>
            </w:pPr>
            <w:r>
              <w:rPr>
                <w:rFonts w:cs="Arial"/>
                <w:i/>
                <w:noProof/>
                <w:color w:val="000000"/>
                <w:sz w:val="18"/>
                <w:szCs w:val="18"/>
              </w:rPr>
              <w:t>European Social Fund</w:t>
            </w:r>
          </w:p>
        </w:tc>
        <w:tc>
          <w:tcPr>
            <w:tcW w:w="1701" w:type="dxa"/>
            <w:tcBorders>
              <w:top w:val="nil"/>
              <w:left w:val="nil"/>
              <w:bottom w:val="nil"/>
              <w:right w:val="nil"/>
            </w:tcBorders>
            <w:shd w:val="clear" w:color="auto" w:fill="auto"/>
            <w:hideMark/>
          </w:tcPr>
          <w:p>
            <w:pPr>
              <w:jc w:val="right"/>
              <w:rPr>
                <w:noProof/>
                <w:sz w:val="18"/>
                <w:szCs w:val="18"/>
              </w:rPr>
            </w:pPr>
            <w:r>
              <w:rPr>
                <w:rFonts w:cs="Arial"/>
                <w:noProof/>
                <w:sz w:val="18"/>
                <w:szCs w:val="18"/>
              </w:rPr>
              <w:t xml:space="preserve"> 0</w:t>
            </w:r>
          </w:p>
        </w:tc>
        <w:tc>
          <w:tcPr>
            <w:tcW w:w="1983" w:type="dxa"/>
            <w:tcBorders>
              <w:top w:val="nil"/>
              <w:left w:val="single" w:sz="8" w:space="0" w:color="auto"/>
              <w:bottom w:val="nil"/>
              <w:right w:val="single" w:sz="8" w:space="0" w:color="auto"/>
            </w:tcBorders>
            <w:shd w:val="clear" w:color="auto" w:fill="auto"/>
            <w:hideMark/>
          </w:tcPr>
          <w:p>
            <w:pPr>
              <w:jc w:val="right"/>
              <w:rPr>
                <w:noProof/>
                <w:sz w:val="18"/>
                <w:szCs w:val="18"/>
              </w:rPr>
            </w:pPr>
            <w:r>
              <w:rPr>
                <w:rFonts w:cs="Arial"/>
                <w:noProof/>
                <w:sz w:val="18"/>
                <w:szCs w:val="18"/>
              </w:rPr>
              <w:t xml:space="preserve"> 12</w:t>
            </w:r>
          </w:p>
        </w:tc>
        <w:tc>
          <w:tcPr>
            <w:tcW w:w="1985" w:type="dxa"/>
            <w:tcBorders>
              <w:top w:val="nil"/>
              <w:left w:val="nil"/>
              <w:bottom w:val="single" w:sz="8" w:space="0" w:color="auto"/>
              <w:right w:val="single" w:sz="8" w:space="0" w:color="auto"/>
            </w:tcBorders>
            <w:shd w:val="clear" w:color="auto" w:fill="E9AE46"/>
            <w:hideMark/>
          </w:tcPr>
          <w:p>
            <w:pPr>
              <w:jc w:val="right"/>
              <w:rPr>
                <w:b/>
                <w:noProof/>
                <w:sz w:val="18"/>
                <w:szCs w:val="18"/>
              </w:rPr>
            </w:pPr>
            <w:r>
              <w:rPr>
                <w:rFonts w:cs="Arial"/>
                <w:b/>
                <w:bCs/>
                <w:noProof/>
                <w:sz w:val="18"/>
                <w:szCs w:val="18"/>
              </w:rPr>
              <w:t xml:space="preserve"> 12</w:t>
            </w:r>
          </w:p>
        </w:tc>
      </w:tr>
      <w:tr>
        <w:trPr>
          <w:trHeight w:val="270"/>
          <w:jc w:val="center"/>
        </w:trPr>
        <w:tc>
          <w:tcPr>
            <w:tcW w:w="3403"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pPr>
              <w:rPr>
                <w:rFonts w:cs="Arial"/>
                <w:b/>
                <w:i/>
                <w:noProof/>
                <w:color w:val="000000"/>
                <w:sz w:val="18"/>
                <w:szCs w:val="18"/>
              </w:rPr>
            </w:pPr>
            <w:r>
              <w:rPr>
                <w:rFonts w:cs="Arial"/>
                <w:b/>
                <w:i/>
                <w:noProof/>
                <w:color w:val="000000"/>
                <w:sz w:val="18"/>
                <w:szCs w:val="18"/>
              </w:rPr>
              <w:t>Sustainable growth: natural resources</w:t>
            </w:r>
          </w:p>
        </w:tc>
        <w:tc>
          <w:tcPr>
            <w:tcW w:w="1701" w:type="dxa"/>
            <w:tcBorders>
              <w:top w:val="single" w:sz="8" w:space="0" w:color="auto"/>
              <w:left w:val="nil"/>
              <w:bottom w:val="single" w:sz="8" w:space="0" w:color="auto"/>
              <w:right w:val="single" w:sz="8" w:space="0" w:color="auto"/>
            </w:tcBorders>
            <w:shd w:val="clear" w:color="000000" w:fill="D9D9D9"/>
            <w:hideMark/>
          </w:tcPr>
          <w:p>
            <w:pPr>
              <w:jc w:val="right"/>
              <w:rPr>
                <w:b/>
                <w:i/>
                <w:noProof/>
                <w:sz w:val="18"/>
                <w:szCs w:val="18"/>
              </w:rPr>
            </w:pPr>
            <w:r>
              <w:rPr>
                <w:rFonts w:cs="Arial"/>
                <w:b/>
                <w:bCs/>
                <w:i/>
                <w:iCs/>
                <w:noProof/>
                <w:sz w:val="18"/>
                <w:szCs w:val="18"/>
              </w:rPr>
              <w:t>1 132</w:t>
            </w:r>
          </w:p>
        </w:tc>
        <w:tc>
          <w:tcPr>
            <w:tcW w:w="1983" w:type="dxa"/>
            <w:tcBorders>
              <w:top w:val="single" w:sz="8" w:space="0" w:color="auto"/>
              <w:left w:val="nil"/>
              <w:bottom w:val="single" w:sz="8" w:space="0" w:color="auto"/>
              <w:right w:val="single" w:sz="8" w:space="0" w:color="auto"/>
            </w:tcBorders>
            <w:shd w:val="clear" w:color="000000" w:fill="D9D9D9"/>
            <w:hideMark/>
          </w:tcPr>
          <w:p>
            <w:pPr>
              <w:jc w:val="right"/>
              <w:rPr>
                <w:b/>
                <w:i/>
                <w:noProof/>
                <w:sz w:val="18"/>
                <w:szCs w:val="18"/>
              </w:rPr>
            </w:pPr>
            <w:r>
              <w:rPr>
                <w:rFonts w:cs="Arial"/>
                <w:b/>
                <w:bCs/>
                <w:i/>
                <w:iCs/>
                <w:noProof/>
                <w:sz w:val="18"/>
                <w:szCs w:val="18"/>
              </w:rPr>
              <w:t xml:space="preserve"> 87</w:t>
            </w:r>
          </w:p>
        </w:tc>
        <w:tc>
          <w:tcPr>
            <w:tcW w:w="1985" w:type="dxa"/>
            <w:tcBorders>
              <w:top w:val="single" w:sz="8" w:space="0" w:color="auto"/>
              <w:left w:val="nil"/>
              <w:bottom w:val="single" w:sz="8" w:space="0" w:color="auto"/>
              <w:right w:val="single" w:sz="8" w:space="0" w:color="auto"/>
            </w:tcBorders>
            <w:shd w:val="clear" w:color="000000" w:fill="D9D9D9"/>
            <w:hideMark/>
          </w:tcPr>
          <w:p>
            <w:pPr>
              <w:jc w:val="right"/>
              <w:rPr>
                <w:b/>
                <w:i/>
                <w:noProof/>
                <w:sz w:val="18"/>
                <w:szCs w:val="18"/>
              </w:rPr>
            </w:pPr>
            <w:r>
              <w:rPr>
                <w:rFonts w:cs="Arial"/>
                <w:b/>
                <w:bCs/>
                <w:i/>
                <w:iCs/>
                <w:noProof/>
                <w:sz w:val="18"/>
                <w:szCs w:val="18"/>
              </w:rPr>
              <w:t>1 219</w:t>
            </w:r>
          </w:p>
        </w:tc>
      </w:tr>
      <w:tr>
        <w:trPr>
          <w:trHeight w:val="255"/>
          <w:jc w:val="center"/>
        </w:trPr>
        <w:tc>
          <w:tcPr>
            <w:tcW w:w="3403" w:type="dxa"/>
            <w:tcBorders>
              <w:top w:val="nil"/>
              <w:left w:val="single" w:sz="8" w:space="0" w:color="auto"/>
              <w:bottom w:val="nil"/>
              <w:right w:val="single" w:sz="8" w:space="0" w:color="auto"/>
            </w:tcBorders>
            <w:shd w:val="clear" w:color="auto" w:fill="auto"/>
            <w:noWrap/>
            <w:vAlign w:val="center"/>
            <w:hideMark/>
          </w:tcPr>
          <w:p>
            <w:pPr>
              <w:rPr>
                <w:rFonts w:cs="Arial"/>
                <w:i/>
                <w:noProof/>
                <w:color w:val="000000"/>
                <w:sz w:val="18"/>
                <w:szCs w:val="18"/>
              </w:rPr>
            </w:pPr>
            <w:r>
              <w:rPr>
                <w:rFonts w:cs="Arial"/>
                <w:i/>
                <w:noProof/>
                <w:color w:val="000000"/>
                <w:sz w:val="18"/>
                <w:szCs w:val="18"/>
              </w:rPr>
              <w:t>European Agricultural Guarantee Fund</w:t>
            </w:r>
          </w:p>
        </w:tc>
        <w:tc>
          <w:tcPr>
            <w:tcW w:w="1701" w:type="dxa"/>
            <w:tcBorders>
              <w:top w:val="nil"/>
              <w:left w:val="nil"/>
              <w:bottom w:val="nil"/>
              <w:right w:val="nil"/>
            </w:tcBorders>
            <w:shd w:val="clear" w:color="auto" w:fill="auto"/>
            <w:hideMark/>
          </w:tcPr>
          <w:p>
            <w:pPr>
              <w:jc w:val="right"/>
              <w:rPr>
                <w:noProof/>
                <w:sz w:val="18"/>
                <w:szCs w:val="18"/>
              </w:rPr>
            </w:pPr>
            <w:r>
              <w:rPr>
                <w:rFonts w:cs="Arial"/>
                <w:noProof/>
                <w:sz w:val="18"/>
                <w:szCs w:val="18"/>
              </w:rPr>
              <w:t xml:space="preserve"> 745</w:t>
            </w:r>
          </w:p>
        </w:tc>
        <w:tc>
          <w:tcPr>
            <w:tcW w:w="1983" w:type="dxa"/>
            <w:tcBorders>
              <w:top w:val="nil"/>
              <w:left w:val="single" w:sz="8" w:space="0" w:color="auto"/>
              <w:bottom w:val="nil"/>
              <w:right w:val="single" w:sz="8" w:space="0" w:color="auto"/>
            </w:tcBorders>
            <w:shd w:val="clear" w:color="auto" w:fill="auto"/>
            <w:hideMark/>
          </w:tcPr>
          <w:p>
            <w:pPr>
              <w:jc w:val="right"/>
              <w:rPr>
                <w:noProof/>
                <w:sz w:val="18"/>
                <w:szCs w:val="18"/>
              </w:rPr>
            </w:pPr>
            <w:r>
              <w:rPr>
                <w:rFonts w:cs="Arial"/>
                <w:noProof/>
                <w:sz w:val="18"/>
                <w:szCs w:val="18"/>
              </w:rPr>
              <w:t xml:space="preserve"> 87</w:t>
            </w:r>
          </w:p>
        </w:tc>
        <w:tc>
          <w:tcPr>
            <w:tcW w:w="1985" w:type="dxa"/>
            <w:tcBorders>
              <w:top w:val="single" w:sz="8" w:space="0" w:color="auto"/>
              <w:left w:val="nil"/>
              <w:bottom w:val="nil"/>
              <w:right w:val="single" w:sz="8" w:space="0" w:color="auto"/>
            </w:tcBorders>
            <w:shd w:val="clear" w:color="auto" w:fill="E9AE46"/>
            <w:hideMark/>
          </w:tcPr>
          <w:p>
            <w:pPr>
              <w:jc w:val="right"/>
              <w:rPr>
                <w:b/>
                <w:noProof/>
                <w:sz w:val="18"/>
                <w:szCs w:val="18"/>
              </w:rPr>
            </w:pPr>
            <w:r>
              <w:rPr>
                <w:rFonts w:cs="Arial"/>
                <w:b/>
                <w:bCs/>
                <w:noProof/>
                <w:sz w:val="18"/>
                <w:szCs w:val="18"/>
              </w:rPr>
              <w:t xml:space="preserve"> 832</w:t>
            </w:r>
          </w:p>
        </w:tc>
      </w:tr>
      <w:tr>
        <w:trPr>
          <w:trHeight w:val="255"/>
          <w:jc w:val="center"/>
        </w:trPr>
        <w:tc>
          <w:tcPr>
            <w:tcW w:w="3403" w:type="dxa"/>
            <w:tcBorders>
              <w:top w:val="nil"/>
              <w:left w:val="single" w:sz="8" w:space="0" w:color="auto"/>
              <w:bottom w:val="nil"/>
              <w:right w:val="single" w:sz="8" w:space="0" w:color="auto"/>
            </w:tcBorders>
            <w:shd w:val="clear" w:color="auto" w:fill="auto"/>
            <w:noWrap/>
            <w:vAlign w:val="center"/>
            <w:hideMark/>
          </w:tcPr>
          <w:p>
            <w:pPr>
              <w:rPr>
                <w:rFonts w:cs="Arial"/>
                <w:i/>
                <w:noProof/>
                <w:color w:val="000000"/>
                <w:sz w:val="18"/>
                <w:szCs w:val="18"/>
              </w:rPr>
            </w:pPr>
            <w:r>
              <w:rPr>
                <w:rFonts w:cs="Arial"/>
                <w:i/>
                <w:noProof/>
                <w:color w:val="000000"/>
                <w:sz w:val="18"/>
                <w:szCs w:val="18"/>
              </w:rPr>
              <w:t>Rural Development</w:t>
            </w:r>
          </w:p>
        </w:tc>
        <w:tc>
          <w:tcPr>
            <w:tcW w:w="1701" w:type="dxa"/>
            <w:tcBorders>
              <w:top w:val="nil"/>
              <w:left w:val="nil"/>
              <w:bottom w:val="nil"/>
              <w:right w:val="nil"/>
            </w:tcBorders>
            <w:shd w:val="clear" w:color="auto" w:fill="auto"/>
            <w:hideMark/>
          </w:tcPr>
          <w:p>
            <w:pPr>
              <w:jc w:val="right"/>
              <w:rPr>
                <w:noProof/>
                <w:sz w:val="18"/>
                <w:szCs w:val="18"/>
              </w:rPr>
            </w:pPr>
            <w:r>
              <w:rPr>
                <w:rFonts w:cs="Arial"/>
                <w:noProof/>
                <w:sz w:val="18"/>
                <w:szCs w:val="18"/>
              </w:rPr>
              <w:t xml:space="preserve"> 387</w:t>
            </w:r>
          </w:p>
        </w:tc>
        <w:tc>
          <w:tcPr>
            <w:tcW w:w="1983" w:type="dxa"/>
            <w:tcBorders>
              <w:top w:val="nil"/>
              <w:left w:val="single" w:sz="8" w:space="0" w:color="auto"/>
              <w:bottom w:val="nil"/>
              <w:right w:val="single" w:sz="8" w:space="0" w:color="auto"/>
            </w:tcBorders>
            <w:shd w:val="clear" w:color="auto" w:fill="auto"/>
            <w:hideMark/>
          </w:tcPr>
          <w:p>
            <w:pPr>
              <w:jc w:val="right"/>
              <w:rPr>
                <w:b/>
                <w:noProof/>
                <w:sz w:val="18"/>
                <w:szCs w:val="18"/>
              </w:rPr>
            </w:pPr>
            <w:r>
              <w:rPr>
                <w:rFonts w:cs="Arial"/>
                <w:b/>
                <w:bCs/>
                <w:noProof/>
                <w:sz w:val="18"/>
                <w:szCs w:val="18"/>
              </w:rPr>
              <w:t>-</w:t>
            </w:r>
          </w:p>
        </w:tc>
        <w:tc>
          <w:tcPr>
            <w:tcW w:w="1985" w:type="dxa"/>
            <w:tcBorders>
              <w:top w:val="nil"/>
              <w:left w:val="nil"/>
              <w:bottom w:val="nil"/>
              <w:right w:val="single" w:sz="8" w:space="0" w:color="auto"/>
            </w:tcBorders>
            <w:shd w:val="clear" w:color="auto" w:fill="E9AE46"/>
            <w:hideMark/>
          </w:tcPr>
          <w:p>
            <w:pPr>
              <w:jc w:val="right"/>
              <w:rPr>
                <w:b/>
                <w:noProof/>
                <w:sz w:val="18"/>
                <w:szCs w:val="18"/>
              </w:rPr>
            </w:pPr>
            <w:r>
              <w:rPr>
                <w:rFonts w:cs="Arial"/>
                <w:b/>
                <w:bCs/>
                <w:noProof/>
                <w:sz w:val="18"/>
                <w:szCs w:val="18"/>
              </w:rPr>
              <w:t xml:space="preserve"> 387</w:t>
            </w:r>
          </w:p>
        </w:tc>
      </w:tr>
      <w:tr>
        <w:trPr>
          <w:trHeight w:val="255"/>
          <w:jc w:val="center"/>
        </w:trPr>
        <w:tc>
          <w:tcPr>
            <w:tcW w:w="3403" w:type="dxa"/>
            <w:tcBorders>
              <w:top w:val="nil"/>
              <w:left w:val="single" w:sz="8" w:space="0" w:color="auto"/>
              <w:bottom w:val="nil"/>
              <w:right w:val="single" w:sz="8" w:space="0" w:color="auto"/>
            </w:tcBorders>
            <w:shd w:val="clear" w:color="auto" w:fill="auto"/>
            <w:noWrap/>
            <w:vAlign w:val="center"/>
            <w:hideMark/>
          </w:tcPr>
          <w:p>
            <w:pPr>
              <w:rPr>
                <w:rFonts w:cs="Arial"/>
                <w:i/>
                <w:noProof/>
                <w:color w:val="000000"/>
                <w:sz w:val="18"/>
                <w:szCs w:val="18"/>
              </w:rPr>
            </w:pPr>
            <w:r>
              <w:rPr>
                <w:rFonts w:cs="Arial"/>
                <w:i/>
                <w:noProof/>
                <w:color w:val="000000"/>
                <w:sz w:val="18"/>
                <w:szCs w:val="18"/>
              </w:rPr>
              <w:t>Financial Instrument for Fisheries Guidance /European Fisheries Fund</w:t>
            </w:r>
          </w:p>
        </w:tc>
        <w:tc>
          <w:tcPr>
            <w:tcW w:w="1701" w:type="dxa"/>
            <w:tcBorders>
              <w:top w:val="nil"/>
              <w:left w:val="nil"/>
              <w:bottom w:val="nil"/>
              <w:right w:val="nil"/>
            </w:tcBorders>
            <w:shd w:val="clear" w:color="auto" w:fill="auto"/>
            <w:hideMark/>
          </w:tcPr>
          <w:p>
            <w:pPr>
              <w:jc w:val="right"/>
              <w:rPr>
                <w:noProof/>
                <w:sz w:val="18"/>
                <w:szCs w:val="18"/>
              </w:rPr>
            </w:pPr>
            <w:r>
              <w:rPr>
                <w:rFonts w:cs="Arial"/>
                <w:noProof/>
                <w:sz w:val="18"/>
                <w:szCs w:val="18"/>
              </w:rPr>
              <w:t xml:space="preserve"> 0</w:t>
            </w:r>
          </w:p>
        </w:tc>
        <w:tc>
          <w:tcPr>
            <w:tcW w:w="1983" w:type="dxa"/>
            <w:tcBorders>
              <w:top w:val="nil"/>
              <w:left w:val="single" w:sz="8" w:space="0" w:color="auto"/>
              <w:bottom w:val="nil"/>
              <w:right w:val="single" w:sz="8" w:space="0" w:color="auto"/>
            </w:tcBorders>
            <w:shd w:val="clear" w:color="auto" w:fill="auto"/>
            <w:hideMark/>
          </w:tcPr>
          <w:p>
            <w:pPr>
              <w:jc w:val="right"/>
              <w:rPr>
                <w:noProof/>
                <w:sz w:val="18"/>
                <w:szCs w:val="18"/>
              </w:rPr>
            </w:pPr>
            <w:r>
              <w:rPr>
                <w:rFonts w:cs="Arial"/>
                <w:noProof/>
                <w:sz w:val="18"/>
                <w:szCs w:val="18"/>
              </w:rPr>
              <w:t xml:space="preserve"> 0</w:t>
            </w:r>
          </w:p>
        </w:tc>
        <w:tc>
          <w:tcPr>
            <w:tcW w:w="1985" w:type="dxa"/>
            <w:tcBorders>
              <w:top w:val="nil"/>
              <w:left w:val="nil"/>
              <w:bottom w:val="nil"/>
              <w:right w:val="single" w:sz="8" w:space="0" w:color="auto"/>
            </w:tcBorders>
            <w:shd w:val="clear" w:color="auto" w:fill="E9AE46"/>
            <w:hideMark/>
          </w:tcPr>
          <w:p>
            <w:pPr>
              <w:jc w:val="right"/>
              <w:rPr>
                <w:b/>
                <w:noProof/>
                <w:sz w:val="18"/>
                <w:szCs w:val="18"/>
              </w:rPr>
            </w:pPr>
            <w:r>
              <w:rPr>
                <w:rFonts w:cs="Arial"/>
                <w:b/>
                <w:bCs/>
                <w:noProof/>
                <w:sz w:val="18"/>
                <w:szCs w:val="18"/>
              </w:rPr>
              <w:t xml:space="preserve"> 0</w:t>
            </w:r>
          </w:p>
        </w:tc>
      </w:tr>
      <w:tr>
        <w:trPr>
          <w:trHeight w:val="270"/>
          <w:jc w:val="center"/>
        </w:trPr>
        <w:tc>
          <w:tcPr>
            <w:tcW w:w="3403" w:type="dxa"/>
            <w:tcBorders>
              <w:top w:val="nil"/>
              <w:left w:val="single" w:sz="8" w:space="0" w:color="auto"/>
              <w:bottom w:val="nil"/>
              <w:right w:val="single" w:sz="8" w:space="0" w:color="auto"/>
            </w:tcBorders>
            <w:shd w:val="clear" w:color="auto" w:fill="auto"/>
            <w:noWrap/>
            <w:vAlign w:val="center"/>
            <w:hideMark/>
          </w:tcPr>
          <w:p>
            <w:pPr>
              <w:rPr>
                <w:rFonts w:cs="Arial"/>
                <w:i/>
                <w:noProof/>
                <w:color w:val="000000"/>
                <w:sz w:val="18"/>
                <w:szCs w:val="18"/>
              </w:rPr>
            </w:pPr>
            <w:r>
              <w:rPr>
                <w:rFonts w:cs="Arial"/>
                <w:i/>
                <w:noProof/>
                <w:color w:val="000000"/>
                <w:sz w:val="18"/>
                <w:szCs w:val="18"/>
              </w:rPr>
              <w:t>European Agricultural Guidance and Guarantee Fund</w:t>
            </w:r>
          </w:p>
        </w:tc>
        <w:tc>
          <w:tcPr>
            <w:tcW w:w="1701" w:type="dxa"/>
            <w:tcBorders>
              <w:top w:val="nil"/>
              <w:left w:val="nil"/>
              <w:bottom w:val="nil"/>
              <w:right w:val="nil"/>
            </w:tcBorders>
            <w:shd w:val="clear" w:color="auto" w:fill="auto"/>
            <w:hideMark/>
          </w:tcPr>
          <w:p>
            <w:pPr>
              <w:jc w:val="right"/>
              <w:rPr>
                <w:noProof/>
                <w:sz w:val="18"/>
                <w:szCs w:val="18"/>
              </w:rPr>
            </w:pPr>
            <w:r>
              <w:rPr>
                <w:rFonts w:cs="Arial"/>
                <w:noProof/>
                <w:sz w:val="18"/>
                <w:szCs w:val="18"/>
              </w:rPr>
              <w:t>-</w:t>
            </w:r>
          </w:p>
        </w:tc>
        <w:tc>
          <w:tcPr>
            <w:tcW w:w="1983" w:type="dxa"/>
            <w:tcBorders>
              <w:top w:val="nil"/>
              <w:left w:val="single" w:sz="8" w:space="0" w:color="auto"/>
              <w:bottom w:val="nil"/>
              <w:right w:val="single" w:sz="8" w:space="0" w:color="auto"/>
            </w:tcBorders>
            <w:shd w:val="clear" w:color="auto" w:fill="auto"/>
            <w:hideMark/>
          </w:tcPr>
          <w:p>
            <w:pPr>
              <w:jc w:val="right"/>
              <w:rPr>
                <w:b/>
                <w:noProof/>
                <w:sz w:val="18"/>
                <w:szCs w:val="18"/>
              </w:rPr>
            </w:pPr>
            <w:r>
              <w:rPr>
                <w:rFonts w:cs="Arial"/>
                <w:b/>
                <w:bCs/>
                <w:noProof/>
                <w:sz w:val="18"/>
                <w:szCs w:val="18"/>
              </w:rPr>
              <w:t>-</w:t>
            </w:r>
          </w:p>
        </w:tc>
        <w:tc>
          <w:tcPr>
            <w:tcW w:w="1985" w:type="dxa"/>
            <w:tcBorders>
              <w:top w:val="nil"/>
              <w:left w:val="nil"/>
              <w:bottom w:val="single" w:sz="8" w:space="0" w:color="auto"/>
              <w:right w:val="single" w:sz="8" w:space="0" w:color="auto"/>
            </w:tcBorders>
            <w:shd w:val="clear" w:color="auto" w:fill="E9AE46"/>
            <w:hideMark/>
          </w:tcPr>
          <w:p>
            <w:pPr>
              <w:jc w:val="right"/>
              <w:rPr>
                <w:b/>
                <w:noProof/>
                <w:sz w:val="18"/>
                <w:szCs w:val="18"/>
              </w:rPr>
            </w:pPr>
            <w:r>
              <w:rPr>
                <w:rFonts w:cs="Arial"/>
                <w:b/>
                <w:bCs/>
                <w:noProof/>
                <w:sz w:val="18"/>
                <w:szCs w:val="18"/>
              </w:rPr>
              <w:t>-</w:t>
            </w:r>
          </w:p>
        </w:tc>
      </w:tr>
      <w:tr>
        <w:trPr>
          <w:trHeight w:val="270"/>
          <w:jc w:val="center"/>
        </w:trPr>
        <w:tc>
          <w:tcPr>
            <w:tcW w:w="3403"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pPr>
              <w:rPr>
                <w:rFonts w:cs="Arial"/>
                <w:b/>
                <w:i/>
                <w:noProof/>
                <w:color w:val="000000"/>
                <w:sz w:val="18"/>
                <w:szCs w:val="18"/>
              </w:rPr>
            </w:pPr>
            <w:r>
              <w:rPr>
                <w:rFonts w:cs="Arial"/>
                <w:b/>
                <w:i/>
                <w:noProof/>
                <w:color w:val="000000"/>
                <w:sz w:val="18"/>
                <w:szCs w:val="18"/>
              </w:rPr>
              <w:t xml:space="preserve">Security &amp; citizenship </w:t>
            </w:r>
          </w:p>
        </w:tc>
        <w:tc>
          <w:tcPr>
            <w:tcW w:w="1701" w:type="dxa"/>
            <w:tcBorders>
              <w:top w:val="single" w:sz="8" w:space="0" w:color="auto"/>
              <w:left w:val="nil"/>
              <w:bottom w:val="single" w:sz="8" w:space="0" w:color="auto"/>
              <w:right w:val="nil"/>
            </w:tcBorders>
            <w:shd w:val="clear" w:color="000000" w:fill="D9D9D9"/>
            <w:hideMark/>
          </w:tcPr>
          <w:p>
            <w:pPr>
              <w:jc w:val="right"/>
              <w:rPr>
                <w:b/>
                <w:i/>
                <w:noProof/>
                <w:sz w:val="18"/>
                <w:szCs w:val="18"/>
              </w:rPr>
            </w:pPr>
            <w:r>
              <w:rPr>
                <w:rFonts w:cs="Arial"/>
                <w:b/>
                <w:bCs/>
                <w:i/>
                <w:iCs/>
                <w:noProof/>
                <w:sz w:val="18"/>
                <w:szCs w:val="18"/>
              </w:rPr>
              <w:t xml:space="preserve"> 0</w:t>
            </w:r>
          </w:p>
        </w:tc>
        <w:tc>
          <w:tcPr>
            <w:tcW w:w="1983" w:type="dxa"/>
            <w:tcBorders>
              <w:top w:val="single" w:sz="8" w:space="0" w:color="auto"/>
              <w:left w:val="single" w:sz="8" w:space="0" w:color="auto"/>
              <w:bottom w:val="single" w:sz="8" w:space="0" w:color="auto"/>
              <w:right w:val="single" w:sz="8" w:space="0" w:color="auto"/>
            </w:tcBorders>
            <w:shd w:val="clear" w:color="000000" w:fill="D9D9D9"/>
            <w:hideMark/>
          </w:tcPr>
          <w:p>
            <w:pPr>
              <w:jc w:val="right"/>
              <w:rPr>
                <w:b/>
                <w:i/>
                <w:noProof/>
                <w:sz w:val="18"/>
                <w:szCs w:val="18"/>
              </w:rPr>
            </w:pPr>
            <w:r>
              <w:rPr>
                <w:rFonts w:cs="Arial"/>
                <w:b/>
                <w:bCs/>
                <w:i/>
                <w:iCs/>
                <w:noProof/>
                <w:sz w:val="18"/>
                <w:szCs w:val="18"/>
              </w:rPr>
              <w:t xml:space="preserve"> 1</w:t>
            </w:r>
          </w:p>
        </w:tc>
        <w:tc>
          <w:tcPr>
            <w:tcW w:w="1985" w:type="dxa"/>
            <w:tcBorders>
              <w:top w:val="single" w:sz="8" w:space="0" w:color="auto"/>
              <w:left w:val="nil"/>
              <w:bottom w:val="single" w:sz="8" w:space="0" w:color="auto"/>
              <w:right w:val="single" w:sz="8" w:space="0" w:color="auto"/>
            </w:tcBorders>
            <w:shd w:val="clear" w:color="000000" w:fill="D9D9D9"/>
            <w:hideMark/>
          </w:tcPr>
          <w:p>
            <w:pPr>
              <w:jc w:val="right"/>
              <w:rPr>
                <w:b/>
                <w:i/>
                <w:noProof/>
                <w:sz w:val="18"/>
                <w:szCs w:val="18"/>
              </w:rPr>
            </w:pPr>
            <w:r>
              <w:rPr>
                <w:rFonts w:cs="Arial"/>
                <w:b/>
                <w:bCs/>
                <w:i/>
                <w:iCs/>
                <w:noProof/>
                <w:sz w:val="18"/>
                <w:szCs w:val="18"/>
              </w:rPr>
              <w:t xml:space="preserve"> 2</w:t>
            </w:r>
          </w:p>
        </w:tc>
      </w:tr>
      <w:tr>
        <w:trPr>
          <w:trHeight w:val="270"/>
          <w:jc w:val="center"/>
        </w:trPr>
        <w:tc>
          <w:tcPr>
            <w:tcW w:w="3403" w:type="dxa"/>
            <w:tcBorders>
              <w:top w:val="nil"/>
              <w:left w:val="single" w:sz="8" w:space="0" w:color="auto"/>
              <w:bottom w:val="single" w:sz="8" w:space="0" w:color="auto"/>
              <w:right w:val="single" w:sz="8" w:space="0" w:color="auto"/>
            </w:tcBorders>
            <w:shd w:val="clear" w:color="auto" w:fill="auto"/>
            <w:noWrap/>
            <w:vAlign w:val="center"/>
            <w:hideMark/>
          </w:tcPr>
          <w:p>
            <w:pPr>
              <w:rPr>
                <w:rFonts w:cs="Arial"/>
                <w:noProof/>
                <w:color w:val="000000"/>
                <w:sz w:val="18"/>
                <w:szCs w:val="18"/>
              </w:rPr>
            </w:pPr>
            <w:r>
              <w:rPr>
                <w:rFonts w:cs="Arial"/>
                <w:noProof/>
                <w:color w:val="000000"/>
                <w:sz w:val="18"/>
                <w:szCs w:val="18"/>
              </w:rPr>
              <w:t>Migration &amp; home affairs</w:t>
            </w:r>
          </w:p>
        </w:tc>
        <w:tc>
          <w:tcPr>
            <w:tcW w:w="1701" w:type="dxa"/>
            <w:tcBorders>
              <w:top w:val="nil"/>
              <w:left w:val="nil"/>
              <w:bottom w:val="nil"/>
              <w:right w:val="nil"/>
            </w:tcBorders>
            <w:shd w:val="clear" w:color="000000" w:fill="FFFFFF"/>
            <w:noWrap/>
            <w:hideMark/>
          </w:tcPr>
          <w:p>
            <w:pPr>
              <w:jc w:val="right"/>
              <w:rPr>
                <w:noProof/>
                <w:sz w:val="18"/>
                <w:szCs w:val="18"/>
              </w:rPr>
            </w:pPr>
            <w:r>
              <w:rPr>
                <w:rFonts w:cs="Arial"/>
                <w:noProof/>
                <w:sz w:val="18"/>
                <w:szCs w:val="18"/>
              </w:rPr>
              <w:t xml:space="preserve"> 0</w:t>
            </w:r>
          </w:p>
        </w:tc>
        <w:tc>
          <w:tcPr>
            <w:tcW w:w="1983" w:type="dxa"/>
            <w:tcBorders>
              <w:top w:val="nil"/>
              <w:left w:val="single" w:sz="8" w:space="0" w:color="auto"/>
              <w:bottom w:val="nil"/>
              <w:right w:val="single" w:sz="8" w:space="0" w:color="auto"/>
            </w:tcBorders>
            <w:shd w:val="clear" w:color="000000" w:fill="FFFFFF"/>
            <w:noWrap/>
            <w:hideMark/>
          </w:tcPr>
          <w:p>
            <w:pPr>
              <w:jc w:val="right"/>
              <w:rPr>
                <w:i/>
                <w:noProof/>
                <w:sz w:val="18"/>
                <w:szCs w:val="18"/>
              </w:rPr>
            </w:pPr>
            <w:r>
              <w:rPr>
                <w:rFonts w:cs="Arial"/>
                <w:i/>
                <w:iCs/>
                <w:noProof/>
                <w:sz w:val="18"/>
                <w:szCs w:val="18"/>
              </w:rPr>
              <w:t xml:space="preserve"> 1</w:t>
            </w:r>
          </w:p>
        </w:tc>
        <w:tc>
          <w:tcPr>
            <w:tcW w:w="1985" w:type="dxa"/>
            <w:tcBorders>
              <w:top w:val="single" w:sz="8" w:space="0" w:color="auto"/>
              <w:left w:val="nil"/>
              <w:bottom w:val="single" w:sz="8" w:space="0" w:color="auto"/>
              <w:right w:val="single" w:sz="8" w:space="0" w:color="auto"/>
            </w:tcBorders>
            <w:shd w:val="clear" w:color="auto" w:fill="E9AE46"/>
            <w:noWrap/>
            <w:hideMark/>
          </w:tcPr>
          <w:p>
            <w:pPr>
              <w:jc w:val="right"/>
              <w:rPr>
                <w:b/>
                <w:noProof/>
                <w:sz w:val="18"/>
                <w:szCs w:val="18"/>
              </w:rPr>
            </w:pPr>
            <w:r>
              <w:rPr>
                <w:rFonts w:cs="Arial"/>
                <w:b/>
                <w:bCs/>
                <w:noProof/>
                <w:sz w:val="18"/>
                <w:szCs w:val="18"/>
              </w:rPr>
              <w:t xml:space="preserve"> 2</w:t>
            </w:r>
          </w:p>
        </w:tc>
      </w:tr>
      <w:tr>
        <w:trPr>
          <w:trHeight w:val="270"/>
          <w:jc w:val="center"/>
        </w:trPr>
        <w:tc>
          <w:tcPr>
            <w:tcW w:w="3403" w:type="dxa"/>
            <w:tcBorders>
              <w:top w:val="nil"/>
              <w:left w:val="single" w:sz="8" w:space="0" w:color="auto"/>
              <w:bottom w:val="single" w:sz="8" w:space="0" w:color="auto"/>
              <w:right w:val="single" w:sz="8" w:space="0" w:color="auto"/>
            </w:tcBorders>
            <w:shd w:val="clear" w:color="000000" w:fill="D9D9D9"/>
            <w:noWrap/>
            <w:vAlign w:val="center"/>
            <w:hideMark/>
          </w:tcPr>
          <w:p>
            <w:pPr>
              <w:rPr>
                <w:rFonts w:cs="Arial"/>
                <w:b/>
                <w:i/>
                <w:noProof/>
                <w:color w:val="000000"/>
                <w:sz w:val="18"/>
                <w:szCs w:val="18"/>
              </w:rPr>
            </w:pPr>
            <w:r>
              <w:rPr>
                <w:rFonts w:cs="Arial"/>
                <w:b/>
                <w:i/>
                <w:noProof/>
                <w:color w:val="000000"/>
                <w:sz w:val="18"/>
                <w:szCs w:val="18"/>
              </w:rPr>
              <w:t>Total</w:t>
            </w:r>
          </w:p>
        </w:tc>
        <w:tc>
          <w:tcPr>
            <w:tcW w:w="1701" w:type="dxa"/>
            <w:tcBorders>
              <w:top w:val="single" w:sz="8" w:space="0" w:color="auto"/>
              <w:left w:val="nil"/>
              <w:bottom w:val="single" w:sz="8" w:space="0" w:color="auto"/>
              <w:right w:val="nil"/>
            </w:tcBorders>
            <w:shd w:val="clear" w:color="000000" w:fill="D9D9D9"/>
            <w:hideMark/>
          </w:tcPr>
          <w:p>
            <w:pPr>
              <w:jc w:val="right"/>
              <w:rPr>
                <w:b/>
                <w:noProof/>
                <w:sz w:val="18"/>
                <w:szCs w:val="18"/>
              </w:rPr>
            </w:pPr>
            <w:r>
              <w:rPr>
                <w:rFonts w:cs="Arial"/>
                <w:b/>
                <w:bCs/>
                <w:i/>
                <w:iCs/>
                <w:noProof/>
                <w:sz w:val="18"/>
                <w:szCs w:val="18"/>
              </w:rPr>
              <w:t>1 228</w:t>
            </w:r>
          </w:p>
        </w:tc>
        <w:tc>
          <w:tcPr>
            <w:tcW w:w="1983" w:type="dxa"/>
            <w:tcBorders>
              <w:top w:val="single" w:sz="8" w:space="0" w:color="auto"/>
              <w:left w:val="single" w:sz="8" w:space="0" w:color="auto"/>
              <w:bottom w:val="single" w:sz="8" w:space="0" w:color="auto"/>
              <w:right w:val="single" w:sz="8" w:space="0" w:color="auto"/>
            </w:tcBorders>
            <w:shd w:val="clear" w:color="000000" w:fill="D9D9D9"/>
            <w:hideMark/>
          </w:tcPr>
          <w:p>
            <w:pPr>
              <w:jc w:val="right"/>
              <w:rPr>
                <w:b/>
                <w:noProof/>
                <w:sz w:val="18"/>
                <w:szCs w:val="18"/>
              </w:rPr>
            </w:pPr>
            <w:r>
              <w:rPr>
                <w:rFonts w:cs="Arial"/>
                <w:b/>
                <w:bCs/>
                <w:i/>
                <w:iCs/>
                <w:noProof/>
                <w:sz w:val="18"/>
                <w:szCs w:val="18"/>
              </w:rPr>
              <w:t>1 059</w:t>
            </w:r>
          </w:p>
        </w:tc>
        <w:tc>
          <w:tcPr>
            <w:tcW w:w="1985" w:type="dxa"/>
            <w:tcBorders>
              <w:top w:val="single" w:sz="8" w:space="0" w:color="auto"/>
              <w:left w:val="nil"/>
              <w:bottom w:val="single" w:sz="8" w:space="0" w:color="auto"/>
              <w:right w:val="single" w:sz="8" w:space="0" w:color="auto"/>
            </w:tcBorders>
            <w:shd w:val="clear" w:color="000000" w:fill="D9D9D9"/>
            <w:hideMark/>
          </w:tcPr>
          <w:p>
            <w:pPr>
              <w:jc w:val="right"/>
              <w:rPr>
                <w:b/>
                <w:noProof/>
                <w:sz w:val="18"/>
                <w:szCs w:val="18"/>
              </w:rPr>
            </w:pPr>
            <w:r>
              <w:rPr>
                <w:rFonts w:cs="Arial"/>
                <w:b/>
                <w:bCs/>
                <w:i/>
                <w:iCs/>
                <w:noProof/>
                <w:sz w:val="18"/>
                <w:szCs w:val="18"/>
              </w:rPr>
              <w:t>2 288</w:t>
            </w:r>
          </w:p>
        </w:tc>
      </w:tr>
    </w:tbl>
    <w:p>
      <w:pPr>
        <w:pStyle w:val="Source-Table-Chart-PhotoCaption"/>
        <w:rPr>
          <w:noProof/>
        </w:rPr>
      </w:pPr>
      <w:r>
        <w:rPr>
          <w:noProof/>
        </w:rPr>
        <w:t xml:space="preserve">  </w:t>
      </w:r>
      <w:r>
        <w:rPr>
          <w:rStyle w:val="italics"/>
          <w:noProof/>
        </w:rPr>
        <w:t>Table:</w:t>
      </w:r>
      <w:r>
        <w:rPr>
          <w:noProof/>
        </w:rPr>
        <w:t xml:space="preserve"> in EUR</w:t>
      </w:r>
      <w:r>
        <w:rPr>
          <w:rFonts w:ascii="Calibri" w:hAnsi="Calibri" w:cs="Calibri"/>
          <w:noProof/>
        </w:rPr>
        <w:t> </w:t>
      </w:r>
      <w:r>
        <w:rPr>
          <w:noProof/>
        </w:rPr>
        <w:t>million</w:t>
      </w:r>
      <w:r>
        <w:rPr>
          <w:rFonts w:ascii="Calibri" w:hAnsi="Calibri"/>
          <w:noProof/>
        </w:rPr>
        <w:t> </w:t>
      </w:r>
      <w:r>
        <w:rPr>
          <w:noProof/>
        </w:rPr>
        <w:t>(</w:t>
      </w:r>
      <w:r>
        <w:rPr>
          <w:noProof/>
        </w:rPr>
        <w:footnoteReference w:id="51"/>
      </w:r>
      <w:r>
        <w:rPr>
          <w:noProof/>
        </w:rPr>
        <w:t>)</w:t>
      </w:r>
    </w:p>
    <w:p>
      <w:pPr>
        <w:pStyle w:val="AMPRTABLECHART"/>
      </w:pPr>
      <w:r>
        <w:t xml:space="preserve"> </w:t>
      </w:r>
    </w:p>
    <w:p>
      <w:pPr>
        <w:pStyle w:val="BodyText1spaceafter"/>
      </w:pPr>
      <w:r>
        <w:t>The impact of the correction mechanism varies depending on the budget implementation type, the sectorial management and the financial rules of the policy area. In all cases, the correction mechanisms aim at protecting the EU budget from expenditure incurred in breach of law.</w:t>
      </w:r>
    </w:p>
    <w:p>
      <w:pPr>
        <w:pStyle w:val="Annex4-H3"/>
      </w:pPr>
      <w:bookmarkStart w:id="199" w:name="_Toc484626507"/>
      <w:bookmarkStart w:id="200" w:name="_Toc512866549"/>
      <w:bookmarkStart w:id="201" w:name="_Toc8386220"/>
      <w:r>
        <w:t>5.2.</w:t>
      </w:r>
      <w:r>
        <w:tab/>
        <w:t>Breakdown of flat-rate</w:t>
      </w:r>
      <w:r>
        <w:rPr>
          <w:rFonts w:ascii="Calibri" w:hAnsi="Calibri" w:cs="Calibri"/>
        </w:rPr>
        <w:t> (</w:t>
      </w:r>
      <w:r>
        <w:rPr>
          <w:vertAlign w:val="superscript"/>
        </w:rPr>
        <w:footnoteReference w:id="52"/>
      </w:r>
      <w:r>
        <w:rPr>
          <w:rFonts w:ascii="Calibri" w:hAnsi="Calibri" w:cs="Calibri"/>
        </w:rPr>
        <w:t>)</w:t>
      </w:r>
      <w:r>
        <w:rPr>
          <w:vertAlign w:val="superscript"/>
        </w:rPr>
        <w:t xml:space="preserve"> </w:t>
      </w:r>
      <w:r>
        <w:t>corrections 201</w:t>
      </w:r>
      <w:bookmarkEnd w:id="199"/>
      <w:bookmarkEnd w:id="200"/>
      <w:r>
        <w:t>8</w:t>
      </w:r>
      <w:bookmarkEnd w:id="201"/>
    </w:p>
    <w:p>
      <w:pPr>
        <w:pStyle w:val="BodyText1spaceafter"/>
        <w:rPr>
          <w:rFonts w:ascii="Arial" w:hAnsi="Arial" w:cs="Arial"/>
        </w:rPr>
      </w:pPr>
      <w:r>
        <w:t xml:space="preserve">Flat-rate corrections are a valuable tool that is used when the related amount cannot be quantified on the basis of a representative statistical sample or when the impact on expenditure of individual errors cannot be quantified precisely. However, this means that the Member State subject to a flat correction normally bears the financial consequences as these corrections are not directly linked to individual irregularities at project level, i.e. there is no individual final beneficiary to recover monies from. </w:t>
      </w:r>
    </w:p>
    <w:tbl>
      <w:tblPr>
        <w:tblW w:w="9070" w:type="dxa"/>
        <w:jc w:val="center"/>
        <w:tblLayout w:type="fixed"/>
        <w:tblLook w:val="04A0" w:firstRow="1" w:lastRow="0" w:firstColumn="1" w:lastColumn="0" w:noHBand="0" w:noVBand="1"/>
      </w:tblPr>
      <w:tblGrid>
        <w:gridCol w:w="3017"/>
        <w:gridCol w:w="1513"/>
        <w:gridCol w:w="1513"/>
        <w:gridCol w:w="1513"/>
        <w:gridCol w:w="1514"/>
      </w:tblGrid>
      <w:tr>
        <w:trPr>
          <w:trHeight w:val="276"/>
          <w:jc w:val="center"/>
        </w:trPr>
        <w:tc>
          <w:tcPr>
            <w:tcW w:w="3119" w:type="dxa"/>
            <w:tcBorders>
              <w:top w:val="single" w:sz="8" w:space="0" w:color="auto"/>
              <w:left w:val="single" w:sz="8" w:space="0" w:color="auto"/>
              <w:bottom w:val="single" w:sz="8" w:space="0" w:color="auto"/>
              <w:right w:val="single" w:sz="8" w:space="0" w:color="auto"/>
            </w:tcBorders>
            <w:shd w:val="clear" w:color="auto" w:fill="E48C32"/>
            <w:hideMark/>
          </w:tcPr>
          <w:p>
            <w:pPr>
              <w:keepNext/>
              <w:jc w:val="center"/>
              <w:rPr>
                <w:rFonts w:cs="Arial"/>
                <w:b/>
                <w:noProof/>
                <w:color w:val="FFFFFF"/>
                <w:sz w:val="16"/>
              </w:rPr>
            </w:pPr>
          </w:p>
        </w:tc>
        <w:tc>
          <w:tcPr>
            <w:tcW w:w="1559" w:type="dxa"/>
            <w:tcBorders>
              <w:top w:val="single" w:sz="8" w:space="0" w:color="auto"/>
              <w:left w:val="nil"/>
              <w:bottom w:val="single" w:sz="8" w:space="0" w:color="auto"/>
              <w:right w:val="single" w:sz="8" w:space="0" w:color="auto"/>
            </w:tcBorders>
            <w:shd w:val="clear" w:color="auto" w:fill="E48C32"/>
            <w:vAlign w:val="center"/>
          </w:tcPr>
          <w:p>
            <w:pPr>
              <w:keepNext/>
              <w:jc w:val="center"/>
              <w:rPr>
                <w:rFonts w:cs="Arial"/>
                <w:b/>
                <w:noProof/>
                <w:color w:val="FFFFFF"/>
                <w:sz w:val="18"/>
                <w:szCs w:val="18"/>
              </w:rPr>
            </w:pPr>
            <w:r>
              <w:rPr>
                <w:rFonts w:eastAsia="Calibri" w:cs="Arial"/>
                <w:b/>
                <w:noProof/>
                <w:color w:val="FFFFFF"/>
                <w:sz w:val="18"/>
                <w:szCs w:val="18"/>
              </w:rPr>
              <w:t>Total financial corrections confirmed</w:t>
            </w:r>
          </w:p>
        </w:tc>
        <w:tc>
          <w:tcPr>
            <w:tcW w:w="1559" w:type="dxa"/>
            <w:tcBorders>
              <w:top w:val="single" w:sz="8" w:space="0" w:color="auto"/>
              <w:left w:val="single" w:sz="8" w:space="0" w:color="auto"/>
              <w:bottom w:val="single" w:sz="8" w:space="0" w:color="auto"/>
              <w:right w:val="double" w:sz="4" w:space="0" w:color="auto"/>
            </w:tcBorders>
            <w:shd w:val="clear" w:color="auto" w:fill="E48C32"/>
            <w:vAlign w:val="center"/>
            <w:hideMark/>
          </w:tcPr>
          <w:p>
            <w:pPr>
              <w:keepNext/>
              <w:jc w:val="center"/>
              <w:rPr>
                <w:rFonts w:cs="Arial"/>
                <w:b/>
                <w:noProof/>
                <w:color w:val="FFFFFF"/>
                <w:sz w:val="18"/>
                <w:szCs w:val="18"/>
              </w:rPr>
            </w:pPr>
            <w:r>
              <w:rPr>
                <w:rFonts w:eastAsia="Calibri" w:cs="Arial"/>
                <w:b/>
                <w:noProof/>
                <w:color w:val="FFFFFF"/>
                <w:sz w:val="18"/>
                <w:szCs w:val="18"/>
              </w:rPr>
              <w:t>Flat-rate financial corrections* confirmed in 2018</w:t>
            </w:r>
          </w:p>
        </w:tc>
        <w:tc>
          <w:tcPr>
            <w:tcW w:w="1559" w:type="dxa"/>
            <w:tcBorders>
              <w:top w:val="single" w:sz="8" w:space="0" w:color="auto"/>
              <w:left w:val="double" w:sz="4" w:space="0" w:color="auto"/>
              <w:bottom w:val="single" w:sz="8" w:space="0" w:color="auto"/>
              <w:right w:val="single" w:sz="8" w:space="0" w:color="auto"/>
            </w:tcBorders>
            <w:shd w:val="clear" w:color="auto" w:fill="E48C32"/>
            <w:vAlign w:val="center"/>
          </w:tcPr>
          <w:p>
            <w:pPr>
              <w:keepNext/>
              <w:jc w:val="center"/>
              <w:rPr>
                <w:rFonts w:cs="Arial"/>
                <w:b/>
                <w:noProof/>
                <w:color w:val="FFFFFF"/>
                <w:sz w:val="18"/>
                <w:szCs w:val="18"/>
              </w:rPr>
            </w:pPr>
            <w:r>
              <w:rPr>
                <w:rFonts w:eastAsia="Calibri" w:cs="Arial"/>
                <w:b/>
                <w:noProof/>
                <w:color w:val="FFFFFF"/>
                <w:sz w:val="18"/>
                <w:szCs w:val="18"/>
              </w:rPr>
              <w:t>Total financial corrections implemented</w:t>
            </w:r>
          </w:p>
        </w:tc>
        <w:tc>
          <w:tcPr>
            <w:tcW w:w="1560" w:type="dxa"/>
            <w:tcBorders>
              <w:top w:val="single" w:sz="8" w:space="0" w:color="auto"/>
              <w:left w:val="single" w:sz="4" w:space="0" w:color="auto"/>
              <w:bottom w:val="single" w:sz="8" w:space="0" w:color="auto"/>
              <w:right w:val="single" w:sz="8" w:space="0" w:color="auto"/>
            </w:tcBorders>
            <w:shd w:val="clear" w:color="auto" w:fill="E48C32"/>
            <w:vAlign w:val="center"/>
          </w:tcPr>
          <w:p>
            <w:pPr>
              <w:keepNext/>
              <w:jc w:val="center"/>
              <w:rPr>
                <w:rFonts w:cs="Arial"/>
                <w:b/>
                <w:noProof/>
                <w:color w:val="FFFFFF"/>
                <w:sz w:val="18"/>
                <w:szCs w:val="18"/>
              </w:rPr>
            </w:pPr>
            <w:r>
              <w:rPr>
                <w:rFonts w:eastAsia="Calibri" w:cs="Arial"/>
                <w:b/>
                <w:noProof/>
                <w:color w:val="FFFFFF"/>
                <w:sz w:val="18"/>
                <w:szCs w:val="18"/>
              </w:rPr>
              <w:t>Flat-rate financial corrections* implemented in 2018</w:t>
            </w:r>
          </w:p>
        </w:tc>
      </w:tr>
      <w:tr>
        <w:trPr>
          <w:trHeight w:val="332"/>
          <w:jc w:val="center"/>
        </w:trPr>
        <w:tc>
          <w:tcPr>
            <w:tcW w:w="3119" w:type="dxa"/>
            <w:tcBorders>
              <w:top w:val="nil"/>
              <w:left w:val="single" w:sz="8" w:space="0" w:color="auto"/>
              <w:bottom w:val="nil"/>
              <w:right w:val="single" w:sz="8" w:space="0" w:color="auto"/>
            </w:tcBorders>
            <w:shd w:val="clear" w:color="auto" w:fill="auto"/>
            <w:vAlign w:val="center"/>
            <w:hideMark/>
          </w:tcPr>
          <w:p>
            <w:pPr>
              <w:keepNext/>
              <w:rPr>
                <w:rFonts w:cs="Arial"/>
                <w:b/>
                <w:i/>
                <w:noProof/>
                <w:color w:val="000000"/>
                <w:sz w:val="18"/>
                <w:szCs w:val="18"/>
              </w:rPr>
            </w:pPr>
            <w:r>
              <w:rPr>
                <w:rFonts w:eastAsia="Calibri" w:cs="Arial"/>
                <w:b/>
                <w:i/>
                <w:noProof/>
                <w:color w:val="000000"/>
                <w:sz w:val="18"/>
                <w:szCs w:val="18"/>
              </w:rPr>
              <w:t>Agriculture</w:t>
            </w:r>
          </w:p>
        </w:tc>
        <w:tc>
          <w:tcPr>
            <w:tcW w:w="1559" w:type="dxa"/>
            <w:tcBorders>
              <w:top w:val="nil"/>
              <w:left w:val="nil"/>
              <w:bottom w:val="nil"/>
              <w:right w:val="single" w:sz="8" w:space="0" w:color="auto"/>
            </w:tcBorders>
          </w:tcPr>
          <w:p>
            <w:pPr>
              <w:keepNext/>
              <w:autoSpaceDE w:val="0"/>
              <w:autoSpaceDN w:val="0"/>
              <w:adjustRightInd w:val="0"/>
              <w:jc w:val="right"/>
              <w:rPr>
                <w:rFonts w:eastAsia="Calibri" w:cs="Arial"/>
                <w:noProof/>
                <w:color w:val="000000"/>
                <w:sz w:val="18"/>
                <w:szCs w:val="18"/>
              </w:rPr>
            </w:pPr>
          </w:p>
        </w:tc>
        <w:tc>
          <w:tcPr>
            <w:tcW w:w="1559" w:type="dxa"/>
            <w:tcBorders>
              <w:top w:val="nil"/>
              <w:left w:val="single" w:sz="8" w:space="0" w:color="auto"/>
              <w:bottom w:val="nil"/>
              <w:right w:val="double" w:sz="4" w:space="0" w:color="auto"/>
            </w:tcBorders>
            <w:shd w:val="clear" w:color="auto" w:fill="auto"/>
            <w:hideMark/>
          </w:tcPr>
          <w:p>
            <w:pPr>
              <w:keepNext/>
              <w:autoSpaceDE w:val="0"/>
              <w:autoSpaceDN w:val="0"/>
              <w:adjustRightInd w:val="0"/>
              <w:jc w:val="right"/>
              <w:rPr>
                <w:rFonts w:eastAsia="Calibri" w:cs="Arial"/>
                <w:noProof/>
                <w:color w:val="000000"/>
                <w:sz w:val="18"/>
                <w:szCs w:val="18"/>
              </w:rPr>
            </w:pPr>
          </w:p>
        </w:tc>
        <w:tc>
          <w:tcPr>
            <w:tcW w:w="1559" w:type="dxa"/>
            <w:tcBorders>
              <w:top w:val="nil"/>
              <w:left w:val="double" w:sz="4" w:space="0" w:color="auto"/>
              <w:bottom w:val="nil"/>
              <w:right w:val="single" w:sz="8" w:space="0" w:color="auto"/>
            </w:tcBorders>
          </w:tcPr>
          <w:p>
            <w:pPr>
              <w:keepNext/>
              <w:autoSpaceDE w:val="0"/>
              <w:autoSpaceDN w:val="0"/>
              <w:adjustRightInd w:val="0"/>
              <w:jc w:val="right"/>
              <w:rPr>
                <w:rFonts w:eastAsia="Calibri" w:cs="Arial"/>
                <w:noProof/>
                <w:color w:val="000000"/>
                <w:sz w:val="18"/>
                <w:szCs w:val="18"/>
              </w:rPr>
            </w:pPr>
          </w:p>
        </w:tc>
        <w:tc>
          <w:tcPr>
            <w:tcW w:w="1560" w:type="dxa"/>
            <w:tcBorders>
              <w:top w:val="nil"/>
              <w:left w:val="single" w:sz="4" w:space="0" w:color="auto"/>
              <w:bottom w:val="nil"/>
              <w:right w:val="single" w:sz="8" w:space="0" w:color="auto"/>
            </w:tcBorders>
          </w:tcPr>
          <w:p>
            <w:pPr>
              <w:keepNext/>
              <w:autoSpaceDE w:val="0"/>
              <w:autoSpaceDN w:val="0"/>
              <w:adjustRightInd w:val="0"/>
              <w:jc w:val="right"/>
              <w:rPr>
                <w:rFonts w:eastAsia="Calibri" w:cs="Arial"/>
                <w:noProof/>
                <w:color w:val="000000"/>
                <w:sz w:val="18"/>
                <w:szCs w:val="18"/>
              </w:rPr>
            </w:pPr>
          </w:p>
        </w:tc>
      </w:tr>
      <w:tr>
        <w:trPr>
          <w:trHeight w:val="220"/>
          <w:jc w:val="center"/>
        </w:trPr>
        <w:tc>
          <w:tcPr>
            <w:tcW w:w="3119" w:type="dxa"/>
            <w:tcBorders>
              <w:top w:val="nil"/>
              <w:left w:val="single" w:sz="8" w:space="0" w:color="auto"/>
              <w:bottom w:val="nil"/>
              <w:right w:val="single" w:sz="8" w:space="0" w:color="auto"/>
            </w:tcBorders>
            <w:shd w:val="clear" w:color="auto" w:fill="auto"/>
            <w:vAlign w:val="center"/>
            <w:hideMark/>
          </w:tcPr>
          <w:p>
            <w:pPr>
              <w:keepNext/>
              <w:rPr>
                <w:rFonts w:cs="Arial"/>
                <w:noProof/>
                <w:color w:val="000000"/>
                <w:sz w:val="16"/>
                <w:szCs w:val="18"/>
              </w:rPr>
            </w:pPr>
            <w:r>
              <w:rPr>
                <w:rFonts w:eastAsia="Calibri" w:cs="Arial"/>
                <w:noProof/>
                <w:color w:val="000000"/>
                <w:sz w:val="16"/>
                <w:szCs w:val="18"/>
              </w:rPr>
              <w:t>European Agricultural Guarantee Fund</w:t>
            </w:r>
          </w:p>
        </w:tc>
        <w:tc>
          <w:tcPr>
            <w:tcW w:w="1559" w:type="dxa"/>
            <w:tcBorders>
              <w:top w:val="nil"/>
              <w:left w:val="nil"/>
              <w:bottom w:val="nil"/>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 xml:space="preserve"> 306</w:t>
            </w:r>
          </w:p>
        </w:tc>
        <w:tc>
          <w:tcPr>
            <w:tcW w:w="1559" w:type="dxa"/>
            <w:tcBorders>
              <w:top w:val="nil"/>
              <w:left w:val="single" w:sz="8" w:space="0" w:color="auto"/>
              <w:bottom w:val="nil"/>
              <w:right w:val="double" w:sz="4" w:space="0" w:color="auto"/>
            </w:tcBorders>
            <w:shd w:val="clear" w:color="auto" w:fill="auto"/>
            <w:vAlign w:val="center"/>
          </w:tcPr>
          <w:p>
            <w:pPr>
              <w:keepNext/>
              <w:autoSpaceDE w:val="0"/>
              <w:autoSpaceDN w:val="0"/>
              <w:adjustRightInd w:val="0"/>
              <w:jc w:val="right"/>
              <w:rPr>
                <w:rFonts w:eastAsia="Calibri"/>
                <w:noProof/>
                <w:sz w:val="18"/>
                <w:szCs w:val="18"/>
              </w:rPr>
            </w:pPr>
            <w:r>
              <w:rPr>
                <w:rFonts w:cs="Arial"/>
                <w:noProof/>
                <w:sz w:val="18"/>
                <w:szCs w:val="18"/>
              </w:rPr>
              <w:t>137</w:t>
            </w:r>
          </w:p>
        </w:tc>
        <w:tc>
          <w:tcPr>
            <w:tcW w:w="1559" w:type="dxa"/>
            <w:tcBorders>
              <w:top w:val="nil"/>
              <w:left w:val="double" w:sz="4" w:space="0" w:color="auto"/>
              <w:bottom w:val="nil"/>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 xml:space="preserve"> 832</w:t>
            </w:r>
          </w:p>
        </w:tc>
        <w:tc>
          <w:tcPr>
            <w:tcW w:w="1560" w:type="dxa"/>
            <w:tcBorders>
              <w:top w:val="nil"/>
              <w:left w:val="single" w:sz="4" w:space="0" w:color="auto"/>
              <w:bottom w:val="nil"/>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495</w:t>
            </w:r>
          </w:p>
        </w:tc>
      </w:tr>
      <w:tr>
        <w:trPr>
          <w:trHeight w:val="132"/>
          <w:jc w:val="center"/>
        </w:trPr>
        <w:tc>
          <w:tcPr>
            <w:tcW w:w="3119" w:type="dxa"/>
            <w:tcBorders>
              <w:top w:val="nil"/>
              <w:left w:val="single" w:sz="8" w:space="0" w:color="auto"/>
              <w:bottom w:val="nil"/>
              <w:right w:val="single" w:sz="8" w:space="0" w:color="auto"/>
            </w:tcBorders>
            <w:shd w:val="clear" w:color="auto" w:fill="auto"/>
            <w:vAlign w:val="center"/>
            <w:hideMark/>
          </w:tcPr>
          <w:p>
            <w:pPr>
              <w:keepNext/>
              <w:rPr>
                <w:rFonts w:cs="Arial"/>
                <w:noProof/>
                <w:color w:val="000000"/>
                <w:sz w:val="16"/>
                <w:szCs w:val="18"/>
              </w:rPr>
            </w:pPr>
            <w:r>
              <w:rPr>
                <w:rFonts w:eastAsia="Calibri" w:cs="Arial"/>
                <w:noProof/>
                <w:color w:val="000000"/>
                <w:sz w:val="16"/>
                <w:szCs w:val="18"/>
              </w:rPr>
              <w:t>European Agricultural Fund for Rural Development</w:t>
            </w:r>
          </w:p>
        </w:tc>
        <w:tc>
          <w:tcPr>
            <w:tcW w:w="1559" w:type="dxa"/>
            <w:tcBorders>
              <w:top w:val="nil"/>
              <w:left w:val="nil"/>
              <w:bottom w:val="nil"/>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 xml:space="preserve"> 195</w:t>
            </w:r>
          </w:p>
        </w:tc>
        <w:tc>
          <w:tcPr>
            <w:tcW w:w="1559" w:type="dxa"/>
            <w:tcBorders>
              <w:top w:val="nil"/>
              <w:left w:val="single" w:sz="8" w:space="0" w:color="auto"/>
              <w:bottom w:val="nil"/>
              <w:right w:val="double" w:sz="4" w:space="0" w:color="auto"/>
            </w:tcBorders>
            <w:shd w:val="clear" w:color="auto" w:fill="auto"/>
            <w:vAlign w:val="center"/>
          </w:tcPr>
          <w:p>
            <w:pPr>
              <w:keepNext/>
              <w:autoSpaceDE w:val="0"/>
              <w:autoSpaceDN w:val="0"/>
              <w:adjustRightInd w:val="0"/>
              <w:jc w:val="right"/>
              <w:rPr>
                <w:rFonts w:eastAsia="Calibri"/>
                <w:noProof/>
                <w:sz w:val="18"/>
                <w:szCs w:val="18"/>
              </w:rPr>
            </w:pPr>
            <w:r>
              <w:rPr>
                <w:rFonts w:cs="Arial"/>
                <w:noProof/>
                <w:sz w:val="18"/>
                <w:szCs w:val="18"/>
              </w:rPr>
              <w:t>48</w:t>
            </w:r>
          </w:p>
        </w:tc>
        <w:tc>
          <w:tcPr>
            <w:tcW w:w="1559" w:type="dxa"/>
            <w:tcBorders>
              <w:top w:val="nil"/>
              <w:left w:val="double" w:sz="4" w:space="0" w:color="auto"/>
              <w:bottom w:val="nil"/>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 xml:space="preserve"> 387</w:t>
            </w:r>
          </w:p>
        </w:tc>
        <w:tc>
          <w:tcPr>
            <w:tcW w:w="1560" w:type="dxa"/>
            <w:tcBorders>
              <w:top w:val="nil"/>
              <w:left w:val="single" w:sz="4" w:space="0" w:color="auto"/>
              <w:bottom w:val="nil"/>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172</w:t>
            </w:r>
          </w:p>
        </w:tc>
      </w:tr>
      <w:tr>
        <w:trPr>
          <w:trHeight w:val="276"/>
          <w:jc w:val="center"/>
        </w:trPr>
        <w:tc>
          <w:tcPr>
            <w:tcW w:w="3119" w:type="dxa"/>
            <w:tcBorders>
              <w:top w:val="nil"/>
              <w:left w:val="single" w:sz="8" w:space="0" w:color="auto"/>
              <w:bottom w:val="nil"/>
              <w:right w:val="single" w:sz="8" w:space="0" w:color="auto"/>
            </w:tcBorders>
            <w:shd w:val="clear" w:color="auto" w:fill="auto"/>
            <w:vAlign w:val="center"/>
            <w:hideMark/>
          </w:tcPr>
          <w:p>
            <w:pPr>
              <w:keepNext/>
              <w:rPr>
                <w:rFonts w:eastAsia="Calibri" w:cs="Arial"/>
                <w:b/>
                <w:i/>
                <w:noProof/>
                <w:color w:val="000000"/>
                <w:sz w:val="18"/>
                <w:szCs w:val="18"/>
              </w:rPr>
            </w:pPr>
          </w:p>
          <w:p>
            <w:pPr>
              <w:keepNext/>
              <w:rPr>
                <w:rFonts w:cs="Arial"/>
                <w:b/>
                <w:i/>
                <w:noProof/>
                <w:color w:val="000000"/>
                <w:sz w:val="18"/>
                <w:szCs w:val="18"/>
              </w:rPr>
            </w:pPr>
            <w:r>
              <w:rPr>
                <w:rFonts w:eastAsia="Calibri" w:cs="Arial"/>
                <w:b/>
                <w:i/>
                <w:noProof/>
                <w:color w:val="000000"/>
                <w:sz w:val="18"/>
                <w:szCs w:val="18"/>
              </w:rPr>
              <w:t>Cohesion</w:t>
            </w:r>
          </w:p>
        </w:tc>
        <w:tc>
          <w:tcPr>
            <w:tcW w:w="1559" w:type="dxa"/>
            <w:tcBorders>
              <w:top w:val="nil"/>
              <w:left w:val="nil"/>
              <w:bottom w:val="nil"/>
              <w:right w:val="single" w:sz="8" w:space="0" w:color="auto"/>
            </w:tcBorders>
            <w:vAlign w:val="center"/>
          </w:tcPr>
          <w:p>
            <w:pPr>
              <w:keepNext/>
              <w:autoSpaceDE w:val="0"/>
              <w:autoSpaceDN w:val="0"/>
              <w:adjustRightInd w:val="0"/>
              <w:jc w:val="right"/>
              <w:rPr>
                <w:rFonts w:eastAsia="Calibri"/>
                <w:noProof/>
                <w:sz w:val="18"/>
                <w:szCs w:val="18"/>
              </w:rPr>
            </w:pPr>
            <w:r>
              <w:rPr>
                <w:rFonts w:cs="Calibri"/>
                <w:noProof/>
                <w:sz w:val="18"/>
                <w:szCs w:val="18"/>
              </w:rPr>
              <w:t> </w:t>
            </w:r>
          </w:p>
        </w:tc>
        <w:tc>
          <w:tcPr>
            <w:tcW w:w="1559" w:type="dxa"/>
            <w:tcBorders>
              <w:top w:val="nil"/>
              <w:left w:val="single" w:sz="8" w:space="0" w:color="auto"/>
              <w:bottom w:val="nil"/>
              <w:right w:val="double" w:sz="4" w:space="0" w:color="auto"/>
            </w:tcBorders>
            <w:shd w:val="clear" w:color="auto" w:fill="auto"/>
            <w:vAlign w:val="center"/>
          </w:tcPr>
          <w:p>
            <w:pPr>
              <w:keepNext/>
              <w:autoSpaceDE w:val="0"/>
              <w:autoSpaceDN w:val="0"/>
              <w:adjustRightInd w:val="0"/>
              <w:jc w:val="right"/>
              <w:rPr>
                <w:rFonts w:eastAsia="Calibri"/>
                <w:noProof/>
                <w:sz w:val="18"/>
                <w:szCs w:val="18"/>
              </w:rPr>
            </w:pPr>
          </w:p>
        </w:tc>
        <w:tc>
          <w:tcPr>
            <w:tcW w:w="1559" w:type="dxa"/>
            <w:tcBorders>
              <w:top w:val="nil"/>
              <w:left w:val="double" w:sz="4" w:space="0" w:color="auto"/>
              <w:bottom w:val="nil"/>
              <w:right w:val="single" w:sz="8" w:space="0" w:color="auto"/>
            </w:tcBorders>
            <w:vAlign w:val="center"/>
          </w:tcPr>
          <w:p>
            <w:pPr>
              <w:keepNext/>
              <w:autoSpaceDE w:val="0"/>
              <w:autoSpaceDN w:val="0"/>
              <w:adjustRightInd w:val="0"/>
              <w:jc w:val="right"/>
              <w:rPr>
                <w:rFonts w:eastAsia="Calibri"/>
                <w:noProof/>
                <w:sz w:val="18"/>
                <w:szCs w:val="18"/>
              </w:rPr>
            </w:pPr>
            <w:r>
              <w:rPr>
                <w:rFonts w:cs="Calibri"/>
                <w:noProof/>
                <w:sz w:val="18"/>
                <w:szCs w:val="18"/>
              </w:rPr>
              <w:t> </w:t>
            </w:r>
          </w:p>
        </w:tc>
        <w:tc>
          <w:tcPr>
            <w:tcW w:w="1560" w:type="dxa"/>
            <w:tcBorders>
              <w:top w:val="nil"/>
              <w:left w:val="single" w:sz="4" w:space="0" w:color="auto"/>
              <w:bottom w:val="nil"/>
              <w:right w:val="single" w:sz="8" w:space="0" w:color="auto"/>
            </w:tcBorders>
            <w:vAlign w:val="center"/>
          </w:tcPr>
          <w:p>
            <w:pPr>
              <w:keepNext/>
              <w:autoSpaceDE w:val="0"/>
              <w:autoSpaceDN w:val="0"/>
              <w:adjustRightInd w:val="0"/>
              <w:jc w:val="right"/>
              <w:rPr>
                <w:rFonts w:eastAsia="Calibri"/>
                <w:noProof/>
                <w:sz w:val="18"/>
                <w:szCs w:val="18"/>
              </w:rPr>
            </w:pPr>
          </w:p>
        </w:tc>
      </w:tr>
      <w:tr>
        <w:trPr>
          <w:trHeight w:val="101"/>
          <w:jc w:val="center"/>
        </w:trPr>
        <w:tc>
          <w:tcPr>
            <w:tcW w:w="3119" w:type="dxa"/>
            <w:tcBorders>
              <w:top w:val="nil"/>
              <w:left w:val="single" w:sz="8" w:space="0" w:color="auto"/>
              <w:bottom w:val="nil"/>
              <w:right w:val="single" w:sz="8" w:space="0" w:color="auto"/>
            </w:tcBorders>
            <w:shd w:val="clear" w:color="auto" w:fill="auto"/>
            <w:vAlign w:val="center"/>
          </w:tcPr>
          <w:p>
            <w:pPr>
              <w:keepNext/>
              <w:rPr>
                <w:rFonts w:cs="Arial"/>
                <w:noProof/>
                <w:color w:val="000000"/>
                <w:sz w:val="16"/>
                <w:szCs w:val="16"/>
              </w:rPr>
            </w:pPr>
            <w:r>
              <w:rPr>
                <w:rFonts w:eastAsia="Calibri" w:cs="Arial"/>
                <w:noProof/>
                <w:color w:val="000000"/>
                <w:sz w:val="16"/>
                <w:szCs w:val="16"/>
              </w:rPr>
              <w:t>European Rural Development Fund and Cohesion Fund**</w:t>
            </w:r>
          </w:p>
        </w:tc>
        <w:tc>
          <w:tcPr>
            <w:tcW w:w="1559" w:type="dxa"/>
            <w:tcBorders>
              <w:top w:val="nil"/>
              <w:left w:val="nil"/>
              <w:bottom w:val="nil"/>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 xml:space="preserve"> 376</w:t>
            </w:r>
          </w:p>
        </w:tc>
        <w:tc>
          <w:tcPr>
            <w:tcW w:w="1559" w:type="dxa"/>
            <w:tcBorders>
              <w:top w:val="nil"/>
              <w:left w:val="single" w:sz="8" w:space="0" w:color="auto"/>
              <w:bottom w:val="nil"/>
              <w:right w:val="double" w:sz="4" w:space="0" w:color="auto"/>
            </w:tcBorders>
            <w:shd w:val="clear" w:color="auto" w:fill="auto"/>
            <w:vAlign w:val="center"/>
          </w:tcPr>
          <w:p>
            <w:pPr>
              <w:keepNext/>
              <w:autoSpaceDE w:val="0"/>
              <w:autoSpaceDN w:val="0"/>
              <w:adjustRightInd w:val="0"/>
              <w:jc w:val="right"/>
              <w:rPr>
                <w:rFonts w:eastAsia="Calibri"/>
                <w:noProof/>
                <w:sz w:val="18"/>
                <w:szCs w:val="18"/>
              </w:rPr>
            </w:pPr>
            <w:r>
              <w:rPr>
                <w:rFonts w:cs="Arial"/>
                <w:noProof/>
                <w:sz w:val="18"/>
                <w:szCs w:val="18"/>
              </w:rPr>
              <w:t>24</w:t>
            </w:r>
          </w:p>
        </w:tc>
        <w:tc>
          <w:tcPr>
            <w:tcW w:w="1559" w:type="dxa"/>
            <w:tcBorders>
              <w:top w:val="nil"/>
              <w:left w:val="double" w:sz="4" w:space="0" w:color="auto"/>
              <w:bottom w:val="nil"/>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1 055</w:t>
            </w:r>
          </w:p>
        </w:tc>
        <w:tc>
          <w:tcPr>
            <w:tcW w:w="1560" w:type="dxa"/>
            <w:tcBorders>
              <w:top w:val="nil"/>
              <w:left w:val="single" w:sz="4" w:space="0" w:color="auto"/>
              <w:bottom w:val="nil"/>
              <w:right w:val="single" w:sz="8" w:space="0" w:color="auto"/>
            </w:tcBorders>
            <w:vAlign w:val="center"/>
          </w:tcPr>
          <w:p>
            <w:pPr>
              <w:keepNext/>
              <w:autoSpaceDE w:val="0"/>
              <w:autoSpaceDN w:val="0"/>
              <w:adjustRightInd w:val="0"/>
              <w:jc w:val="right"/>
              <w:rPr>
                <w:rFonts w:eastAsia="Calibri"/>
                <w:noProof/>
                <w:sz w:val="18"/>
                <w:szCs w:val="18"/>
              </w:rPr>
            </w:pPr>
            <w:r>
              <w:rPr>
                <w:rFonts w:eastAsia="Times New Roman" w:cs="Arial"/>
                <w:noProof/>
                <w:sz w:val="18"/>
                <w:szCs w:val="18"/>
              </w:rPr>
              <w:t>86</w:t>
            </w:r>
          </w:p>
        </w:tc>
      </w:tr>
      <w:tr>
        <w:trPr>
          <w:trHeight w:val="181"/>
          <w:jc w:val="center"/>
        </w:trPr>
        <w:tc>
          <w:tcPr>
            <w:tcW w:w="3119" w:type="dxa"/>
            <w:tcBorders>
              <w:top w:val="nil"/>
              <w:left w:val="single" w:sz="8" w:space="0" w:color="auto"/>
              <w:bottom w:val="nil"/>
              <w:right w:val="single" w:sz="8" w:space="0" w:color="auto"/>
            </w:tcBorders>
            <w:shd w:val="clear" w:color="auto" w:fill="auto"/>
            <w:vAlign w:val="center"/>
          </w:tcPr>
          <w:p>
            <w:pPr>
              <w:keepNext/>
              <w:rPr>
                <w:rFonts w:cs="Arial"/>
                <w:noProof/>
                <w:color w:val="000000"/>
                <w:sz w:val="16"/>
                <w:szCs w:val="16"/>
              </w:rPr>
            </w:pPr>
            <w:r>
              <w:rPr>
                <w:rFonts w:eastAsia="Calibri" w:cs="Arial"/>
                <w:noProof/>
                <w:color w:val="000000"/>
                <w:sz w:val="16"/>
                <w:szCs w:val="16"/>
              </w:rPr>
              <w:t>European Social Fund</w:t>
            </w:r>
          </w:p>
        </w:tc>
        <w:tc>
          <w:tcPr>
            <w:tcW w:w="1559" w:type="dxa"/>
            <w:tcBorders>
              <w:top w:val="nil"/>
              <w:left w:val="nil"/>
              <w:bottom w:val="nil"/>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 xml:space="preserve"> 34</w:t>
            </w:r>
          </w:p>
        </w:tc>
        <w:tc>
          <w:tcPr>
            <w:tcW w:w="1559" w:type="dxa"/>
            <w:tcBorders>
              <w:top w:val="nil"/>
              <w:left w:val="single" w:sz="8" w:space="0" w:color="auto"/>
              <w:bottom w:val="nil"/>
              <w:right w:val="double" w:sz="4" w:space="0" w:color="auto"/>
            </w:tcBorders>
            <w:shd w:val="clear" w:color="auto" w:fill="auto"/>
            <w:vAlign w:val="center"/>
          </w:tcPr>
          <w:p>
            <w:pPr>
              <w:keepNext/>
              <w:autoSpaceDE w:val="0"/>
              <w:autoSpaceDN w:val="0"/>
              <w:adjustRightInd w:val="0"/>
              <w:jc w:val="right"/>
              <w:rPr>
                <w:rFonts w:eastAsia="Calibri"/>
                <w:noProof/>
                <w:sz w:val="18"/>
                <w:szCs w:val="18"/>
              </w:rPr>
            </w:pPr>
            <w:r>
              <w:rPr>
                <w:rFonts w:cs="Arial"/>
                <w:noProof/>
                <w:sz w:val="18"/>
                <w:szCs w:val="18"/>
              </w:rPr>
              <w:t>20</w:t>
            </w:r>
          </w:p>
        </w:tc>
        <w:tc>
          <w:tcPr>
            <w:tcW w:w="1559" w:type="dxa"/>
            <w:tcBorders>
              <w:top w:val="nil"/>
              <w:left w:val="double" w:sz="4" w:space="0" w:color="auto"/>
              <w:bottom w:val="nil"/>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 xml:space="preserve"> 12</w:t>
            </w:r>
          </w:p>
        </w:tc>
        <w:tc>
          <w:tcPr>
            <w:tcW w:w="1560" w:type="dxa"/>
            <w:tcBorders>
              <w:top w:val="nil"/>
              <w:left w:val="single" w:sz="4" w:space="0" w:color="auto"/>
              <w:bottom w:val="nil"/>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4</w:t>
            </w:r>
          </w:p>
        </w:tc>
      </w:tr>
      <w:tr>
        <w:trPr>
          <w:trHeight w:val="212"/>
          <w:jc w:val="center"/>
        </w:trPr>
        <w:tc>
          <w:tcPr>
            <w:tcW w:w="3119" w:type="dxa"/>
            <w:tcBorders>
              <w:top w:val="nil"/>
              <w:left w:val="single" w:sz="8" w:space="0" w:color="auto"/>
              <w:bottom w:val="nil"/>
              <w:right w:val="single" w:sz="8" w:space="0" w:color="auto"/>
            </w:tcBorders>
            <w:shd w:val="clear" w:color="auto" w:fill="auto"/>
            <w:vAlign w:val="center"/>
          </w:tcPr>
          <w:p>
            <w:pPr>
              <w:keepNext/>
              <w:rPr>
                <w:rFonts w:cs="Arial"/>
                <w:noProof/>
                <w:color w:val="000000"/>
                <w:sz w:val="16"/>
                <w:szCs w:val="16"/>
              </w:rPr>
            </w:pPr>
            <w:r>
              <w:rPr>
                <w:rFonts w:eastAsia="Calibri" w:cs="Arial"/>
                <w:noProof/>
                <w:color w:val="000000"/>
                <w:sz w:val="16"/>
                <w:szCs w:val="16"/>
              </w:rPr>
              <w:t>European Fisheries Fund/</w:t>
            </w:r>
            <w:r>
              <w:rPr>
                <w:noProof/>
              </w:rPr>
              <w:t xml:space="preserve"> </w:t>
            </w:r>
            <w:r>
              <w:rPr>
                <w:rFonts w:eastAsia="Calibri" w:cs="Arial"/>
                <w:noProof/>
                <w:color w:val="000000"/>
                <w:sz w:val="16"/>
                <w:szCs w:val="16"/>
              </w:rPr>
              <w:t>Financial Instrument for Fisheries Guidance</w:t>
            </w:r>
          </w:p>
        </w:tc>
        <w:tc>
          <w:tcPr>
            <w:tcW w:w="1559" w:type="dxa"/>
            <w:tcBorders>
              <w:top w:val="nil"/>
              <w:left w:val="nil"/>
              <w:bottom w:val="nil"/>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 xml:space="preserve"> 0</w:t>
            </w:r>
          </w:p>
        </w:tc>
        <w:tc>
          <w:tcPr>
            <w:tcW w:w="1559" w:type="dxa"/>
            <w:tcBorders>
              <w:top w:val="nil"/>
              <w:left w:val="single" w:sz="8" w:space="0" w:color="auto"/>
              <w:bottom w:val="nil"/>
              <w:right w:val="double" w:sz="4" w:space="0" w:color="auto"/>
            </w:tcBorders>
            <w:shd w:val="clear" w:color="auto" w:fill="auto"/>
            <w:vAlign w:val="center"/>
          </w:tcPr>
          <w:p>
            <w:pPr>
              <w:keepNext/>
              <w:autoSpaceDE w:val="0"/>
              <w:autoSpaceDN w:val="0"/>
              <w:adjustRightInd w:val="0"/>
              <w:jc w:val="right"/>
              <w:rPr>
                <w:rFonts w:eastAsia="Calibri"/>
                <w:noProof/>
                <w:sz w:val="18"/>
                <w:szCs w:val="18"/>
              </w:rPr>
            </w:pPr>
            <w:r>
              <w:rPr>
                <w:rFonts w:cs="Arial"/>
                <w:noProof/>
                <w:sz w:val="18"/>
                <w:szCs w:val="18"/>
              </w:rPr>
              <w:t>-</w:t>
            </w:r>
          </w:p>
        </w:tc>
        <w:tc>
          <w:tcPr>
            <w:tcW w:w="1559" w:type="dxa"/>
            <w:tcBorders>
              <w:top w:val="nil"/>
              <w:left w:val="double" w:sz="4" w:space="0" w:color="auto"/>
              <w:bottom w:val="nil"/>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 xml:space="preserve"> 0</w:t>
            </w:r>
          </w:p>
        </w:tc>
        <w:tc>
          <w:tcPr>
            <w:tcW w:w="1560" w:type="dxa"/>
            <w:tcBorders>
              <w:top w:val="nil"/>
              <w:left w:val="single" w:sz="4" w:space="0" w:color="auto"/>
              <w:bottom w:val="nil"/>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w:t>
            </w:r>
          </w:p>
        </w:tc>
      </w:tr>
      <w:tr>
        <w:trPr>
          <w:trHeight w:val="212"/>
          <w:jc w:val="center"/>
        </w:trPr>
        <w:tc>
          <w:tcPr>
            <w:tcW w:w="3119" w:type="dxa"/>
            <w:tcBorders>
              <w:top w:val="nil"/>
              <w:left w:val="single" w:sz="8" w:space="0" w:color="auto"/>
              <w:bottom w:val="single" w:sz="8" w:space="0" w:color="auto"/>
              <w:right w:val="single" w:sz="8" w:space="0" w:color="auto"/>
            </w:tcBorders>
            <w:shd w:val="clear" w:color="auto" w:fill="auto"/>
            <w:vAlign w:val="center"/>
          </w:tcPr>
          <w:p>
            <w:pPr>
              <w:keepNext/>
              <w:rPr>
                <w:rFonts w:cs="Arial"/>
                <w:b/>
                <w:i/>
                <w:noProof/>
                <w:color w:val="000000"/>
                <w:sz w:val="18"/>
                <w:szCs w:val="18"/>
              </w:rPr>
            </w:pPr>
            <w:r>
              <w:rPr>
                <w:rFonts w:eastAsia="Calibri" w:cs="Arial"/>
                <w:b/>
                <w:i/>
                <w:noProof/>
                <w:color w:val="000000"/>
                <w:sz w:val="18"/>
                <w:szCs w:val="18"/>
              </w:rPr>
              <w:t>Internal policies</w:t>
            </w:r>
          </w:p>
        </w:tc>
        <w:tc>
          <w:tcPr>
            <w:tcW w:w="1559" w:type="dxa"/>
            <w:tcBorders>
              <w:top w:val="nil"/>
              <w:left w:val="nil"/>
              <w:bottom w:val="single" w:sz="8" w:space="0" w:color="auto"/>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 xml:space="preserve"> 2</w:t>
            </w:r>
          </w:p>
        </w:tc>
        <w:tc>
          <w:tcPr>
            <w:tcW w:w="1559" w:type="dxa"/>
            <w:tcBorders>
              <w:top w:val="nil"/>
              <w:left w:val="single" w:sz="8" w:space="0" w:color="auto"/>
              <w:bottom w:val="single" w:sz="8" w:space="0" w:color="auto"/>
              <w:right w:val="double" w:sz="4" w:space="0" w:color="auto"/>
            </w:tcBorders>
            <w:shd w:val="clear" w:color="auto" w:fill="auto"/>
            <w:vAlign w:val="center"/>
          </w:tcPr>
          <w:p>
            <w:pPr>
              <w:keepNext/>
              <w:autoSpaceDE w:val="0"/>
              <w:autoSpaceDN w:val="0"/>
              <w:adjustRightInd w:val="0"/>
              <w:jc w:val="right"/>
              <w:rPr>
                <w:rFonts w:eastAsia="Calibri"/>
                <w:noProof/>
                <w:sz w:val="18"/>
                <w:szCs w:val="18"/>
              </w:rPr>
            </w:pPr>
            <w:r>
              <w:rPr>
                <w:rFonts w:cs="Arial"/>
                <w:noProof/>
                <w:sz w:val="18"/>
                <w:szCs w:val="18"/>
              </w:rPr>
              <w:t>1</w:t>
            </w:r>
          </w:p>
        </w:tc>
        <w:tc>
          <w:tcPr>
            <w:tcW w:w="1559" w:type="dxa"/>
            <w:tcBorders>
              <w:top w:val="nil"/>
              <w:left w:val="double" w:sz="4" w:space="0" w:color="auto"/>
              <w:bottom w:val="single" w:sz="8" w:space="0" w:color="auto"/>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 xml:space="preserve"> 2</w:t>
            </w:r>
          </w:p>
        </w:tc>
        <w:tc>
          <w:tcPr>
            <w:tcW w:w="1560" w:type="dxa"/>
            <w:tcBorders>
              <w:top w:val="nil"/>
              <w:left w:val="single" w:sz="4" w:space="0" w:color="auto"/>
              <w:bottom w:val="single" w:sz="8" w:space="0" w:color="auto"/>
              <w:right w:val="single" w:sz="8" w:space="0" w:color="auto"/>
            </w:tcBorders>
            <w:vAlign w:val="center"/>
          </w:tcPr>
          <w:p>
            <w:pPr>
              <w:keepNext/>
              <w:autoSpaceDE w:val="0"/>
              <w:autoSpaceDN w:val="0"/>
              <w:adjustRightInd w:val="0"/>
              <w:jc w:val="right"/>
              <w:rPr>
                <w:rFonts w:eastAsia="Calibri"/>
                <w:noProof/>
                <w:sz w:val="18"/>
                <w:szCs w:val="18"/>
              </w:rPr>
            </w:pPr>
            <w:r>
              <w:rPr>
                <w:rFonts w:cs="Arial"/>
                <w:noProof/>
                <w:sz w:val="18"/>
                <w:szCs w:val="18"/>
              </w:rPr>
              <w:t>1</w:t>
            </w:r>
          </w:p>
        </w:tc>
      </w:tr>
      <w:tr>
        <w:trPr>
          <w:trHeight w:hRule="exact" w:val="248"/>
          <w:jc w:val="center"/>
        </w:trPr>
        <w:tc>
          <w:tcPr>
            <w:tcW w:w="3119" w:type="dxa"/>
            <w:tcBorders>
              <w:top w:val="single" w:sz="8" w:space="0" w:color="auto"/>
              <w:left w:val="single" w:sz="8" w:space="0" w:color="auto"/>
              <w:bottom w:val="single" w:sz="8" w:space="0" w:color="auto"/>
              <w:right w:val="single" w:sz="8" w:space="0" w:color="auto"/>
            </w:tcBorders>
            <w:shd w:val="clear" w:color="auto" w:fill="D9D9D9"/>
            <w:vAlign w:val="center"/>
            <w:hideMark/>
          </w:tcPr>
          <w:p>
            <w:pPr>
              <w:keepNext/>
              <w:rPr>
                <w:rFonts w:cs="Arial"/>
                <w:b/>
                <w:i/>
                <w:noProof/>
                <w:color w:val="000000"/>
                <w:sz w:val="18"/>
                <w:szCs w:val="18"/>
              </w:rPr>
            </w:pPr>
            <w:r>
              <w:rPr>
                <w:rFonts w:eastAsia="Calibri" w:cs="Arial"/>
                <w:b/>
                <w:i/>
                <w:noProof/>
                <w:color w:val="000000"/>
                <w:sz w:val="18"/>
                <w:szCs w:val="18"/>
              </w:rPr>
              <w:t>Total</w:t>
            </w:r>
          </w:p>
        </w:tc>
        <w:tc>
          <w:tcPr>
            <w:tcW w:w="1559" w:type="dxa"/>
            <w:tcBorders>
              <w:top w:val="single" w:sz="8" w:space="0" w:color="auto"/>
              <w:left w:val="nil"/>
              <w:bottom w:val="single" w:sz="8" w:space="0" w:color="auto"/>
              <w:right w:val="single" w:sz="8" w:space="0" w:color="auto"/>
            </w:tcBorders>
            <w:shd w:val="clear" w:color="auto" w:fill="D9D9D9"/>
            <w:vAlign w:val="center"/>
          </w:tcPr>
          <w:p>
            <w:pPr>
              <w:keepNext/>
              <w:autoSpaceDE w:val="0"/>
              <w:autoSpaceDN w:val="0"/>
              <w:adjustRightInd w:val="0"/>
              <w:jc w:val="right"/>
              <w:rPr>
                <w:rFonts w:eastAsia="Calibri"/>
                <w:b/>
                <w:noProof/>
                <w:sz w:val="18"/>
                <w:szCs w:val="18"/>
              </w:rPr>
            </w:pPr>
            <w:r>
              <w:rPr>
                <w:rFonts w:cs="Arial"/>
                <w:b/>
                <w:bCs/>
                <w:noProof/>
                <w:sz w:val="18"/>
                <w:szCs w:val="18"/>
              </w:rPr>
              <w:t xml:space="preserve"> 913</w:t>
            </w:r>
          </w:p>
        </w:tc>
        <w:tc>
          <w:tcPr>
            <w:tcW w:w="1559" w:type="dxa"/>
            <w:tcBorders>
              <w:top w:val="single" w:sz="8" w:space="0" w:color="auto"/>
              <w:left w:val="single" w:sz="8" w:space="0" w:color="auto"/>
              <w:bottom w:val="single" w:sz="8" w:space="0" w:color="auto"/>
              <w:right w:val="double" w:sz="4" w:space="0" w:color="auto"/>
            </w:tcBorders>
            <w:shd w:val="clear" w:color="auto" w:fill="D9D9D9"/>
            <w:vAlign w:val="center"/>
          </w:tcPr>
          <w:p>
            <w:pPr>
              <w:keepNext/>
              <w:autoSpaceDE w:val="0"/>
              <w:autoSpaceDN w:val="0"/>
              <w:adjustRightInd w:val="0"/>
              <w:jc w:val="right"/>
              <w:rPr>
                <w:rFonts w:eastAsia="Calibri"/>
                <w:b/>
                <w:noProof/>
                <w:sz w:val="18"/>
                <w:szCs w:val="18"/>
              </w:rPr>
            </w:pPr>
            <w:r>
              <w:rPr>
                <w:rFonts w:cs="Arial"/>
                <w:b/>
                <w:bCs/>
                <w:noProof/>
                <w:sz w:val="18"/>
                <w:szCs w:val="18"/>
              </w:rPr>
              <w:t xml:space="preserve"> 230</w:t>
            </w:r>
          </w:p>
        </w:tc>
        <w:tc>
          <w:tcPr>
            <w:tcW w:w="1559" w:type="dxa"/>
            <w:tcBorders>
              <w:top w:val="single" w:sz="8" w:space="0" w:color="auto"/>
              <w:left w:val="double" w:sz="4" w:space="0" w:color="auto"/>
              <w:bottom w:val="single" w:sz="8" w:space="0" w:color="auto"/>
              <w:right w:val="single" w:sz="8" w:space="0" w:color="auto"/>
            </w:tcBorders>
            <w:shd w:val="clear" w:color="auto" w:fill="D9D9D9"/>
            <w:vAlign w:val="center"/>
          </w:tcPr>
          <w:p>
            <w:pPr>
              <w:keepNext/>
              <w:autoSpaceDE w:val="0"/>
              <w:autoSpaceDN w:val="0"/>
              <w:adjustRightInd w:val="0"/>
              <w:jc w:val="right"/>
              <w:rPr>
                <w:rFonts w:eastAsia="Calibri"/>
                <w:b/>
                <w:noProof/>
                <w:sz w:val="18"/>
                <w:szCs w:val="18"/>
              </w:rPr>
            </w:pPr>
            <w:r>
              <w:rPr>
                <w:rFonts w:cs="Arial"/>
                <w:b/>
                <w:bCs/>
                <w:noProof/>
                <w:sz w:val="18"/>
                <w:szCs w:val="18"/>
              </w:rPr>
              <w:t>2 288</w:t>
            </w:r>
          </w:p>
        </w:tc>
        <w:tc>
          <w:tcPr>
            <w:tcW w:w="1560" w:type="dxa"/>
            <w:tcBorders>
              <w:top w:val="single" w:sz="8" w:space="0" w:color="auto"/>
              <w:left w:val="single" w:sz="4" w:space="0" w:color="auto"/>
              <w:bottom w:val="single" w:sz="8" w:space="0" w:color="auto"/>
              <w:right w:val="single" w:sz="8" w:space="0" w:color="auto"/>
            </w:tcBorders>
            <w:shd w:val="clear" w:color="auto" w:fill="D9D9D9"/>
            <w:vAlign w:val="center"/>
          </w:tcPr>
          <w:p>
            <w:pPr>
              <w:keepNext/>
              <w:autoSpaceDE w:val="0"/>
              <w:autoSpaceDN w:val="0"/>
              <w:adjustRightInd w:val="0"/>
              <w:jc w:val="right"/>
              <w:rPr>
                <w:rFonts w:eastAsia="Calibri"/>
                <w:b/>
                <w:noProof/>
                <w:sz w:val="18"/>
                <w:szCs w:val="18"/>
              </w:rPr>
            </w:pPr>
            <w:r>
              <w:rPr>
                <w:rFonts w:cs="Arial"/>
                <w:b/>
                <w:bCs/>
                <w:noProof/>
                <w:sz w:val="18"/>
                <w:szCs w:val="18"/>
              </w:rPr>
              <w:t xml:space="preserve"> 759</w:t>
            </w:r>
          </w:p>
        </w:tc>
      </w:tr>
    </w:tbl>
    <w:p>
      <w:pPr>
        <w:pStyle w:val="Source-Table-Chart-PhotoCaption"/>
        <w:rPr>
          <w:noProof/>
        </w:rPr>
      </w:pPr>
      <w:r>
        <w:rPr>
          <w:noProof/>
        </w:rPr>
        <w:t>Table: in EUR</w:t>
      </w:r>
      <w:r>
        <w:rPr>
          <w:rFonts w:ascii="Calibri" w:hAnsi="Calibri" w:cs="Calibri"/>
          <w:noProof/>
        </w:rPr>
        <w:t> </w:t>
      </w:r>
      <w:r>
        <w:rPr>
          <w:noProof/>
        </w:rPr>
        <w:t>million</w:t>
      </w:r>
    </w:p>
    <w:p>
      <w:pPr>
        <w:pStyle w:val="Source-Table-Chart-PhotoCaption"/>
        <w:ind w:left="284" w:hanging="284"/>
        <w:rPr>
          <w:noProof/>
        </w:rPr>
      </w:pPr>
      <w:r>
        <w:rPr>
          <w:noProof/>
        </w:rPr>
        <w:t>*</w:t>
      </w:r>
      <w:r>
        <w:rPr>
          <w:noProof/>
        </w:rPr>
        <w:tab/>
        <w:t>Includes extrapolated corrections.</w:t>
      </w:r>
    </w:p>
    <w:p>
      <w:pPr>
        <w:pStyle w:val="Source-Table-Chart-PhotoCaption"/>
        <w:ind w:left="284" w:hanging="284"/>
        <w:rPr>
          <w:noProof/>
        </w:rPr>
      </w:pPr>
      <w:r>
        <w:rPr>
          <w:noProof/>
        </w:rPr>
        <w:t>**</w:t>
      </w:r>
      <w:r>
        <w:rPr>
          <w:noProof/>
        </w:rPr>
        <w:tab/>
        <w:t>Breakdown of flat-rate corrections available only for MFF 2007-2013.</w:t>
      </w:r>
    </w:p>
    <w:p>
      <w:pPr>
        <w:pStyle w:val="Annex4-H3"/>
      </w:pPr>
      <w:bookmarkStart w:id="202" w:name="_Toc484626508"/>
      <w:bookmarkStart w:id="203" w:name="_Toc512866550"/>
      <w:bookmarkStart w:id="204" w:name="_Toc8386221"/>
      <w:r>
        <w:t>5.3.</w:t>
      </w:r>
      <w:r>
        <w:tab/>
        <w:t xml:space="preserve">Breakdown of at source financial corrections </w:t>
      </w:r>
      <w:bookmarkEnd w:id="202"/>
      <w:bookmarkEnd w:id="203"/>
      <w:r>
        <w:t>2018</w:t>
      </w:r>
      <w:bookmarkEnd w:id="204"/>
    </w:p>
    <w:tbl>
      <w:tblPr>
        <w:tblW w:w="5953" w:type="dxa"/>
        <w:jc w:val="center"/>
        <w:tblLayout w:type="fixed"/>
        <w:tblLook w:val="04A0" w:firstRow="1" w:lastRow="0" w:firstColumn="1" w:lastColumn="0" w:noHBand="0" w:noVBand="1"/>
      </w:tblPr>
      <w:tblGrid>
        <w:gridCol w:w="1559"/>
        <w:gridCol w:w="2126"/>
        <w:gridCol w:w="2268"/>
      </w:tblGrid>
      <w:tr>
        <w:trPr>
          <w:trHeight w:val="975"/>
          <w:jc w:val="center"/>
        </w:trPr>
        <w:tc>
          <w:tcPr>
            <w:tcW w:w="1559" w:type="dxa"/>
            <w:tcBorders>
              <w:top w:val="single" w:sz="4" w:space="0" w:color="auto"/>
              <w:left w:val="single" w:sz="4" w:space="0" w:color="auto"/>
              <w:bottom w:val="single" w:sz="4" w:space="0" w:color="auto"/>
              <w:right w:val="single" w:sz="4" w:space="0" w:color="auto"/>
            </w:tcBorders>
            <w:shd w:val="clear" w:color="auto" w:fill="E48C32"/>
            <w:vAlign w:val="center"/>
            <w:hideMark/>
          </w:tcPr>
          <w:p>
            <w:pPr>
              <w:keepNext/>
              <w:spacing w:line="276" w:lineRule="auto"/>
              <w:jc w:val="center"/>
              <w:rPr>
                <w:rFonts w:asciiTheme="minorHAnsi" w:eastAsia="Calibri" w:hAnsiTheme="minorHAnsi" w:cs="Arial"/>
                <w:b/>
                <w:bCs/>
                <w:noProof/>
                <w:color w:val="FFFFFF"/>
                <w:sz w:val="18"/>
                <w:szCs w:val="18"/>
              </w:rPr>
            </w:pPr>
            <w:r>
              <w:rPr>
                <w:rFonts w:asciiTheme="minorHAnsi" w:eastAsia="Calibri" w:hAnsiTheme="minorHAnsi" w:cs="Arial"/>
                <w:b/>
                <w:bCs/>
                <w:noProof/>
                <w:color w:val="FFFFFF"/>
                <w:sz w:val="18"/>
                <w:szCs w:val="18"/>
              </w:rPr>
              <w:t>Member State</w:t>
            </w:r>
          </w:p>
        </w:tc>
        <w:tc>
          <w:tcPr>
            <w:tcW w:w="2126" w:type="dxa"/>
            <w:tcBorders>
              <w:top w:val="single" w:sz="4" w:space="0" w:color="auto"/>
              <w:left w:val="single" w:sz="4" w:space="0" w:color="auto"/>
              <w:bottom w:val="single" w:sz="4" w:space="0" w:color="auto"/>
              <w:right w:val="single" w:sz="4" w:space="0" w:color="auto"/>
            </w:tcBorders>
            <w:shd w:val="clear" w:color="auto" w:fill="E48C32"/>
            <w:vAlign w:val="center"/>
          </w:tcPr>
          <w:p>
            <w:pPr>
              <w:keepNext/>
              <w:spacing w:line="276" w:lineRule="auto"/>
              <w:jc w:val="center"/>
              <w:rPr>
                <w:rFonts w:asciiTheme="minorHAnsi" w:eastAsia="Calibri" w:hAnsiTheme="minorHAnsi" w:cs="Arial"/>
                <w:b/>
                <w:bCs/>
                <w:noProof/>
                <w:color w:val="FFFFFF"/>
                <w:sz w:val="18"/>
                <w:szCs w:val="18"/>
              </w:rPr>
            </w:pPr>
            <w:r>
              <w:rPr>
                <w:rFonts w:asciiTheme="minorHAnsi" w:eastAsia="Calibri" w:hAnsiTheme="minorHAnsi" w:cs="Arial"/>
                <w:b/>
                <w:bCs/>
                <w:noProof/>
                <w:color w:val="FFFFFF"/>
                <w:sz w:val="18"/>
                <w:szCs w:val="18"/>
              </w:rPr>
              <w:t>At source financial corrections confirmed in 2018</w:t>
            </w:r>
          </w:p>
        </w:tc>
        <w:tc>
          <w:tcPr>
            <w:tcW w:w="2268" w:type="dxa"/>
            <w:tcBorders>
              <w:top w:val="single" w:sz="4" w:space="0" w:color="auto"/>
              <w:left w:val="single" w:sz="4" w:space="0" w:color="auto"/>
              <w:bottom w:val="single" w:sz="4" w:space="0" w:color="auto"/>
              <w:right w:val="single" w:sz="4" w:space="0" w:color="auto"/>
            </w:tcBorders>
            <w:shd w:val="clear" w:color="auto" w:fill="E48C32"/>
            <w:vAlign w:val="center"/>
          </w:tcPr>
          <w:p>
            <w:pPr>
              <w:keepNext/>
              <w:spacing w:line="276" w:lineRule="auto"/>
              <w:jc w:val="center"/>
              <w:rPr>
                <w:rFonts w:asciiTheme="minorHAnsi" w:eastAsia="Calibri" w:hAnsiTheme="minorHAnsi" w:cs="Arial"/>
                <w:b/>
                <w:bCs/>
                <w:noProof/>
                <w:color w:val="FFFFFF"/>
                <w:sz w:val="18"/>
                <w:szCs w:val="18"/>
              </w:rPr>
            </w:pPr>
            <w:r>
              <w:rPr>
                <w:rFonts w:asciiTheme="minorHAnsi" w:eastAsia="Calibri" w:hAnsiTheme="minorHAnsi" w:cs="Arial"/>
                <w:b/>
                <w:bCs/>
                <w:noProof/>
                <w:color w:val="FFFFFF"/>
                <w:sz w:val="18"/>
                <w:szCs w:val="18"/>
              </w:rPr>
              <w:t>At source financial corrections implemented in 2018</w:t>
            </w:r>
          </w:p>
        </w:tc>
      </w:tr>
      <w:tr>
        <w:trPr>
          <w:trHeight w:hRule="exact" w:val="228"/>
          <w:jc w:val="center"/>
        </w:trPr>
        <w:tc>
          <w:tcPr>
            <w:tcW w:w="1559" w:type="dxa"/>
            <w:tcBorders>
              <w:top w:val="single" w:sz="4" w:space="0" w:color="auto"/>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Bulgaria</w:t>
            </w:r>
          </w:p>
        </w:tc>
        <w:tc>
          <w:tcPr>
            <w:tcW w:w="2126" w:type="dxa"/>
            <w:tcBorders>
              <w:top w:val="single" w:sz="4" w:space="0" w:color="auto"/>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0.2</w:t>
            </w:r>
          </w:p>
        </w:tc>
        <w:tc>
          <w:tcPr>
            <w:tcW w:w="2268" w:type="dxa"/>
            <w:tcBorders>
              <w:top w:val="single" w:sz="4" w:space="0" w:color="auto"/>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0.2</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Ireland</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0.1</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0.1</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Greece</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0.0</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0.0</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Spain</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1.3</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1.3</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France</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3.1</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3.1</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Croatia</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0.0</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0.0</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Italy</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46.6</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46.6</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Cyprus</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0.0</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0.0</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Lithuania</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0.0</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0.0</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noProof/>
                <w:color w:val="000000"/>
                <w:sz w:val="18"/>
              </w:rPr>
            </w:pPr>
            <w:r>
              <w:rPr>
                <w:rFonts w:asciiTheme="minorHAnsi" w:hAnsiTheme="minorHAnsi"/>
                <w:noProof/>
                <w:sz w:val="18"/>
              </w:rPr>
              <w:t>Hungary</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noProof/>
                <w:color w:val="000000"/>
                <w:sz w:val="18"/>
              </w:rPr>
            </w:pPr>
            <w:r>
              <w:rPr>
                <w:rFonts w:asciiTheme="minorHAnsi" w:hAnsiTheme="minorHAnsi"/>
                <w:noProof/>
                <w:sz w:val="18"/>
              </w:rPr>
              <w:t>7.0</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noProof/>
                <w:color w:val="000000"/>
                <w:sz w:val="18"/>
              </w:rPr>
            </w:pPr>
            <w:r>
              <w:rPr>
                <w:rFonts w:asciiTheme="minorHAnsi" w:hAnsiTheme="minorHAnsi"/>
                <w:noProof/>
                <w:sz w:val="18"/>
              </w:rPr>
              <w:t>112.0</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Netherlands</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0.6</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0.6</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Austria</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0.1</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0.1</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Poland</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0.5</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0.5</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Portugal</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0.0</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0.0</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Romania</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13.9</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13.9</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Slovakia</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2.5</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2.5</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Finland</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0.1</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0.1</w:t>
            </w:r>
          </w:p>
        </w:tc>
      </w:tr>
      <w:tr>
        <w:trPr>
          <w:trHeight w:hRule="exact" w:val="228"/>
          <w:jc w:val="center"/>
        </w:trPr>
        <w:tc>
          <w:tcPr>
            <w:tcW w:w="1559" w:type="dxa"/>
            <w:tcBorders>
              <w:left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Sweden</w:t>
            </w:r>
          </w:p>
        </w:tc>
        <w:tc>
          <w:tcPr>
            <w:tcW w:w="2126"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0.3</w:t>
            </w:r>
          </w:p>
        </w:tc>
        <w:tc>
          <w:tcPr>
            <w:tcW w:w="2268" w:type="dxa"/>
            <w:tcBorders>
              <w:left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0.3</w:t>
            </w:r>
          </w:p>
        </w:tc>
      </w:tr>
      <w:tr>
        <w:trPr>
          <w:trHeight w:hRule="exact" w:val="228"/>
          <w:jc w:val="center"/>
        </w:trPr>
        <w:tc>
          <w:tcPr>
            <w:tcW w:w="1559" w:type="dxa"/>
            <w:tcBorders>
              <w:left w:val="single" w:sz="8" w:space="0" w:color="auto"/>
              <w:bottom w:val="single" w:sz="8" w:space="0" w:color="auto"/>
              <w:right w:val="single" w:sz="8" w:space="0" w:color="auto"/>
            </w:tcBorders>
            <w:shd w:val="clear" w:color="auto" w:fill="auto"/>
            <w:vAlign w:val="center"/>
          </w:tcPr>
          <w:p>
            <w:pPr>
              <w:keepNext/>
              <w:autoSpaceDE w:val="0"/>
              <w:autoSpaceDN w:val="0"/>
              <w:adjustRightInd w:val="0"/>
              <w:spacing w:line="276" w:lineRule="auto"/>
              <w:rPr>
                <w:rFonts w:asciiTheme="minorHAnsi" w:eastAsia="Calibri" w:hAnsiTheme="minorHAnsi" w:cs="Arial"/>
                <w:noProof/>
                <w:color w:val="000000"/>
                <w:sz w:val="18"/>
                <w:szCs w:val="18"/>
              </w:rPr>
            </w:pPr>
            <w:r>
              <w:rPr>
                <w:rFonts w:asciiTheme="minorHAnsi" w:hAnsiTheme="minorHAnsi" w:cs="Arial"/>
                <w:noProof/>
                <w:sz w:val="18"/>
                <w:szCs w:val="18"/>
              </w:rPr>
              <w:t>United Kingdom</w:t>
            </w:r>
          </w:p>
        </w:tc>
        <w:tc>
          <w:tcPr>
            <w:tcW w:w="2126" w:type="dxa"/>
            <w:tcBorders>
              <w:left w:val="single" w:sz="8" w:space="0" w:color="auto"/>
              <w:bottom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10.9</w:t>
            </w:r>
          </w:p>
        </w:tc>
        <w:tc>
          <w:tcPr>
            <w:tcW w:w="2268" w:type="dxa"/>
            <w:tcBorders>
              <w:left w:val="single" w:sz="8" w:space="0" w:color="auto"/>
              <w:bottom w:val="single" w:sz="8" w:space="0" w:color="auto"/>
              <w:right w:val="single" w:sz="8" w:space="0" w:color="auto"/>
            </w:tcBorders>
            <w:vAlign w:val="center"/>
          </w:tcPr>
          <w:p>
            <w:pPr>
              <w:keepNext/>
              <w:autoSpaceDE w:val="0"/>
              <w:autoSpaceDN w:val="0"/>
              <w:adjustRightInd w:val="0"/>
              <w:spacing w:line="276" w:lineRule="auto"/>
              <w:jc w:val="right"/>
              <w:rPr>
                <w:rFonts w:asciiTheme="minorHAnsi" w:eastAsia="Calibri" w:hAnsiTheme="minorHAnsi" w:cs="Arial"/>
                <w:noProof/>
                <w:color w:val="000000"/>
                <w:sz w:val="18"/>
                <w:szCs w:val="18"/>
              </w:rPr>
            </w:pPr>
            <w:r>
              <w:rPr>
                <w:rFonts w:asciiTheme="minorHAnsi" w:hAnsiTheme="minorHAnsi" w:cs="Arial"/>
                <w:noProof/>
                <w:sz w:val="18"/>
                <w:szCs w:val="18"/>
              </w:rPr>
              <w:t>10.9</w:t>
            </w:r>
          </w:p>
        </w:tc>
      </w:tr>
      <w:tr>
        <w:trPr>
          <w:trHeight w:hRule="exact" w:val="307"/>
          <w:jc w:val="center"/>
        </w:trPr>
        <w:tc>
          <w:tcPr>
            <w:tcW w:w="1559" w:type="dxa"/>
            <w:tcBorders>
              <w:top w:val="single" w:sz="8" w:space="0" w:color="auto"/>
              <w:left w:val="single" w:sz="8" w:space="0" w:color="auto"/>
              <w:bottom w:val="single" w:sz="8" w:space="0" w:color="auto"/>
              <w:right w:val="single" w:sz="8" w:space="0" w:color="auto"/>
            </w:tcBorders>
            <w:shd w:val="clear" w:color="auto" w:fill="D9D9D9"/>
            <w:vAlign w:val="center"/>
            <w:hideMark/>
          </w:tcPr>
          <w:p>
            <w:pPr>
              <w:keepNext/>
              <w:spacing w:line="276" w:lineRule="auto"/>
              <w:rPr>
                <w:rFonts w:asciiTheme="minorHAnsi" w:eastAsia="Calibri" w:hAnsiTheme="minorHAnsi" w:cs="Arial"/>
                <w:b/>
                <w:noProof/>
                <w:color w:val="000000"/>
                <w:sz w:val="18"/>
                <w:szCs w:val="18"/>
              </w:rPr>
            </w:pPr>
            <w:r>
              <w:rPr>
                <w:rFonts w:asciiTheme="minorHAnsi" w:hAnsiTheme="minorHAnsi"/>
                <w:b/>
                <w:noProof/>
                <w:color w:val="000000"/>
                <w:sz w:val="18"/>
                <w:szCs w:val="18"/>
              </w:rPr>
              <w:t>Total</w:t>
            </w:r>
          </w:p>
        </w:tc>
        <w:tc>
          <w:tcPr>
            <w:tcW w:w="2126" w:type="dxa"/>
            <w:tcBorders>
              <w:top w:val="single" w:sz="8" w:space="0" w:color="auto"/>
              <w:left w:val="single" w:sz="8" w:space="0" w:color="auto"/>
              <w:bottom w:val="single" w:sz="8" w:space="0" w:color="auto"/>
              <w:right w:val="single" w:sz="8" w:space="0" w:color="auto"/>
            </w:tcBorders>
            <w:shd w:val="clear" w:color="auto" w:fill="D9D9D9"/>
            <w:vAlign w:val="center"/>
          </w:tcPr>
          <w:p>
            <w:pPr>
              <w:keepNext/>
              <w:autoSpaceDE w:val="0"/>
              <w:autoSpaceDN w:val="0"/>
              <w:adjustRightInd w:val="0"/>
              <w:spacing w:line="276" w:lineRule="auto"/>
              <w:jc w:val="right"/>
              <w:rPr>
                <w:rFonts w:asciiTheme="minorHAnsi" w:eastAsia="Calibri" w:hAnsiTheme="minorHAnsi" w:cs="Arial"/>
                <w:b/>
                <w:bCs/>
                <w:noProof/>
                <w:color w:val="000000"/>
                <w:sz w:val="18"/>
                <w:szCs w:val="18"/>
              </w:rPr>
            </w:pPr>
            <w:r>
              <w:rPr>
                <w:rFonts w:asciiTheme="minorHAnsi" w:hAnsiTheme="minorHAnsi" w:cs="Arial"/>
                <w:b/>
                <w:bCs/>
                <w:noProof/>
                <w:sz w:val="18"/>
                <w:szCs w:val="18"/>
              </w:rPr>
              <w:t>87.3</w:t>
            </w:r>
          </w:p>
        </w:tc>
        <w:tc>
          <w:tcPr>
            <w:tcW w:w="2268" w:type="dxa"/>
            <w:tcBorders>
              <w:top w:val="single" w:sz="8" w:space="0" w:color="auto"/>
              <w:left w:val="single" w:sz="8" w:space="0" w:color="auto"/>
              <w:bottom w:val="single" w:sz="8" w:space="0" w:color="auto"/>
              <w:right w:val="single" w:sz="8" w:space="0" w:color="auto"/>
            </w:tcBorders>
            <w:shd w:val="clear" w:color="auto" w:fill="D9D9D9"/>
            <w:vAlign w:val="center"/>
          </w:tcPr>
          <w:p>
            <w:pPr>
              <w:keepNext/>
              <w:autoSpaceDE w:val="0"/>
              <w:autoSpaceDN w:val="0"/>
              <w:adjustRightInd w:val="0"/>
              <w:spacing w:line="276" w:lineRule="auto"/>
              <w:jc w:val="right"/>
              <w:rPr>
                <w:rFonts w:asciiTheme="minorHAnsi" w:eastAsia="Calibri" w:hAnsiTheme="minorHAnsi" w:cs="Arial"/>
                <w:b/>
                <w:bCs/>
                <w:noProof/>
                <w:color w:val="000000"/>
                <w:sz w:val="18"/>
                <w:szCs w:val="18"/>
              </w:rPr>
            </w:pPr>
            <w:r>
              <w:rPr>
                <w:rFonts w:asciiTheme="minorHAnsi" w:hAnsiTheme="minorHAnsi" w:cs="Arial"/>
                <w:b/>
                <w:bCs/>
                <w:noProof/>
                <w:sz w:val="18"/>
                <w:szCs w:val="18"/>
              </w:rPr>
              <w:t>192.3</w:t>
            </w:r>
          </w:p>
        </w:tc>
      </w:tr>
    </w:tbl>
    <w:p>
      <w:pPr>
        <w:pStyle w:val="Source-Table-Chart-PhotoCaption"/>
        <w:ind w:left="1503"/>
        <w:rPr>
          <w:noProof/>
        </w:rPr>
      </w:pPr>
      <w:r>
        <w:rPr>
          <w:rStyle w:val="italics"/>
          <w:noProof/>
        </w:rPr>
        <w:t>Table:</w:t>
      </w:r>
      <w:r>
        <w:rPr>
          <w:noProof/>
        </w:rPr>
        <w:t xml:space="preserve"> in EUR</w:t>
      </w:r>
      <w:r>
        <w:rPr>
          <w:rFonts w:ascii="Calibri" w:hAnsi="Calibri" w:cs="Calibri"/>
          <w:noProof/>
        </w:rPr>
        <w:t> </w:t>
      </w:r>
      <w:r>
        <w:rPr>
          <w:noProof/>
        </w:rPr>
        <w:t>million</w:t>
      </w:r>
    </w:p>
    <w:p>
      <w:pPr>
        <w:pStyle w:val="BodyText1spacebeforeandafter"/>
      </w:pPr>
      <w:r>
        <w:t>At source financial corrections are applied by the Member State authorities before or at the same time that new expenditure is declared to the Commission. In the majority of the cases they are the result of flat-rate corrections imposed for deficiencies in the management and control system, identified following the Commission audits</w:t>
      </w:r>
      <w:r>
        <w:rPr>
          <w:rFonts w:ascii="Calibri" w:hAnsi="Calibri" w:cs="Calibri"/>
        </w:rPr>
        <w:t> (</w:t>
      </w:r>
      <w:r>
        <w:rPr>
          <w:rFonts w:cs="Arial"/>
        </w:rPr>
        <w:footnoteReference w:id="53"/>
      </w:r>
      <w:r>
        <w:rPr>
          <w:rFonts w:ascii="Calibri" w:hAnsi="Calibri" w:cs="Calibri"/>
        </w:rPr>
        <w:t>)</w:t>
      </w:r>
      <w:r>
        <w:t>.</w:t>
      </w:r>
    </w:p>
    <w:p>
      <w:pPr>
        <w:pStyle w:val="BodyText1spaceafter"/>
        <w:rPr>
          <w:b/>
          <w:color w:val="auto"/>
          <w:szCs w:val="20"/>
        </w:rPr>
      </w:pPr>
      <w:r>
        <w:rPr>
          <w:color w:val="auto"/>
          <w:szCs w:val="20"/>
        </w:rPr>
        <w:t xml:space="preserve">The main at source financial corrections implemented in 2018 concern </w:t>
      </w:r>
      <w:r>
        <w:rPr>
          <w:rStyle w:val="BOLDORANGEAnnexes"/>
        </w:rPr>
        <w:t>European Regional Development Fund</w:t>
      </w:r>
      <w:r>
        <w:rPr>
          <w:color w:val="auto"/>
          <w:szCs w:val="20"/>
        </w:rPr>
        <w:t xml:space="preserve"> (Hungary EUR</w:t>
      </w:r>
      <w:r>
        <w:rPr>
          <w:rStyle w:val="Bodytext2Bold"/>
          <w:rFonts w:ascii="Calibri" w:hAnsi="Calibri" w:cs="Calibri"/>
          <w:color w:val="auto"/>
          <w:szCs w:val="20"/>
          <w:lang w:val="en-GB"/>
        </w:rPr>
        <w:t> </w:t>
      </w:r>
      <w:r>
        <w:rPr>
          <w:color w:val="auto"/>
          <w:szCs w:val="20"/>
        </w:rPr>
        <w:t>105</w:t>
      </w:r>
      <w:r>
        <w:rPr>
          <w:rFonts w:ascii="Calibri" w:hAnsi="Calibri" w:cs="Calibri"/>
          <w:color w:val="auto"/>
          <w:szCs w:val="20"/>
        </w:rPr>
        <w:t> </w:t>
      </w:r>
      <w:r>
        <w:rPr>
          <w:color w:val="auto"/>
          <w:szCs w:val="20"/>
        </w:rPr>
        <w:t xml:space="preserve">million) and </w:t>
      </w:r>
      <w:r>
        <w:rPr>
          <w:rStyle w:val="BOLDORANGEAnnexes"/>
        </w:rPr>
        <w:t>European Agricultural Guarantee Fund</w:t>
      </w:r>
      <w:r>
        <w:rPr>
          <w:b/>
          <w:bCs/>
          <w:color w:val="auto"/>
          <w:szCs w:val="20"/>
        </w:rPr>
        <w:t xml:space="preserve"> </w:t>
      </w:r>
      <w:r>
        <w:rPr>
          <w:bCs/>
          <w:color w:val="auto"/>
          <w:szCs w:val="20"/>
        </w:rPr>
        <w:t>(</w:t>
      </w:r>
      <w:r>
        <w:rPr>
          <w:color w:val="auto"/>
          <w:szCs w:val="20"/>
        </w:rPr>
        <w:t>Italy EUR</w:t>
      </w:r>
      <w:r>
        <w:rPr>
          <w:rStyle w:val="Bodytext2Bold"/>
          <w:rFonts w:ascii="Calibri" w:hAnsi="Calibri" w:cs="Calibri"/>
          <w:color w:val="auto"/>
          <w:szCs w:val="20"/>
          <w:lang w:val="en-GB"/>
        </w:rPr>
        <w:t> </w:t>
      </w:r>
      <w:r>
        <w:rPr>
          <w:rStyle w:val="Bodytext2Bold"/>
          <w:rFonts w:cs="Calibri"/>
          <w:b w:val="0"/>
          <w:color w:val="auto"/>
          <w:szCs w:val="20"/>
          <w:lang w:val="en-GB"/>
        </w:rPr>
        <w:t>47</w:t>
      </w:r>
      <w:r>
        <w:rPr>
          <w:rFonts w:ascii="Calibri" w:hAnsi="Calibri" w:cs="Calibri"/>
          <w:b/>
          <w:color w:val="auto"/>
          <w:szCs w:val="20"/>
        </w:rPr>
        <w:t> </w:t>
      </w:r>
      <w:r>
        <w:rPr>
          <w:color w:val="auto"/>
          <w:szCs w:val="20"/>
        </w:rPr>
        <w:t>million and Romania EUR</w:t>
      </w:r>
      <w:r>
        <w:rPr>
          <w:rStyle w:val="Bodytext2Bold"/>
          <w:rFonts w:ascii="Calibri" w:hAnsi="Calibri" w:cs="Calibri"/>
          <w:color w:val="auto"/>
          <w:szCs w:val="20"/>
          <w:lang w:val="en-GB"/>
        </w:rPr>
        <w:t> </w:t>
      </w:r>
      <w:r>
        <w:rPr>
          <w:color w:val="auto"/>
          <w:szCs w:val="20"/>
        </w:rPr>
        <w:t>14</w:t>
      </w:r>
      <w:r>
        <w:rPr>
          <w:rFonts w:ascii="Calibri" w:hAnsi="Calibri" w:cs="Calibri"/>
          <w:color w:val="auto"/>
          <w:szCs w:val="20"/>
        </w:rPr>
        <w:t> </w:t>
      </w:r>
      <w:r>
        <w:rPr>
          <w:color w:val="auto"/>
          <w:szCs w:val="20"/>
        </w:rPr>
        <w:t>million)</w:t>
      </w:r>
      <w:r>
        <w:rPr>
          <w:b/>
          <w:color w:val="auto"/>
          <w:szCs w:val="20"/>
        </w:rPr>
        <w:t xml:space="preserve">. </w:t>
      </w:r>
    </w:p>
    <w:p>
      <w:pPr>
        <w:pStyle w:val="BodyText1"/>
        <w:rPr>
          <w:rFonts w:eastAsia="Calibri"/>
        </w:rPr>
      </w:pPr>
      <w:r>
        <w:br w:type="page"/>
      </w:r>
    </w:p>
    <w:p>
      <w:pPr>
        <w:pStyle w:val="BodyText1spaceafter"/>
        <w:rPr>
          <w:b/>
          <w:color w:val="auto"/>
          <w:szCs w:val="20"/>
        </w:rPr>
      </w:pPr>
    </w:p>
    <w:p>
      <w:pPr>
        <w:pStyle w:val="Annex4-H3"/>
      </w:pPr>
      <w:bookmarkStart w:id="205" w:name="_Toc484626509"/>
      <w:bookmarkStart w:id="206" w:name="_Toc512866551"/>
      <w:bookmarkStart w:id="207" w:name="_Toc8386222"/>
      <w:r>
        <w:t>5.4.</w:t>
      </w:r>
      <w:r>
        <w:tab/>
        <w:t>Breakdown by Member State: Financial corrections in 2018 compared to EU payments received</w:t>
      </w:r>
      <w:bookmarkEnd w:id="205"/>
      <w:bookmarkEnd w:id="206"/>
      <w:bookmarkEnd w:id="207"/>
    </w:p>
    <w:tbl>
      <w:tblPr>
        <w:tblW w:w="8003" w:type="dxa"/>
        <w:jc w:val="center"/>
        <w:tblLayout w:type="fixed"/>
        <w:tblLook w:val="04A0" w:firstRow="1" w:lastRow="0" w:firstColumn="1" w:lastColumn="0" w:noHBand="0" w:noVBand="1"/>
      </w:tblPr>
      <w:tblGrid>
        <w:gridCol w:w="1809"/>
        <w:gridCol w:w="1228"/>
        <w:gridCol w:w="1324"/>
        <w:gridCol w:w="1214"/>
        <w:gridCol w:w="1214"/>
        <w:gridCol w:w="1214"/>
      </w:tblGrid>
      <w:tr>
        <w:trPr>
          <w:trHeight w:val="1494"/>
          <w:jc w:val="center"/>
        </w:trPr>
        <w:tc>
          <w:tcPr>
            <w:tcW w:w="1809" w:type="dxa"/>
            <w:tcBorders>
              <w:top w:val="single" w:sz="12" w:space="0" w:color="auto"/>
              <w:left w:val="single" w:sz="12" w:space="0" w:color="auto"/>
              <w:bottom w:val="single" w:sz="4" w:space="0" w:color="auto"/>
              <w:right w:val="single" w:sz="12" w:space="0" w:color="auto"/>
            </w:tcBorders>
            <w:shd w:val="clear" w:color="auto" w:fill="E48C32"/>
            <w:vAlign w:val="center"/>
            <w:hideMark/>
          </w:tcPr>
          <w:p>
            <w:pPr>
              <w:jc w:val="center"/>
              <w:rPr>
                <w:rFonts w:asciiTheme="minorHAnsi" w:hAnsiTheme="minorHAnsi" w:cs="Arial"/>
                <w:b/>
                <w:noProof/>
                <w:color w:val="FFFFFF"/>
                <w:sz w:val="16"/>
                <w:szCs w:val="18"/>
              </w:rPr>
            </w:pPr>
            <w:r>
              <w:rPr>
                <w:rFonts w:asciiTheme="minorHAnsi" w:hAnsiTheme="minorHAnsi" w:cs="Arial"/>
                <w:b/>
                <w:noProof/>
                <w:color w:val="FFFFFF"/>
                <w:sz w:val="16"/>
                <w:szCs w:val="18"/>
              </w:rPr>
              <w:t>Member State</w:t>
            </w:r>
          </w:p>
        </w:tc>
        <w:tc>
          <w:tcPr>
            <w:tcW w:w="1228" w:type="dxa"/>
            <w:tcBorders>
              <w:top w:val="single" w:sz="12" w:space="0" w:color="auto"/>
              <w:left w:val="single" w:sz="12" w:space="0" w:color="auto"/>
              <w:bottom w:val="single" w:sz="4" w:space="0" w:color="auto"/>
              <w:right w:val="double" w:sz="12" w:space="0" w:color="auto"/>
            </w:tcBorders>
            <w:shd w:val="clear" w:color="auto" w:fill="E48C32"/>
            <w:vAlign w:val="center"/>
          </w:tcPr>
          <w:p>
            <w:pPr>
              <w:jc w:val="center"/>
              <w:rPr>
                <w:rFonts w:asciiTheme="minorHAnsi" w:hAnsiTheme="minorHAnsi" w:cs="Arial"/>
                <w:b/>
                <w:noProof/>
                <w:color w:val="FFFFFF"/>
                <w:sz w:val="16"/>
                <w:szCs w:val="18"/>
              </w:rPr>
            </w:pPr>
            <w:r>
              <w:rPr>
                <w:rFonts w:asciiTheme="minorHAnsi" w:hAnsiTheme="minorHAnsi" w:cs="Arial"/>
                <w:b/>
                <w:noProof/>
                <w:color w:val="FFFFFF"/>
                <w:sz w:val="16"/>
                <w:szCs w:val="18"/>
              </w:rPr>
              <w:t>Payments received from the EU budget in 2018</w:t>
            </w:r>
            <w:r>
              <w:rPr>
                <w:rFonts w:asciiTheme="minorHAnsi" w:hAnsiTheme="minorHAnsi" w:cs="Arial"/>
                <w:b/>
                <w:noProof/>
                <w:color w:val="FFFFFF"/>
                <w:sz w:val="16"/>
                <w:szCs w:val="18"/>
              </w:rPr>
              <w:br/>
              <w:t>(EUR million)</w:t>
            </w:r>
          </w:p>
        </w:tc>
        <w:tc>
          <w:tcPr>
            <w:tcW w:w="1324" w:type="dxa"/>
            <w:tcBorders>
              <w:top w:val="single" w:sz="12" w:space="0" w:color="auto"/>
              <w:left w:val="double" w:sz="12" w:space="0" w:color="auto"/>
              <w:bottom w:val="single" w:sz="4" w:space="0" w:color="auto"/>
              <w:right w:val="single" w:sz="8" w:space="0" w:color="auto"/>
            </w:tcBorders>
            <w:shd w:val="clear" w:color="auto" w:fill="E48C32"/>
            <w:vAlign w:val="center"/>
          </w:tcPr>
          <w:p>
            <w:pPr>
              <w:jc w:val="center"/>
              <w:rPr>
                <w:rFonts w:asciiTheme="minorHAnsi" w:hAnsiTheme="minorHAnsi" w:cs="Arial"/>
                <w:b/>
                <w:noProof/>
                <w:color w:val="FFFFFF"/>
                <w:sz w:val="16"/>
                <w:szCs w:val="18"/>
              </w:rPr>
            </w:pPr>
            <w:r>
              <w:rPr>
                <w:rFonts w:asciiTheme="minorHAnsi" w:hAnsiTheme="minorHAnsi" w:cs="Arial"/>
                <w:b/>
                <w:noProof/>
                <w:color w:val="FFFFFF"/>
                <w:sz w:val="16"/>
                <w:szCs w:val="18"/>
              </w:rPr>
              <w:t>Financial corrections confirmed in 2018 (EUR million)</w:t>
            </w:r>
          </w:p>
        </w:tc>
        <w:tc>
          <w:tcPr>
            <w:tcW w:w="1214" w:type="dxa"/>
            <w:tcBorders>
              <w:top w:val="single" w:sz="12" w:space="0" w:color="auto"/>
              <w:left w:val="single" w:sz="8" w:space="0" w:color="auto"/>
              <w:bottom w:val="single" w:sz="4" w:space="0" w:color="auto"/>
              <w:right w:val="double" w:sz="12" w:space="0" w:color="auto"/>
            </w:tcBorders>
            <w:shd w:val="clear" w:color="auto" w:fill="E48C32"/>
            <w:vAlign w:val="center"/>
            <w:hideMark/>
          </w:tcPr>
          <w:p>
            <w:pPr>
              <w:jc w:val="center"/>
              <w:rPr>
                <w:rFonts w:asciiTheme="minorHAnsi" w:hAnsiTheme="minorHAnsi" w:cs="Arial"/>
                <w:b/>
                <w:noProof/>
                <w:color w:val="FFFFFF"/>
                <w:sz w:val="16"/>
                <w:szCs w:val="18"/>
              </w:rPr>
            </w:pPr>
            <w:r>
              <w:rPr>
                <w:rFonts w:asciiTheme="minorHAnsi" w:hAnsiTheme="minorHAnsi" w:cs="Arial"/>
                <w:b/>
                <w:noProof/>
                <w:color w:val="FFFFFF"/>
                <w:sz w:val="16"/>
                <w:szCs w:val="18"/>
              </w:rPr>
              <w:t>Financial corrections confirmed in 2018 % as compared to payments received from the EU budget in 2018</w:t>
            </w:r>
          </w:p>
        </w:tc>
        <w:tc>
          <w:tcPr>
            <w:tcW w:w="1214" w:type="dxa"/>
            <w:tcBorders>
              <w:top w:val="single" w:sz="12" w:space="0" w:color="auto"/>
              <w:left w:val="double" w:sz="12" w:space="0" w:color="auto"/>
              <w:bottom w:val="single" w:sz="4" w:space="0" w:color="auto"/>
              <w:right w:val="single" w:sz="8" w:space="0" w:color="auto"/>
            </w:tcBorders>
            <w:shd w:val="clear" w:color="auto" w:fill="E48C32"/>
            <w:vAlign w:val="center"/>
          </w:tcPr>
          <w:p>
            <w:pPr>
              <w:jc w:val="center"/>
              <w:rPr>
                <w:rFonts w:asciiTheme="minorHAnsi" w:hAnsiTheme="minorHAnsi" w:cs="Arial"/>
                <w:b/>
                <w:noProof/>
                <w:color w:val="FFFFFF"/>
                <w:sz w:val="16"/>
                <w:szCs w:val="18"/>
              </w:rPr>
            </w:pPr>
            <w:r>
              <w:rPr>
                <w:rFonts w:asciiTheme="minorHAnsi" w:hAnsiTheme="minorHAnsi" w:cs="Arial"/>
                <w:b/>
                <w:noProof/>
                <w:color w:val="FFFFFF"/>
                <w:sz w:val="16"/>
                <w:szCs w:val="18"/>
              </w:rPr>
              <w:t>Financial corrections implemented in 2018 (EUR million)</w:t>
            </w:r>
          </w:p>
        </w:tc>
        <w:tc>
          <w:tcPr>
            <w:tcW w:w="1214" w:type="dxa"/>
            <w:tcBorders>
              <w:top w:val="single" w:sz="12" w:space="0" w:color="auto"/>
              <w:left w:val="single" w:sz="4" w:space="0" w:color="auto"/>
              <w:bottom w:val="single" w:sz="4" w:space="0" w:color="auto"/>
              <w:right w:val="single" w:sz="12" w:space="0" w:color="auto"/>
            </w:tcBorders>
            <w:shd w:val="clear" w:color="auto" w:fill="E48C32"/>
            <w:vAlign w:val="center"/>
          </w:tcPr>
          <w:p>
            <w:pPr>
              <w:jc w:val="center"/>
              <w:rPr>
                <w:rFonts w:asciiTheme="minorHAnsi" w:hAnsiTheme="minorHAnsi" w:cs="Arial"/>
                <w:b/>
                <w:noProof/>
                <w:color w:val="FFFFFF"/>
                <w:sz w:val="16"/>
                <w:szCs w:val="18"/>
              </w:rPr>
            </w:pPr>
            <w:r>
              <w:rPr>
                <w:rFonts w:asciiTheme="minorHAnsi" w:hAnsiTheme="minorHAnsi" w:cs="Arial"/>
                <w:b/>
                <w:noProof/>
                <w:color w:val="FFFFFF"/>
                <w:sz w:val="16"/>
                <w:szCs w:val="18"/>
              </w:rPr>
              <w:t>Financial corrections implemented in 2018 as % of payments received from the EU budget in 2018</w:t>
            </w:r>
          </w:p>
        </w:tc>
      </w:tr>
      <w:tr>
        <w:trPr>
          <w:trHeight w:hRule="exact" w:val="227"/>
          <w:jc w:val="center"/>
        </w:trPr>
        <w:tc>
          <w:tcPr>
            <w:tcW w:w="1809" w:type="dxa"/>
            <w:tcBorders>
              <w:top w:val="single" w:sz="4" w:space="0" w:color="auto"/>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Belgium</w:t>
            </w:r>
          </w:p>
        </w:tc>
        <w:tc>
          <w:tcPr>
            <w:tcW w:w="1228" w:type="dxa"/>
            <w:tcBorders>
              <w:top w:val="single" w:sz="4" w:space="0" w:color="auto"/>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1 230</w:t>
            </w:r>
          </w:p>
        </w:tc>
        <w:tc>
          <w:tcPr>
            <w:tcW w:w="1324" w:type="dxa"/>
            <w:tcBorders>
              <w:top w:val="single" w:sz="4" w:space="0" w:color="auto"/>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9</w:t>
            </w:r>
          </w:p>
        </w:tc>
        <w:tc>
          <w:tcPr>
            <w:tcW w:w="1214" w:type="dxa"/>
            <w:tcBorders>
              <w:top w:val="single" w:sz="4" w:space="0" w:color="auto"/>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color w:val="000000"/>
                <w:sz w:val="18"/>
                <w:szCs w:val="18"/>
              </w:rPr>
            </w:pPr>
            <w:r>
              <w:rPr>
                <w:rFonts w:asciiTheme="minorHAnsi" w:hAnsiTheme="minorHAnsi" w:cs="Arial"/>
                <w:i/>
                <w:iCs/>
                <w:noProof/>
                <w:sz w:val="18"/>
                <w:szCs w:val="18"/>
              </w:rPr>
              <w:t>0.7</w:t>
            </w:r>
          </w:p>
        </w:tc>
        <w:tc>
          <w:tcPr>
            <w:tcW w:w="1214" w:type="dxa"/>
            <w:tcBorders>
              <w:top w:val="single" w:sz="4" w:space="0" w:color="auto"/>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(2)</w:t>
            </w:r>
          </w:p>
        </w:tc>
        <w:tc>
          <w:tcPr>
            <w:tcW w:w="1214" w:type="dxa"/>
            <w:tcBorders>
              <w:top w:val="single" w:sz="4" w:space="0" w:color="auto"/>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(0.2)</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Bulgaria</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2 036</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11</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color w:val="000000"/>
                <w:sz w:val="18"/>
                <w:szCs w:val="18"/>
              </w:rPr>
            </w:pPr>
            <w:r>
              <w:rPr>
                <w:rFonts w:asciiTheme="minorHAnsi" w:hAnsiTheme="minorHAnsi" w:cs="Arial"/>
                <w:i/>
                <w:iCs/>
                <w:noProof/>
                <w:sz w:val="18"/>
                <w:szCs w:val="18"/>
              </w:rPr>
              <w:t>0.6</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17</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0.8</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Czechia</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4 042</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31</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color w:val="000000"/>
                <w:sz w:val="18"/>
                <w:szCs w:val="18"/>
              </w:rPr>
            </w:pPr>
            <w:r>
              <w:rPr>
                <w:rFonts w:asciiTheme="minorHAnsi" w:hAnsiTheme="minorHAnsi" w:cs="Arial"/>
                <w:i/>
                <w:iCs/>
                <w:noProof/>
                <w:sz w:val="18"/>
                <w:szCs w:val="18"/>
              </w:rPr>
              <w:t>0.8</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20</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0.5</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Denmark</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1 007</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4</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color w:val="000000"/>
                <w:sz w:val="18"/>
                <w:szCs w:val="18"/>
              </w:rPr>
            </w:pPr>
            <w:r>
              <w:rPr>
                <w:rFonts w:asciiTheme="minorHAnsi" w:hAnsiTheme="minorHAnsi" w:cs="Arial"/>
                <w:i/>
                <w:iCs/>
                <w:noProof/>
                <w:sz w:val="18"/>
                <w:szCs w:val="18"/>
              </w:rPr>
              <w:t>0.4</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4</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0.4</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Germany</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9 236</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2</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color w:val="000000"/>
                <w:sz w:val="18"/>
                <w:szCs w:val="18"/>
              </w:rPr>
            </w:pPr>
            <w:r>
              <w:rPr>
                <w:rFonts w:asciiTheme="minorHAnsi" w:hAnsiTheme="minorHAnsi" w:cs="Arial"/>
                <w:i/>
                <w:iCs/>
                <w:noProof/>
                <w:sz w:val="18"/>
                <w:szCs w:val="18"/>
              </w:rPr>
              <w:t>0.0</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3</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0.0</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Estonia</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 xml:space="preserve"> 786</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color w:val="000000"/>
                <w:sz w:val="18"/>
                <w:szCs w:val="18"/>
              </w:rPr>
            </w:pPr>
            <w:r>
              <w:rPr>
                <w:rFonts w:asciiTheme="minorHAnsi" w:hAnsiTheme="minorHAnsi" w:cs="Arial"/>
                <w:i/>
                <w:iCs/>
                <w:noProof/>
                <w:sz w:val="18"/>
                <w:szCs w:val="18"/>
              </w:rPr>
              <w:t>0.1</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0.1</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Ireland</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1 791</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0</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0.0</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2</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0.1</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Greece</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4 358</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83</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1.9</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333</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7.6</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Spain</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12 356</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50</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0.4</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201</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1.6</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France</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12 244</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51</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0.4</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125</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1.0</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Croatia</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1 080</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 xml:space="preserve">  14 </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1.3</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14</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1.3</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Italy</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10 165</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182</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1.8</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345</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3.4</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Cyprus</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 xml:space="preserve"> 257</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3</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1.0</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3</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1.0</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Latvia</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1 139</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0</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0.0</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20</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1.8</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Lithuania</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2 065</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0</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0.0</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12</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0.6</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Luxembourg</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 xml:space="preserve"> 85</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0</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0.0</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0</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0.3</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Hungary</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6 437</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194</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3.0</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479</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7.4</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Malta</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 xml:space="preserve"> 112</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0</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0.0</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0</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0.0</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Netherlands</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1 079</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0.1</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6</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0.5</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Austria</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1 472</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2</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0.2</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0.1</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Poland</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17 346</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18</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0.1</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342</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2.0</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Portugal</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5 049</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41</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0.8</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50</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1.0</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Romania</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5 430</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123</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2.3</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204</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3.8</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Slovenia</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 xml:space="preserve"> 854</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17</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1.9</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17</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1.9</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Slovakia</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2 445</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6</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0.3</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24</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1.0</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Finland</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1 150</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0.1</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4</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0.3</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Sweden</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1 313</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9</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color w:val="000000"/>
                <w:sz w:val="18"/>
                <w:szCs w:val="18"/>
              </w:rPr>
            </w:pPr>
            <w:r>
              <w:rPr>
                <w:rFonts w:asciiTheme="minorHAnsi" w:hAnsiTheme="minorHAnsi" w:cs="Arial"/>
                <w:i/>
                <w:iCs/>
                <w:noProof/>
                <w:sz w:val="18"/>
                <w:szCs w:val="18"/>
              </w:rPr>
              <w:t>0.7</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7</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0.5</w:t>
            </w:r>
          </w:p>
        </w:tc>
      </w:tr>
      <w:tr>
        <w:trPr>
          <w:trHeight w:hRule="exact" w:val="227"/>
          <w:jc w:val="center"/>
        </w:trPr>
        <w:tc>
          <w:tcPr>
            <w:tcW w:w="1809" w:type="dxa"/>
            <w:tcBorders>
              <w:left w:val="single" w:sz="12"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United Kingdom</w:t>
            </w:r>
          </w:p>
        </w:tc>
        <w:tc>
          <w:tcPr>
            <w:tcW w:w="1228" w:type="dxa"/>
            <w:tcBorders>
              <w:left w:val="single" w:sz="12"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5 291</w:t>
            </w:r>
          </w:p>
        </w:tc>
        <w:tc>
          <w:tcPr>
            <w:tcW w:w="132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55</w:t>
            </w:r>
          </w:p>
        </w:tc>
        <w:tc>
          <w:tcPr>
            <w:tcW w:w="1214" w:type="dxa"/>
            <w:tcBorders>
              <w:left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color w:val="000000"/>
                <w:sz w:val="18"/>
                <w:szCs w:val="18"/>
              </w:rPr>
            </w:pPr>
            <w:r>
              <w:rPr>
                <w:rFonts w:asciiTheme="minorHAnsi" w:hAnsiTheme="minorHAnsi" w:cs="Arial"/>
                <w:i/>
                <w:iCs/>
                <w:noProof/>
                <w:sz w:val="18"/>
                <w:szCs w:val="18"/>
              </w:rPr>
              <w:t>1.0</w:t>
            </w:r>
          </w:p>
        </w:tc>
        <w:tc>
          <w:tcPr>
            <w:tcW w:w="1214" w:type="dxa"/>
            <w:tcBorders>
              <w:left w:val="double" w:sz="12"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51</w:t>
            </w:r>
          </w:p>
        </w:tc>
        <w:tc>
          <w:tcPr>
            <w:tcW w:w="1214" w:type="dxa"/>
            <w:tcBorders>
              <w:left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1.0</w:t>
            </w:r>
          </w:p>
        </w:tc>
      </w:tr>
      <w:tr>
        <w:trPr>
          <w:trHeight w:hRule="exact" w:val="227"/>
          <w:jc w:val="center"/>
        </w:trPr>
        <w:tc>
          <w:tcPr>
            <w:tcW w:w="1809" w:type="dxa"/>
            <w:tcBorders>
              <w:left w:val="single" w:sz="12" w:space="0" w:color="auto"/>
              <w:bottom w:val="single" w:sz="8" w:space="0" w:color="auto"/>
              <w:right w:val="single" w:sz="12" w:space="0" w:color="auto"/>
            </w:tcBorders>
            <w:shd w:val="clear" w:color="auto" w:fill="auto"/>
            <w:vAlign w:val="center"/>
          </w:tcPr>
          <w:p>
            <w:pPr>
              <w:autoSpaceDE w:val="0"/>
              <w:autoSpaceDN w:val="0"/>
              <w:adjustRightInd w:val="0"/>
              <w:rPr>
                <w:rFonts w:asciiTheme="minorHAnsi" w:eastAsia="Calibri" w:hAnsiTheme="minorHAnsi" w:cs="Arial"/>
                <w:noProof/>
                <w:color w:val="000000"/>
                <w:sz w:val="18"/>
                <w:szCs w:val="18"/>
              </w:rPr>
            </w:pPr>
            <w:r>
              <w:rPr>
                <w:rFonts w:asciiTheme="minorHAnsi" w:hAnsiTheme="minorHAnsi" w:cs="Arial"/>
                <w:noProof/>
                <w:sz w:val="18"/>
                <w:szCs w:val="18"/>
              </w:rPr>
              <w:t>Interreg (</w:t>
            </w:r>
            <w:r>
              <w:rPr>
                <w:rFonts w:cs="Arial"/>
                <w:noProof/>
              </w:rPr>
              <w:footnoteReference w:id="54"/>
            </w:r>
            <w:r>
              <w:rPr>
                <w:rFonts w:asciiTheme="minorHAnsi" w:hAnsiTheme="minorHAnsi" w:cs="Arial"/>
                <w:noProof/>
                <w:sz w:val="18"/>
                <w:szCs w:val="18"/>
              </w:rPr>
              <w:t>)</w:t>
            </w:r>
          </w:p>
        </w:tc>
        <w:tc>
          <w:tcPr>
            <w:tcW w:w="1228" w:type="dxa"/>
            <w:tcBorders>
              <w:left w:val="single" w:sz="12" w:space="0" w:color="auto"/>
              <w:bottom w:val="single" w:sz="8" w:space="0" w:color="auto"/>
              <w:right w:val="double" w:sz="12"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 xml:space="preserve"> 129</w:t>
            </w:r>
          </w:p>
        </w:tc>
        <w:tc>
          <w:tcPr>
            <w:tcW w:w="1324" w:type="dxa"/>
            <w:tcBorders>
              <w:left w:val="double" w:sz="12" w:space="0" w:color="auto"/>
              <w:bottom w:val="single" w:sz="8"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6</w:t>
            </w:r>
          </w:p>
        </w:tc>
        <w:tc>
          <w:tcPr>
            <w:tcW w:w="1214" w:type="dxa"/>
            <w:tcBorders>
              <w:left w:val="single" w:sz="8" w:space="0" w:color="auto"/>
              <w:bottom w:val="single" w:sz="8" w:space="0" w:color="auto"/>
              <w:right w:val="double" w:sz="12" w:space="0" w:color="auto"/>
            </w:tcBorders>
            <w:shd w:val="clear" w:color="auto" w:fill="auto"/>
            <w:noWrap/>
            <w:vAlign w:val="center"/>
          </w:tcPr>
          <w:p>
            <w:pPr>
              <w:autoSpaceDE w:val="0"/>
              <w:autoSpaceDN w:val="0"/>
              <w:adjustRightInd w:val="0"/>
              <w:jc w:val="right"/>
              <w:rPr>
                <w:rFonts w:asciiTheme="minorHAnsi" w:eastAsia="Calibri" w:hAnsiTheme="minorHAnsi" w:cs="Arial"/>
                <w:i/>
                <w:noProof/>
                <w:color w:val="000000"/>
                <w:sz w:val="18"/>
                <w:szCs w:val="18"/>
              </w:rPr>
            </w:pPr>
            <w:r>
              <w:rPr>
                <w:rFonts w:asciiTheme="minorHAnsi" w:hAnsiTheme="minorHAnsi" w:cs="Arial"/>
                <w:i/>
                <w:iCs/>
                <w:noProof/>
                <w:sz w:val="18"/>
                <w:szCs w:val="18"/>
              </w:rPr>
              <w:t>4.4</w:t>
            </w:r>
          </w:p>
        </w:tc>
        <w:tc>
          <w:tcPr>
            <w:tcW w:w="1214" w:type="dxa"/>
            <w:tcBorders>
              <w:left w:val="double" w:sz="12" w:space="0" w:color="auto"/>
              <w:bottom w:val="single" w:sz="8" w:space="0" w:color="auto"/>
              <w:right w:val="single" w:sz="8" w:space="0" w:color="auto"/>
            </w:tcBorders>
            <w:vAlign w:val="center"/>
          </w:tcPr>
          <w:p>
            <w:pPr>
              <w:autoSpaceDE w:val="0"/>
              <w:autoSpaceDN w:val="0"/>
              <w:adjustRightInd w:val="0"/>
              <w:jc w:val="right"/>
              <w:rPr>
                <w:rFonts w:asciiTheme="minorHAnsi" w:eastAsia="Calibri" w:hAnsiTheme="minorHAnsi" w:cs="Arial"/>
                <w:noProof/>
                <w:color w:val="000000"/>
                <w:sz w:val="18"/>
                <w:szCs w:val="18"/>
              </w:rPr>
            </w:pPr>
            <w:r>
              <w:rPr>
                <w:rFonts w:asciiTheme="minorHAnsi" w:hAnsiTheme="minorHAnsi" w:cs="Arial"/>
                <w:noProof/>
                <w:sz w:val="18"/>
                <w:szCs w:val="18"/>
              </w:rPr>
              <w:t>7</w:t>
            </w:r>
          </w:p>
        </w:tc>
        <w:tc>
          <w:tcPr>
            <w:tcW w:w="1214" w:type="dxa"/>
            <w:tcBorders>
              <w:left w:val="single" w:sz="8" w:space="0" w:color="auto"/>
              <w:bottom w:val="single" w:sz="8" w:space="0" w:color="auto"/>
              <w:right w:val="single" w:sz="12" w:space="0" w:color="auto"/>
            </w:tcBorders>
            <w:vAlign w:val="center"/>
          </w:tcPr>
          <w:p>
            <w:pPr>
              <w:autoSpaceDE w:val="0"/>
              <w:autoSpaceDN w:val="0"/>
              <w:adjustRightInd w:val="0"/>
              <w:jc w:val="right"/>
              <w:rPr>
                <w:rFonts w:asciiTheme="minorHAnsi" w:eastAsia="Calibri" w:hAnsiTheme="minorHAnsi" w:cs="Arial"/>
                <w:i/>
                <w:noProof/>
                <w:sz w:val="18"/>
                <w:szCs w:val="18"/>
              </w:rPr>
            </w:pPr>
            <w:r>
              <w:rPr>
                <w:rFonts w:asciiTheme="minorHAnsi" w:hAnsiTheme="minorHAnsi" w:cs="Arial"/>
                <w:i/>
                <w:iCs/>
                <w:noProof/>
                <w:sz w:val="18"/>
                <w:szCs w:val="18"/>
              </w:rPr>
              <w:t>5.7</w:t>
            </w:r>
          </w:p>
        </w:tc>
      </w:tr>
      <w:tr>
        <w:trPr>
          <w:trHeight w:hRule="exact" w:val="311"/>
          <w:jc w:val="center"/>
        </w:trPr>
        <w:tc>
          <w:tcPr>
            <w:tcW w:w="1809" w:type="dxa"/>
            <w:tcBorders>
              <w:top w:val="single" w:sz="8" w:space="0" w:color="auto"/>
              <w:left w:val="single" w:sz="12" w:space="0" w:color="auto"/>
              <w:bottom w:val="single" w:sz="12" w:space="0" w:color="auto"/>
              <w:right w:val="single" w:sz="12" w:space="0" w:color="auto"/>
            </w:tcBorders>
            <w:shd w:val="clear" w:color="auto" w:fill="D9D9D9"/>
            <w:vAlign w:val="center"/>
          </w:tcPr>
          <w:p>
            <w:pPr>
              <w:autoSpaceDE w:val="0"/>
              <w:autoSpaceDN w:val="0"/>
              <w:adjustRightInd w:val="0"/>
              <w:rPr>
                <w:rFonts w:asciiTheme="minorHAnsi" w:eastAsia="Calibri" w:hAnsiTheme="minorHAnsi" w:cs="Arial"/>
                <w:b/>
                <w:noProof/>
                <w:color w:val="000000"/>
                <w:sz w:val="18"/>
                <w:szCs w:val="18"/>
              </w:rPr>
            </w:pPr>
            <w:r>
              <w:rPr>
                <w:rFonts w:asciiTheme="minorHAnsi" w:eastAsia="Calibri" w:hAnsiTheme="minorHAnsi" w:cs="Arial"/>
                <w:b/>
                <w:noProof/>
                <w:sz w:val="18"/>
                <w:szCs w:val="18"/>
              </w:rPr>
              <w:t>Total</w:t>
            </w:r>
          </w:p>
        </w:tc>
        <w:tc>
          <w:tcPr>
            <w:tcW w:w="1228" w:type="dxa"/>
            <w:tcBorders>
              <w:top w:val="single" w:sz="8" w:space="0" w:color="auto"/>
              <w:left w:val="single" w:sz="12" w:space="0" w:color="auto"/>
              <w:bottom w:val="single" w:sz="12" w:space="0" w:color="auto"/>
              <w:right w:val="double" w:sz="12" w:space="0" w:color="auto"/>
            </w:tcBorders>
            <w:shd w:val="clear" w:color="auto" w:fill="D9D9D9"/>
            <w:vAlign w:val="center"/>
          </w:tcPr>
          <w:p>
            <w:pPr>
              <w:jc w:val="right"/>
              <w:rPr>
                <w:rFonts w:asciiTheme="minorHAnsi" w:hAnsiTheme="minorHAnsi" w:cs="Arial"/>
                <w:b/>
                <w:bCs/>
                <w:noProof/>
                <w:sz w:val="18"/>
                <w:szCs w:val="18"/>
              </w:rPr>
            </w:pPr>
            <w:r>
              <w:rPr>
                <w:rFonts w:asciiTheme="minorHAnsi" w:hAnsiTheme="minorHAnsi" w:cs="Arial"/>
                <w:b/>
                <w:bCs/>
                <w:noProof/>
                <w:sz w:val="18"/>
                <w:szCs w:val="18"/>
              </w:rPr>
              <w:t>111 985</w:t>
            </w:r>
          </w:p>
          <w:p>
            <w:pPr>
              <w:autoSpaceDE w:val="0"/>
              <w:autoSpaceDN w:val="0"/>
              <w:adjustRightInd w:val="0"/>
              <w:jc w:val="right"/>
              <w:rPr>
                <w:rFonts w:asciiTheme="minorHAnsi" w:eastAsia="Calibri" w:hAnsiTheme="minorHAnsi" w:cs="Arial"/>
                <w:b/>
                <w:noProof/>
                <w:color w:val="000000"/>
                <w:sz w:val="18"/>
                <w:szCs w:val="18"/>
              </w:rPr>
            </w:pPr>
          </w:p>
        </w:tc>
        <w:tc>
          <w:tcPr>
            <w:tcW w:w="1324" w:type="dxa"/>
            <w:tcBorders>
              <w:top w:val="single" w:sz="8" w:space="0" w:color="auto"/>
              <w:left w:val="double" w:sz="12" w:space="0" w:color="auto"/>
              <w:bottom w:val="single" w:sz="12" w:space="0" w:color="auto"/>
              <w:right w:val="single" w:sz="8" w:space="0" w:color="auto"/>
            </w:tcBorders>
            <w:shd w:val="clear" w:color="auto" w:fill="D9D9D9"/>
            <w:vAlign w:val="center"/>
          </w:tcPr>
          <w:p>
            <w:pPr>
              <w:autoSpaceDE w:val="0"/>
              <w:autoSpaceDN w:val="0"/>
              <w:adjustRightInd w:val="0"/>
              <w:jc w:val="right"/>
              <w:rPr>
                <w:rFonts w:asciiTheme="minorHAnsi" w:eastAsia="Calibri" w:hAnsiTheme="minorHAnsi" w:cs="Arial"/>
                <w:b/>
                <w:noProof/>
                <w:color w:val="000000"/>
                <w:sz w:val="18"/>
                <w:szCs w:val="18"/>
              </w:rPr>
            </w:pPr>
            <w:r>
              <w:rPr>
                <w:rFonts w:asciiTheme="minorHAnsi" w:hAnsiTheme="minorHAnsi" w:cs="Arial"/>
                <w:b/>
                <w:bCs/>
                <w:noProof/>
                <w:sz w:val="18"/>
                <w:szCs w:val="18"/>
              </w:rPr>
              <w:t xml:space="preserve"> 913</w:t>
            </w:r>
          </w:p>
        </w:tc>
        <w:tc>
          <w:tcPr>
            <w:tcW w:w="1214" w:type="dxa"/>
            <w:tcBorders>
              <w:top w:val="single" w:sz="8" w:space="0" w:color="auto"/>
              <w:left w:val="single" w:sz="8" w:space="0" w:color="auto"/>
              <w:bottom w:val="single" w:sz="12" w:space="0" w:color="auto"/>
              <w:right w:val="double" w:sz="12" w:space="0" w:color="auto"/>
            </w:tcBorders>
            <w:shd w:val="clear" w:color="auto" w:fill="D9D9D9"/>
            <w:vAlign w:val="center"/>
          </w:tcPr>
          <w:p>
            <w:pPr>
              <w:autoSpaceDE w:val="0"/>
              <w:autoSpaceDN w:val="0"/>
              <w:adjustRightInd w:val="0"/>
              <w:jc w:val="right"/>
              <w:rPr>
                <w:rFonts w:asciiTheme="minorHAnsi" w:eastAsia="Calibri" w:hAnsiTheme="minorHAnsi" w:cs="Arial"/>
                <w:b/>
                <w:i/>
                <w:noProof/>
                <w:color w:val="000000"/>
                <w:sz w:val="18"/>
                <w:szCs w:val="18"/>
              </w:rPr>
            </w:pPr>
            <w:r>
              <w:rPr>
                <w:rFonts w:asciiTheme="minorHAnsi" w:hAnsiTheme="minorHAnsi" w:cs="Arial"/>
                <w:b/>
                <w:bCs/>
                <w:i/>
                <w:iCs/>
                <w:noProof/>
                <w:sz w:val="18"/>
                <w:szCs w:val="18"/>
              </w:rPr>
              <w:t>0.8</w:t>
            </w:r>
          </w:p>
        </w:tc>
        <w:tc>
          <w:tcPr>
            <w:tcW w:w="1214" w:type="dxa"/>
            <w:tcBorders>
              <w:top w:val="single" w:sz="8" w:space="0" w:color="auto"/>
              <w:left w:val="double" w:sz="12" w:space="0" w:color="auto"/>
              <w:bottom w:val="single" w:sz="12" w:space="0" w:color="auto"/>
              <w:right w:val="single" w:sz="8" w:space="0" w:color="auto"/>
            </w:tcBorders>
            <w:shd w:val="clear" w:color="auto" w:fill="D9D9D9"/>
            <w:vAlign w:val="center"/>
          </w:tcPr>
          <w:p>
            <w:pPr>
              <w:autoSpaceDE w:val="0"/>
              <w:autoSpaceDN w:val="0"/>
              <w:adjustRightInd w:val="0"/>
              <w:jc w:val="right"/>
              <w:rPr>
                <w:rFonts w:asciiTheme="minorHAnsi" w:eastAsia="Calibri" w:hAnsiTheme="minorHAnsi" w:cs="Arial"/>
                <w:b/>
                <w:noProof/>
                <w:color w:val="000000"/>
                <w:sz w:val="18"/>
                <w:szCs w:val="18"/>
              </w:rPr>
            </w:pPr>
            <w:r>
              <w:rPr>
                <w:rFonts w:asciiTheme="minorHAnsi" w:hAnsiTheme="minorHAnsi" w:cs="Arial"/>
                <w:b/>
                <w:bCs/>
                <w:noProof/>
                <w:sz w:val="18"/>
                <w:szCs w:val="18"/>
              </w:rPr>
              <w:t>2 288</w:t>
            </w:r>
          </w:p>
        </w:tc>
        <w:tc>
          <w:tcPr>
            <w:tcW w:w="1214" w:type="dxa"/>
            <w:tcBorders>
              <w:top w:val="single" w:sz="8" w:space="0" w:color="auto"/>
              <w:left w:val="single" w:sz="8" w:space="0" w:color="auto"/>
              <w:bottom w:val="single" w:sz="12" w:space="0" w:color="auto"/>
              <w:right w:val="single" w:sz="12" w:space="0" w:color="auto"/>
            </w:tcBorders>
            <w:shd w:val="clear" w:color="auto" w:fill="D9D9D9"/>
            <w:vAlign w:val="center"/>
          </w:tcPr>
          <w:p>
            <w:pPr>
              <w:autoSpaceDE w:val="0"/>
              <w:autoSpaceDN w:val="0"/>
              <w:adjustRightInd w:val="0"/>
              <w:jc w:val="right"/>
              <w:rPr>
                <w:rFonts w:asciiTheme="minorHAnsi" w:eastAsia="Calibri" w:hAnsiTheme="minorHAnsi" w:cs="Arial"/>
                <w:b/>
                <w:i/>
                <w:noProof/>
                <w:color w:val="000000"/>
                <w:sz w:val="18"/>
                <w:szCs w:val="18"/>
              </w:rPr>
            </w:pPr>
            <w:r>
              <w:rPr>
                <w:rFonts w:asciiTheme="minorHAnsi" w:hAnsiTheme="minorHAnsi" w:cs="Arial"/>
                <w:b/>
                <w:bCs/>
                <w:i/>
                <w:iCs/>
                <w:noProof/>
                <w:sz w:val="18"/>
                <w:szCs w:val="18"/>
              </w:rPr>
              <w:t>2.0</w:t>
            </w:r>
          </w:p>
        </w:tc>
      </w:tr>
    </w:tbl>
    <w:p>
      <w:pPr>
        <w:pStyle w:val="Source-Table-Chart-PhotoCaption"/>
        <w:ind w:left="510"/>
        <w:rPr>
          <w:noProof/>
        </w:rPr>
      </w:pPr>
      <w:r>
        <w:rPr>
          <w:rStyle w:val="italics"/>
          <w:noProof/>
        </w:rPr>
        <w:t>Table:</w:t>
      </w:r>
      <w:r>
        <w:rPr>
          <w:noProof/>
        </w:rPr>
        <w:t xml:space="preserve"> in EUR million</w:t>
      </w:r>
    </w:p>
    <w:p>
      <w:pPr>
        <w:pStyle w:val="AMPRTABLECHART"/>
        <w:rPr>
          <w:rFonts w:eastAsia="Calibri"/>
        </w:rPr>
      </w:pPr>
      <w:r>
        <w:rPr>
          <w:rFonts w:eastAsia="Calibri"/>
        </w:rPr>
        <w:br w:type="page"/>
      </w:r>
    </w:p>
    <w:p>
      <w:pPr>
        <w:autoSpaceDE w:val="0"/>
        <w:autoSpaceDN w:val="0"/>
        <w:adjustRightInd w:val="0"/>
        <w:spacing w:before="240" w:after="120"/>
        <w:ind w:left="425"/>
        <w:rPr>
          <w:rFonts w:eastAsia="Calibri"/>
          <w:i/>
          <w:noProof/>
          <w:sz w:val="10"/>
        </w:rPr>
      </w:pPr>
    </w:p>
    <w:p>
      <w:pPr>
        <w:pStyle w:val="Annex4-H3"/>
      </w:pPr>
      <w:bookmarkStart w:id="208" w:name="_Toc484626510"/>
      <w:bookmarkStart w:id="209" w:name="_Toc512866552"/>
      <w:bookmarkStart w:id="210" w:name="_Toc8386223"/>
      <w:r>
        <w:t>5.5.</w:t>
      </w:r>
      <w:r>
        <w:tab/>
      </w:r>
      <w:bookmarkEnd w:id="208"/>
      <w:r>
        <w:t>Agricultural amounts recovered from final beneficiaries by the Member States in 2018 and used in the calculation of the corrective capacity</w:t>
      </w:r>
      <w:bookmarkEnd w:id="209"/>
      <w:bookmarkEnd w:id="210"/>
    </w:p>
    <w:tbl>
      <w:tblPr>
        <w:tblW w:w="6881" w:type="dxa"/>
        <w:jc w:val="center"/>
        <w:tblLook w:val="04A0" w:firstRow="1" w:lastRow="0" w:firstColumn="1" w:lastColumn="0" w:noHBand="0" w:noVBand="1"/>
      </w:tblPr>
      <w:tblGrid>
        <w:gridCol w:w="1637"/>
        <w:gridCol w:w="1559"/>
        <w:gridCol w:w="1843"/>
        <w:gridCol w:w="1842"/>
      </w:tblGrid>
      <w:tr>
        <w:trPr>
          <w:trHeight w:val="435"/>
          <w:jc w:val="center"/>
        </w:trPr>
        <w:tc>
          <w:tcPr>
            <w:tcW w:w="1637" w:type="dxa"/>
            <w:tcBorders>
              <w:top w:val="single" w:sz="8" w:space="0" w:color="auto"/>
              <w:left w:val="single" w:sz="8" w:space="0" w:color="auto"/>
              <w:bottom w:val="single" w:sz="8" w:space="0" w:color="auto"/>
              <w:right w:val="nil"/>
            </w:tcBorders>
            <w:shd w:val="clear" w:color="auto" w:fill="E48C32"/>
            <w:vAlign w:val="center"/>
            <w:hideMark/>
          </w:tcPr>
          <w:p>
            <w:pPr>
              <w:jc w:val="center"/>
              <w:rPr>
                <w:rFonts w:asciiTheme="minorHAnsi" w:hAnsiTheme="minorHAnsi" w:cs="Arial"/>
                <w:b/>
                <w:bCs/>
                <w:noProof/>
                <w:color w:val="FFFFFF"/>
                <w:sz w:val="16"/>
                <w:szCs w:val="16"/>
              </w:rPr>
            </w:pPr>
            <w:r>
              <w:rPr>
                <w:rFonts w:asciiTheme="minorHAnsi" w:hAnsiTheme="minorHAnsi" w:cs="Arial"/>
                <w:b/>
                <w:bCs/>
                <w:noProof/>
                <w:color w:val="FFFFFF"/>
                <w:sz w:val="16"/>
                <w:szCs w:val="16"/>
              </w:rPr>
              <w:t>Member State</w:t>
            </w:r>
          </w:p>
        </w:tc>
        <w:tc>
          <w:tcPr>
            <w:tcW w:w="1559" w:type="dxa"/>
            <w:tcBorders>
              <w:top w:val="single" w:sz="8" w:space="0" w:color="auto"/>
              <w:left w:val="single" w:sz="8" w:space="0" w:color="auto"/>
              <w:bottom w:val="single" w:sz="8" w:space="0" w:color="auto"/>
              <w:right w:val="nil"/>
            </w:tcBorders>
            <w:shd w:val="clear" w:color="auto" w:fill="E48C32"/>
            <w:vAlign w:val="center"/>
            <w:hideMark/>
          </w:tcPr>
          <w:p>
            <w:pPr>
              <w:jc w:val="center"/>
              <w:rPr>
                <w:rFonts w:asciiTheme="minorHAnsi" w:hAnsiTheme="minorHAnsi" w:cs="Arial"/>
                <w:b/>
                <w:bCs/>
                <w:noProof/>
                <w:color w:val="FFFFFF"/>
                <w:sz w:val="16"/>
                <w:szCs w:val="16"/>
              </w:rPr>
            </w:pPr>
            <w:r>
              <w:rPr>
                <w:rFonts w:asciiTheme="minorHAnsi" w:hAnsiTheme="minorHAnsi" w:cs="Arial"/>
                <w:b/>
                <w:bCs/>
                <w:noProof/>
                <w:color w:val="FFFFFF"/>
                <w:sz w:val="16"/>
                <w:szCs w:val="16"/>
              </w:rPr>
              <w:t>European Agricultural Guarantee Fund</w:t>
            </w:r>
          </w:p>
        </w:tc>
        <w:tc>
          <w:tcPr>
            <w:tcW w:w="1843" w:type="dxa"/>
            <w:tcBorders>
              <w:top w:val="single" w:sz="8" w:space="0" w:color="auto"/>
              <w:left w:val="single" w:sz="8" w:space="0" w:color="auto"/>
              <w:bottom w:val="single" w:sz="8" w:space="0" w:color="auto"/>
              <w:right w:val="single" w:sz="8" w:space="0" w:color="auto"/>
            </w:tcBorders>
            <w:shd w:val="clear" w:color="auto" w:fill="E48C32"/>
            <w:vAlign w:val="center"/>
            <w:hideMark/>
          </w:tcPr>
          <w:p>
            <w:pPr>
              <w:jc w:val="center"/>
              <w:rPr>
                <w:rFonts w:asciiTheme="minorHAnsi" w:hAnsiTheme="minorHAnsi" w:cs="Arial"/>
                <w:b/>
                <w:bCs/>
                <w:noProof/>
                <w:color w:val="FFFFFF"/>
                <w:sz w:val="16"/>
                <w:szCs w:val="16"/>
              </w:rPr>
            </w:pPr>
            <w:r>
              <w:rPr>
                <w:rFonts w:asciiTheme="minorHAnsi" w:hAnsiTheme="minorHAnsi" w:cs="Arial"/>
                <w:b/>
                <w:bCs/>
                <w:noProof/>
                <w:color w:val="FFFFFF"/>
                <w:sz w:val="16"/>
                <w:szCs w:val="16"/>
              </w:rPr>
              <w:t>European Agricultural Fund for Rural Development</w:t>
            </w:r>
          </w:p>
        </w:tc>
        <w:tc>
          <w:tcPr>
            <w:tcW w:w="1842" w:type="dxa"/>
            <w:tcBorders>
              <w:top w:val="single" w:sz="8" w:space="0" w:color="auto"/>
              <w:left w:val="nil"/>
              <w:bottom w:val="single" w:sz="8" w:space="0" w:color="auto"/>
              <w:right w:val="single" w:sz="8" w:space="0" w:color="auto"/>
            </w:tcBorders>
            <w:shd w:val="clear" w:color="auto" w:fill="E48C32"/>
            <w:vAlign w:val="center"/>
            <w:hideMark/>
          </w:tcPr>
          <w:p>
            <w:pPr>
              <w:jc w:val="center"/>
              <w:rPr>
                <w:rFonts w:asciiTheme="minorHAnsi" w:hAnsiTheme="minorHAnsi" w:cs="Arial"/>
                <w:b/>
                <w:bCs/>
                <w:noProof/>
                <w:color w:val="FFFFFF"/>
                <w:sz w:val="16"/>
                <w:szCs w:val="16"/>
              </w:rPr>
            </w:pPr>
            <w:r>
              <w:rPr>
                <w:rFonts w:asciiTheme="minorHAnsi" w:hAnsiTheme="minorHAnsi" w:cs="Arial"/>
                <w:b/>
                <w:bCs/>
                <w:noProof/>
                <w:color w:val="FFFFFF"/>
                <w:sz w:val="16"/>
                <w:szCs w:val="16"/>
              </w:rPr>
              <w:t>Total 2018</w:t>
            </w:r>
          </w:p>
        </w:tc>
      </w:tr>
      <w:tr>
        <w:trPr>
          <w:trHeight w:val="255"/>
          <w:jc w:val="center"/>
        </w:trPr>
        <w:tc>
          <w:tcPr>
            <w:tcW w:w="1637" w:type="dxa"/>
            <w:tcBorders>
              <w:top w:val="single" w:sz="8" w:space="0" w:color="auto"/>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Belgium</w:t>
            </w:r>
          </w:p>
        </w:tc>
        <w:tc>
          <w:tcPr>
            <w:tcW w:w="1559" w:type="dxa"/>
            <w:tcBorders>
              <w:top w:val="single" w:sz="8" w:space="0" w:color="auto"/>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2.12</w:t>
            </w:r>
          </w:p>
        </w:tc>
        <w:tc>
          <w:tcPr>
            <w:tcW w:w="1843" w:type="dxa"/>
            <w:tcBorders>
              <w:top w:val="single" w:sz="8" w:space="0" w:color="auto"/>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0.28</w:t>
            </w:r>
          </w:p>
        </w:tc>
        <w:tc>
          <w:tcPr>
            <w:tcW w:w="1842" w:type="dxa"/>
            <w:tcBorders>
              <w:top w:val="single" w:sz="8" w:space="0" w:color="auto"/>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2.40</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Bulgaria</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2.36</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2.39</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4.75</w:t>
            </w:r>
          </w:p>
        </w:tc>
      </w:tr>
      <w:tr>
        <w:trPr>
          <w:trHeight w:val="180"/>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Czechia</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1.35</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1.43</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2.78</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Denmark</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1.40</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0.67</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2.06</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Germany</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13.73</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9.82</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23.55</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Estonia</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0.29</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1.39</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1.68</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Ireland</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3.90</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2.37</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6.27</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Greece</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7.30</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4.75</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12.05</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Spain</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12.59</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4.66</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17.24</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France</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14.34</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3.40</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17.74</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Croatia</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1.61</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2.26</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3.87</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Italy</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26.08</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20.95</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47.03</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Cyprus</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0.18</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0.04</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0.22</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Latvia</w:t>
            </w:r>
          </w:p>
        </w:tc>
        <w:tc>
          <w:tcPr>
            <w:tcW w:w="1559" w:type="dxa"/>
            <w:tcBorders>
              <w:top w:val="nil"/>
              <w:left w:val="nil"/>
              <w:bottom w:val="nil"/>
              <w:right w:val="single" w:sz="8" w:space="0" w:color="auto"/>
            </w:tcBorders>
            <w:shd w:val="clear" w:color="auto" w:fill="auto"/>
            <w:noWrap/>
            <w:vAlign w:val="center"/>
            <w:hideMark/>
          </w:tcPr>
          <w:p>
            <w:pPr>
              <w:jc w:val="right"/>
              <w:rPr>
                <w:rFonts w:ascii="Arial" w:hAnsi="Arial" w:cs="Arial"/>
                <w:noProof/>
                <w:color w:val="000000"/>
                <w:sz w:val="16"/>
                <w:szCs w:val="16"/>
              </w:rPr>
            </w:pPr>
            <w:r>
              <w:rPr>
                <w:rFonts w:ascii="Arial" w:hAnsi="Arial" w:cs="Arial"/>
                <w:noProof/>
                <w:color w:val="000000"/>
                <w:sz w:val="16"/>
                <w:szCs w:val="16"/>
              </w:rPr>
              <w:t>0.34</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0.61</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0.94</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Lithuania</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2.24</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2.23</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4.47</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Luxembourg</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0.16</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0.14</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0.30</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Hungary</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4.05</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3.24</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7.29</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Malta</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0.04</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0.40</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0.43</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Netherlands</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1.94</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0.21</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2.15</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Austria</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3.21</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4.18</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7.39</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Poland</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8.15</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9.62</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17.77</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Portugal</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5.52</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15.30</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20.82</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Romania</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10.69</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29.58</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40.28</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Slovenia</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0.39</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0.63</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1.02</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Slovakia</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0.98</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1.70</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2.68</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Finland</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1.27</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1.41</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2.68</w:t>
            </w:r>
          </w:p>
        </w:tc>
      </w:tr>
      <w:tr>
        <w:trPr>
          <w:trHeight w:val="255"/>
          <w:jc w:val="center"/>
        </w:trPr>
        <w:tc>
          <w:tcPr>
            <w:tcW w:w="1637" w:type="dxa"/>
            <w:tcBorders>
              <w:top w:val="nil"/>
              <w:left w:val="single" w:sz="8" w:space="0" w:color="auto"/>
              <w:bottom w:val="nil"/>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Sweden</w:t>
            </w:r>
          </w:p>
        </w:tc>
        <w:tc>
          <w:tcPr>
            <w:tcW w:w="1559" w:type="dxa"/>
            <w:tcBorders>
              <w:top w:val="nil"/>
              <w:left w:val="nil"/>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0.28</w:t>
            </w:r>
          </w:p>
        </w:tc>
        <w:tc>
          <w:tcPr>
            <w:tcW w:w="1843" w:type="dxa"/>
            <w:tcBorders>
              <w:top w:val="nil"/>
              <w:left w:val="nil"/>
              <w:bottom w:val="nil"/>
              <w:right w:val="nil"/>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0.39</w:t>
            </w:r>
          </w:p>
        </w:tc>
        <w:tc>
          <w:tcPr>
            <w:tcW w:w="1842" w:type="dxa"/>
            <w:tcBorders>
              <w:top w:val="nil"/>
              <w:left w:val="single" w:sz="8" w:space="0" w:color="auto"/>
              <w:bottom w:val="nil"/>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0.67</w:t>
            </w:r>
          </w:p>
        </w:tc>
      </w:tr>
      <w:tr>
        <w:trPr>
          <w:trHeight w:val="205"/>
          <w:jc w:val="center"/>
        </w:trPr>
        <w:tc>
          <w:tcPr>
            <w:tcW w:w="1637" w:type="dxa"/>
            <w:tcBorders>
              <w:top w:val="nil"/>
              <w:left w:val="single" w:sz="8" w:space="0" w:color="auto"/>
              <w:bottom w:val="single" w:sz="8" w:space="0" w:color="auto"/>
              <w:right w:val="single" w:sz="8" w:space="0" w:color="auto"/>
            </w:tcBorders>
            <w:shd w:val="clear" w:color="auto" w:fill="auto"/>
            <w:noWrap/>
            <w:vAlign w:val="center"/>
            <w:hideMark/>
          </w:tcPr>
          <w:p>
            <w:pPr>
              <w:rPr>
                <w:rFonts w:asciiTheme="minorHAnsi" w:hAnsiTheme="minorHAnsi" w:cs="Arial"/>
                <w:noProof/>
                <w:color w:val="000000"/>
                <w:sz w:val="16"/>
                <w:szCs w:val="16"/>
              </w:rPr>
            </w:pPr>
            <w:r>
              <w:rPr>
                <w:rFonts w:asciiTheme="minorHAnsi" w:hAnsiTheme="minorHAnsi" w:cs="Arial"/>
                <w:noProof/>
                <w:color w:val="000000"/>
                <w:sz w:val="16"/>
                <w:szCs w:val="16"/>
              </w:rPr>
              <w:t>United Kingdom</w:t>
            </w:r>
          </w:p>
        </w:tc>
        <w:tc>
          <w:tcPr>
            <w:tcW w:w="1559" w:type="dxa"/>
            <w:tcBorders>
              <w:top w:val="nil"/>
              <w:left w:val="nil"/>
              <w:bottom w:val="single" w:sz="8" w:space="0" w:color="auto"/>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5.08</w:t>
            </w:r>
          </w:p>
        </w:tc>
        <w:tc>
          <w:tcPr>
            <w:tcW w:w="1843" w:type="dxa"/>
            <w:tcBorders>
              <w:top w:val="nil"/>
              <w:left w:val="nil"/>
              <w:bottom w:val="single" w:sz="8" w:space="0" w:color="auto"/>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4.43</w:t>
            </w:r>
          </w:p>
        </w:tc>
        <w:tc>
          <w:tcPr>
            <w:tcW w:w="1842" w:type="dxa"/>
            <w:tcBorders>
              <w:top w:val="nil"/>
              <w:left w:val="nil"/>
              <w:bottom w:val="single" w:sz="8" w:space="0" w:color="auto"/>
              <w:right w:val="single" w:sz="8" w:space="0" w:color="auto"/>
            </w:tcBorders>
            <w:shd w:val="clear" w:color="auto" w:fill="auto"/>
            <w:noWrap/>
            <w:vAlign w:val="center"/>
            <w:hideMark/>
          </w:tcPr>
          <w:p>
            <w:pPr>
              <w:jc w:val="right"/>
              <w:rPr>
                <w:rFonts w:asciiTheme="minorHAnsi" w:hAnsiTheme="minorHAnsi" w:cs="Arial"/>
                <w:noProof/>
                <w:color w:val="000000"/>
                <w:sz w:val="16"/>
                <w:szCs w:val="16"/>
              </w:rPr>
            </w:pPr>
            <w:r>
              <w:rPr>
                <w:rFonts w:asciiTheme="minorHAnsi" w:hAnsiTheme="minorHAnsi" w:cs="Arial"/>
                <w:noProof/>
                <w:color w:val="000000"/>
                <w:sz w:val="16"/>
                <w:szCs w:val="16"/>
              </w:rPr>
              <w:t>9.51</w:t>
            </w:r>
          </w:p>
        </w:tc>
      </w:tr>
      <w:tr>
        <w:trPr>
          <w:trHeight w:val="270"/>
          <w:jc w:val="center"/>
        </w:trPr>
        <w:tc>
          <w:tcPr>
            <w:tcW w:w="1637"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pPr>
              <w:rPr>
                <w:rFonts w:asciiTheme="minorHAnsi" w:hAnsiTheme="minorHAnsi" w:cs="Arial"/>
                <w:b/>
                <w:bCs/>
                <w:noProof/>
                <w:color w:val="000000"/>
                <w:sz w:val="16"/>
                <w:szCs w:val="16"/>
              </w:rPr>
            </w:pPr>
            <w:r>
              <w:rPr>
                <w:rFonts w:asciiTheme="minorHAnsi" w:hAnsiTheme="minorHAnsi" w:cs="Arial"/>
                <w:b/>
                <w:bCs/>
                <w:noProof/>
                <w:color w:val="000000"/>
                <w:sz w:val="16"/>
                <w:szCs w:val="16"/>
              </w:rPr>
              <w:t>Total</w:t>
            </w:r>
          </w:p>
        </w:tc>
        <w:tc>
          <w:tcPr>
            <w:tcW w:w="1559" w:type="dxa"/>
            <w:tcBorders>
              <w:top w:val="single" w:sz="8" w:space="0" w:color="auto"/>
              <w:left w:val="nil"/>
              <w:bottom w:val="single" w:sz="8" w:space="0" w:color="auto"/>
              <w:right w:val="single" w:sz="8" w:space="0" w:color="auto"/>
            </w:tcBorders>
            <w:shd w:val="clear" w:color="auto" w:fill="D9D9D9"/>
            <w:noWrap/>
            <w:vAlign w:val="center"/>
            <w:hideMark/>
          </w:tcPr>
          <w:p>
            <w:pPr>
              <w:jc w:val="right"/>
              <w:rPr>
                <w:rFonts w:asciiTheme="minorHAnsi" w:hAnsiTheme="minorHAnsi" w:cs="Arial"/>
                <w:b/>
                <w:bCs/>
                <w:noProof/>
                <w:color w:val="000000"/>
                <w:sz w:val="16"/>
                <w:szCs w:val="16"/>
              </w:rPr>
            </w:pPr>
            <w:r>
              <w:rPr>
                <w:rFonts w:asciiTheme="minorHAnsi" w:hAnsiTheme="minorHAnsi" w:cs="Arial"/>
                <w:b/>
                <w:bCs/>
                <w:noProof/>
                <w:color w:val="000000"/>
                <w:sz w:val="16"/>
                <w:szCs w:val="16"/>
              </w:rPr>
              <w:t>131.59</w:t>
            </w:r>
          </w:p>
        </w:tc>
        <w:tc>
          <w:tcPr>
            <w:tcW w:w="1843" w:type="dxa"/>
            <w:tcBorders>
              <w:top w:val="single" w:sz="8" w:space="0" w:color="auto"/>
              <w:left w:val="nil"/>
              <w:bottom w:val="single" w:sz="8" w:space="0" w:color="auto"/>
              <w:right w:val="single" w:sz="8" w:space="0" w:color="auto"/>
            </w:tcBorders>
            <w:shd w:val="clear" w:color="auto" w:fill="D9D9D9"/>
            <w:noWrap/>
            <w:vAlign w:val="center"/>
            <w:hideMark/>
          </w:tcPr>
          <w:p>
            <w:pPr>
              <w:jc w:val="right"/>
              <w:rPr>
                <w:rFonts w:asciiTheme="minorHAnsi" w:hAnsiTheme="minorHAnsi" w:cs="Arial"/>
                <w:b/>
                <w:bCs/>
                <w:noProof/>
                <w:color w:val="000000"/>
                <w:sz w:val="16"/>
                <w:szCs w:val="16"/>
              </w:rPr>
            </w:pPr>
            <w:r>
              <w:rPr>
                <w:rFonts w:asciiTheme="minorHAnsi" w:hAnsiTheme="minorHAnsi" w:cs="Arial"/>
                <w:b/>
                <w:bCs/>
                <w:noProof/>
                <w:color w:val="000000"/>
                <w:sz w:val="16"/>
                <w:szCs w:val="16"/>
              </w:rPr>
              <w:t>128.45</w:t>
            </w:r>
          </w:p>
        </w:tc>
        <w:tc>
          <w:tcPr>
            <w:tcW w:w="1842" w:type="dxa"/>
            <w:tcBorders>
              <w:top w:val="single" w:sz="8" w:space="0" w:color="auto"/>
              <w:left w:val="nil"/>
              <w:bottom w:val="single" w:sz="8" w:space="0" w:color="auto"/>
              <w:right w:val="single" w:sz="8" w:space="0" w:color="auto"/>
            </w:tcBorders>
            <w:shd w:val="clear" w:color="auto" w:fill="D9D9D9"/>
            <w:noWrap/>
            <w:vAlign w:val="center"/>
            <w:hideMark/>
          </w:tcPr>
          <w:p>
            <w:pPr>
              <w:jc w:val="right"/>
              <w:rPr>
                <w:rFonts w:asciiTheme="minorHAnsi" w:hAnsiTheme="minorHAnsi" w:cs="Arial"/>
                <w:b/>
                <w:bCs/>
                <w:noProof/>
                <w:color w:val="000000"/>
                <w:sz w:val="16"/>
                <w:szCs w:val="16"/>
              </w:rPr>
            </w:pPr>
            <w:r>
              <w:rPr>
                <w:rFonts w:asciiTheme="minorHAnsi" w:hAnsiTheme="minorHAnsi" w:cs="Arial"/>
                <w:b/>
                <w:bCs/>
                <w:noProof/>
                <w:color w:val="000000"/>
                <w:sz w:val="16"/>
                <w:szCs w:val="16"/>
              </w:rPr>
              <w:t>260.05</w:t>
            </w:r>
          </w:p>
        </w:tc>
      </w:tr>
    </w:tbl>
    <w:p>
      <w:pPr>
        <w:pStyle w:val="Source-Table-Chart-PhotoCaption"/>
        <w:ind w:left="1049"/>
        <w:rPr>
          <w:noProof/>
          <w:sz w:val="22"/>
        </w:rPr>
      </w:pPr>
      <w:r>
        <w:rPr>
          <w:rStyle w:val="italics"/>
          <w:noProof/>
        </w:rPr>
        <w:t>Table:</w:t>
      </w:r>
      <w:r>
        <w:rPr>
          <w:noProof/>
        </w:rPr>
        <w:t xml:space="preserve"> in EUR million</w:t>
      </w:r>
    </w:p>
    <w:p>
      <w:pPr>
        <w:pStyle w:val="BodyText1spacebeforeandafter"/>
      </w:pPr>
      <w:r>
        <w:t xml:space="preserve">For the </w:t>
      </w:r>
      <w:r>
        <w:rPr>
          <w:rStyle w:val="BOLDORANGEAnnexes"/>
        </w:rPr>
        <w:t>European Agricultural Fund for Rural Development</w:t>
      </w:r>
      <w:r>
        <w:t xml:space="preserve">, the figures are taken from the debtors' ledger (recovered amount plus interest), as it was reconciled end of March 2019. Only recoveries to </w:t>
      </w:r>
      <w:r>
        <w:rPr>
          <w:rStyle w:val="BOLDORANGEAnnexes"/>
        </w:rPr>
        <w:t>European Agricultural Fund for Rural Development</w:t>
      </w:r>
      <w:r>
        <w:t xml:space="preserve"> (2007-2013 and 2014-2020) are taken into account. For </w:t>
      </w:r>
      <w:r>
        <w:rPr>
          <w:rStyle w:val="BOLDORANGEAnnexes"/>
        </w:rPr>
        <w:t>European Agricultural Guarantee Fund</w:t>
      </w:r>
      <w:r>
        <w:t>, the amounts are amounts recovered from the beneficiaries by the Members States and reimbursed to the Commission as assigned revenue (‘implemented’ amounts).</w:t>
      </w:r>
    </w:p>
    <w:p>
      <w:pPr>
        <w:pStyle w:val="BodyText1spaceafter"/>
      </w:pPr>
      <w:r>
        <w:t>The recovered amounts presented above include recoveries due to cross-compliance infringements. For the purpose of calculating the corrective capacity, recoveries in respect of cross-compliance are excluded.</w:t>
      </w:r>
    </w:p>
    <w:p>
      <w:pPr>
        <w:rPr>
          <w:noProof/>
        </w:rPr>
        <w:sectPr>
          <w:headerReference w:type="even" r:id="rId142"/>
          <w:headerReference w:type="default" r:id="rId143"/>
          <w:footerReference w:type="even" r:id="rId144"/>
          <w:footerReference w:type="default" r:id="rId145"/>
          <w:headerReference w:type="first" r:id="rId146"/>
          <w:footerReference w:type="first" r:id="rId147"/>
          <w:footnotePr>
            <w:numStart w:val="413"/>
          </w:footnotePr>
          <w:type w:val="continuous"/>
          <w:pgSz w:w="11906" w:h="16838" w:code="9"/>
          <w:pgMar w:top="1418" w:right="1418" w:bottom="1418" w:left="1418" w:header="635" w:footer="635" w:gutter="0"/>
          <w:cols w:space="720"/>
          <w:docGrid w:linePitch="360"/>
        </w:sectPr>
      </w:pPr>
    </w:p>
    <w:p>
      <w:pPr>
        <w:rPr>
          <w:noProof/>
        </w:rPr>
      </w:pPr>
    </w:p>
    <w:p>
      <w:pPr>
        <w:rPr>
          <w:noProof/>
        </w:rPr>
        <w:sectPr>
          <w:headerReference w:type="even" r:id="rId148"/>
          <w:headerReference w:type="default" r:id="rId149"/>
          <w:footerReference w:type="even" r:id="rId150"/>
          <w:footerReference w:type="default" r:id="rId151"/>
          <w:headerReference w:type="first" r:id="rId152"/>
          <w:footerReference w:type="first" r:id="rId153"/>
          <w:footnotePr>
            <w:numStart w:val="413"/>
          </w:footnotePr>
          <w:pgSz w:w="11906" w:h="16838" w:code="9"/>
          <w:pgMar w:top="1418" w:right="1418" w:bottom="1418" w:left="1418" w:header="635" w:footer="635" w:gutter="0"/>
          <w:cols w:space="720"/>
          <w:docGrid w:linePitch="360"/>
        </w:sectPr>
      </w:pPr>
    </w:p>
    <w:p>
      <w:pPr>
        <w:pStyle w:val="Title1Annexes"/>
        <w:rPr>
          <w:noProof/>
        </w:rPr>
      </w:pPr>
      <w:bookmarkStart w:id="211" w:name="_Toc6304472"/>
      <w:bookmarkStart w:id="212" w:name="_Toc8386224"/>
      <w:bookmarkStart w:id="213" w:name="_Toc11679103"/>
      <w:r>
        <w:rPr>
          <w:noProof/>
        </w:rPr>
        <w:t xml:space="preserve">Annex 5: </w:t>
      </w:r>
      <w:r>
        <w:rPr>
          <w:noProof/>
        </w:rPr>
        <w:br/>
        <w:t>Assurance provided by the Internal Audit Service</w:t>
      </w:r>
      <w:bookmarkEnd w:id="211"/>
      <w:bookmarkEnd w:id="212"/>
      <w:bookmarkEnd w:id="213"/>
    </w:p>
    <w:p>
      <w:pPr>
        <w:pStyle w:val="BodyText1spaceafter"/>
      </w:pPr>
      <w:r>
        <w:t>The Commission also based its assurance on the work done by the Internal Audit Service, its principal findings and recommendations, and information from the Audit Progress Committee. The Committee supports the Commission in ensuring the independence of the internal auditor and that audit recommendations are properly taken into account and receive appropriate follow-up.</w:t>
      </w:r>
    </w:p>
    <w:p>
      <w:pPr>
        <w:pStyle w:val="BodyText1spaceafter"/>
      </w:pPr>
      <w:r>
        <w:t>The Internal Audit Service provided in its 2018 Internal Audit Report according to Article 118(4) of the Financial Regulation conclusions on performance audits completed in 2018, made reference to the overall opinion on financial management for the year 2018 and reported on progress in implementing its audit recommendations.</w:t>
      </w:r>
    </w:p>
    <w:p>
      <w:pPr>
        <w:pStyle w:val="BodyText1spaceafter"/>
      </w:pPr>
      <w:r>
        <w:t xml:space="preserve">The Internal Audit Service’s </w:t>
      </w:r>
      <w:r>
        <w:rPr>
          <w:rStyle w:val="BOLDORANGEAnnexes"/>
        </w:rPr>
        <w:t>follow-up work</w:t>
      </w:r>
      <w:r>
        <w:t xml:space="preserve"> confirmed that, overall, recommendations are being implemented satisfactorily and the control systems in the audited departments are improving.</w:t>
      </w:r>
    </w:p>
    <w:p>
      <w:pPr>
        <w:pStyle w:val="BodyText1spaceafter"/>
      </w:pPr>
      <w:r>
        <w:t>The Internal Audit Service concluded that 97% of the recommendations followed up during 2014-2018 had been effectively implemented by the auditees. Of the 366 recommendations (critical, very important and important) still in progress at the cut-off date of 31</w:t>
      </w:r>
      <w:r>
        <w:rPr>
          <w:rFonts w:ascii="Calibri" w:hAnsi="Calibri" w:cs="Calibri"/>
        </w:rPr>
        <w:t> </w:t>
      </w:r>
      <w:r>
        <w:t>January</w:t>
      </w:r>
      <w:r>
        <w:rPr>
          <w:rFonts w:ascii="Calibri" w:hAnsi="Calibri" w:cs="Calibri"/>
        </w:rPr>
        <w:t> </w:t>
      </w:r>
      <w:r>
        <w:t>2019 (representing 19% of the total number of accepted recommendations over the past 5</w:t>
      </w:r>
      <w:r>
        <w:rPr>
          <w:rFonts w:ascii="Calibri" w:hAnsi="Calibri" w:cs="Calibri"/>
        </w:rPr>
        <w:t> </w:t>
      </w:r>
      <w:r>
        <w:t>years), one was classified as critical and 135 as very important. Out of these 136 recommendations rated critical or very important, 18 very important were overdue by more than 6 months at the end of 2018, representing 2.9% of the total number of 615 accepted critical and very important recommendations of the past 5</w:t>
      </w:r>
      <w:r>
        <w:rPr>
          <w:rFonts w:ascii="Calibri" w:hAnsi="Calibri" w:cs="Calibri"/>
        </w:rPr>
        <w:t> </w:t>
      </w:r>
      <w:r>
        <w:t xml:space="preserve">years). </w:t>
      </w:r>
    </w:p>
    <w:p>
      <w:pPr>
        <w:pStyle w:val="BodyText1spaceafter"/>
      </w:pPr>
      <w:r>
        <w:t xml:space="preserve">With a view to contributing to the Commission's performance-based culture and greater focus on value for money, the Internal Audit Service carried out </w:t>
      </w:r>
      <w:r>
        <w:rPr>
          <w:rStyle w:val="BOLDORANGEAnnexes"/>
        </w:rPr>
        <w:t>performance audits</w:t>
      </w:r>
      <w:r>
        <w:t xml:space="preserve"> and audits which include important performance elements (comprehensive audits) in 2018 as part of its 2016-2018 strategic audit plan. </w:t>
      </w:r>
    </w:p>
    <w:p>
      <w:pPr>
        <w:pStyle w:val="Annex4-subheading1"/>
        <w:rPr>
          <w:noProof/>
        </w:rPr>
      </w:pPr>
      <w:r>
        <w:rPr>
          <w:noProof/>
        </w:rPr>
        <w:t>(i) Performance management and measurement</w:t>
      </w:r>
    </w:p>
    <w:p>
      <w:pPr>
        <w:pStyle w:val="BodyText1spaceafter"/>
      </w:pPr>
      <w:r>
        <w:t xml:space="preserve">As regards </w:t>
      </w:r>
      <w:r>
        <w:rPr>
          <w:rStyle w:val="BOLDORANGEAnnexes"/>
        </w:rPr>
        <w:t>horizontal processes</w:t>
      </w:r>
      <w:r>
        <w:t>, the Internal Audit Service  made recommendations to help improve the overall performance of several key processes in the areas of governance, information-technology security, human resources, synergies and use of resources.</w:t>
      </w:r>
    </w:p>
    <w:p>
      <w:pPr>
        <w:pStyle w:val="bulletsorange"/>
        <w:spacing w:after="60"/>
        <w:contextualSpacing w:val="0"/>
      </w:pPr>
      <w:r>
        <w:t xml:space="preserve">A major part of the 2018 internal audits focused on the </w:t>
      </w:r>
      <w:r>
        <w:rPr>
          <w:rStyle w:val="BOLDORANGEAnnexes"/>
          <w:rFonts w:eastAsia="Calibri"/>
        </w:rPr>
        <w:t>efficient and effective use of resources</w:t>
      </w:r>
      <w:r>
        <w:t xml:space="preserve"> in the various DGs and services of the Commission. In particular, a key Commission initiative in this area is the synergies and efficiencies review launched in 2016. The Internal Audit Service audited the state of play of this initiative and recommended proportionate improvements aimed at helping to ensure that the synergies and efficiencies review is ultimately successful in delivering on its objectives. Following the Internal Audit Service audit, the Commission issued a new Communication on </w:t>
      </w:r>
      <w:r>
        <w:rPr>
          <w:i/>
        </w:rPr>
        <w:t xml:space="preserve">The synergies and efficiencies initiative: stock-taking and way forward </w:t>
      </w:r>
      <w:r>
        <w:t xml:space="preserve">in April 2019. </w:t>
      </w:r>
    </w:p>
    <w:p>
      <w:pPr>
        <w:pStyle w:val="bulletsorange"/>
        <w:spacing w:after="60"/>
        <w:contextualSpacing w:val="0"/>
      </w:pPr>
      <w:r>
        <w:t xml:space="preserve">On </w:t>
      </w:r>
      <w:r>
        <w:rPr>
          <w:rStyle w:val="BOLDORANGEAnnexes"/>
          <w:rFonts w:eastAsia="Calibri"/>
        </w:rPr>
        <w:t>governance processes</w:t>
      </w:r>
      <w:r>
        <w:t>, the Commission issued a set of communications and decisions (‘Governance package’) in November 2018 to address the issues identified by the Internal Audit Service in its audit report issued in January 2018 and update the corporate governance arrangements of the Commission. In 2018, the Internal Audit Service made further recommendations in the governance areas of Connecting Europe Facility telecom programme and IT governance in DG International Cooperation and Development.</w:t>
      </w:r>
    </w:p>
    <w:p>
      <w:pPr>
        <w:pStyle w:val="bulletsorange"/>
        <w:spacing w:after="60"/>
        <w:contextualSpacing w:val="0"/>
      </w:pPr>
      <w:r>
        <w:t xml:space="preserve">On </w:t>
      </w:r>
      <w:r>
        <w:rPr>
          <w:rStyle w:val="BOLDORANGEAnnexes"/>
          <w:rFonts w:eastAsia="Calibri"/>
        </w:rPr>
        <w:t>human resources management</w:t>
      </w:r>
      <w:r>
        <w:t xml:space="preserve">, the Internal Audit Service made observations in its audits to the Joint Research Centre concerning the identification of the competency needs of scientific staff in the long run and the gaps detected between the resources needed and those available to fulfil the Joint Research Centre’s responsibilities in the framework of the nuclear-decommissioning and waste-management programme. In view of similar findings in previous audits in other departments, the Internal Audit Service sent a management letter to DG Human Resources and Security presenting the key issues identified in the human resources audits performed in recent years and raising a number of issues for consideration to help the Commission respond effectively (e.g. through human resources strategies and plans, workload assessments, task and skills mapping) to the human resources challenges faced by the Commission departments. </w:t>
      </w:r>
    </w:p>
    <w:p>
      <w:pPr>
        <w:pStyle w:val="bulletsorange"/>
        <w:spacing w:after="60"/>
        <w:contextualSpacing w:val="0"/>
      </w:pPr>
      <w:r>
        <w:t xml:space="preserve">Various audits concluded that further progress can also be made in improving the </w:t>
      </w:r>
      <w:r>
        <w:rPr>
          <w:rStyle w:val="BOLDORANGEAnnexes"/>
          <w:rFonts w:eastAsia="Calibri"/>
        </w:rPr>
        <w:t>overall performance of other horizontal processes</w:t>
      </w:r>
      <w:r>
        <w:t>, such as:</w:t>
      </w:r>
    </w:p>
    <w:p>
      <w:pPr>
        <w:pStyle w:val="bulletsorange"/>
        <w:numPr>
          <w:ilvl w:val="1"/>
          <w:numId w:val="15"/>
        </w:numPr>
        <w:spacing w:after="60"/>
        <w:contextualSpacing w:val="0"/>
      </w:pPr>
      <w:r>
        <w:t xml:space="preserve">the early detection and exclusion system set up to counter fraud and protect the financial interest of the EU, </w:t>
      </w:r>
    </w:p>
    <w:p>
      <w:pPr>
        <w:pStyle w:val="bulletsorange"/>
        <w:numPr>
          <w:ilvl w:val="1"/>
          <w:numId w:val="15"/>
        </w:numPr>
        <w:spacing w:after="60"/>
        <w:contextualSpacing w:val="0"/>
      </w:pPr>
      <w:r>
        <w:t xml:space="preserve">the efficient and effective management of the intellectual property rights (copyright, trademarks and patents) in the Commission, </w:t>
      </w:r>
    </w:p>
    <w:p>
      <w:pPr>
        <w:pStyle w:val="bulletsorange"/>
        <w:numPr>
          <w:ilvl w:val="1"/>
          <w:numId w:val="15"/>
        </w:numPr>
        <w:spacing w:after="60"/>
        <w:contextualSpacing w:val="0"/>
      </w:pPr>
      <w:r>
        <w:t xml:space="preserve">risk management process in specific areas (DGs for Migration and Home Affairs and for Justice and Consumers) and </w:t>
      </w:r>
    </w:p>
    <w:p>
      <w:pPr>
        <w:pStyle w:val="bulletsorange"/>
        <w:numPr>
          <w:ilvl w:val="1"/>
          <w:numId w:val="15"/>
        </w:numPr>
        <w:spacing w:after="60"/>
        <w:contextualSpacing w:val="0"/>
      </w:pPr>
      <w:r>
        <w:t>business continuity in DG for Communication.</w:t>
      </w:r>
    </w:p>
    <w:p>
      <w:pPr>
        <w:pStyle w:val="bulletsorange"/>
        <w:spacing w:after="60"/>
        <w:contextualSpacing w:val="0"/>
      </w:pPr>
      <w:r>
        <w:t xml:space="preserve">Appropriate </w:t>
      </w:r>
      <w:r>
        <w:rPr>
          <w:rStyle w:val="BOLDORANGEAnnexes"/>
        </w:rPr>
        <w:t>coordination of activities and cooperation with stakeholders</w:t>
      </w:r>
      <w:r>
        <w:t xml:space="preserve"> are essential in order to ensure consistent and effective action between different policy areas. The Internal Audit Service made specific recommendations to improve the related processes concerning:</w:t>
      </w:r>
    </w:p>
    <w:p>
      <w:pPr>
        <w:pStyle w:val="bulletsorange"/>
        <w:numPr>
          <w:ilvl w:val="1"/>
          <w:numId w:val="15"/>
        </w:numPr>
        <w:spacing w:after="60"/>
        <w:contextualSpacing w:val="0"/>
      </w:pPr>
      <w:r>
        <w:t>the coordination activities between the Commission (DG International Cooperation and Development, DG Neighbourhood and Enlargement Negotiations and Service for</w:t>
      </w:r>
      <w:r>
        <w:rPr>
          <w:rFonts w:ascii="Calibri" w:hAnsi="Calibri" w:cs="Calibri"/>
        </w:rPr>
        <w:t> </w:t>
      </w:r>
      <w:r>
        <w:t xml:space="preserve">Foreign Policy Instruments) and the European External Action Service, at both headquarters and EU delegation level, and </w:t>
      </w:r>
    </w:p>
    <w:p>
      <w:pPr>
        <w:pStyle w:val="bulletsorange"/>
        <w:numPr>
          <w:ilvl w:val="1"/>
          <w:numId w:val="15"/>
        </w:numPr>
        <w:spacing w:after="60"/>
        <w:contextualSpacing w:val="0"/>
      </w:pPr>
      <w:r>
        <w:t>the cooperation in the area of statistical methodology and exchange of data between Eurostat  and EU bodies and international organisations.</w:t>
      </w:r>
    </w:p>
    <w:p>
      <w:pPr>
        <w:pStyle w:val="bulletsorange"/>
        <w:spacing w:after="60"/>
        <w:contextualSpacing w:val="0"/>
      </w:pPr>
      <w:r>
        <w:t xml:space="preserve">Several aspects of </w:t>
      </w:r>
      <w:r>
        <w:rPr>
          <w:rStyle w:val="BOLDORANGEAnnexes"/>
        </w:rPr>
        <w:t>better regulation</w:t>
      </w:r>
      <w:r>
        <w:t xml:space="preserve"> were audited in 2018: evaluation process in DGs Agriculture and Rural Development, Employment, Social Affairs and Inclusion and Regional</w:t>
      </w:r>
      <w:r>
        <w:rPr>
          <w:rFonts w:ascii="Calibri" w:hAnsi="Calibri" w:cs="Calibri"/>
        </w:rPr>
        <w:t> </w:t>
      </w:r>
      <w:r>
        <w:t>and Urban</w:t>
      </w:r>
      <w:r>
        <w:rPr>
          <w:rFonts w:ascii="Calibri" w:hAnsi="Calibri" w:cs="Calibri"/>
        </w:rPr>
        <w:t> </w:t>
      </w:r>
      <w:r>
        <w:t>Policy, preparation of legislative initiatives in DG Taxation and Customs Union, monitoring and enforcement of EU health law in DG Health and Food Safety, but no significant issues were identified in these areas.</w:t>
      </w:r>
    </w:p>
    <w:p>
      <w:pPr>
        <w:pStyle w:val="Annex4-subheading1"/>
        <w:rPr>
          <w:noProof/>
        </w:rPr>
      </w:pPr>
      <w:r>
        <w:rPr>
          <w:noProof/>
        </w:rPr>
        <w:t>(ii) Performance in implementing budget operational and administrative appropriations</w:t>
      </w:r>
    </w:p>
    <w:p>
      <w:pPr>
        <w:pStyle w:val="bulletsorange"/>
        <w:spacing w:after="60"/>
        <w:contextualSpacing w:val="0"/>
      </w:pPr>
      <w:r>
        <w:t xml:space="preserve">The Internal Audit Service performed several audits assessing programme management and payment processes in </w:t>
      </w:r>
      <w:r>
        <w:rPr>
          <w:rStyle w:val="BOLDORANGEAnnexes"/>
          <w:u w:val="single"/>
        </w:rPr>
        <w:t>shared management</w:t>
      </w:r>
      <w:r>
        <w:t xml:space="preserve">, but did not identify significant performance weaknesses in these areas. </w:t>
      </w:r>
    </w:p>
    <w:p>
      <w:pPr>
        <w:pStyle w:val="bulletsorange"/>
        <w:spacing w:after="60"/>
        <w:contextualSpacing w:val="0"/>
      </w:pPr>
      <w:r>
        <w:t xml:space="preserve">In the area of </w:t>
      </w:r>
      <w:r>
        <w:rPr>
          <w:rStyle w:val="BOLDORANGEAnnexes"/>
          <w:u w:val="single"/>
        </w:rPr>
        <w:t>directly managed funds</w:t>
      </w:r>
      <w:r>
        <w:t xml:space="preserve"> 2018 brought the following.</w:t>
      </w:r>
    </w:p>
    <w:p>
      <w:pPr>
        <w:pStyle w:val="bulletsorange"/>
        <w:numPr>
          <w:ilvl w:val="1"/>
          <w:numId w:val="15"/>
        </w:numPr>
        <w:spacing w:after="60"/>
        <w:contextualSpacing w:val="0"/>
      </w:pPr>
      <w:r>
        <w:t>Several audits assessed the management of grants by executive agencies (</w:t>
      </w:r>
      <w:r>
        <w:rPr>
          <w:rFonts w:ascii="Verdana" w:hAnsi="Verdana"/>
          <w:sz w:val="16"/>
          <w:szCs w:val="16"/>
        </w:rPr>
        <w:t>Education, Audiovisual and Culture Executive Agency</w:t>
      </w:r>
      <w:r>
        <w:t xml:space="preserve">, </w:t>
      </w:r>
      <w:r>
        <w:rPr>
          <w:rFonts w:ascii="Verdana" w:hAnsi="Verdana"/>
          <w:sz w:val="16"/>
          <w:szCs w:val="16"/>
        </w:rPr>
        <w:t xml:space="preserve">Executive Agency for </w:t>
      </w:r>
      <w:r>
        <w:t xml:space="preserve">SMEs, </w:t>
      </w:r>
      <w:r>
        <w:rPr>
          <w:rFonts w:ascii="Verdana" w:hAnsi="Verdana"/>
          <w:sz w:val="16"/>
          <w:szCs w:val="16"/>
        </w:rPr>
        <w:t>European Research Council Executive Agency</w:t>
      </w:r>
      <w:r>
        <w:t>, Innovation and Networks</w:t>
      </w:r>
      <w:r>
        <w:rPr>
          <w:rFonts w:ascii="Verdana" w:hAnsi="Verdana"/>
          <w:sz w:val="16"/>
          <w:szCs w:val="16"/>
        </w:rPr>
        <w:t xml:space="preserve"> Executive Agency</w:t>
      </w:r>
      <w:r>
        <w:t xml:space="preserve">, </w:t>
      </w:r>
      <w:r>
        <w:rPr>
          <w:rFonts w:ascii="Verdana" w:hAnsi="Verdana"/>
          <w:sz w:val="16"/>
          <w:szCs w:val="16"/>
        </w:rPr>
        <w:t>Research Executive Agency</w:t>
      </w:r>
      <w:r>
        <w:t xml:space="preserve">) and no significant performance weaknesses were identified, except for </w:t>
      </w:r>
      <w:r>
        <w:rPr>
          <w:rFonts w:ascii="Verdana" w:hAnsi="Verdana"/>
          <w:sz w:val="16"/>
          <w:szCs w:val="16"/>
        </w:rPr>
        <w:t>Education, Audiovisual and Culture Executive Agency</w:t>
      </w:r>
      <w:r>
        <w:t xml:space="preserve">. </w:t>
      </w:r>
    </w:p>
    <w:p>
      <w:pPr>
        <w:pStyle w:val="bulletsorange"/>
        <w:numPr>
          <w:ilvl w:val="1"/>
          <w:numId w:val="15"/>
        </w:numPr>
        <w:spacing w:after="60"/>
        <w:contextualSpacing w:val="0"/>
      </w:pPr>
      <w:r>
        <w:t xml:space="preserve">In EACEA, serious shortcomings affecting the effectiveness of the overall internal control system put in place for the project management of Erasmus+ and Creative Europe grants were identified. The Internal Audit Service noted that the agency had already started to address these issues (see section 2, subsection 6), in line with the audit recommendations. </w:t>
      </w:r>
    </w:p>
    <w:p>
      <w:pPr>
        <w:pStyle w:val="bulletsorange"/>
        <w:numPr>
          <w:ilvl w:val="1"/>
          <w:numId w:val="15"/>
        </w:numPr>
        <w:spacing w:after="60"/>
        <w:contextualSpacing w:val="0"/>
      </w:pPr>
      <w:r>
        <w:t>The Internal Audit Service also made recommendations concerning the dissemination and exploitation activities in order to ensure effective use and dissemination of the results of the research activities funded under Horizon 2020 and the effectiveness of the supervision missions conducted by DG Neighbourhood and Enlargement Negotiations and Service for</w:t>
      </w:r>
      <w:r>
        <w:rPr>
          <w:rFonts w:ascii="Calibri" w:hAnsi="Calibri" w:cs="Calibri"/>
        </w:rPr>
        <w:t> </w:t>
      </w:r>
      <w:r>
        <w:t xml:space="preserve">Foreign Policy Instruments in EU delegations. </w:t>
      </w:r>
    </w:p>
    <w:p>
      <w:pPr>
        <w:pStyle w:val="bulletsorange"/>
        <w:spacing w:after="60"/>
        <w:contextualSpacing w:val="0"/>
      </w:pPr>
      <w:r>
        <w:t xml:space="preserve">In the area of </w:t>
      </w:r>
      <w:r>
        <w:rPr>
          <w:rStyle w:val="BOLDORANGEAnnexes"/>
          <w:u w:val="single"/>
        </w:rPr>
        <w:t>indirectly managed funds</w:t>
      </w:r>
      <w:r>
        <w:t xml:space="preserve">, several audits focused on the supervision arrangements in place in the DGs and services. </w:t>
      </w:r>
    </w:p>
    <w:p>
      <w:pPr>
        <w:pStyle w:val="BodyText1spaceafter"/>
        <w:spacing w:after="60"/>
        <w:ind w:left="720"/>
        <w:contextualSpacing/>
      </w:pPr>
      <w:r>
        <w:t xml:space="preserve">While no significant performance weaknesses were identified in </w:t>
      </w:r>
      <w:r>
        <w:rPr>
          <w:rFonts w:eastAsiaTheme="minorHAnsi"/>
        </w:rPr>
        <w:t>DG Internal Market, Industry, Entrepreneurship and small and medium-sized enterprises</w:t>
      </w:r>
      <w:r>
        <w:t xml:space="preserve"> (supervision of Galileo and Copernicus programmes), the Internal Audit Service identified weaknesses with regard to the management of financial instruments:</w:t>
      </w:r>
    </w:p>
    <w:p>
      <w:pPr>
        <w:pStyle w:val="bulletsorange"/>
        <w:numPr>
          <w:ilvl w:val="1"/>
          <w:numId w:val="15"/>
        </w:numPr>
        <w:spacing w:after="60"/>
      </w:pPr>
      <w:r>
        <w:t xml:space="preserve">LIFE programme in DGs for </w:t>
      </w:r>
      <w:r>
        <w:rPr>
          <w:rFonts w:ascii="Verdana" w:hAnsi="Verdana"/>
          <w:sz w:val="16"/>
          <w:szCs w:val="16"/>
        </w:rPr>
        <w:t>Climate Action</w:t>
      </w:r>
      <w:r>
        <w:t xml:space="preserve"> and for Environment, with regard to the visibility and promotion of the EU contribution, and </w:t>
      </w:r>
    </w:p>
    <w:p>
      <w:pPr>
        <w:pStyle w:val="bulletsorange"/>
        <w:numPr>
          <w:ilvl w:val="1"/>
          <w:numId w:val="15"/>
        </w:numPr>
        <w:spacing w:after="60"/>
      </w:pPr>
      <w:r>
        <w:t xml:space="preserve">the implementation of the investment facilities in DG </w:t>
      </w:r>
      <w:r>
        <w:rPr>
          <w:rFonts w:ascii="Verdana" w:hAnsi="Verdana"/>
          <w:sz w:val="16"/>
          <w:szCs w:val="16"/>
        </w:rPr>
        <w:t>for Neighbourhood and Enlargement Negotiations</w:t>
      </w:r>
      <w:r>
        <w:t xml:space="preserve">, in order to improve the monitoring activities and the financial management. </w:t>
      </w:r>
    </w:p>
    <w:p>
      <w:pPr>
        <w:pStyle w:val="BodyText1spaceafter"/>
        <w:spacing w:after="60"/>
        <w:ind w:left="720"/>
        <w:contextualSpacing/>
      </w:pPr>
      <w:r>
        <w:t xml:space="preserve">The Internal Audit Service also made recommendations to DG </w:t>
      </w:r>
      <w:r>
        <w:rPr>
          <w:rFonts w:ascii="Verdana" w:hAnsi="Verdana"/>
          <w:sz w:val="16"/>
          <w:szCs w:val="16"/>
        </w:rPr>
        <w:t>for International Cooperation and Development</w:t>
      </w:r>
      <w:r>
        <w:t xml:space="preserve"> concerning the assurance-building process in headquarters, in particular the monitoring process of the annual management declarations to be provided by the international financial institutions and/or national agencies implementing projects under indirect management. </w:t>
      </w:r>
    </w:p>
    <w:p>
      <w:pPr>
        <w:pStyle w:val="BodyText1spacebeforeandafter"/>
      </w:pPr>
      <w:r>
        <w:t xml:space="preserve">In addition, the Internal Audit Service issued </w:t>
      </w:r>
      <w:r>
        <w:rPr>
          <w:rStyle w:val="BOLDORANGEAnnexes"/>
        </w:rPr>
        <w:t>limited conclusions</w:t>
      </w:r>
      <w:r>
        <w:t xml:space="preserve"> on the state of internal control to every DG and service in February 2019. These conclusions contribute to the 2018 annual activity reports of the Commission departments concerned. They draw on and are limited to the audit work carried out in the last 3</w:t>
      </w:r>
      <w:r>
        <w:rPr>
          <w:rFonts w:ascii="Calibri" w:hAnsi="Calibri" w:cs="Calibri"/>
        </w:rPr>
        <w:t> </w:t>
      </w:r>
      <w:r>
        <w:t>years, covering all open recommendations issued by the Internal Audit Service related to the management and control systems in the audited processes in the DGs in the past 3</w:t>
      </w:r>
      <w:r>
        <w:rPr>
          <w:rFonts w:ascii="Calibri" w:hAnsi="Calibri" w:cs="Calibri"/>
        </w:rPr>
        <w:t> </w:t>
      </w:r>
      <w:r>
        <w:t>years. Particular attention was drawn in the limited conclusion addressed to the Executive Agency for Culture, Education and Audiovisual, with regard to one critical and two very important recommendations issued in the context of the audit on Erasmus+ and Creative Europe — grant management (phase 2 - from project monitoring to payment). The agency issued a reservation in line with the limited conclusion of the Internal Audit Service (see section 2, subsection 6).</w:t>
      </w:r>
    </w:p>
    <w:p>
      <w:pPr>
        <w:pStyle w:val="BodyText1spaceafter"/>
      </w:pPr>
      <w:r>
        <w:t xml:space="preserve">As required by its mission charter, the Commission’s internal auditor also submitted an overall opinion, which is based on the audit work in the area of </w:t>
      </w:r>
      <w:r>
        <w:rPr>
          <w:rStyle w:val="BOLDORANGEAnnexes"/>
        </w:rPr>
        <w:t>financial management</w:t>
      </w:r>
      <w:r>
        <w:t xml:space="preserve"> in the Commission carried out by the Internal Audit Service during the previous 3</w:t>
      </w:r>
      <w:r>
        <w:rPr>
          <w:rFonts w:ascii="Calibri" w:hAnsi="Calibri"/>
        </w:rPr>
        <w:t> </w:t>
      </w:r>
      <w:r>
        <w:t>years (2016-2018) and also takes into account information from other sources, namely the reports from the European Court of Auditors. Based on this audit information, the internal auditor considered that, in 2018, the Commission had put in place governance, risk management and internal control procedures which, taken as a whole, are adequate to give reasonable assurance on the achievement of its financial objectives. However, the overall opinion is qualified with regard to the reservations made in the authorising officer by delegations’ declarations of assurance and issued in their respective annual activity reports.</w:t>
      </w:r>
    </w:p>
    <w:p>
      <w:pPr>
        <w:pStyle w:val="BodyText1spaceafter"/>
      </w:pPr>
      <w:r>
        <w:t>In arriving at the overall opinion, the internal auditor also considered the combined impact of all amounts estimated to be at risk at payment as calculated by the authorising officers by delegation, as these go beyond the amounts put under reservation. The overall amounts at risk are the best estimation of authorising officers by delegation for the amount of the expenditure authorised not in conformity with the applicable contractual and regulatory provisions at the time of the payment in 2018. In their 2018 annual activity reports, the directors-general estimated the amounts at risk at payment. Taken together, these correspond to an overall amount below materiality of 2%, as defined in the instructions for the preparation of the 2018 annual activity reports, of all executed payments in the Commission budget, the European Development Fund and the EU Trust Funds in 2018. These amounts at risk at payment in 2018 do not yet include any financial corrections and recoveries related to deficiencies and errors the Commission departments will detect and correct in the next years due to the multiannual corrective mechanisms built into the Commission's internal control systems.</w:t>
      </w:r>
    </w:p>
    <w:p>
      <w:pPr>
        <w:pStyle w:val="BodyText1spaceafter"/>
      </w:pPr>
      <w:r>
        <w:t>Given these elements, the internal auditor considers that the EU budget is therefore adequately protected in total and over time.</w:t>
      </w:r>
    </w:p>
    <w:p>
      <w:pPr>
        <w:pStyle w:val="BodyText1spaceafter"/>
      </w:pPr>
      <w:r>
        <w:t>Without further qualifying the opinion, the internal auditor added an 'emphasis of matter' highlighting issues that require particular attention as follows.</w:t>
      </w:r>
    </w:p>
    <w:p>
      <w:pPr>
        <w:pStyle w:val="BodyText1spaceafter"/>
      </w:pPr>
      <w:r>
        <w:t>Supervision strategies regarding third parties implementing policies and programmes</w:t>
      </w:r>
    </w:p>
    <w:p>
      <w:pPr>
        <w:pStyle w:val="BodyText1spaceafter"/>
      </w:pPr>
      <w:r>
        <w:t>Although it remains fully responsible for ensuring the legality and regularity of expenditure and sound financial management (and also the achievement of policy objectives), the Commission increasingly relies on third parties to implement its programmes. This is mostly done by delegating the implementation of the EU operational budget or certain tasks to third countries, international organisations or international financial institutions, national authorities and agencies, joint undertakings, non-EU bodies and EU decentralised agencies. Moreover, in certain policy areas, greater use is being made of financial instruments under the current (2014-2020) multiannual financial framework. Such instruments and alternative funding mechanisms entail specific challenges and risks for the Commission, as also highlighted by the European Court of Auditors.</w:t>
      </w:r>
    </w:p>
    <w:p>
      <w:pPr>
        <w:pStyle w:val="BodyText1spaceafter"/>
      </w:pPr>
      <w:r>
        <w:t xml:space="preserve">To fulfil their overall responsibilities, the Commission departments have to oversee the implementation of the programmes and policies and provide guidance and assistance where needed. Therefore, they have to define and implement adequate, effective and efficient supervision/monitoring/reporting activities to ensure that the delegated entities and other partners effectively implement the programmes, adequately protect the financial interests of the EU, comply with the delegation agreements, when applicable, and that any potential issues which are identified are addressed as soon as possible. </w:t>
      </w:r>
    </w:p>
    <w:p>
      <w:pPr>
        <w:pStyle w:val="BodyText1spaceafter"/>
      </w:pPr>
      <w:r>
        <w:t xml:space="preserve">The Internal Audit Service recommended in a number of audits that the relevant Commission departments’ control strategies and supervisory arrangements should set out more clearly the priorities and the need to obtain assurance on sound financial management in those EU and non-EU bodies. Although actions have been taken in recent years both at the level of the central services and at that of the relevant Commission departments to mitigate the risks identified as a result of audit work, further improvements are still needed in some areas. </w:t>
      </w:r>
    </w:p>
    <w:p>
      <w:pPr>
        <w:pStyle w:val="BodyText1spaceafter"/>
      </w:pPr>
      <w:r>
        <w:t xml:space="preserve">Moreover, the Internal Audit Service notes that, without prejudice to the result of the ongoing negotiations on the new multiannual financial framework (2021-2027), decentralised agencies and other implementing bodies will continue to be entrusted with operational responsibilities in certain areas. In this context, the Commission departments should continue their efforts to identify and assess the risks involved in delegating tasks to third parties and pursue effective and efficient supervisory activities by further developing the relevant control strategies. </w:t>
      </w:r>
    </w:p>
    <w:p>
      <w:pPr>
        <w:pStyle w:val="BodyText1"/>
        <w:rPr>
          <w:rFonts w:eastAsia="Times New Roman" w:cs="Arial"/>
          <w:szCs w:val="20"/>
          <w:lang w:eastAsia="en-GB"/>
        </w:rPr>
      </w:pPr>
      <w:r>
        <w:t>Going forward, Internal Audit Service will monitor the developments regarding the new multiannual financial framework as part of its update of the strategic risk assessment and audit plan in order to assess on a timely basis the related high risks and, where appropriate, assess the preparedness of the Commission departments to implement the new frameworks once they are adopted.</w:t>
      </w:r>
    </w:p>
    <w:p>
      <w:pPr>
        <w:pStyle w:val="Title1Annexes"/>
        <w:rPr>
          <w:noProof/>
        </w:rPr>
      </w:pPr>
      <w:bookmarkStart w:id="214" w:name="_Toc6304473"/>
      <w:bookmarkStart w:id="215" w:name="_Toc8386225"/>
      <w:bookmarkStart w:id="216" w:name="_Toc11679104"/>
      <w:r>
        <w:rPr>
          <w:noProof/>
        </w:rPr>
        <w:t xml:space="preserve">Annex 6: </w:t>
      </w:r>
      <w:r>
        <w:rPr>
          <w:noProof/>
        </w:rPr>
        <w:br/>
        <w:t>Compliance with payment time limits</w:t>
      </w:r>
      <w:bookmarkEnd w:id="214"/>
      <w:bookmarkEnd w:id="215"/>
      <w:bookmarkEnd w:id="216"/>
    </w:p>
    <w:p>
      <w:pPr>
        <w:pStyle w:val="BodyText1spaceafter"/>
      </w:pPr>
      <w:r>
        <w:t xml:space="preserve">The </w:t>
      </w:r>
      <w:r>
        <w:rPr>
          <w:rStyle w:val="BOLDORANGEAnnexes"/>
        </w:rPr>
        <w:t>statutory time limits</w:t>
      </w:r>
      <w:r>
        <w:t xml:space="preserve"> for payments are laid down in the main body of the financial regulation</w:t>
      </w:r>
      <w:r>
        <w:rPr>
          <w:rStyle w:val="fnRef"/>
          <w:rFonts w:ascii="Arial" w:hAnsi="Arial" w:cs="Arial"/>
        </w:rPr>
        <w:t> </w:t>
      </w:r>
      <w:r>
        <w:rPr>
          <w:rStyle w:val="fnRef"/>
        </w:rPr>
        <w:t>(</w:t>
      </w:r>
      <w:r>
        <w:rPr>
          <w:rStyle w:val="fnRefNo"/>
        </w:rPr>
        <w:footnoteReference w:id="55"/>
      </w:r>
      <w:r>
        <w:rPr>
          <w:rStyle w:val="fnRef"/>
        </w:rPr>
        <w:t>)</w:t>
      </w:r>
      <w:r>
        <w:t xml:space="preserve">. There are also some exceptionally applied time limits which are detailed in sector-specific regulations. </w:t>
      </w:r>
    </w:p>
    <w:p>
      <w:pPr>
        <w:pStyle w:val="BodyText1spaceafter"/>
      </w:pPr>
      <w:r>
        <w:rPr>
          <w:rStyle w:val="BOLDORANGEAnnexes"/>
        </w:rPr>
        <w:t>Article</w:t>
      </w:r>
      <w:r>
        <w:rPr>
          <w:rStyle w:val="BOLDORANGEAnnexes"/>
          <w:rFonts w:ascii="Calibri" w:hAnsi="Calibri" w:cs="Calibri"/>
        </w:rPr>
        <w:t> </w:t>
      </w:r>
      <w:r>
        <w:rPr>
          <w:rStyle w:val="BOLDORANGEAnnexes"/>
        </w:rPr>
        <w:t>116 of the financial regulation</w:t>
      </w:r>
      <w:r>
        <w:t xml:space="preserve"> sets out that payments to creditors must be made within deadlines of 30</w:t>
      </w:r>
      <w:r>
        <w:rPr>
          <w:rFonts w:ascii="Calibri" w:hAnsi="Calibri" w:cs="Calibri"/>
        </w:rPr>
        <w:t> days</w:t>
      </w:r>
      <w:r>
        <w:t>, 60</w:t>
      </w:r>
      <w:r>
        <w:rPr>
          <w:rFonts w:ascii="Calibri" w:hAnsi="Calibri" w:cs="Calibri"/>
        </w:rPr>
        <w:t> days</w:t>
      </w:r>
      <w:r>
        <w:t xml:space="preserve"> or 90</w:t>
      </w:r>
      <w:r>
        <w:rPr>
          <w:rFonts w:ascii="Calibri" w:hAnsi="Calibri" w:cs="Calibri"/>
        </w:rPr>
        <w:t> </w:t>
      </w:r>
      <w:r>
        <w:t>days, depending on how demanding and complex it is to test the deliverables against the contractual obligations. Most of the payments have to be executed within 30</w:t>
      </w:r>
      <w:r>
        <w:rPr>
          <w:rFonts w:ascii="Calibri" w:hAnsi="Calibri" w:cs="Calibri"/>
        </w:rPr>
        <w:t> </w:t>
      </w:r>
      <w:r>
        <w:t xml:space="preserve">days; this represents in volume a global average of 89% in 2016, 2017 and 2018. For contracts and grant agreements for which payment depends on the approval of a report or a certificate, the time limit for the purposes of the payment periods is no longer automatically suspended until the report or certificate in question has been approved. </w:t>
      </w:r>
    </w:p>
    <w:p>
      <w:pPr>
        <w:pStyle w:val="BodyText1spaceafter"/>
      </w:pPr>
      <w:r>
        <w:t>The period of 2</w:t>
      </w:r>
      <w:r>
        <w:rPr>
          <w:rFonts w:ascii="Calibri" w:hAnsi="Calibri" w:cs="Calibri"/>
        </w:rPr>
        <w:t> </w:t>
      </w:r>
      <w:r>
        <w:t>months remains valid for payments under Article</w:t>
      </w:r>
      <w:r>
        <w:rPr>
          <w:rFonts w:ascii="Calibri" w:hAnsi="Calibri" w:cs="Calibri"/>
        </w:rPr>
        <w:t> </w:t>
      </w:r>
      <w:r>
        <w:t>87 of the regulation of the European Parliament and the Council</w:t>
      </w:r>
      <w:r>
        <w:rPr>
          <w:rStyle w:val="fnRef"/>
          <w:rFonts w:ascii="Arial" w:hAnsi="Arial" w:cs="Arial"/>
        </w:rPr>
        <w:t> </w:t>
      </w:r>
      <w:r>
        <w:rPr>
          <w:rStyle w:val="fnRef"/>
        </w:rPr>
        <w:t>(</w:t>
      </w:r>
      <w:r>
        <w:rPr>
          <w:rStyle w:val="fnRefNo"/>
        </w:rPr>
        <w:footnoteReference w:id="56"/>
      </w:r>
      <w:r>
        <w:rPr>
          <w:rStyle w:val="fnRef"/>
        </w:rPr>
        <w:t>)</w:t>
      </w:r>
      <w:r>
        <w:t xml:space="preserve"> laying down the general provisions on the European Regional Development Fund, the European Social Fund and the Cohesion Fund. </w:t>
      </w:r>
    </w:p>
    <w:p>
      <w:pPr>
        <w:pStyle w:val="BodyText1spaceafter"/>
      </w:pPr>
      <w:r>
        <w:t>Compliance with payment time limits has been reported by the Commission departments in their annual activity reports since 2007</w:t>
      </w:r>
      <w:r>
        <w:rPr>
          <w:rStyle w:val="fnRef"/>
          <w:rFonts w:ascii="Arial" w:hAnsi="Arial" w:cs="Arial"/>
        </w:rPr>
        <w:t> </w:t>
      </w:r>
      <w:r>
        <w:rPr>
          <w:rStyle w:val="fnRef"/>
        </w:rPr>
        <w:t>(</w:t>
      </w:r>
      <w:r>
        <w:rPr>
          <w:rStyle w:val="fnRefNo"/>
        </w:rPr>
        <w:footnoteReference w:id="57"/>
      </w:r>
      <w:r>
        <w:rPr>
          <w:rStyle w:val="fnRef"/>
        </w:rPr>
        <w:t>)</w:t>
      </w:r>
      <w:r>
        <w:t>. In accordance with the applicable rules, the payment times reported in this annex have been calculated as follows.</w:t>
      </w:r>
    </w:p>
    <w:p>
      <w:pPr>
        <w:pStyle w:val="BodyText1spaceafter"/>
        <w:spacing w:after="200"/>
      </w:pPr>
      <w:r>
        <w:t>For payments related to contracts and grant agreements signed before 2013, the time limits specified in the 2007 financial regulation are applied:</w:t>
      </w:r>
    </w:p>
    <w:p>
      <w:pPr>
        <w:pStyle w:val="bulletsorange"/>
      </w:pPr>
      <w:r>
        <w:t>where the payment is contingent upon the approval of a report, the time from approval of the report until payment;</w:t>
      </w:r>
    </w:p>
    <w:p>
      <w:pPr>
        <w:pStyle w:val="bulletsorange"/>
      </w:pPr>
      <w:r>
        <w:t>where no report is required, the time from reception of the payment request until payment.</w:t>
      </w:r>
    </w:p>
    <w:p>
      <w:pPr>
        <w:pStyle w:val="BodyText1spacebeforeandafter"/>
        <w:spacing w:before="200" w:after="200"/>
      </w:pPr>
      <w:r>
        <w:t>For payments related to contracts and grant agreements signed as from 2013, the 2018 financial regulation is applied:</w:t>
      </w:r>
    </w:p>
    <w:p>
      <w:pPr>
        <w:pStyle w:val="bulletsorange"/>
      </w:pPr>
      <w:r>
        <w:t>where no report is required and where the payment is contingent upon the approval of a report, the time from reception of the payment request until payment.</w:t>
      </w:r>
    </w:p>
    <w:p>
      <w:pPr>
        <w:pStyle w:val="BodyText1spacebeforeandafter"/>
        <w:spacing w:before="200" w:after="200"/>
      </w:pPr>
      <w:r>
        <w:t xml:space="preserve">The </w:t>
      </w:r>
      <w:r>
        <w:rPr>
          <w:rStyle w:val="BOLDORANGEAnnexes"/>
        </w:rPr>
        <w:t>Commission’s global</w:t>
      </w:r>
      <w:r>
        <w:t xml:space="preserve"> </w:t>
      </w:r>
      <w:r>
        <w:rPr>
          <w:rStyle w:val="BOLDORANGEAnnexes"/>
        </w:rPr>
        <w:t>average payment time</w:t>
      </w:r>
      <w:r>
        <w:t xml:space="preserve"> is monitored by the accounting officer. It has evolved as follows in recent years.</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1944"/>
        <w:gridCol w:w="1944"/>
        <w:gridCol w:w="1945"/>
      </w:tblGrid>
      <w:tr>
        <w:trPr>
          <w:jc w:val="center"/>
        </w:trPr>
        <w:tc>
          <w:tcPr>
            <w:tcW w:w="3227" w:type="dxa"/>
            <w:shd w:val="clear" w:color="auto" w:fill="E48C32"/>
          </w:tcPr>
          <w:p>
            <w:pPr>
              <w:pStyle w:val="BodyText"/>
              <w:jc w:val="both"/>
              <w:rPr>
                <w:rFonts w:eastAsia="Times New Roman" w:cs="Arial"/>
                <w:b/>
                <w:noProof/>
                <w:color w:val="FFFFFF"/>
                <w:szCs w:val="20"/>
                <w:lang w:eastAsia="en-GB"/>
              </w:rPr>
            </w:pPr>
            <w:r>
              <w:rPr>
                <w:rFonts w:eastAsia="Times New Roman" w:cs="Arial"/>
                <w:b/>
                <w:noProof/>
                <w:color w:val="FFFFFF"/>
                <w:szCs w:val="20"/>
                <w:lang w:eastAsia="en-GB"/>
              </w:rPr>
              <w:t>All time limits combined</w:t>
            </w:r>
          </w:p>
        </w:tc>
        <w:tc>
          <w:tcPr>
            <w:tcW w:w="1937" w:type="dxa"/>
            <w:shd w:val="clear" w:color="auto" w:fill="E48C32"/>
          </w:tcPr>
          <w:p>
            <w:pPr>
              <w:pStyle w:val="BodyText"/>
              <w:jc w:val="center"/>
              <w:rPr>
                <w:rFonts w:eastAsia="Times New Roman" w:cs="Arial"/>
                <w:b/>
                <w:noProof/>
                <w:color w:val="FFFFFF"/>
                <w:szCs w:val="20"/>
                <w:lang w:eastAsia="en-GB"/>
              </w:rPr>
            </w:pPr>
            <w:r>
              <w:rPr>
                <w:rFonts w:eastAsia="Times New Roman" w:cs="Arial"/>
                <w:b/>
                <w:noProof/>
                <w:color w:val="FFFFFF"/>
                <w:szCs w:val="20"/>
                <w:lang w:eastAsia="en-GB"/>
              </w:rPr>
              <w:t>2016</w:t>
            </w:r>
          </w:p>
        </w:tc>
        <w:tc>
          <w:tcPr>
            <w:tcW w:w="1937" w:type="dxa"/>
            <w:shd w:val="clear" w:color="auto" w:fill="E48C32"/>
          </w:tcPr>
          <w:p>
            <w:pPr>
              <w:pStyle w:val="BodyText"/>
              <w:jc w:val="center"/>
              <w:rPr>
                <w:rFonts w:eastAsia="Times New Roman" w:cs="Arial"/>
                <w:b/>
                <w:noProof/>
                <w:color w:val="FFFFFF"/>
                <w:szCs w:val="20"/>
                <w:lang w:eastAsia="en-GB"/>
              </w:rPr>
            </w:pPr>
            <w:r>
              <w:rPr>
                <w:rFonts w:eastAsia="Times New Roman" w:cs="Arial"/>
                <w:b/>
                <w:noProof/>
                <w:color w:val="FFFFFF"/>
                <w:szCs w:val="20"/>
                <w:lang w:eastAsia="en-GB"/>
              </w:rPr>
              <w:t>2017</w:t>
            </w:r>
          </w:p>
        </w:tc>
        <w:tc>
          <w:tcPr>
            <w:tcW w:w="1938" w:type="dxa"/>
            <w:shd w:val="clear" w:color="auto" w:fill="E48C32"/>
          </w:tcPr>
          <w:p>
            <w:pPr>
              <w:pStyle w:val="BodyText"/>
              <w:jc w:val="center"/>
              <w:rPr>
                <w:rFonts w:eastAsia="Times New Roman" w:cs="Arial"/>
                <w:b/>
                <w:noProof/>
                <w:color w:val="FFFFFF"/>
                <w:szCs w:val="20"/>
                <w:lang w:eastAsia="en-GB"/>
              </w:rPr>
            </w:pPr>
            <w:r>
              <w:rPr>
                <w:rFonts w:eastAsia="Times New Roman" w:cs="Arial"/>
                <w:b/>
                <w:noProof/>
                <w:color w:val="FFFFFF"/>
                <w:szCs w:val="20"/>
                <w:lang w:eastAsia="en-GB"/>
              </w:rPr>
              <w:t>2018</w:t>
            </w:r>
          </w:p>
        </w:tc>
      </w:tr>
      <w:tr>
        <w:trPr>
          <w:jc w:val="center"/>
        </w:trPr>
        <w:tc>
          <w:tcPr>
            <w:tcW w:w="3227" w:type="dxa"/>
            <w:shd w:val="clear" w:color="auto" w:fill="auto"/>
          </w:tcPr>
          <w:p>
            <w:pPr>
              <w:pStyle w:val="BodyText"/>
              <w:jc w:val="both"/>
              <w:rPr>
                <w:rFonts w:eastAsia="Times New Roman" w:cs="Arial"/>
                <w:noProof/>
                <w:szCs w:val="20"/>
                <w:lang w:eastAsia="en-GB"/>
              </w:rPr>
            </w:pPr>
            <w:r>
              <w:rPr>
                <w:rFonts w:eastAsia="Times New Roman" w:cs="Arial"/>
                <w:noProof/>
                <w:szCs w:val="20"/>
                <w:lang w:eastAsia="en-GB"/>
              </w:rPr>
              <w:t>Global average net payment time</w:t>
            </w:r>
          </w:p>
          <w:p>
            <w:pPr>
              <w:pStyle w:val="BodyText"/>
              <w:jc w:val="both"/>
              <w:rPr>
                <w:rFonts w:eastAsia="Times New Roman" w:cs="Arial"/>
                <w:noProof/>
                <w:szCs w:val="20"/>
                <w:lang w:eastAsia="en-GB"/>
              </w:rPr>
            </w:pPr>
            <w:r>
              <w:rPr>
                <w:rFonts w:eastAsia="Times New Roman" w:cs="Arial"/>
                <w:noProof/>
                <w:szCs w:val="20"/>
                <w:lang w:eastAsia="en-GB"/>
              </w:rPr>
              <w:t>Global average gross payment time</w:t>
            </w:r>
          </w:p>
        </w:tc>
        <w:tc>
          <w:tcPr>
            <w:tcW w:w="1937" w:type="dxa"/>
            <w:shd w:val="clear" w:color="auto" w:fill="auto"/>
          </w:tcPr>
          <w:p>
            <w:pPr>
              <w:pStyle w:val="BodyText"/>
              <w:jc w:val="center"/>
              <w:rPr>
                <w:rFonts w:eastAsia="Times New Roman" w:cs="Arial"/>
                <w:noProof/>
                <w:szCs w:val="20"/>
                <w:lang w:eastAsia="en-GB"/>
              </w:rPr>
            </w:pPr>
            <w:r>
              <w:rPr>
                <w:rFonts w:eastAsia="Times New Roman" w:cs="Arial"/>
                <w:noProof/>
                <w:szCs w:val="20"/>
                <w:lang w:eastAsia="en-GB"/>
              </w:rPr>
              <w:t>21.4</w:t>
            </w:r>
            <w:r>
              <w:rPr>
                <w:rFonts w:eastAsia="Times New Roman" w:cs="Calibri"/>
                <w:noProof/>
                <w:szCs w:val="20"/>
                <w:lang w:eastAsia="en-GB"/>
              </w:rPr>
              <w:t> </w:t>
            </w:r>
            <w:r>
              <w:rPr>
                <w:rFonts w:eastAsia="Times New Roman" w:cs="Arial"/>
                <w:noProof/>
                <w:szCs w:val="20"/>
                <w:lang w:eastAsia="en-GB"/>
              </w:rPr>
              <w:t>days</w:t>
            </w:r>
          </w:p>
          <w:p>
            <w:pPr>
              <w:pStyle w:val="BodyText"/>
              <w:jc w:val="center"/>
              <w:rPr>
                <w:rFonts w:eastAsia="Times New Roman" w:cs="Arial"/>
                <w:noProof/>
                <w:szCs w:val="20"/>
                <w:lang w:eastAsia="en-GB"/>
              </w:rPr>
            </w:pPr>
            <w:r>
              <w:rPr>
                <w:rFonts w:eastAsia="Times New Roman" w:cs="Arial"/>
                <w:noProof/>
                <w:szCs w:val="20"/>
                <w:lang w:eastAsia="en-GB"/>
              </w:rPr>
              <w:t>24.9</w:t>
            </w:r>
            <w:r>
              <w:rPr>
                <w:rFonts w:eastAsia="Times New Roman" w:cs="Calibri"/>
                <w:noProof/>
                <w:szCs w:val="20"/>
                <w:lang w:eastAsia="en-GB"/>
              </w:rPr>
              <w:t> </w:t>
            </w:r>
            <w:r>
              <w:rPr>
                <w:rFonts w:eastAsia="Times New Roman" w:cs="Arial"/>
                <w:noProof/>
                <w:szCs w:val="20"/>
                <w:lang w:eastAsia="en-GB"/>
              </w:rPr>
              <w:t>days</w:t>
            </w:r>
          </w:p>
        </w:tc>
        <w:tc>
          <w:tcPr>
            <w:tcW w:w="1937" w:type="dxa"/>
            <w:shd w:val="clear" w:color="auto" w:fill="auto"/>
          </w:tcPr>
          <w:p>
            <w:pPr>
              <w:pStyle w:val="BodyText"/>
              <w:jc w:val="center"/>
              <w:rPr>
                <w:rFonts w:eastAsia="Times New Roman" w:cs="Arial"/>
                <w:noProof/>
                <w:szCs w:val="20"/>
                <w:lang w:eastAsia="en-GB"/>
              </w:rPr>
            </w:pPr>
            <w:r>
              <w:rPr>
                <w:rFonts w:eastAsia="Times New Roman" w:cs="Arial"/>
                <w:noProof/>
                <w:szCs w:val="20"/>
                <w:lang w:eastAsia="en-GB"/>
              </w:rPr>
              <w:t>20.4</w:t>
            </w:r>
            <w:r>
              <w:rPr>
                <w:rFonts w:eastAsia="Times New Roman" w:cs="Calibri"/>
                <w:noProof/>
                <w:szCs w:val="20"/>
                <w:lang w:eastAsia="en-GB"/>
              </w:rPr>
              <w:t> </w:t>
            </w:r>
            <w:r>
              <w:rPr>
                <w:rFonts w:eastAsia="Times New Roman" w:cs="Arial"/>
                <w:noProof/>
                <w:szCs w:val="20"/>
                <w:lang w:eastAsia="en-GB"/>
              </w:rPr>
              <w:t>days</w:t>
            </w:r>
          </w:p>
          <w:p>
            <w:pPr>
              <w:pStyle w:val="BodyText"/>
              <w:jc w:val="center"/>
              <w:rPr>
                <w:rFonts w:eastAsia="Times New Roman" w:cs="Arial"/>
                <w:noProof/>
                <w:szCs w:val="20"/>
                <w:lang w:eastAsia="en-GB"/>
              </w:rPr>
            </w:pPr>
            <w:r>
              <w:rPr>
                <w:rFonts w:eastAsia="Times New Roman" w:cs="Arial"/>
                <w:noProof/>
                <w:szCs w:val="20"/>
                <w:lang w:eastAsia="en-GB"/>
              </w:rPr>
              <w:t>23.3</w:t>
            </w:r>
            <w:r>
              <w:rPr>
                <w:rFonts w:eastAsia="Times New Roman" w:cs="Calibri"/>
                <w:noProof/>
                <w:szCs w:val="20"/>
                <w:lang w:eastAsia="en-GB"/>
              </w:rPr>
              <w:t> </w:t>
            </w:r>
            <w:r>
              <w:rPr>
                <w:rFonts w:eastAsia="Times New Roman" w:cs="Arial"/>
                <w:noProof/>
                <w:szCs w:val="20"/>
                <w:lang w:eastAsia="en-GB"/>
              </w:rPr>
              <w:t>days</w:t>
            </w:r>
          </w:p>
        </w:tc>
        <w:tc>
          <w:tcPr>
            <w:tcW w:w="1938" w:type="dxa"/>
            <w:shd w:val="clear" w:color="auto" w:fill="auto"/>
          </w:tcPr>
          <w:p>
            <w:pPr>
              <w:pStyle w:val="BodyText"/>
              <w:jc w:val="center"/>
              <w:rPr>
                <w:rFonts w:eastAsia="Times New Roman" w:cs="Arial"/>
                <w:noProof/>
                <w:szCs w:val="20"/>
                <w:lang w:eastAsia="en-GB"/>
              </w:rPr>
            </w:pPr>
            <w:r>
              <w:rPr>
                <w:rFonts w:eastAsia="Times New Roman" w:cs="Arial"/>
                <w:noProof/>
                <w:szCs w:val="20"/>
                <w:lang w:eastAsia="en-GB"/>
              </w:rPr>
              <w:t>18.4</w:t>
            </w:r>
            <w:r>
              <w:rPr>
                <w:rFonts w:eastAsia="Times New Roman" w:cs="Calibri"/>
                <w:noProof/>
                <w:szCs w:val="20"/>
                <w:lang w:eastAsia="en-GB"/>
              </w:rPr>
              <w:t> </w:t>
            </w:r>
            <w:r>
              <w:rPr>
                <w:rFonts w:eastAsia="Times New Roman" w:cs="Arial"/>
                <w:noProof/>
                <w:szCs w:val="20"/>
                <w:lang w:eastAsia="en-GB"/>
              </w:rPr>
              <w:t>days</w:t>
            </w:r>
          </w:p>
          <w:p>
            <w:pPr>
              <w:pStyle w:val="BodyText"/>
              <w:jc w:val="center"/>
              <w:rPr>
                <w:rFonts w:eastAsia="Times New Roman" w:cs="Arial"/>
                <w:noProof/>
                <w:szCs w:val="20"/>
                <w:lang w:eastAsia="en-GB"/>
              </w:rPr>
            </w:pPr>
            <w:r>
              <w:rPr>
                <w:rFonts w:eastAsia="Times New Roman" w:cs="Arial"/>
                <w:noProof/>
                <w:szCs w:val="20"/>
                <w:lang w:eastAsia="en-GB"/>
              </w:rPr>
              <w:t>21.5</w:t>
            </w:r>
            <w:r>
              <w:rPr>
                <w:rFonts w:eastAsia="Times New Roman" w:cs="Calibri"/>
                <w:noProof/>
                <w:szCs w:val="20"/>
                <w:lang w:eastAsia="en-GB"/>
              </w:rPr>
              <w:t> </w:t>
            </w:r>
            <w:r>
              <w:rPr>
                <w:rFonts w:eastAsia="Times New Roman" w:cs="Arial"/>
                <w:noProof/>
                <w:szCs w:val="20"/>
                <w:lang w:eastAsia="en-GB"/>
              </w:rPr>
              <w:t>days</w:t>
            </w:r>
          </w:p>
        </w:tc>
      </w:tr>
    </w:tbl>
    <w:p>
      <w:pPr>
        <w:pStyle w:val="BodyText1spacebeforeandafter"/>
        <w:rPr>
          <w:spacing w:val="-4"/>
        </w:rPr>
      </w:pPr>
      <w:r>
        <w:rPr>
          <w:spacing w:val="-4"/>
        </w:rPr>
        <w:t>The data shows that the global average net payment time of the Commission departments is below 30</w:t>
      </w:r>
      <w:r>
        <w:rPr>
          <w:rFonts w:ascii="Calibri" w:hAnsi="Calibri" w:cs="Calibri"/>
          <w:spacing w:val="-4"/>
        </w:rPr>
        <w:t> </w:t>
      </w:r>
      <w:r>
        <w:rPr>
          <w:spacing w:val="-4"/>
        </w:rPr>
        <w:t>days for the past 3</w:t>
      </w:r>
      <w:r>
        <w:rPr>
          <w:rFonts w:ascii="Calibri" w:hAnsi="Calibri" w:cs="Calibri"/>
          <w:spacing w:val="-4"/>
        </w:rPr>
        <w:t> </w:t>
      </w:r>
      <w:r>
        <w:rPr>
          <w:spacing w:val="-4"/>
        </w:rPr>
        <w:t>years for all time limits combined and has steadily decreased since 2016. Departments are encouraged to continue their efforts in this regard and to implement follow-up measures whenever payment time problems are identified. The global average gross payment time is newly provided following a recommendation from the Ombudsman. It represents the average time to pay including any period of suspension.</w:t>
      </w:r>
    </w:p>
    <w:p>
      <w:pPr>
        <w:pStyle w:val="BodyText1spaceafter"/>
      </w:pPr>
      <w:r>
        <w:t xml:space="preserve">The table below illustrates the evolution of the </w:t>
      </w:r>
      <w:r>
        <w:rPr>
          <w:rStyle w:val="BOLDITALICORANGEAnnexes"/>
          <w:i w:val="0"/>
        </w:rPr>
        <w:t>late</w:t>
      </w:r>
      <w:r>
        <w:rPr>
          <w:rStyle w:val="BOLDORANGEAnnexes"/>
        </w:rPr>
        <w:t xml:space="preserve"> payments</w:t>
      </w:r>
      <w:r>
        <w:t>, i.e. payments made after expiry of the statutory time limit in recent years for all payments combined. The data used has been extracted from the corporate accounting system.</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1944"/>
        <w:gridCol w:w="1944"/>
        <w:gridCol w:w="1945"/>
      </w:tblGrid>
      <w:tr>
        <w:trPr>
          <w:jc w:val="center"/>
        </w:trPr>
        <w:tc>
          <w:tcPr>
            <w:tcW w:w="3227" w:type="dxa"/>
            <w:shd w:val="clear" w:color="auto" w:fill="E48C32"/>
          </w:tcPr>
          <w:p>
            <w:pPr>
              <w:pStyle w:val="BodyText"/>
              <w:jc w:val="both"/>
              <w:rPr>
                <w:rFonts w:eastAsia="Times New Roman" w:cs="Arial"/>
                <w:b/>
                <w:noProof/>
                <w:color w:val="FFFFFF"/>
                <w:szCs w:val="20"/>
                <w:lang w:eastAsia="en-GB"/>
              </w:rPr>
            </w:pPr>
            <w:r>
              <w:rPr>
                <w:rFonts w:eastAsia="Times New Roman" w:cs="Arial"/>
                <w:b/>
                <w:noProof/>
                <w:color w:val="FFFFFF"/>
                <w:szCs w:val="20"/>
                <w:lang w:eastAsia="en-GB"/>
              </w:rPr>
              <w:t>All time limits combined</w:t>
            </w:r>
          </w:p>
        </w:tc>
        <w:tc>
          <w:tcPr>
            <w:tcW w:w="1937" w:type="dxa"/>
            <w:shd w:val="clear" w:color="auto" w:fill="E48C32"/>
          </w:tcPr>
          <w:p>
            <w:pPr>
              <w:pStyle w:val="BodyText"/>
              <w:jc w:val="center"/>
              <w:rPr>
                <w:rFonts w:eastAsia="Times New Roman" w:cs="Arial"/>
                <w:b/>
                <w:noProof/>
                <w:color w:val="FFFFFF"/>
                <w:szCs w:val="20"/>
                <w:lang w:eastAsia="en-GB"/>
              </w:rPr>
            </w:pPr>
            <w:r>
              <w:rPr>
                <w:rFonts w:eastAsia="Times New Roman" w:cs="Arial"/>
                <w:b/>
                <w:noProof/>
                <w:color w:val="FFFFFF"/>
                <w:szCs w:val="20"/>
                <w:lang w:eastAsia="en-GB"/>
              </w:rPr>
              <w:t>2016</w:t>
            </w:r>
          </w:p>
        </w:tc>
        <w:tc>
          <w:tcPr>
            <w:tcW w:w="1937" w:type="dxa"/>
            <w:shd w:val="clear" w:color="auto" w:fill="E48C32"/>
          </w:tcPr>
          <w:p>
            <w:pPr>
              <w:pStyle w:val="BodyText"/>
              <w:jc w:val="center"/>
              <w:rPr>
                <w:rFonts w:eastAsia="Times New Roman" w:cs="Arial"/>
                <w:b/>
                <w:noProof/>
                <w:color w:val="FFFFFF"/>
                <w:szCs w:val="20"/>
                <w:lang w:eastAsia="en-GB"/>
              </w:rPr>
            </w:pPr>
            <w:r>
              <w:rPr>
                <w:rFonts w:eastAsia="Times New Roman" w:cs="Arial"/>
                <w:b/>
                <w:noProof/>
                <w:color w:val="FFFFFF"/>
                <w:szCs w:val="20"/>
                <w:lang w:eastAsia="en-GB"/>
              </w:rPr>
              <w:t>2017</w:t>
            </w:r>
          </w:p>
        </w:tc>
        <w:tc>
          <w:tcPr>
            <w:tcW w:w="1938" w:type="dxa"/>
            <w:shd w:val="clear" w:color="auto" w:fill="E48C32"/>
          </w:tcPr>
          <w:p>
            <w:pPr>
              <w:pStyle w:val="BodyText"/>
              <w:jc w:val="center"/>
              <w:rPr>
                <w:rFonts w:eastAsia="Times New Roman" w:cs="Arial"/>
                <w:b/>
                <w:noProof/>
                <w:color w:val="FFFFFF"/>
                <w:szCs w:val="20"/>
                <w:lang w:eastAsia="en-GB"/>
              </w:rPr>
            </w:pPr>
            <w:r>
              <w:rPr>
                <w:rFonts w:eastAsia="Times New Roman" w:cs="Arial"/>
                <w:b/>
                <w:noProof/>
                <w:color w:val="FFFFFF"/>
                <w:szCs w:val="20"/>
                <w:lang w:eastAsia="en-GB"/>
              </w:rPr>
              <w:t>2018</w:t>
            </w:r>
          </w:p>
        </w:tc>
      </w:tr>
      <w:tr>
        <w:trPr>
          <w:jc w:val="center"/>
        </w:trPr>
        <w:tc>
          <w:tcPr>
            <w:tcW w:w="3227" w:type="dxa"/>
            <w:shd w:val="clear" w:color="auto" w:fill="auto"/>
          </w:tcPr>
          <w:p>
            <w:pPr>
              <w:pStyle w:val="BodyText"/>
              <w:jc w:val="both"/>
              <w:rPr>
                <w:rFonts w:eastAsia="Times New Roman" w:cs="Arial"/>
                <w:noProof/>
                <w:szCs w:val="20"/>
                <w:lang w:eastAsia="en-GB"/>
              </w:rPr>
            </w:pPr>
            <w:r>
              <w:rPr>
                <w:rFonts w:eastAsia="Times New Roman" w:cs="Arial"/>
                <w:noProof/>
                <w:szCs w:val="20"/>
                <w:lang w:eastAsia="en-GB"/>
              </w:rPr>
              <w:t>Late payments in number</w:t>
            </w:r>
          </w:p>
        </w:tc>
        <w:tc>
          <w:tcPr>
            <w:tcW w:w="1937" w:type="dxa"/>
            <w:shd w:val="clear" w:color="auto" w:fill="auto"/>
          </w:tcPr>
          <w:p>
            <w:pPr>
              <w:pStyle w:val="BodyText"/>
              <w:jc w:val="center"/>
              <w:rPr>
                <w:rFonts w:eastAsia="Times New Roman" w:cs="Arial"/>
                <w:noProof/>
                <w:szCs w:val="20"/>
                <w:lang w:eastAsia="en-GB"/>
              </w:rPr>
            </w:pPr>
            <w:r>
              <w:rPr>
                <w:rFonts w:eastAsia="Times New Roman" w:cs="Arial"/>
                <w:noProof/>
                <w:szCs w:val="20"/>
                <w:lang w:eastAsia="en-GB"/>
              </w:rPr>
              <w:t>12.4%</w:t>
            </w:r>
          </w:p>
        </w:tc>
        <w:tc>
          <w:tcPr>
            <w:tcW w:w="1937" w:type="dxa"/>
            <w:shd w:val="clear" w:color="auto" w:fill="auto"/>
          </w:tcPr>
          <w:p>
            <w:pPr>
              <w:pStyle w:val="BodyText"/>
              <w:jc w:val="center"/>
              <w:rPr>
                <w:rFonts w:eastAsia="Times New Roman" w:cs="Arial"/>
                <w:noProof/>
                <w:szCs w:val="20"/>
                <w:lang w:eastAsia="en-GB"/>
              </w:rPr>
            </w:pPr>
            <w:r>
              <w:rPr>
                <w:rFonts w:eastAsia="Times New Roman" w:cs="Arial"/>
                <w:noProof/>
                <w:szCs w:val="20"/>
                <w:lang w:eastAsia="en-GB"/>
              </w:rPr>
              <w:t>10.4%</w:t>
            </w:r>
          </w:p>
        </w:tc>
        <w:tc>
          <w:tcPr>
            <w:tcW w:w="1938" w:type="dxa"/>
            <w:shd w:val="clear" w:color="auto" w:fill="auto"/>
          </w:tcPr>
          <w:p>
            <w:pPr>
              <w:pStyle w:val="BodyText"/>
              <w:jc w:val="center"/>
              <w:rPr>
                <w:rFonts w:eastAsia="Times New Roman" w:cs="Arial"/>
                <w:noProof/>
                <w:szCs w:val="20"/>
                <w:lang w:eastAsia="en-GB"/>
              </w:rPr>
            </w:pPr>
            <w:r>
              <w:rPr>
                <w:rFonts w:eastAsia="Times New Roman" w:cs="Arial"/>
                <w:noProof/>
                <w:szCs w:val="20"/>
                <w:lang w:eastAsia="en-GB"/>
              </w:rPr>
              <w:t>7.6%</w:t>
            </w:r>
          </w:p>
        </w:tc>
      </w:tr>
      <w:tr>
        <w:trPr>
          <w:jc w:val="center"/>
        </w:trPr>
        <w:tc>
          <w:tcPr>
            <w:tcW w:w="3227" w:type="dxa"/>
            <w:shd w:val="clear" w:color="auto" w:fill="auto"/>
          </w:tcPr>
          <w:p>
            <w:pPr>
              <w:pStyle w:val="BodyText"/>
              <w:jc w:val="both"/>
              <w:rPr>
                <w:rFonts w:eastAsia="Times New Roman" w:cs="Arial"/>
                <w:noProof/>
                <w:szCs w:val="20"/>
                <w:lang w:eastAsia="en-GB"/>
              </w:rPr>
            </w:pPr>
            <w:r>
              <w:rPr>
                <w:rFonts w:eastAsia="Times New Roman" w:cs="Arial"/>
                <w:noProof/>
                <w:szCs w:val="20"/>
                <w:lang w:eastAsia="en-GB"/>
              </w:rPr>
              <w:t>Late payments in value</w:t>
            </w:r>
          </w:p>
        </w:tc>
        <w:tc>
          <w:tcPr>
            <w:tcW w:w="1937" w:type="dxa"/>
            <w:shd w:val="clear" w:color="auto" w:fill="auto"/>
          </w:tcPr>
          <w:p>
            <w:pPr>
              <w:pStyle w:val="BodyText"/>
              <w:jc w:val="center"/>
              <w:rPr>
                <w:rFonts w:eastAsia="Times New Roman" w:cs="Arial"/>
                <w:noProof/>
                <w:szCs w:val="20"/>
                <w:lang w:eastAsia="en-GB"/>
              </w:rPr>
            </w:pPr>
            <w:r>
              <w:rPr>
                <w:rFonts w:eastAsia="Times New Roman" w:cs="Arial"/>
                <w:noProof/>
                <w:szCs w:val="20"/>
                <w:lang w:eastAsia="en-GB"/>
              </w:rPr>
              <w:t>8.5%</w:t>
            </w:r>
          </w:p>
        </w:tc>
        <w:tc>
          <w:tcPr>
            <w:tcW w:w="1937" w:type="dxa"/>
            <w:shd w:val="clear" w:color="auto" w:fill="auto"/>
          </w:tcPr>
          <w:p>
            <w:pPr>
              <w:pStyle w:val="BodyText"/>
              <w:jc w:val="center"/>
              <w:rPr>
                <w:rFonts w:eastAsia="Times New Roman" w:cs="Arial"/>
                <w:noProof/>
                <w:szCs w:val="20"/>
                <w:lang w:eastAsia="en-GB"/>
              </w:rPr>
            </w:pPr>
            <w:r>
              <w:rPr>
                <w:rFonts w:eastAsia="Times New Roman" w:cs="Arial"/>
                <w:noProof/>
                <w:szCs w:val="20"/>
                <w:lang w:eastAsia="en-GB"/>
              </w:rPr>
              <w:t>3.1%</w:t>
            </w:r>
          </w:p>
        </w:tc>
        <w:tc>
          <w:tcPr>
            <w:tcW w:w="1938" w:type="dxa"/>
            <w:shd w:val="clear" w:color="auto" w:fill="auto"/>
          </w:tcPr>
          <w:p>
            <w:pPr>
              <w:pStyle w:val="BodyText"/>
              <w:jc w:val="center"/>
              <w:rPr>
                <w:rFonts w:eastAsia="Times New Roman" w:cs="Arial"/>
                <w:noProof/>
                <w:szCs w:val="20"/>
                <w:lang w:eastAsia="en-GB"/>
              </w:rPr>
            </w:pPr>
            <w:r>
              <w:rPr>
                <w:rFonts w:eastAsia="Times New Roman" w:cs="Arial"/>
                <w:noProof/>
                <w:szCs w:val="20"/>
                <w:lang w:eastAsia="en-GB"/>
              </w:rPr>
              <w:t>3.3%</w:t>
            </w:r>
          </w:p>
        </w:tc>
      </w:tr>
      <w:tr>
        <w:trPr>
          <w:jc w:val="center"/>
        </w:trPr>
        <w:tc>
          <w:tcPr>
            <w:tcW w:w="3227" w:type="dxa"/>
            <w:shd w:val="clear" w:color="auto" w:fill="auto"/>
          </w:tcPr>
          <w:p>
            <w:pPr>
              <w:pStyle w:val="BodyText"/>
              <w:jc w:val="both"/>
              <w:rPr>
                <w:rFonts w:eastAsia="Times New Roman" w:cs="Arial"/>
                <w:noProof/>
                <w:szCs w:val="20"/>
                <w:lang w:eastAsia="en-GB"/>
              </w:rPr>
            </w:pPr>
            <w:r>
              <w:rPr>
                <w:rFonts w:eastAsia="Times New Roman" w:cs="Arial"/>
                <w:noProof/>
                <w:szCs w:val="20"/>
                <w:lang w:eastAsia="en-GB"/>
              </w:rPr>
              <w:t>Average number of overdue days</w:t>
            </w:r>
            <w:r>
              <w:rPr>
                <w:rStyle w:val="fnRef"/>
                <w:rFonts w:cs="Arial"/>
                <w:noProof/>
              </w:rPr>
              <w:t> </w:t>
            </w:r>
            <w:r>
              <w:rPr>
                <w:rStyle w:val="fnRef"/>
                <w:noProof/>
              </w:rPr>
              <w:t>(</w:t>
            </w:r>
            <w:r>
              <w:rPr>
                <w:rStyle w:val="fnRefNo"/>
                <w:noProof/>
              </w:rPr>
              <w:footnoteReference w:id="58"/>
            </w:r>
            <w:r>
              <w:rPr>
                <w:rStyle w:val="fnRef"/>
                <w:noProof/>
              </w:rPr>
              <w:t>)</w:t>
            </w:r>
          </w:p>
        </w:tc>
        <w:tc>
          <w:tcPr>
            <w:tcW w:w="1937" w:type="dxa"/>
            <w:shd w:val="clear" w:color="auto" w:fill="auto"/>
          </w:tcPr>
          <w:p>
            <w:pPr>
              <w:pStyle w:val="BodyText"/>
              <w:jc w:val="center"/>
              <w:rPr>
                <w:rFonts w:eastAsia="Times New Roman" w:cs="Arial"/>
                <w:noProof/>
                <w:szCs w:val="20"/>
                <w:lang w:eastAsia="en-GB"/>
              </w:rPr>
            </w:pPr>
            <w:r>
              <w:rPr>
                <w:rFonts w:eastAsia="Times New Roman" w:cs="Arial"/>
                <w:noProof/>
                <w:szCs w:val="20"/>
                <w:lang w:eastAsia="en-GB"/>
              </w:rPr>
              <w:t>39.1</w:t>
            </w:r>
            <w:r>
              <w:rPr>
                <w:rFonts w:eastAsia="Times New Roman" w:cs="Calibri"/>
                <w:noProof/>
                <w:szCs w:val="20"/>
                <w:lang w:eastAsia="en-GB"/>
              </w:rPr>
              <w:t> </w:t>
            </w:r>
            <w:r>
              <w:rPr>
                <w:rFonts w:eastAsia="Times New Roman" w:cs="Arial"/>
                <w:noProof/>
                <w:szCs w:val="20"/>
                <w:lang w:eastAsia="en-GB"/>
              </w:rPr>
              <w:t>days</w:t>
            </w:r>
          </w:p>
        </w:tc>
        <w:tc>
          <w:tcPr>
            <w:tcW w:w="1937" w:type="dxa"/>
            <w:shd w:val="clear" w:color="auto" w:fill="auto"/>
          </w:tcPr>
          <w:p>
            <w:pPr>
              <w:pStyle w:val="BodyText"/>
              <w:jc w:val="center"/>
              <w:rPr>
                <w:rFonts w:eastAsia="Times New Roman" w:cs="Arial"/>
                <w:noProof/>
                <w:szCs w:val="20"/>
                <w:lang w:eastAsia="en-GB"/>
              </w:rPr>
            </w:pPr>
            <w:r>
              <w:rPr>
                <w:rFonts w:eastAsia="Times New Roman" w:cs="Arial"/>
                <w:noProof/>
                <w:szCs w:val="20"/>
                <w:lang w:eastAsia="en-GB"/>
              </w:rPr>
              <w:t>39.6</w:t>
            </w:r>
            <w:r>
              <w:rPr>
                <w:rFonts w:eastAsia="Times New Roman" w:cs="Calibri"/>
                <w:noProof/>
                <w:szCs w:val="20"/>
                <w:lang w:eastAsia="en-GB"/>
              </w:rPr>
              <w:t> </w:t>
            </w:r>
            <w:r>
              <w:rPr>
                <w:rFonts w:eastAsia="Times New Roman" w:cs="Arial"/>
                <w:noProof/>
                <w:szCs w:val="20"/>
                <w:lang w:eastAsia="en-GB"/>
              </w:rPr>
              <w:t>days</w:t>
            </w:r>
          </w:p>
        </w:tc>
        <w:tc>
          <w:tcPr>
            <w:tcW w:w="1938" w:type="dxa"/>
            <w:shd w:val="clear" w:color="auto" w:fill="auto"/>
          </w:tcPr>
          <w:p>
            <w:pPr>
              <w:pStyle w:val="BodyText"/>
              <w:jc w:val="center"/>
              <w:rPr>
                <w:rFonts w:eastAsia="Times New Roman" w:cs="Arial"/>
                <w:noProof/>
                <w:szCs w:val="20"/>
                <w:lang w:eastAsia="en-GB"/>
              </w:rPr>
            </w:pPr>
            <w:r>
              <w:rPr>
                <w:rFonts w:eastAsia="Times New Roman" w:cs="Arial"/>
                <w:noProof/>
                <w:szCs w:val="20"/>
                <w:lang w:eastAsia="en-GB"/>
              </w:rPr>
              <w:t>45.5</w:t>
            </w:r>
            <w:r>
              <w:rPr>
                <w:rFonts w:eastAsia="Times New Roman" w:cs="Calibri"/>
                <w:noProof/>
                <w:szCs w:val="20"/>
                <w:lang w:eastAsia="en-GB"/>
              </w:rPr>
              <w:t> </w:t>
            </w:r>
            <w:r>
              <w:rPr>
                <w:rFonts w:eastAsia="Times New Roman" w:cs="Arial"/>
                <w:noProof/>
                <w:szCs w:val="20"/>
                <w:lang w:eastAsia="en-GB"/>
              </w:rPr>
              <w:t>days</w:t>
            </w:r>
          </w:p>
        </w:tc>
      </w:tr>
    </w:tbl>
    <w:p>
      <w:pPr>
        <w:pStyle w:val="BodyText1spacebeforeandafter"/>
      </w:pPr>
      <w:r>
        <w:t>The number of late payments and the amounts associated with them have decreased significantly since 2016. This result is believed to be linked to the more stringent requirements associated with the 2018 financial regulation. Another reason is associated with the sufficient availability of payment appropriations. However, the average number of overdue days (delays calculated in days), for all time limits combined, increased in 2018.</w:t>
      </w:r>
    </w:p>
    <w:p>
      <w:pPr>
        <w:pStyle w:val="BodyText1spaceafter"/>
      </w:pPr>
      <w:r>
        <w:t xml:space="preserve">Concerning the </w:t>
      </w:r>
      <w:r>
        <w:rPr>
          <w:rStyle w:val="BOLDITALICORANGEAnnexes"/>
          <w:i w:val="0"/>
        </w:rPr>
        <w:t>interest paid for late payments</w:t>
      </w:r>
      <w:r>
        <w:rPr>
          <w:rStyle w:val="fnRef"/>
          <w:rFonts w:ascii="Arial" w:hAnsi="Arial" w:cs="Arial"/>
        </w:rPr>
        <w:t> </w:t>
      </w:r>
      <w:r>
        <w:rPr>
          <w:rStyle w:val="fnRef"/>
        </w:rPr>
        <w:t>(</w:t>
      </w:r>
      <w:r>
        <w:rPr>
          <w:rStyle w:val="fnRefNo"/>
        </w:rPr>
        <w:footnoteReference w:id="59"/>
      </w:r>
      <w:r>
        <w:rPr>
          <w:rStyle w:val="fnRef"/>
        </w:rPr>
        <w:t>)</w:t>
      </w:r>
      <w:r>
        <w:t xml:space="preserve"> (see figures in the table below), </w:t>
      </w:r>
      <w:r>
        <w:rPr>
          <w:rStyle w:val="BOLDORANGEAnnexes"/>
        </w:rPr>
        <w:t>the total amount paid by the Commission in 2018 decreased compared to 2017</w:t>
      </w:r>
      <w:r>
        <w:t xml:space="preserve">. This is mainly the consequence of interest paid in 2017 by the development department after a Court case. </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1927"/>
        <w:gridCol w:w="1927"/>
        <w:gridCol w:w="1927"/>
      </w:tblGrid>
      <w:tr>
        <w:trPr>
          <w:jc w:val="center"/>
        </w:trPr>
        <w:tc>
          <w:tcPr>
            <w:tcW w:w="3227" w:type="dxa"/>
            <w:shd w:val="clear" w:color="auto" w:fill="E48C32"/>
          </w:tcPr>
          <w:p>
            <w:pPr>
              <w:pStyle w:val="BodyText"/>
              <w:jc w:val="both"/>
              <w:rPr>
                <w:rFonts w:eastAsia="Times New Roman" w:cs="Arial"/>
                <w:noProof/>
                <w:color w:val="FFFFFF"/>
                <w:szCs w:val="20"/>
                <w:lang w:eastAsia="en-GB"/>
              </w:rPr>
            </w:pPr>
          </w:p>
        </w:tc>
        <w:tc>
          <w:tcPr>
            <w:tcW w:w="1890" w:type="dxa"/>
            <w:shd w:val="clear" w:color="auto" w:fill="E48C32"/>
          </w:tcPr>
          <w:p>
            <w:pPr>
              <w:pStyle w:val="BodyText"/>
              <w:jc w:val="center"/>
              <w:rPr>
                <w:rFonts w:eastAsia="Times New Roman" w:cs="Arial"/>
                <w:b/>
                <w:noProof/>
                <w:color w:val="FFFFFF"/>
                <w:szCs w:val="20"/>
                <w:lang w:eastAsia="en-GB"/>
              </w:rPr>
            </w:pPr>
            <w:r>
              <w:rPr>
                <w:rFonts w:eastAsia="Times New Roman" w:cs="Arial"/>
                <w:b/>
                <w:noProof/>
                <w:color w:val="FFFFFF"/>
                <w:szCs w:val="20"/>
                <w:lang w:eastAsia="en-GB"/>
              </w:rPr>
              <w:t>2016</w:t>
            </w:r>
          </w:p>
        </w:tc>
        <w:tc>
          <w:tcPr>
            <w:tcW w:w="1890" w:type="dxa"/>
            <w:shd w:val="clear" w:color="auto" w:fill="E48C32"/>
          </w:tcPr>
          <w:p>
            <w:pPr>
              <w:pStyle w:val="BodyText"/>
              <w:jc w:val="center"/>
              <w:rPr>
                <w:rFonts w:eastAsia="Times New Roman" w:cs="Arial"/>
                <w:b/>
                <w:noProof/>
                <w:color w:val="FFFFFF"/>
                <w:szCs w:val="20"/>
                <w:lang w:eastAsia="en-GB"/>
              </w:rPr>
            </w:pPr>
            <w:r>
              <w:rPr>
                <w:rFonts w:eastAsia="Times New Roman" w:cs="Arial"/>
                <w:b/>
                <w:noProof/>
                <w:color w:val="FFFFFF"/>
                <w:szCs w:val="20"/>
                <w:lang w:eastAsia="en-GB"/>
              </w:rPr>
              <w:t>2017</w:t>
            </w:r>
          </w:p>
        </w:tc>
        <w:tc>
          <w:tcPr>
            <w:tcW w:w="1890" w:type="dxa"/>
            <w:shd w:val="clear" w:color="auto" w:fill="E48C32"/>
          </w:tcPr>
          <w:p>
            <w:pPr>
              <w:pStyle w:val="BodyText"/>
              <w:jc w:val="center"/>
              <w:rPr>
                <w:rFonts w:eastAsia="Times New Roman" w:cs="Arial"/>
                <w:b/>
                <w:noProof/>
                <w:color w:val="FFFFFF"/>
                <w:szCs w:val="20"/>
                <w:lang w:eastAsia="en-GB"/>
              </w:rPr>
            </w:pPr>
            <w:r>
              <w:rPr>
                <w:rFonts w:eastAsia="Times New Roman" w:cs="Arial"/>
                <w:b/>
                <w:noProof/>
                <w:color w:val="FFFFFF"/>
                <w:szCs w:val="20"/>
                <w:lang w:eastAsia="en-GB"/>
              </w:rPr>
              <w:t>2018</w:t>
            </w:r>
          </w:p>
        </w:tc>
      </w:tr>
      <w:tr>
        <w:trPr>
          <w:jc w:val="center"/>
        </w:trPr>
        <w:tc>
          <w:tcPr>
            <w:tcW w:w="3227" w:type="dxa"/>
            <w:shd w:val="clear" w:color="auto" w:fill="auto"/>
          </w:tcPr>
          <w:p>
            <w:pPr>
              <w:pStyle w:val="BodyText"/>
              <w:jc w:val="both"/>
              <w:rPr>
                <w:rFonts w:eastAsia="Times New Roman" w:cs="Arial"/>
                <w:noProof/>
                <w:szCs w:val="20"/>
                <w:lang w:eastAsia="en-GB"/>
              </w:rPr>
            </w:pPr>
            <w:r>
              <w:rPr>
                <w:rFonts w:eastAsia="Times New Roman" w:cs="Arial"/>
                <w:noProof/>
                <w:szCs w:val="20"/>
                <w:lang w:eastAsia="en-GB"/>
              </w:rPr>
              <w:t>Interest paid for late payments (EUR)</w:t>
            </w:r>
          </w:p>
        </w:tc>
        <w:tc>
          <w:tcPr>
            <w:tcW w:w="1890" w:type="dxa"/>
            <w:shd w:val="clear" w:color="auto" w:fill="auto"/>
          </w:tcPr>
          <w:p>
            <w:pPr>
              <w:pStyle w:val="BodyText"/>
              <w:jc w:val="center"/>
              <w:rPr>
                <w:rFonts w:eastAsia="Times New Roman" w:cs="Arial"/>
                <w:noProof/>
                <w:szCs w:val="20"/>
                <w:lang w:eastAsia="en-GB"/>
              </w:rPr>
            </w:pPr>
            <w:r>
              <w:rPr>
                <w:rFonts w:eastAsia="Times New Roman" w:cs="Arial"/>
                <w:noProof/>
                <w:szCs w:val="20"/>
                <w:lang w:eastAsia="en-GB"/>
              </w:rPr>
              <w:t>685</w:t>
            </w:r>
            <w:r>
              <w:rPr>
                <w:rFonts w:eastAsia="Times New Roman" w:cs="Calibri"/>
                <w:noProof/>
                <w:szCs w:val="20"/>
                <w:lang w:eastAsia="en-GB"/>
              </w:rPr>
              <w:t> </w:t>
            </w:r>
            <w:r>
              <w:rPr>
                <w:rFonts w:eastAsia="Times New Roman" w:cs="Arial"/>
                <w:noProof/>
                <w:szCs w:val="20"/>
                <w:lang w:eastAsia="en-GB"/>
              </w:rPr>
              <w:t>645</w:t>
            </w:r>
          </w:p>
        </w:tc>
        <w:tc>
          <w:tcPr>
            <w:tcW w:w="1890" w:type="dxa"/>
            <w:shd w:val="clear" w:color="auto" w:fill="auto"/>
          </w:tcPr>
          <w:p>
            <w:pPr>
              <w:pStyle w:val="BodyText"/>
              <w:jc w:val="center"/>
              <w:rPr>
                <w:rFonts w:eastAsia="Times New Roman" w:cs="Arial"/>
                <w:noProof/>
                <w:szCs w:val="20"/>
                <w:lang w:eastAsia="en-GB"/>
              </w:rPr>
            </w:pPr>
            <w:r>
              <w:rPr>
                <w:rFonts w:eastAsia="Times New Roman" w:cs="Arial"/>
                <w:noProof/>
                <w:szCs w:val="20"/>
                <w:lang w:eastAsia="en-GB"/>
              </w:rPr>
              <w:t>824</w:t>
            </w:r>
            <w:r>
              <w:rPr>
                <w:rFonts w:eastAsia="Times New Roman" w:cs="Calibri"/>
                <w:noProof/>
                <w:szCs w:val="20"/>
                <w:lang w:eastAsia="en-GB"/>
              </w:rPr>
              <w:t> </w:t>
            </w:r>
            <w:r>
              <w:rPr>
                <w:rFonts w:eastAsia="Times New Roman" w:cs="Arial"/>
                <w:noProof/>
                <w:szCs w:val="20"/>
                <w:lang w:eastAsia="en-GB"/>
              </w:rPr>
              <w:t>421</w:t>
            </w:r>
          </w:p>
        </w:tc>
        <w:tc>
          <w:tcPr>
            <w:tcW w:w="1890" w:type="dxa"/>
          </w:tcPr>
          <w:p>
            <w:pPr>
              <w:pStyle w:val="BodyText"/>
              <w:jc w:val="center"/>
              <w:rPr>
                <w:rFonts w:eastAsia="Times New Roman" w:cs="Arial"/>
                <w:noProof/>
                <w:szCs w:val="20"/>
                <w:lang w:eastAsia="en-GB"/>
              </w:rPr>
            </w:pPr>
            <w:r>
              <w:rPr>
                <w:rFonts w:eastAsia="Times New Roman" w:cs="Arial"/>
                <w:noProof/>
                <w:szCs w:val="20"/>
                <w:lang w:eastAsia="en-GB"/>
              </w:rPr>
              <w:t>385</w:t>
            </w:r>
            <w:r>
              <w:rPr>
                <w:rFonts w:eastAsia="Times New Roman" w:cs="Calibri"/>
                <w:noProof/>
                <w:szCs w:val="20"/>
                <w:lang w:eastAsia="en-GB"/>
              </w:rPr>
              <w:t> </w:t>
            </w:r>
            <w:r>
              <w:rPr>
                <w:rFonts w:eastAsia="Times New Roman" w:cs="Arial"/>
                <w:noProof/>
                <w:szCs w:val="20"/>
                <w:lang w:eastAsia="en-GB"/>
              </w:rPr>
              <w:t>468</w:t>
            </w:r>
          </w:p>
        </w:tc>
      </w:tr>
    </w:tbl>
    <w:p>
      <w:pPr>
        <w:pStyle w:val="BodyText1spacebeforeandafter"/>
      </w:pPr>
      <w:r>
        <w:t>In general, payment delays and interest paid are a consequence of payment shortages. For that reason, the budget department has summarised some possible measures which could be applied by the authorising officer to actively manage payment appropriations.</w:t>
      </w:r>
    </w:p>
    <w:p>
      <w:pPr>
        <w:pStyle w:val="BodyText1spaceafter"/>
      </w:pPr>
      <w:r>
        <w:t xml:space="preserve">Other </w:t>
      </w:r>
      <w:r>
        <w:rPr>
          <w:rStyle w:val="BOLDORANGEAnnexes"/>
        </w:rPr>
        <w:t>causes of late payments</w:t>
      </w:r>
      <w:r>
        <w:t xml:space="preserve"> include the complexities of evaluating the supporting documents that are a prerequisite for all payments. This is particularly onerous when the supporting documents are reports of a technical nature (on average 13% of the payments in 2016 and 11% in both 2017 and 2018) that sometimes have to be assessed by external experts. Other causes are associated with difficulties in coordinating the financial and operational checks of payment requests, and issues with the management of payment suspensions. </w:t>
      </w:r>
    </w:p>
    <w:p>
      <w:pPr>
        <w:pStyle w:val="BodyText1spaceafter"/>
      </w:pPr>
      <w:r>
        <w:t xml:space="preserve">The 2009 communication establishing Commission internal payment targets provided a clear incentive to services to reduce their payment times. There is scope for reducing payment times further. When setting up action plans in this area, departments should focus on further reducing late payments from their current levels of 7.6% of payments in terms of their number, and of 3.3% in value. </w:t>
      </w:r>
      <w:r>
        <w:rPr>
          <w:rStyle w:val="BOLDORANGEAnnexes"/>
        </w:rPr>
        <w:t>The aim should be to meet the statutory payment time for every payment</w:t>
      </w:r>
      <w:r>
        <w:rPr>
          <w:rStyle w:val="BOLDORANGEAnnexes"/>
          <w:b w:val="0"/>
          <w:color w:val="auto"/>
        </w:rPr>
        <w:t>.</w:t>
      </w:r>
      <w:bookmarkStart w:id="217" w:name="_CopyToNewDocument_"/>
      <w:bookmarkEnd w:id="217"/>
    </w:p>
    <w:p>
      <w:pPr>
        <w:pStyle w:val="BodyText1spaceafter"/>
      </w:pPr>
      <w:r>
        <w:t>The table that follows gives a detailed overview of the suspensions of payment.</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1927"/>
        <w:gridCol w:w="1927"/>
        <w:gridCol w:w="1927"/>
      </w:tblGrid>
      <w:tr>
        <w:trPr>
          <w:jc w:val="center"/>
        </w:trPr>
        <w:tc>
          <w:tcPr>
            <w:tcW w:w="3227" w:type="dxa"/>
            <w:shd w:val="clear" w:color="auto" w:fill="E48C32"/>
          </w:tcPr>
          <w:p>
            <w:pPr>
              <w:pStyle w:val="BodyText"/>
              <w:jc w:val="both"/>
              <w:rPr>
                <w:rFonts w:eastAsia="Times New Roman" w:cs="Arial"/>
                <w:noProof/>
                <w:color w:val="FFFFFF"/>
                <w:szCs w:val="20"/>
                <w:lang w:eastAsia="en-GB"/>
              </w:rPr>
            </w:pPr>
          </w:p>
        </w:tc>
        <w:tc>
          <w:tcPr>
            <w:tcW w:w="1890" w:type="dxa"/>
            <w:shd w:val="clear" w:color="auto" w:fill="E48C32"/>
            <w:vAlign w:val="center"/>
          </w:tcPr>
          <w:p>
            <w:pPr>
              <w:pStyle w:val="BodyText"/>
              <w:jc w:val="center"/>
              <w:rPr>
                <w:rFonts w:eastAsia="Times New Roman" w:cs="Arial"/>
                <w:b/>
                <w:noProof/>
                <w:color w:val="FFFFFF"/>
                <w:szCs w:val="20"/>
                <w:lang w:eastAsia="en-GB"/>
              </w:rPr>
            </w:pPr>
            <w:r>
              <w:rPr>
                <w:rFonts w:eastAsia="Times New Roman" w:cs="Arial"/>
                <w:b/>
                <w:noProof/>
                <w:color w:val="FFFFFF"/>
                <w:szCs w:val="20"/>
                <w:lang w:eastAsia="en-GB"/>
              </w:rPr>
              <w:t>2016</w:t>
            </w:r>
          </w:p>
        </w:tc>
        <w:tc>
          <w:tcPr>
            <w:tcW w:w="1890" w:type="dxa"/>
            <w:shd w:val="clear" w:color="auto" w:fill="E48C32"/>
            <w:vAlign w:val="center"/>
          </w:tcPr>
          <w:p>
            <w:pPr>
              <w:pStyle w:val="BodyText"/>
              <w:jc w:val="center"/>
              <w:rPr>
                <w:rFonts w:eastAsia="Times New Roman" w:cs="Arial"/>
                <w:b/>
                <w:noProof/>
                <w:color w:val="FFFFFF"/>
                <w:szCs w:val="20"/>
                <w:lang w:eastAsia="en-GB"/>
              </w:rPr>
            </w:pPr>
            <w:r>
              <w:rPr>
                <w:rFonts w:eastAsia="Times New Roman" w:cs="Arial"/>
                <w:b/>
                <w:noProof/>
                <w:color w:val="FFFFFF"/>
                <w:szCs w:val="20"/>
                <w:lang w:eastAsia="en-GB"/>
              </w:rPr>
              <w:t>2017</w:t>
            </w:r>
          </w:p>
        </w:tc>
        <w:tc>
          <w:tcPr>
            <w:tcW w:w="1890" w:type="dxa"/>
            <w:shd w:val="clear" w:color="auto" w:fill="E48C32"/>
            <w:vAlign w:val="center"/>
          </w:tcPr>
          <w:p>
            <w:pPr>
              <w:pStyle w:val="BodyText"/>
              <w:jc w:val="center"/>
              <w:rPr>
                <w:rFonts w:eastAsia="Times New Roman" w:cs="Arial"/>
                <w:b/>
                <w:noProof/>
                <w:color w:val="FFFFFF"/>
                <w:szCs w:val="20"/>
                <w:lang w:eastAsia="en-GB"/>
              </w:rPr>
            </w:pPr>
            <w:r>
              <w:rPr>
                <w:rFonts w:eastAsia="Times New Roman" w:cs="Arial"/>
                <w:b/>
                <w:noProof/>
                <w:color w:val="FFFFFF"/>
                <w:szCs w:val="20"/>
                <w:lang w:eastAsia="en-GB"/>
              </w:rPr>
              <w:t>2018</w:t>
            </w:r>
          </w:p>
        </w:tc>
      </w:tr>
      <w:tr>
        <w:trPr>
          <w:jc w:val="center"/>
        </w:trPr>
        <w:tc>
          <w:tcPr>
            <w:tcW w:w="3227" w:type="dxa"/>
          </w:tcPr>
          <w:p>
            <w:pPr>
              <w:pStyle w:val="BodyText"/>
              <w:jc w:val="both"/>
              <w:rPr>
                <w:rFonts w:eastAsia="Times New Roman" w:cs="Arial"/>
                <w:noProof/>
                <w:szCs w:val="20"/>
                <w:lang w:eastAsia="en-GB"/>
              </w:rPr>
            </w:pPr>
            <w:r>
              <w:rPr>
                <w:rFonts w:eastAsia="Times New Roman" w:cs="Arial"/>
                <w:noProof/>
                <w:szCs w:val="20"/>
                <w:lang w:eastAsia="en-GB"/>
              </w:rPr>
              <w:t>Total number of suspensions</w:t>
            </w:r>
          </w:p>
        </w:tc>
        <w:tc>
          <w:tcPr>
            <w:tcW w:w="1890" w:type="dxa"/>
            <w:vAlign w:val="center"/>
          </w:tcPr>
          <w:p>
            <w:pPr>
              <w:pStyle w:val="BodyText"/>
              <w:jc w:val="center"/>
              <w:rPr>
                <w:rFonts w:eastAsia="Times New Roman" w:cs="Arial"/>
                <w:noProof/>
                <w:szCs w:val="20"/>
                <w:lang w:eastAsia="en-GB"/>
              </w:rPr>
            </w:pPr>
            <w:r>
              <w:rPr>
                <w:rFonts w:eastAsia="Times New Roman" w:cs="Arial"/>
                <w:noProof/>
                <w:szCs w:val="20"/>
                <w:lang w:eastAsia="en-GB"/>
              </w:rPr>
              <w:t>26</w:t>
            </w:r>
            <w:r>
              <w:rPr>
                <w:rFonts w:eastAsia="Times New Roman" w:cs="Calibri"/>
                <w:noProof/>
                <w:szCs w:val="20"/>
                <w:lang w:eastAsia="en-GB"/>
              </w:rPr>
              <w:t> </w:t>
            </w:r>
            <w:r>
              <w:rPr>
                <w:rFonts w:eastAsia="Times New Roman" w:cs="Arial"/>
                <w:noProof/>
                <w:szCs w:val="20"/>
                <w:lang w:eastAsia="en-GB"/>
              </w:rPr>
              <w:t>595</w:t>
            </w:r>
          </w:p>
        </w:tc>
        <w:tc>
          <w:tcPr>
            <w:tcW w:w="1890" w:type="dxa"/>
            <w:vAlign w:val="center"/>
          </w:tcPr>
          <w:p>
            <w:pPr>
              <w:pStyle w:val="BodyText"/>
              <w:jc w:val="center"/>
              <w:rPr>
                <w:rFonts w:eastAsia="Times New Roman" w:cs="Arial"/>
                <w:noProof/>
                <w:szCs w:val="20"/>
                <w:lang w:eastAsia="en-GB"/>
              </w:rPr>
            </w:pPr>
            <w:r>
              <w:rPr>
                <w:rFonts w:eastAsia="Times New Roman" w:cs="Arial"/>
                <w:noProof/>
                <w:szCs w:val="20"/>
                <w:lang w:eastAsia="en-GB"/>
              </w:rPr>
              <w:t>26</w:t>
            </w:r>
            <w:r>
              <w:rPr>
                <w:rFonts w:eastAsia="Times New Roman" w:cs="Calibri"/>
                <w:noProof/>
                <w:szCs w:val="20"/>
                <w:lang w:eastAsia="en-GB"/>
              </w:rPr>
              <w:t> </w:t>
            </w:r>
            <w:r>
              <w:rPr>
                <w:rFonts w:eastAsia="Times New Roman" w:cs="Arial"/>
                <w:noProof/>
                <w:szCs w:val="20"/>
                <w:lang w:eastAsia="en-GB"/>
              </w:rPr>
              <w:t>173</w:t>
            </w:r>
          </w:p>
        </w:tc>
        <w:tc>
          <w:tcPr>
            <w:tcW w:w="1890" w:type="dxa"/>
            <w:shd w:val="clear" w:color="auto" w:fill="auto"/>
            <w:vAlign w:val="center"/>
          </w:tcPr>
          <w:p>
            <w:pPr>
              <w:pStyle w:val="BodyText"/>
              <w:jc w:val="center"/>
              <w:rPr>
                <w:rFonts w:eastAsia="Times New Roman" w:cs="Arial"/>
                <w:noProof/>
                <w:szCs w:val="20"/>
                <w:lang w:eastAsia="en-GB"/>
              </w:rPr>
            </w:pPr>
            <w:r>
              <w:rPr>
                <w:rFonts w:eastAsia="Times New Roman" w:cs="Arial"/>
                <w:noProof/>
                <w:szCs w:val="20"/>
                <w:lang w:eastAsia="en-GB"/>
              </w:rPr>
              <w:t>24</w:t>
            </w:r>
            <w:r>
              <w:rPr>
                <w:rFonts w:eastAsia="Times New Roman" w:cs="Calibri"/>
                <w:noProof/>
                <w:szCs w:val="20"/>
                <w:lang w:eastAsia="en-GB"/>
              </w:rPr>
              <w:t> </w:t>
            </w:r>
            <w:r>
              <w:rPr>
                <w:rFonts w:eastAsia="Times New Roman" w:cs="Arial"/>
                <w:noProof/>
                <w:szCs w:val="20"/>
                <w:lang w:eastAsia="en-GB"/>
              </w:rPr>
              <w:t>643</w:t>
            </w:r>
          </w:p>
        </w:tc>
      </w:tr>
    </w:tbl>
    <w:p>
      <w:pPr>
        <w:pStyle w:val="BodyText1spacebeforeandafter"/>
      </w:pPr>
      <w:r>
        <w:t>Suspensions are a tool that allows the responsible authorising officer to temporarily withhold the execution of a payment because the amount is not due, because of the absence of appropriate supporting documentation or because there are doubts on the eligibility of the expenditure concerned. It is a basic tool for the authorising officer in the payment process towards avoiding irregular or erroneous payments and is fundamental towards ensuring sound financial management and protecting the EU’s financial interest.</w:t>
      </w:r>
    </w:p>
    <w:p>
      <w:pPr>
        <w:pStyle w:val="BodyText"/>
        <w:rPr>
          <w:rFonts w:eastAsia="Times New Roman" w:cs="Arial"/>
          <w:noProof/>
          <w:szCs w:val="20"/>
          <w:lang w:eastAsia="en-GB"/>
        </w:rPr>
        <w:sectPr>
          <w:headerReference w:type="even" r:id="rId154"/>
          <w:headerReference w:type="default" r:id="rId155"/>
          <w:footerReference w:type="even" r:id="rId156"/>
          <w:footerReference w:type="default" r:id="rId157"/>
          <w:headerReference w:type="first" r:id="rId158"/>
          <w:footerReference w:type="first" r:id="rId159"/>
          <w:footnotePr>
            <w:numStart w:val="413"/>
          </w:footnotePr>
          <w:pgSz w:w="11906" w:h="16838" w:code="9"/>
          <w:pgMar w:top="1418" w:right="1418" w:bottom="1418" w:left="1418" w:header="635" w:footer="635" w:gutter="0"/>
          <w:cols w:space="720"/>
          <w:docGrid w:linePitch="360"/>
        </w:sectPr>
      </w:pPr>
    </w:p>
    <w:p>
      <w:pPr>
        <w:pStyle w:val="Title1Annexes"/>
        <w:rPr>
          <w:noProof/>
        </w:rPr>
      </w:pPr>
      <w:bookmarkStart w:id="218" w:name="_Toc6304474"/>
      <w:bookmarkStart w:id="219" w:name="_Toc8386226"/>
      <w:bookmarkStart w:id="220" w:name="_Toc11679105"/>
      <w:r>
        <w:rPr>
          <w:noProof/>
        </w:rPr>
        <w:t xml:space="preserve">Annex 7: </w:t>
      </w:r>
      <w:r>
        <w:rPr>
          <w:noProof/>
        </w:rPr>
        <w:br/>
        <w:t>Summary of waivers of recoveries</w:t>
      </w:r>
      <w:bookmarkEnd w:id="218"/>
      <w:bookmarkEnd w:id="219"/>
      <w:bookmarkEnd w:id="220"/>
    </w:p>
    <w:p>
      <w:pPr>
        <w:pStyle w:val="BodyText1spacebeforeandafter"/>
      </w:pPr>
      <w:r>
        <w:t xml:space="preserve">In accordance with </w:t>
      </w:r>
      <w:r>
        <w:rPr>
          <w:rStyle w:val="BOLDORANGEAnnexes"/>
        </w:rPr>
        <w:t>Article</w:t>
      </w:r>
      <w:r>
        <w:rPr>
          <w:rStyle w:val="BOLDORANGEAnnexes"/>
          <w:rFonts w:ascii="Calibri" w:hAnsi="Calibri" w:cs="Calibri"/>
        </w:rPr>
        <w:t> </w:t>
      </w:r>
      <w:r>
        <w:rPr>
          <w:rStyle w:val="BOLDORANGEAnnexes"/>
        </w:rPr>
        <w:t>101(5) of the Financial Regulation</w:t>
      </w:r>
      <w:r>
        <w:t xml:space="preserve">, the Commission reports each year to the budgetary authority on the waivers it has granted in an annex to the summary of the annual activity reports. </w:t>
      </w:r>
    </w:p>
    <w:p>
      <w:pPr>
        <w:pStyle w:val="BodyText1spaceafter"/>
      </w:pPr>
      <w:r>
        <w:t>The tables below show the total value and the number of waivers above and below EUR</w:t>
      </w:r>
      <w:r>
        <w:rPr>
          <w:rFonts w:ascii="Calibri" w:hAnsi="Calibri" w:cs="Calibri"/>
        </w:rPr>
        <w:t> </w:t>
      </w:r>
      <w:r>
        <w:t>60</w:t>
      </w:r>
      <w:r>
        <w:rPr>
          <w:rFonts w:ascii="Calibri" w:hAnsi="Calibri" w:cs="Calibri"/>
        </w:rPr>
        <w:t> </w:t>
      </w:r>
      <w:r>
        <w:t xml:space="preserve">000 in the financial year 2018. </w:t>
      </w:r>
    </w:p>
    <w:p>
      <w:pPr>
        <w:rPr>
          <w:noProof/>
        </w:rPr>
      </w:pPr>
      <w:r>
        <w:rPr>
          <w:noProof/>
        </w:rPr>
        <w:t>The individual annual activity reports provided more details on the individual waivers above EUR</w:t>
      </w:r>
      <w:r>
        <w:rPr>
          <w:rFonts w:ascii="Calibri" w:hAnsi="Calibri" w:cs="Calibri"/>
          <w:noProof/>
        </w:rPr>
        <w:t> </w:t>
      </w:r>
      <w:r>
        <w:rPr>
          <w:noProof/>
        </w:rPr>
        <w:t>60</w:t>
      </w:r>
      <w:r>
        <w:rPr>
          <w:rFonts w:ascii="Calibri" w:hAnsi="Calibri" w:cs="Calibri"/>
          <w:noProof/>
        </w:rPr>
        <w:t> </w:t>
      </w:r>
      <w:r>
        <w:rPr>
          <w:noProof/>
        </w:rPr>
        <w:t>000.</w:t>
      </w:r>
    </w:p>
    <w:p>
      <w:pPr>
        <w:rPr>
          <w:noProof/>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2137"/>
        <w:gridCol w:w="1584"/>
        <w:gridCol w:w="576"/>
        <w:gridCol w:w="1439"/>
        <w:gridCol w:w="864"/>
        <w:gridCol w:w="1152"/>
      </w:tblGrid>
      <w:tr>
        <w:trPr>
          <w:trHeight w:val="455"/>
          <w:jc w:val="center"/>
        </w:trPr>
        <w:tc>
          <w:tcPr>
            <w:tcW w:w="1318" w:type="dxa"/>
            <w:shd w:val="clear" w:color="auto" w:fill="E48C32"/>
            <w:noWrap/>
            <w:hideMark/>
          </w:tcPr>
          <w:p>
            <w:pPr>
              <w:rPr>
                <w:rFonts w:eastAsia="Times New Roman" w:cs="Arial"/>
                <w:b/>
                <w:bCs/>
                <w:noProof/>
                <w:color w:val="FFFFFF"/>
                <w:sz w:val="18"/>
                <w:szCs w:val="18"/>
                <w:lang w:eastAsia="en-GB"/>
              </w:rPr>
            </w:pPr>
            <w:r>
              <w:rPr>
                <w:rFonts w:cs="Arial"/>
                <w:b/>
                <w:bCs/>
                <w:noProof/>
                <w:color w:val="FFFFFF"/>
                <w:sz w:val="18"/>
                <w:szCs w:val="18"/>
              </w:rPr>
              <w:t>EU budget</w:t>
            </w:r>
          </w:p>
        </w:tc>
        <w:tc>
          <w:tcPr>
            <w:tcW w:w="2137" w:type="dxa"/>
            <w:shd w:val="clear" w:color="auto" w:fill="E48C32"/>
            <w:noWrap/>
            <w:hideMark/>
          </w:tcPr>
          <w:p>
            <w:pPr>
              <w:rPr>
                <w:rFonts w:eastAsia="Times New Roman" w:cs="Arial"/>
                <w:b/>
                <w:bCs/>
                <w:noProof/>
                <w:color w:val="FFFFFF"/>
                <w:sz w:val="18"/>
                <w:szCs w:val="18"/>
                <w:lang w:eastAsia="en-GB"/>
              </w:rPr>
            </w:pPr>
            <w:r>
              <w:rPr>
                <w:rFonts w:cs="Arial"/>
                <w:b/>
                <w:bCs/>
                <w:noProof/>
                <w:color w:val="FFFFFF"/>
                <w:sz w:val="18"/>
                <w:szCs w:val="18"/>
              </w:rPr>
              <w:t>Department</w:t>
            </w:r>
          </w:p>
        </w:tc>
        <w:tc>
          <w:tcPr>
            <w:tcW w:w="1584" w:type="dxa"/>
            <w:shd w:val="clear" w:color="auto" w:fill="E48C32"/>
            <w:noWrap/>
            <w:hideMark/>
          </w:tcPr>
          <w:p>
            <w:pPr>
              <w:rPr>
                <w:rFonts w:eastAsia="Times New Roman" w:cs="Arial"/>
                <w:b/>
                <w:bCs/>
                <w:noProof/>
                <w:color w:val="FFFFFF"/>
                <w:sz w:val="18"/>
                <w:szCs w:val="18"/>
                <w:lang w:eastAsia="en-GB"/>
              </w:rPr>
            </w:pPr>
            <w:r>
              <w:rPr>
                <w:rFonts w:cs="Arial"/>
                <w:b/>
                <w:bCs/>
                <w:noProof/>
                <w:color w:val="FFFFFF"/>
                <w:sz w:val="18"/>
                <w:szCs w:val="18"/>
              </w:rPr>
              <w:t>Value of waivers (EUR)</w:t>
            </w:r>
          </w:p>
        </w:tc>
        <w:tc>
          <w:tcPr>
            <w:tcW w:w="2015" w:type="dxa"/>
            <w:gridSpan w:val="2"/>
            <w:shd w:val="clear" w:color="auto" w:fill="E48C32"/>
            <w:noWrap/>
            <w:hideMark/>
          </w:tcPr>
          <w:p>
            <w:pPr>
              <w:jc w:val="center"/>
              <w:rPr>
                <w:rFonts w:eastAsia="Times New Roman" w:cs="Arial"/>
                <w:b/>
                <w:bCs/>
                <w:noProof/>
                <w:color w:val="FFFFFF"/>
                <w:sz w:val="18"/>
                <w:szCs w:val="18"/>
                <w:lang w:eastAsia="en-GB"/>
              </w:rPr>
            </w:pPr>
            <w:r>
              <w:rPr>
                <w:rFonts w:cs="Arial"/>
                <w:b/>
                <w:bCs/>
                <w:noProof/>
                <w:color w:val="FFFFFF"/>
                <w:sz w:val="18"/>
                <w:szCs w:val="18"/>
              </w:rPr>
              <w:t>Number and value (EUR) of waivers above EUR</w:t>
            </w:r>
            <w:r>
              <w:rPr>
                <w:rFonts w:cs="Calibri"/>
                <w:b/>
                <w:bCs/>
                <w:noProof/>
                <w:color w:val="FFFFFF"/>
                <w:sz w:val="18"/>
                <w:szCs w:val="18"/>
              </w:rPr>
              <w:t> </w:t>
            </w:r>
            <w:r>
              <w:rPr>
                <w:rFonts w:cs="Arial"/>
                <w:b/>
                <w:bCs/>
                <w:noProof/>
                <w:color w:val="FFFFFF"/>
                <w:sz w:val="18"/>
                <w:szCs w:val="18"/>
              </w:rPr>
              <w:t>60</w:t>
            </w:r>
            <w:r>
              <w:rPr>
                <w:rFonts w:cs="Calibri"/>
                <w:b/>
                <w:bCs/>
                <w:noProof/>
                <w:color w:val="FFFFFF"/>
                <w:sz w:val="18"/>
                <w:szCs w:val="18"/>
              </w:rPr>
              <w:t> </w:t>
            </w:r>
            <w:r>
              <w:rPr>
                <w:rFonts w:cs="Arial"/>
                <w:b/>
                <w:bCs/>
                <w:noProof/>
                <w:color w:val="FFFFFF"/>
                <w:sz w:val="18"/>
                <w:szCs w:val="18"/>
              </w:rPr>
              <w:t>000</w:t>
            </w:r>
          </w:p>
        </w:tc>
        <w:tc>
          <w:tcPr>
            <w:tcW w:w="2016" w:type="dxa"/>
            <w:gridSpan w:val="2"/>
            <w:shd w:val="clear" w:color="auto" w:fill="E48C32"/>
            <w:noWrap/>
            <w:hideMark/>
          </w:tcPr>
          <w:p>
            <w:pPr>
              <w:rPr>
                <w:rFonts w:eastAsia="Times New Roman" w:cs="Arial"/>
                <w:b/>
                <w:bCs/>
                <w:noProof/>
                <w:color w:val="FFFFFF"/>
                <w:sz w:val="18"/>
                <w:szCs w:val="18"/>
                <w:lang w:eastAsia="en-GB"/>
              </w:rPr>
            </w:pPr>
            <w:r>
              <w:rPr>
                <w:rFonts w:cs="Arial"/>
                <w:b/>
                <w:bCs/>
                <w:noProof/>
                <w:color w:val="FFFFFF"/>
                <w:sz w:val="18"/>
                <w:szCs w:val="18"/>
              </w:rPr>
              <w:t>Number and value (EUR) of waivers below EUR</w:t>
            </w:r>
            <w:r>
              <w:rPr>
                <w:rFonts w:cs="Calibri"/>
                <w:b/>
                <w:bCs/>
                <w:noProof/>
                <w:color w:val="FFFFFF"/>
                <w:sz w:val="18"/>
                <w:szCs w:val="18"/>
              </w:rPr>
              <w:t> </w:t>
            </w:r>
            <w:r>
              <w:rPr>
                <w:rFonts w:cs="Arial"/>
                <w:b/>
                <w:bCs/>
                <w:noProof/>
                <w:color w:val="FFFFFF"/>
                <w:sz w:val="18"/>
                <w:szCs w:val="18"/>
              </w:rPr>
              <w:t>60</w:t>
            </w:r>
            <w:r>
              <w:rPr>
                <w:rFonts w:cs="Calibri"/>
                <w:b/>
                <w:bCs/>
                <w:noProof/>
                <w:color w:val="FFFFFF"/>
                <w:sz w:val="18"/>
                <w:szCs w:val="18"/>
              </w:rPr>
              <w:t> </w:t>
            </w:r>
            <w:r>
              <w:rPr>
                <w:rFonts w:cs="Arial"/>
                <w:b/>
                <w:bCs/>
                <w:noProof/>
                <w:color w:val="FFFFFF"/>
                <w:sz w:val="18"/>
                <w:szCs w:val="18"/>
              </w:rPr>
              <w:t>000</w:t>
            </w:r>
          </w:p>
        </w:tc>
      </w:tr>
      <w:tr>
        <w:trPr>
          <w:trHeight w:val="372"/>
          <w:jc w:val="center"/>
        </w:trPr>
        <w:tc>
          <w:tcPr>
            <w:tcW w:w="1318" w:type="dxa"/>
            <w:shd w:val="clear" w:color="auto" w:fill="auto"/>
            <w:noWrap/>
            <w:vAlign w:val="center"/>
            <w:hideMark/>
          </w:tcPr>
          <w:p>
            <w:pPr>
              <w:rPr>
                <w:rFonts w:eastAsia="Times New Roman" w:cs="Arial"/>
                <w:i/>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Agriculture</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3</w:t>
            </w:r>
            <w:r>
              <w:rPr>
                <w:rFonts w:eastAsia="Times New Roman" w:cs="Calibri"/>
                <w:noProof/>
                <w:color w:val="333333"/>
                <w:sz w:val="18"/>
                <w:szCs w:val="18"/>
                <w:lang w:eastAsia="en-GB"/>
              </w:rPr>
              <w:t> </w:t>
            </w:r>
            <w:r>
              <w:rPr>
                <w:rFonts w:eastAsia="Times New Roman" w:cs="Arial"/>
                <w:noProof/>
                <w:color w:val="333333"/>
                <w:sz w:val="18"/>
                <w:szCs w:val="18"/>
                <w:lang w:eastAsia="en-GB"/>
              </w:rPr>
              <w:t>612</w:t>
            </w:r>
            <w:r>
              <w:rPr>
                <w:rFonts w:eastAsia="Times New Roman" w:cs="Calibri"/>
                <w:noProof/>
                <w:color w:val="333333"/>
                <w:sz w:val="18"/>
                <w:szCs w:val="18"/>
                <w:lang w:eastAsia="en-GB"/>
              </w:rPr>
              <w:t> </w:t>
            </w:r>
            <w:r>
              <w:rPr>
                <w:rFonts w:eastAsia="Times New Roman" w:cs="Arial"/>
                <w:noProof/>
                <w:color w:val="333333"/>
                <w:sz w:val="18"/>
                <w:szCs w:val="18"/>
                <w:lang w:eastAsia="en-GB"/>
              </w:rPr>
              <w:t>578</w:t>
            </w:r>
          </w:p>
        </w:tc>
        <w:tc>
          <w:tcPr>
            <w:tcW w:w="576"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4</w:t>
            </w:r>
          </w:p>
        </w:tc>
        <w:tc>
          <w:tcPr>
            <w:tcW w:w="1439"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3</w:t>
            </w:r>
            <w:r>
              <w:rPr>
                <w:rFonts w:eastAsia="Times New Roman" w:cs="Calibri"/>
                <w:noProof/>
                <w:color w:val="333333"/>
                <w:sz w:val="18"/>
                <w:szCs w:val="18"/>
                <w:lang w:eastAsia="en-GB"/>
              </w:rPr>
              <w:t> </w:t>
            </w:r>
            <w:r>
              <w:rPr>
                <w:rFonts w:eastAsia="Times New Roman" w:cs="Arial"/>
                <w:noProof/>
                <w:color w:val="333333"/>
                <w:sz w:val="18"/>
                <w:szCs w:val="18"/>
                <w:lang w:eastAsia="en-GB"/>
              </w:rPr>
              <w:t>612</w:t>
            </w:r>
            <w:r>
              <w:rPr>
                <w:rFonts w:eastAsia="Times New Roman" w:cs="Calibri"/>
                <w:noProof/>
                <w:color w:val="333333"/>
                <w:sz w:val="18"/>
                <w:szCs w:val="18"/>
                <w:lang w:eastAsia="en-GB"/>
              </w:rPr>
              <w:t> </w:t>
            </w:r>
            <w:r>
              <w:rPr>
                <w:rFonts w:eastAsia="Times New Roman" w:cs="Arial"/>
                <w:noProof/>
                <w:color w:val="333333"/>
                <w:sz w:val="18"/>
                <w:szCs w:val="18"/>
                <w:lang w:eastAsia="en-GB"/>
              </w:rPr>
              <w:t>578</w:t>
            </w:r>
          </w:p>
        </w:tc>
        <w:tc>
          <w:tcPr>
            <w:tcW w:w="864" w:type="dxa"/>
            <w:shd w:val="clear" w:color="auto" w:fill="auto"/>
            <w:noWrap/>
            <w:vAlign w:val="center"/>
            <w:hideMark/>
          </w:tcPr>
          <w:p>
            <w:pPr>
              <w:jc w:val="right"/>
              <w:rPr>
                <w:rFonts w:eastAsia="Times New Roman" w:cs="Arial"/>
                <w:noProof/>
                <w:color w:val="333333"/>
                <w:sz w:val="18"/>
                <w:szCs w:val="18"/>
                <w:lang w:eastAsia="en-GB"/>
              </w:rPr>
            </w:pPr>
          </w:p>
        </w:tc>
        <w:tc>
          <w:tcPr>
            <w:tcW w:w="1152" w:type="dxa"/>
            <w:shd w:val="clear" w:color="auto" w:fill="auto"/>
            <w:noWrap/>
            <w:vAlign w:val="center"/>
            <w:hideMark/>
          </w:tcPr>
          <w:p>
            <w:pPr>
              <w:jc w:val="right"/>
              <w:rPr>
                <w:rFonts w:eastAsia="Times New Roman" w:cs="Arial"/>
                <w:noProof/>
                <w:color w:val="333333"/>
                <w:sz w:val="18"/>
                <w:szCs w:val="18"/>
                <w:lang w:eastAsia="en-GB"/>
              </w:rPr>
            </w:pP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Communication networks</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790</w:t>
            </w:r>
            <w:r>
              <w:rPr>
                <w:rFonts w:eastAsia="Times New Roman" w:cs="Calibri"/>
                <w:noProof/>
                <w:color w:val="333333"/>
                <w:sz w:val="18"/>
                <w:szCs w:val="18"/>
                <w:lang w:eastAsia="en-GB"/>
              </w:rPr>
              <w:t> </w:t>
            </w:r>
            <w:r>
              <w:rPr>
                <w:rFonts w:eastAsia="Times New Roman" w:cs="Arial"/>
                <w:noProof/>
                <w:color w:val="333333"/>
                <w:sz w:val="18"/>
                <w:szCs w:val="18"/>
                <w:lang w:eastAsia="en-GB"/>
              </w:rPr>
              <w:t>951</w:t>
            </w:r>
          </w:p>
        </w:tc>
        <w:tc>
          <w:tcPr>
            <w:tcW w:w="576"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4</w:t>
            </w:r>
          </w:p>
        </w:tc>
        <w:tc>
          <w:tcPr>
            <w:tcW w:w="1439"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641</w:t>
            </w:r>
            <w:r>
              <w:rPr>
                <w:rFonts w:eastAsia="Times New Roman" w:cs="Calibri"/>
                <w:noProof/>
                <w:color w:val="333333"/>
                <w:sz w:val="18"/>
                <w:szCs w:val="18"/>
                <w:lang w:eastAsia="en-GB"/>
              </w:rPr>
              <w:t> </w:t>
            </w:r>
            <w:r>
              <w:rPr>
                <w:rFonts w:eastAsia="Times New Roman" w:cs="Arial"/>
                <w:noProof/>
                <w:color w:val="333333"/>
                <w:sz w:val="18"/>
                <w:szCs w:val="18"/>
                <w:lang w:eastAsia="en-GB"/>
              </w:rPr>
              <w:t>714</w:t>
            </w:r>
          </w:p>
        </w:tc>
        <w:tc>
          <w:tcPr>
            <w:tcW w:w="86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12</w:t>
            </w:r>
          </w:p>
        </w:tc>
        <w:tc>
          <w:tcPr>
            <w:tcW w:w="1152"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149</w:t>
            </w:r>
            <w:r>
              <w:rPr>
                <w:rFonts w:eastAsia="Times New Roman" w:cs="Calibri"/>
                <w:noProof/>
                <w:color w:val="333333"/>
                <w:sz w:val="18"/>
                <w:szCs w:val="18"/>
                <w:lang w:eastAsia="en-GB"/>
              </w:rPr>
              <w:t> </w:t>
            </w:r>
            <w:r>
              <w:rPr>
                <w:rFonts w:eastAsia="Times New Roman" w:cs="Arial"/>
                <w:noProof/>
                <w:color w:val="333333"/>
                <w:sz w:val="18"/>
                <w:szCs w:val="18"/>
                <w:lang w:eastAsia="en-GB"/>
              </w:rPr>
              <w:t>237</w:t>
            </w: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Communication</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567</w:t>
            </w:r>
          </w:p>
        </w:tc>
        <w:tc>
          <w:tcPr>
            <w:tcW w:w="576" w:type="dxa"/>
            <w:shd w:val="clear" w:color="auto" w:fill="auto"/>
            <w:noWrap/>
            <w:vAlign w:val="center"/>
            <w:hideMark/>
          </w:tcPr>
          <w:p>
            <w:pPr>
              <w:jc w:val="right"/>
              <w:rPr>
                <w:rFonts w:eastAsia="Times New Roman" w:cs="Arial"/>
                <w:noProof/>
                <w:color w:val="333333"/>
                <w:sz w:val="18"/>
                <w:szCs w:val="18"/>
                <w:lang w:eastAsia="en-GB"/>
              </w:rPr>
            </w:pPr>
          </w:p>
        </w:tc>
        <w:tc>
          <w:tcPr>
            <w:tcW w:w="1439" w:type="dxa"/>
            <w:shd w:val="clear" w:color="auto" w:fill="auto"/>
            <w:noWrap/>
            <w:vAlign w:val="center"/>
            <w:hideMark/>
          </w:tcPr>
          <w:p>
            <w:pPr>
              <w:jc w:val="right"/>
              <w:rPr>
                <w:rFonts w:eastAsia="Times New Roman" w:cs="Arial"/>
                <w:noProof/>
                <w:color w:val="333333"/>
                <w:sz w:val="18"/>
                <w:szCs w:val="18"/>
                <w:lang w:eastAsia="en-GB"/>
              </w:rPr>
            </w:pPr>
          </w:p>
        </w:tc>
        <w:tc>
          <w:tcPr>
            <w:tcW w:w="86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p>
        </w:tc>
        <w:tc>
          <w:tcPr>
            <w:tcW w:w="1152"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567</w:t>
            </w: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Development</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r>
              <w:rPr>
                <w:rFonts w:eastAsia="Times New Roman" w:cs="Calibri"/>
                <w:noProof/>
                <w:color w:val="333333"/>
                <w:sz w:val="18"/>
                <w:szCs w:val="18"/>
                <w:lang w:eastAsia="en-GB"/>
              </w:rPr>
              <w:t> </w:t>
            </w:r>
            <w:r>
              <w:rPr>
                <w:rFonts w:eastAsia="Times New Roman" w:cs="Arial"/>
                <w:noProof/>
                <w:color w:val="333333"/>
                <w:sz w:val="18"/>
                <w:szCs w:val="18"/>
                <w:lang w:eastAsia="en-GB"/>
              </w:rPr>
              <w:t>281</w:t>
            </w:r>
            <w:r>
              <w:rPr>
                <w:rFonts w:eastAsia="Times New Roman" w:cs="Calibri"/>
                <w:noProof/>
                <w:color w:val="333333"/>
                <w:sz w:val="18"/>
                <w:szCs w:val="18"/>
                <w:lang w:eastAsia="en-GB"/>
              </w:rPr>
              <w:t> </w:t>
            </w:r>
            <w:r>
              <w:rPr>
                <w:rFonts w:eastAsia="Times New Roman" w:cs="Arial"/>
                <w:noProof/>
                <w:color w:val="333333"/>
                <w:sz w:val="18"/>
                <w:szCs w:val="18"/>
                <w:lang w:eastAsia="en-GB"/>
              </w:rPr>
              <w:t>992</w:t>
            </w:r>
          </w:p>
        </w:tc>
        <w:tc>
          <w:tcPr>
            <w:tcW w:w="576"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8</w:t>
            </w:r>
          </w:p>
        </w:tc>
        <w:tc>
          <w:tcPr>
            <w:tcW w:w="1439"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992</w:t>
            </w:r>
            <w:r>
              <w:rPr>
                <w:rFonts w:eastAsia="Times New Roman" w:cs="Calibri"/>
                <w:noProof/>
                <w:color w:val="333333"/>
                <w:sz w:val="18"/>
                <w:szCs w:val="18"/>
                <w:lang w:eastAsia="en-GB"/>
              </w:rPr>
              <w:t> </w:t>
            </w:r>
            <w:r>
              <w:rPr>
                <w:rFonts w:eastAsia="Times New Roman" w:cs="Arial"/>
                <w:noProof/>
                <w:color w:val="333333"/>
                <w:sz w:val="18"/>
                <w:szCs w:val="18"/>
                <w:lang w:eastAsia="en-GB"/>
              </w:rPr>
              <w:t>003</w:t>
            </w:r>
          </w:p>
        </w:tc>
        <w:tc>
          <w:tcPr>
            <w:tcW w:w="86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16</w:t>
            </w:r>
          </w:p>
        </w:tc>
        <w:tc>
          <w:tcPr>
            <w:tcW w:w="1152"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289</w:t>
            </w:r>
            <w:r>
              <w:rPr>
                <w:rFonts w:eastAsia="Times New Roman" w:cs="Calibri"/>
                <w:noProof/>
                <w:color w:val="333333"/>
                <w:sz w:val="18"/>
                <w:szCs w:val="18"/>
                <w:lang w:eastAsia="en-GB"/>
              </w:rPr>
              <w:t> </w:t>
            </w:r>
            <w:r>
              <w:rPr>
                <w:rFonts w:eastAsia="Times New Roman" w:cs="Arial"/>
                <w:noProof/>
                <w:color w:val="333333"/>
                <w:sz w:val="18"/>
                <w:szCs w:val="18"/>
                <w:lang w:eastAsia="en-GB"/>
              </w:rPr>
              <w:t>989</w:t>
            </w: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Education and culture</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137</w:t>
            </w:r>
          </w:p>
        </w:tc>
        <w:tc>
          <w:tcPr>
            <w:tcW w:w="576" w:type="dxa"/>
            <w:shd w:val="clear" w:color="auto" w:fill="auto"/>
            <w:noWrap/>
            <w:vAlign w:val="center"/>
            <w:hideMark/>
          </w:tcPr>
          <w:p>
            <w:pPr>
              <w:jc w:val="right"/>
              <w:rPr>
                <w:rFonts w:eastAsia="Times New Roman" w:cs="Arial"/>
                <w:noProof/>
                <w:color w:val="333333"/>
                <w:sz w:val="18"/>
                <w:szCs w:val="18"/>
                <w:lang w:eastAsia="en-GB"/>
              </w:rPr>
            </w:pPr>
          </w:p>
        </w:tc>
        <w:tc>
          <w:tcPr>
            <w:tcW w:w="1439" w:type="dxa"/>
            <w:shd w:val="clear" w:color="auto" w:fill="auto"/>
            <w:noWrap/>
            <w:vAlign w:val="center"/>
            <w:hideMark/>
          </w:tcPr>
          <w:p>
            <w:pPr>
              <w:jc w:val="right"/>
              <w:rPr>
                <w:rFonts w:eastAsia="Times New Roman" w:cs="Arial"/>
                <w:noProof/>
                <w:color w:val="333333"/>
                <w:sz w:val="18"/>
                <w:szCs w:val="18"/>
                <w:lang w:eastAsia="en-GB"/>
              </w:rPr>
            </w:pPr>
          </w:p>
        </w:tc>
        <w:tc>
          <w:tcPr>
            <w:tcW w:w="86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p>
        </w:tc>
        <w:tc>
          <w:tcPr>
            <w:tcW w:w="1152"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137</w:t>
            </w: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Education, Audiovisual and Culture Executive Agency</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r>
              <w:rPr>
                <w:rFonts w:eastAsia="Times New Roman" w:cs="Calibri"/>
                <w:noProof/>
                <w:color w:val="333333"/>
                <w:sz w:val="18"/>
                <w:szCs w:val="18"/>
                <w:lang w:eastAsia="en-GB"/>
              </w:rPr>
              <w:t> </w:t>
            </w:r>
            <w:r>
              <w:rPr>
                <w:rFonts w:eastAsia="Times New Roman" w:cs="Arial"/>
                <w:noProof/>
                <w:color w:val="333333"/>
                <w:sz w:val="18"/>
                <w:szCs w:val="18"/>
                <w:lang w:eastAsia="en-GB"/>
              </w:rPr>
              <w:t>444</w:t>
            </w:r>
            <w:r>
              <w:rPr>
                <w:rFonts w:eastAsia="Times New Roman" w:cs="Calibri"/>
                <w:noProof/>
                <w:color w:val="333333"/>
                <w:sz w:val="18"/>
                <w:szCs w:val="18"/>
                <w:lang w:eastAsia="en-GB"/>
              </w:rPr>
              <w:t> </w:t>
            </w:r>
            <w:r>
              <w:rPr>
                <w:rFonts w:eastAsia="Times New Roman" w:cs="Arial"/>
                <w:noProof/>
                <w:color w:val="333333"/>
                <w:sz w:val="18"/>
                <w:szCs w:val="18"/>
                <w:lang w:eastAsia="en-GB"/>
              </w:rPr>
              <w:t>279</w:t>
            </w:r>
          </w:p>
        </w:tc>
        <w:tc>
          <w:tcPr>
            <w:tcW w:w="576"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4</w:t>
            </w:r>
          </w:p>
        </w:tc>
        <w:tc>
          <w:tcPr>
            <w:tcW w:w="1439"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575</w:t>
            </w:r>
            <w:r>
              <w:rPr>
                <w:rFonts w:eastAsia="Times New Roman" w:cs="Calibri"/>
                <w:noProof/>
                <w:color w:val="333333"/>
                <w:sz w:val="18"/>
                <w:szCs w:val="18"/>
                <w:lang w:eastAsia="en-GB"/>
              </w:rPr>
              <w:t> </w:t>
            </w:r>
            <w:r>
              <w:rPr>
                <w:rFonts w:eastAsia="Times New Roman" w:cs="Arial"/>
                <w:noProof/>
                <w:color w:val="333333"/>
                <w:sz w:val="18"/>
                <w:szCs w:val="18"/>
                <w:lang w:eastAsia="en-GB"/>
              </w:rPr>
              <w:t>930</w:t>
            </w:r>
          </w:p>
        </w:tc>
        <w:tc>
          <w:tcPr>
            <w:tcW w:w="86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56</w:t>
            </w:r>
          </w:p>
        </w:tc>
        <w:tc>
          <w:tcPr>
            <w:tcW w:w="1152"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868</w:t>
            </w:r>
            <w:r>
              <w:rPr>
                <w:rFonts w:eastAsia="Times New Roman" w:cs="Calibri"/>
                <w:noProof/>
                <w:color w:val="333333"/>
                <w:sz w:val="18"/>
                <w:szCs w:val="18"/>
                <w:lang w:eastAsia="en-GB"/>
              </w:rPr>
              <w:t> </w:t>
            </w:r>
            <w:r>
              <w:rPr>
                <w:rFonts w:eastAsia="Times New Roman" w:cs="Arial"/>
                <w:noProof/>
                <w:color w:val="333333"/>
                <w:sz w:val="18"/>
                <w:szCs w:val="18"/>
                <w:lang w:eastAsia="en-GB"/>
              </w:rPr>
              <w:t>349</w:t>
            </w: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Employment</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186</w:t>
            </w:r>
            <w:r>
              <w:rPr>
                <w:rFonts w:eastAsia="Times New Roman" w:cs="Calibri"/>
                <w:noProof/>
                <w:color w:val="333333"/>
                <w:sz w:val="18"/>
                <w:szCs w:val="18"/>
                <w:lang w:eastAsia="en-GB"/>
              </w:rPr>
              <w:t> </w:t>
            </w:r>
            <w:r>
              <w:rPr>
                <w:rFonts w:eastAsia="Times New Roman" w:cs="Arial"/>
                <w:noProof/>
                <w:color w:val="333333"/>
                <w:sz w:val="18"/>
                <w:szCs w:val="18"/>
                <w:lang w:eastAsia="en-GB"/>
              </w:rPr>
              <w:t>284</w:t>
            </w:r>
          </w:p>
        </w:tc>
        <w:tc>
          <w:tcPr>
            <w:tcW w:w="576"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p>
        </w:tc>
        <w:tc>
          <w:tcPr>
            <w:tcW w:w="1439"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186</w:t>
            </w:r>
            <w:r>
              <w:rPr>
                <w:rFonts w:eastAsia="Times New Roman" w:cs="Calibri"/>
                <w:noProof/>
                <w:color w:val="333333"/>
                <w:sz w:val="18"/>
                <w:szCs w:val="18"/>
                <w:lang w:eastAsia="en-GB"/>
              </w:rPr>
              <w:t> </w:t>
            </w:r>
            <w:r>
              <w:rPr>
                <w:rFonts w:eastAsia="Times New Roman" w:cs="Arial"/>
                <w:noProof/>
                <w:color w:val="333333"/>
                <w:sz w:val="18"/>
                <w:szCs w:val="18"/>
                <w:lang w:eastAsia="en-GB"/>
              </w:rPr>
              <w:t>284</w:t>
            </w:r>
          </w:p>
        </w:tc>
        <w:tc>
          <w:tcPr>
            <w:tcW w:w="86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p>
        </w:tc>
        <w:tc>
          <w:tcPr>
            <w:tcW w:w="1152"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w:t>
            </w: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Energy</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r>
              <w:rPr>
                <w:rFonts w:eastAsia="Times New Roman" w:cs="Calibri"/>
                <w:noProof/>
                <w:color w:val="333333"/>
                <w:sz w:val="18"/>
                <w:szCs w:val="18"/>
                <w:lang w:eastAsia="en-GB"/>
              </w:rPr>
              <w:t> </w:t>
            </w:r>
            <w:r>
              <w:rPr>
                <w:rFonts w:eastAsia="Times New Roman" w:cs="Arial"/>
                <w:noProof/>
                <w:color w:val="333333"/>
                <w:sz w:val="18"/>
                <w:szCs w:val="18"/>
                <w:lang w:eastAsia="en-GB"/>
              </w:rPr>
              <w:t>427</w:t>
            </w:r>
            <w:r>
              <w:rPr>
                <w:rFonts w:eastAsia="Times New Roman" w:cs="Calibri"/>
                <w:noProof/>
                <w:color w:val="333333"/>
                <w:sz w:val="18"/>
                <w:szCs w:val="18"/>
                <w:lang w:eastAsia="en-GB"/>
              </w:rPr>
              <w:t> </w:t>
            </w:r>
            <w:r>
              <w:rPr>
                <w:rFonts w:eastAsia="Times New Roman" w:cs="Arial"/>
                <w:noProof/>
                <w:color w:val="333333"/>
                <w:sz w:val="18"/>
                <w:szCs w:val="18"/>
                <w:lang w:eastAsia="en-GB"/>
              </w:rPr>
              <w:t>221</w:t>
            </w:r>
          </w:p>
        </w:tc>
        <w:tc>
          <w:tcPr>
            <w:tcW w:w="576"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4</w:t>
            </w:r>
          </w:p>
        </w:tc>
        <w:tc>
          <w:tcPr>
            <w:tcW w:w="1439"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r>
              <w:rPr>
                <w:rFonts w:eastAsia="Times New Roman" w:cs="Calibri"/>
                <w:noProof/>
                <w:color w:val="333333"/>
                <w:sz w:val="18"/>
                <w:szCs w:val="18"/>
                <w:lang w:eastAsia="en-GB"/>
              </w:rPr>
              <w:t> </w:t>
            </w:r>
            <w:r>
              <w:rPr>
                <w:rFonts w:eastAsia="Times New Roman" w:cs="Arial"/>
                <w:noProof/>
                <w:color w:val="333333"/>
                <w:sz w:val="18"/>
                <w:szCs w:val="18"/>
                <w:lang w:eastAsia="en-GB"/>
              </w:rPr>
              <w:t>427</w:t>
            </w:r>
            <w:r>
              <w:rPr>
                <w:rFonts w:eastAsia="Times New Roman" w:cs="Calibri"/>
                <w:noProof/>
                <w:color w:val="333333"/>
                <w:sz w:val="18"/>
                <w:szCs w:val="18"/>
                <w:lang w:eastAsia="en-GB"/>
              </w:rPr>
              <w:t> </w:t>
            </w:r>
            <w:r>
              <w:rPr>
                <w:rFonts w:eastAsia="Times New Roman" w:cs="Arial"/>
                <w:noProof/>
                <w:color w:val="333333"/>
                <w:sz w:val="18"/>
                <w:szCs w:val="18"/>
                <w:lang w:eastAsia="en-GB"/>
              </w:rPr>
              <w:t>221</w:t>
            </w:r>
          </w:p>
        </w:tc>
        <w:tc>
          <w:tcPr>
            <w:tcW w:w="864" w:type="dxa"/>
            <w:shd w:val="clear" w:color="auto" w:fill="auto"/>
            <w:noWrap/>
            <w:vAlign w:val="center"/>
            <w:hideMark/>
          </w:tcPr>
          <w:p>
            <w:pPr>
              <w:jc w:val="right"/>
              <w:rPr>
                <w:rFonts w:eastAsia="Times New Roman" w:cs="Arial"/>
                <w:noProof/>
                <w:color w:val="333333"/>
                <w:sz w:val="18"/>
                <w:szCs w:val="18"/>
                <w:lang w:eastAsia="en-GB"/>
              </w:rPr>
            </w:pPr>
          </w:p>
        </w:tc>
        <w:tc>
          <w:tcPr>
            <w:tcW w:w="1152" w:type="dxa"/>
            <w:shd w:val="clear" w:color="auto" w:fill="auto"/>
            <w:noWrap/>
            <w:vAlign w:val="center"/>
            <w:hideMark/>
          </w:tcPr>
          <w:p>
            <w:pPr>
              <w:jc w:val="right"/>
              <w:rPr>
                <w:rFonts w:eastAsia="Times New Roman" w:cs="Arial"/>
                <w:noProof/>
                <w:color w:val="333333"/>
                <w:sz w:val="18"/>
                <w:szCs w:val="18"/>
                <w:lang w:eastAsia="en-GB"/>
              </w:rPr>
            </w:pP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Environment</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64</w:t>
            </w:r>
            <w:r>
              <w:rPr>
                <w:rFonts w:eastAsia="Times New Roman" w:cs="Calibri"/>
                <w:noProof/>
                <w:color w:val="333333"/>
                <w:sz w:val="18"/>
                <w:szCs w:val="18"/>
                <w:lang w:eastAsia="en-GB"/>
              </w:rPr>
              <w:t> </w:t>
            </w:r>
            <w:r>
              <w:rPr>
                <w:rFonts w:eastAsia="Times New Roman" w:cs="Arial"/>
                <w:noProof/>
                <w:color w:val="333333"/>
                <w:sz w:val="18"/>
                <w:szCs w:val="18"/>
                <w:lang w:eastAsia="en-GB"/>
              </w:rPr>
              <w:t>087</w:t>
            </w:r>
          </w:p>
        </w:tc>
        <w:tc>
          <w:tcPr>
            <w:tcW w:w="576"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p>
        </w:tc>
        <w:tc>
          <w:tcPr>
            <w:tcW w:w="1439"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64</w:t>
            </w:r>
            <w:r>
              <w:rPr>
                <w:rFonts w:eastAsia="Times New Roman" w:cs="Calibri"/>
                <w:noProof/>
                <w:color w:val="333333"/>
                <w:sz w:val="18"/>
                <w:szCs w:val="18"/>
                <w:lang w:eastAsia="en-GB"/>
              </w:rPr>
              <w:t> </w:t>
            </w:r>
            <w:r>
              <w:rPr>
                <w:rFonts w:eastAsia="Times New Roman" w:cs="Arial"/>
                <w:noProof/>
                <w:color w:val="333333"/>
                <w:sz w:val="18"/>
                <w:szCs w:val="18"/>
                <w:lang w:eastAsia="en-GB"/>
              </w:rPr>
              <w:t>087</w:t>
            </w:r>
          </w:p>
        </w:tc>
        <w:tc>
          <w:tcPr>
            <w:tcW w:w="864" w:type="dxa"/>
            <w:shd w:val="clear" w:color="auto" w:fill="auto"/>
            <w:noWrap/>
            <w:vAlign w:val="center"/>
            <w:hideMark/>
          </w:tcPr>
          <w:p>
            <w:pPr>
              <w:jc w:val="right"/>
              <w:rPr>
                <w:rFonts w:eastAsia="Times New Roman" w:cs="Arial"/>
                <w:noProof/>
                <w:color w:val="333333"/>
                <w:sz w:val="18"/>
                <w:szCs w:val="18"/>
                <w:lang w:eastAsia="en-GB"/>
              </w:rPr>
            </w:pPr>
          </w:p>
        </w:tc>
        <w:tc>
          <w:tcPr>
            <w:tcW w:w="1152" w:type="dxa"/>
            <w:shd w:val="clear" w:color="auto" w:fill="auto"/>
            <w:noWrap/>
            <w:vAlign w:val="center"/>
            <w:hideMark/>
          </w:tcPr>
          <w:p>
            <w:pPr>
              <w:jc w:val="right"/>
              <w:rPr>
                <w:rFonts w:eastAsia="Times New Roman" w:cs="Arial"/>
                <w:noProof/>
                <w:color w:val="333333"/>
                <w:sz w:val="18"/>
                <w:szCs w:val="18"/>
                <w:lang w:eastAsia="en-GB"/>
              </w:rPr>
            </w:pP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Foreign policy instruments</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463</w:t>
            </w:r>
            <w:r>
              <w:rPr>
                <w:rFonts w:eastAsia="Times New Roman" w:cs="Calibri"/>
                <w:noProof/>
                <w:color w:val="333333"/>
                <w:sz w:val="18"/>
                <w:szCs w:val="18"/>
                <w:lang w:eastAsia="en-GB"/>
              </w:rPr>
              <w:t> </w:t>
            </w:r>
            <w:r>
              <w:rPr>
                <w:rFonts w:eastAsia="Times New Roman" w:cs="Arial"/>
                <w:noProof/>
                <w:color w:val="333333"/>
                <w:sz w:val="18"/>
                <w:szCs w:val="18"/>
                <w:lang w:eastAsia="en-GB"/>
              </w:rPr>
              <w:t>941</w:t>
            </w:r>
          </w:p>
        </w:tc>
        <w:tc>
          <w:tcPr>
            <w:tcW w:w="576"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3</w:t>
            </w:r>
          </w:p>
        </w:tc>
        <w:tc>
          <w:tcPr>
            <w:tcW w:w="1439"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436</w:t>
            </w:r>
            <w:r>
              <w:rPr>
                <w:rFonts w:eastAsia="Times New Roman" w:cs="Calibri"/>
                <w:noProof/>
                <w:color w:val="333333"/>
                <w:sz w:val="18"/>
                <w:szCs w:val="18"/>
                <w:lang w:eastAsia="en-GB"/>
              </w:rPr>
              <w:t> </w:t>
            </w:r>
            <w:r>
              <w:rPr>
                <w:rFonts w:eastAsia="Times New Roman" w:cs="Arial"/>
                <w:noProof/>
                <w:color w:val="333333"/>
                <w:sz w:val="18"/>
                <w:szCs w:val="18"/>
                <w:lang w:eastAsia="en-GB"/>
              </w:rPr>
              <w:t>846</w:t>
            </w:r>
          </w:p>
        </w:tc>
        <w:tc>
          <w:tcPr>
            <w:tcW w:w="86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3</w:t>
            </w:r>
          </w:p>
        </w:tc>
        <w:tc>
          <w:tcPr>
            <w:tcW w:w="1152"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27</w:t>
            </w:r>
            <w:r>
              <w:rPr>
                <w:rFonts w:eastAsia="Times New Roman" w:cs="Calibri"/>
                <w:noProof/>
                <w:color w:val="333333"/>
                <w:sz w:val="18"/>
                <w:szCs w:val="18"/>
                <w:lang w:eastAsia="en-GB"/>
              </w:rPr>
              <w:t> </w:t>
            </w:r>
            <w:r>
              <w:rPr>
                <w:rFonts w:eastAsia="Times New Roman" w:cs="Arial"/>
                <w:noProof/>
                <w:color w:val="333333"/>
                <w:sz w:val="18"/>
                <w:szCs w:val="18"/>
                <w:lang w:eastAsia="en-GB"/>
              </w:rPr>
              <w:t>095</w:t>
            </w: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Growth</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162</w:t>
            </w:r>
            <w:r>
              <w:rPr>
                <w:rFonts w:eastAsia="Times New Roman" w:cs="Calibri"/>
                <w:noProof/>
                <w:color w:val="333333"/>
                <w:sz w:val="18"/>
                <w:szCs w:val="18"/>
                <w:lang w:eastAsia="en-GB"/>
              </w:rPr>
              <w:t> </w:t>
            </w:r>
            <w:r>
              <w:rPr>
                <w:rFonts w:eastAsia="Times New Roman" w:cs="Arial"/>
                <w:noProof/>
                <w:color w:val="333333"/>
                <w:sz w:val="18"/>
                <w:szCs w:val="18"/>
                <w:lang w:eastAsia="en-GB"/>
              </w:rPr>
              <w:t>143</w:t>
            </w:r>
          </w:p>
        </w:tc>
        <w:tc>
          <w:tcPr>
            <w:tcW w:w="576"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p>
        </w:tc>
        <w:tc>
          <w:tcPr>
            <w:tcW w:w="1439"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162</w:t>
            </w:r>
            <w:r>
              <w:rPr>
                <w:rFonts w:eastAsia="Times New Roman" w:cs="Calibri"/>
                <w:noProof/>
                <w:color w:val="333333"/>
                <w:sz w:val="18"/>
                <w:szCs w:val="18"/>
                <w:lang w:eastAsia="en-GB"/>
              </w:rPr>
              <w:t> </w:t>
            </w:r>
            <w:r>
              <w:rPr>
                <w:rFonts w:eastAsia="Times New Roman" w:cs="Arial"/>
                <w:noProof/>
                <w:color w:val="333333"/>
                <w:sz w:val="18"/>
                <w:szCs w:val="18"/>
                <w:lang w:eastAsia="en-GB"/>
              </w:rPr>
              <w:t>143</w:t>
            </w:r>
          </w:p>
        </w:tc>
        <w:tc>
          <w:tcPr>
            <w:tcW w:w="864" w:type="dxa"/>
            <w:shd w:val="clear" w:color="auto" w:fill="auto"/>
            <w:noWrap/>
            <w:vAlign w:val="center"/>
            <w:hideMark/>
          </w:tcPr>
          <w:p>
            <w:pPr>
              <w:jc w:val="right"/>
              <w:rPr>
                <w:rFonts w:eastAsia="Times New Roman" w:cs="Arial"/>
                <w:noProof/>
                <w:color w:val="333333"/>
                <w:sz w:val="18"/>
                <w:szCs w:val="18"/>
                <w:lang w:eastAsia="en-GB"/>
              </w:rPr>
            </w:pPr>
          </w:p>
        </w:tc>
        <w:tc>
          <w:tcPr>
            <w:tcW w:w="1152" w:type="dxa"/>
            <w:shd w:val="clear" w:color="auto" w:fill="auto"/>
            <w:noWrap/>
            <w:vAlign w:val="center"/>
            <w:hideMark/>
          </w:tcPr>
          <w:p>
            <w:pPr>
              <w:jc w:val="right"/>
              <w:rPr>
                <w:rFonts w:eastAsia="Times New Roman" w:cs="Arial"/>
                <w:noProof/>
                <w:color w:val="333333"/>
                <w:sz w:val="18"/>
                <w:szCs w:val="18"/>
                <w:lang w:eastAsia="en-GB"/>
              </w:rPr>
            </w:pP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Home affairs</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374</w:t>
            </w:r>
            <w:r>
              <w:rPr>
                <w:rFonts w:eastAsia="Times New Roman" w:cs="Calibri"/>
                <w:noProof/>
                <w:color w:val="333333"/>
                <w:sz w:val="18"/>
                <w:szCs w:val="18"/>
                <w:lang w:eastAsia="en-GB"/>
              </w:rPr>
              <w:t> </w:t>
            </w:r>
            <w:r>
              <w:rPr>
                <w:rFonts w:eastAsia="Times New Roman" w:cs="Arial"/>
                <w:noProof/>
                <w:color w:val="333333"/>
                <w:sz w:val="18"/>
                <w:szCs w:val="18"/>
                <w:lang w:eastAsia="en-GB"/>
              </w:rPr>
              <w:t>460</w:t>
            </w:r>
          </w:p>
        </w:tc>
        <w:tc>
          <w:tcPr>
            <w:tcW w:w="576"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3</w:t>
            </w:r>
          </w:p>
        </w:tc>
        <w:tc>
          <w:tcPr>
            <w:tcW w:w="1439"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311</w:t>
            </w:r>
            <w:r>
              <w:rPr>
                <w:rFonts w:eastAsia="Times New Roman" w:cs="Calibri"/>
                <w:noProof/>
                <w:color w:val="333333"/>
                <w:sz w:val="18"/>
                <w:szCs w:val="18"/>
                <w:lang w:eastAsia="en-GB"/>
              </w:rPr>
              <w:t> </w:t>
            </w:r>
            <w:r>
              <w:rPr>
                <w:rFonts w:eastAsia="Times New Roman" w:cs="Arial"/>
                <w:noProof/>
                <w:color w:val="333333"/>
                <w:sz w:val="18"/>
                <w:szCs w:val="18"/>
                <w:lang w:eastAsia="en-GB"/>
              </w:rPr>
              <w:t>032</w:t>
            </w:r>
          </w:p>
        </w:tc>
        <w:tc>
          <w:tcPr>
            <w:tcW w:w="86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3</w:t>
            </w:r>
          </w:p>
        </w:tc>
        <w:tc>
          <w:tcPr>
            <w:tcW w:w="1152"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63</w:t>
            </w:r>
            <w:r>
              <w:rPr>
                <w:rFonts w:eastAsia="Times New Roman" w:cs="Calibri"/>
                <w:noProof/>
                <w:color w:val="333333"/>
                <w:sz w:val="18"/>
                <w:szCs w:val="18"/>
                <w:lang w:eastAsia="en-GB"/>
              </w:rPr>
              <w:t> </w:t>
            </w:r>
            <w:r>
              <w:rPr>
                <w:rFonts w:eastAsia="Times New Roman" w:cs="Arial"/>
                <w:noProof/>
                <w:color w:val="333333"/>
                <w:sz w:val="18"/>
                <w:szCs w:val="18"/>
                <w:lang w:eastAsia="en-GB"/>
              </w:rPr>
              <w:t>428</w:t>
            </w: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Executive Agency for Small and Medium-sized Enterprises</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176</w:t>
            </w:r>
            <w:r>
              <w:rPr>
                <w:rFonts w:eastAsia="Times New Roman" w:cs="Calibri"/>
                <w:noProof/>
                <w:color w:val="333333"/>
                <w:sz w:val="18"/>
                <w:szCs w:val="18"/>
                <w:lang w:eastAsia="en-GB"/>
              </w:rPr>
              <w:t> </w:t>
            </w:r>
            <w:r>
              <w:rPr>
                <w:rFonts w:eastAsia="Times New Roman" w:cs="Arial"/>
                <w:noProof/>
                <w:color w:val="333333"/>
                <w:sz w:val="18"/>
                <w:szCs w:val="18"/>
                <w:lang w:eastAsia="en-GB"/>
              </w:rPr>
              <w:t>792</w:t>
            </w:r>
          </w:p>
        </w:tc>
        <w:tc>
          <w:tcPr>
            <w:tcW w:w="576"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2</w:t>
            </w:r>
          </w:p>
        </w:tc>
        <w:tc>
          <w:tcPr>
            <w:tcW w:w="1439"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153</w:t>
            </w:r>
            <w:r>
              <w:rPr>
                <w:rFonts w:eastAsia="Times New Roman" w:cs="Calibri"/>
                <w:noProof/>
                <w:color w:val="333333"/>
                <w:sz w:val="18"/>
                <w:szCs w:val="18"/>
                <w:lang w:eastAsia="en-GB"/>
              </w:rPr>
              <w:t> </w:t>
            </w:r>
            <w:r>
              <w:rPr>
                <w:rFonts w:eastAsia="Times New Roman" w:cs="Arial"/>
                <w:noProof/>
                <w:color w:val="333333"/>
                <w:sz w:val="18"/>
                <w:szCs w:val="18"/>
                <w:lang w:eastAsia="en-GB"/>
              </w:rPr>
              <w:t>089</w:t>
            </w:r>
          </w:p>
        </w:tc>
        <w:tc>
          <w:tcPr>
            <w:tcW w:w="86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3</w:t>
            </w:r>
          </w:p>
        </w:tc>
        <w:tc>
          <w:tcPr>
            <w:tcW w:w="1152"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23</w:t>
            </w:r>
            <w:r>
              <w:rPr>
                <w:rFonts w:eastAsia="Times New Roman" w:cs="Calibri"/>
                <w:noProof/>
                <w:color w:val="333333"/>
                <w:sz w:val="18"/>
                <w:szCs w:val="18"/>
                <w:lang w:eastAsia="en-GB"/>
              </w:rPr>
              <w:t> </w:t>
            </w:r>
            <w:r>
              <w:rPr>
                <w:rFonts w:eastAsia="Times New Roman" w:cs="Arial"/>
                <w:noProof/>
                <w:color w:val="333333"/>
                <w:sz w:val="18"/>
                <w:szCs w:val="18"/>
                <w:lang w:eastAsia="en-GB"/>
              </w:rPr>
              <w:t>703</w:t>
            </w: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Joint Research Centre</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34</w:t>
            </w:r>
            <w:r>
              <w:rPr>
                <w:rFonts w:eastAsia="Times New Roman" w:cs="Calibri"/>
                <w:noProof/>
                <w:color w:val="333333"/>
                <w:sz w:val="18"/>
                <w:szCs w:val="18"/>
                <w:lang w:eastAsia="en-GB"/>
              </w:rPr>
              <w:t> </w:t>
            </w:r>
            <w:r>
              <w:rPr>
                <w:rFonts w:eastAsia="Times New Roman" w:cs="Arial"/>
                <w:noProof/>
                <w:color w:val="333333"/>
                <w:sz w:val="18"/>
                <w:szCs w:val="18"/>
                <w:lang w:eastAsia="en-GB"/>
              </w:rPr>
              <w:t>896</w:t>
            </w:r>
          </w:p>
        </w:tc>
        <w:tc>
          <w:tcPr>
            <w:tcW w:w="576" w:type="dxa"/>
            <w:shd w:val="clear" w:color="auto" w:fill="auto"/>
            <w:noWrap/>
            <w:vAlign w:val="center"/>
            <w:hideMark/>
          </w:tcPr>
          <w:p>
            <w:pPr>
              <w:jc w:val="right"/>
              <w:rPr>
                <w:rFonts w:eastAsia="Times New Roman" w:cs="Arial"/>
                <w:noProof/>
                <w:color w:val="333333"/>
                <w:sz w:val="18"/>
                <w:szCs w:val="18"/>
                <w:lang w:eastAsia="en-GB"/>
              </w:rPr>
            </w:pPr>
          </w:p>
        </w:tc>
        <w:tc>
          <w:tcPr>
            <w:tcW w:w="1439" w:type="dxa"/>
            <w:shd w:val="clear" w:color="auto" w:fill="auto"/>
            <w:noWrap/>
            <w:vAlign w:val="center"/>
            <w:hideMark/>
          </w:tcPr>
          <w:p>
            <w:pPr>
              <w:jc w:val="right"/>
              <w:rPr>
                <w:rFonts w:eastAsia="Times New Roman" w:cs="Arial"/>
                <w:noProof/>
                <w:color w:val="333333"/>
                <w:sz w:val="18"/>
                <w:szCs w:val="18"/>
                <w:lang w:eastAsia="en-GB"/>
              </w:rPr>
            </w:pPr>
          </w:p>
        </w:tc>
        <w:tc>
          <w:tcPr>
            <w:tcW w:w="86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3</w:t>
            </w:r>
          </w:p>
        </w:tc>
        <w:tc>
          <w:tcPr>
            <w:tcW w:w="1152"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34</w:t>
            </w:r>
            <w:r>
              <w:rPr>
                <w:rFonts w:eastAsia="Times New Roman" w:cs="Calibri"/>
                <w:noProof/>
                <w:color w:val="333333"/>
                <w:sz w:val="18"/>
                <w:szCs w:val="18"/>
                <w:lang w:eastAsia="en-GB"/>
              </w:rPr>
              <w:t> </w:t>
            </w:r>
            <w:r>
              <w:rPr>
                <w:rFonts w:eastAsia="Times New Roman" w:cs="Arial"/>
                <w:noProof/>
                <w:color w:val="333333"/>
                <w:sz w:val="18"/>
                <w:szCs w:val="18"/>
                <w:lang w:eastAsia="en-GB"/>
              </w:rPr>
              <w:t>896</w:t>
            </w: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Transport</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42</w:t>
            </w:r>
            <w:r>
              <w:rPr>
                <w:rFonts w:eastAsia="Times New Roman" w:cs="Calibri"/>
                <w:noProof/>
                <w:color w:val="333333"/>
                <w:sz w:val="18"/>
                <w:szCs w:val="18"/>
                <w:lang w:eastAsia="en-GB"/>
              </w:rPr>
              <w:t> </w:t>
            </w:r>
            <w:r>
              <w:rPr>
                <w:rFonts w:eastAsia="Times New Roman" w:cs="Arial"/>
                <w:noProof/>
                <w:color w:val="333333"/>
                <w:sz w:val="18"/>
                <w:szCs w:val="18"/>
                <w:lang w:eastAsia="en-GB"/>
              </w:rPr>
              <w:t>710</w:t>
            </w:r>
          </w:p>
        </w:tc>
        <w:tc>
          <w:tcPr>
            <w:tcW w:w="576" w:type="dxa"/>
            <w:shd w:val="clear" w:color="auto" w:fill="auto"/>
            <w:noWrap/>
            <w:vAlign w:val="center"/>
            <w:hideMark/>
          </w:tcPr>
          <w:p>
            <w:pPr>
              <w:jc w:val="right"/>
              <w:rPr>
                <w:rFonts w:eastAsia="Times New Roman" w:cs="Arial"/>
                <w:noProof/>
                <w:color w:val="333333"/>
                <w:sz w:val="18"/>
                <w:szCs w:val="18"/>
                <w:lang w:eastAsia="en-GB"/>
              </w:rPr>
            </w:pPr>
          </w:p>
        </w:tc>
        <w:tc>
          <w:tcPr>
            <w:tcW w:w="1439" w:type="dxa"/>
            <w:shd w:val="clear" w:color="auto" w:fill="auto"/>
            <w:noWrap/>
            <w:vAlign w:val="center"/>
            <w:hideMark/>
          </w:tcPr>
          <w:p>
            <w:pPr>
              <w:jc w:val="right"/>
              <w:rPr>
                <w:rFonts w:eastAsia="Times New Roman" w:cs="Arial"/>
                <w:noProof/>
                <w:color w:val="333333"/>
                <w:sz w:val="18"/>
                <w:szCs w:val="18"/>
                <w:lang w:eastAsia="en-GB"/>
              </w:rPr>
            </w:pPr>
          </w:p>
        </w:tc>
        <w:tc>
          <w:tcPr>
            <w:tcW w:w="86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p>
        </w:tc>
        <w:tc>
          <w:tcPr>
            <w:tcW w:w="1152"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42</w:t>
            </w:r>
            <w:r>
              <w:rPr>
                <w:rFonts w:eastAsia="Times New Roman" w:cs="Calibri"/>
                <w:noProof/>
                <w:color w:val="333333"/>
                <w:sz w:val="18"/>
                <w:szCs w:val="18"/>
                <w:lang w:eastAsia="en-GB"/>
              </w:rPr>
              <w:t> </w:t>
            </w:r>
            <w:r>
              <w:rPr>
                <w:rFonts w:eastAsia="Times New Roman" w:cs="Arial"/>
                <w:noProof/>
                <w:color w:val="333333"/>
                <w:sz w:val="18"/>
                <w:szCs w:val="18"/>
                <w:lang w:eastAsia="en-GB"/>
              </w:rPr>
              <w:t>710</w:t>
            </w: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Neighbourhood</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195</w:t>
            </w:r>
            <w:r>
              <w:rPr>
                <w:rFonts w:eastAsia="Times New Roman" w:cs="Calibri"/>
                <w:noProof/>
                <w:color w:val="333333"/>
                <w:sz w:val="18"/>
                <w:szCs w:val="18"/>
                <w:lang w:eastAsia="en-GB"/>
              </w:rPr>
              <w:t> </w:t>
            </w:r>
            <w:r>
              <w:rPr>
                <w:rFonts w:eastAsia="Times New Roman" w:cs="Arial"/>
                <w:noProof/>
                <w:color w:val="333333"/>
                <w:sz w:val="18"/>
                <w:szCs w:val="18"/>
                <w:lang w:eastAsia="en-GB"/>
              </w:rPr>
              <w:t>094</w:t>
            </w:r>
          </w:p>
        </w:tc>
        <w:tc>
          <w:tcPr>
            <w:tcW w:w="576"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p>
        </w:tc>
        <w:tc>
          <w:tcPr>
            <w:tcW w:w="1439"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60</w:t>
            </w:r>
            <w:r>
              <w:rPr>
                <w:rFonts w:eastAsia="Times New Roman" w:cs="Calibri"/>
                <w:noProof/>
                <w:color w:val="333333"/>
                <w:sz w:val="18"/>
                <w:szCs w:val="18"/>
                <w:lang w:eastAsia="en-GB"/>
              </w:rPr>
              <w:t> </w:t>
            </w:r>
            <w:r>
              <w:rPr>
                <w:rFonts w:eastAsia="Times New Roman" w:cs="Arial"/>
                <w:noProof/>
                <w:color w:val="333333"/>
                <w:sz w:val="18"/>
                <w:szCs w:val="18"/>
                <w:lang w:eastAsia="en-GB"/>
              </w:rPr>
              <w:t>761</w:t>
            </w:r>
          </w:p>
        </w:tc>
        <w:tc>
          <w:tcPr>
            <w:tcW w:w="86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11</w:t>
            </w:r>
          </w:p>
        </w:tc>
        <w:tc>
          <w:tcPr>
            <w:tcW w:w="1152"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134</w:t>
            </w:r>
            <w:r>
              <w:rPr>
                <w:rFonts w:eastAsia="Times New Roman" w:cs="Calibri"/>
                <w:noProof/>
                <w:color w:val="333333"/>
                <w:sz w:val="18"/>
                <w:szCs w:val="18"/>
                <w:lang w:eastAsia="en-GB"/>
              </w:rPr>
              <w:t> </w:t>
            </w:r>
            <w:r>
              <w:rPr>
                <w:rFonts w:eastAsia="Times New Roman" w:cs="Arial"/>
                <w:noProof/>
                <w:color w:val="333333"/>
                <w:sz w:val="18"/>
                <w:szCs w:val="18"/>
                <w:lang w:eastAsia="en-GB"/>
              </w:rPr>
              <w:t>333</w:t>
            </w: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Infrastructure — Brussels</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177</w:t>
            </w:r>
            <w:r>
              <w:rPr>
                <w:rFonts w:eastAsia="Times New Roman" w:cs="Calibri"/>
                <w:noProof/>
                <w:color w:val="333333"/>
                <w:sz w:val="18"/>
                <w:szCs w:val="18"/>
                <w:lang w:eastAsia="en-GB"/>
              </w:rPr>
              <w:t> </w:t>
            </w:r>
            <w:r>
              <w:rPr>
                <w:rFonts w:eastAsia="Times New Roman" w:cs="Arial"/>
                <w:noProof/>
                <w:color w:val="333333"/>
                <w:sz w:val="18"/>
                <w:szCs w:val="18"/>
                <w:lang w:eastAsia="en-GB"/>
              </w:rPr>
              <w:t>800</w:t>
            </w:r>
          </w:p>
        </w:tc>
        <w:tc>
          <w:tcPr>
            <w:tcW w:w="576"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p>
        </w:tc>
        <w:tc>
          <w:tcPr>
            <w:tcW w:w="1439"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86</w:t>
            </w:r>
            <w:r>
              <w:rPr>
                <w:rFonts w:eastAsia="Times New Roman" w:cs="Calibri"/>
                <w:noProof/>
                <w:color w:val="333333"/>
                <w:sz w:val="18"/>
                <w:szCs w:val="18"/>
                <w:lang w:eastAsia="en-GB"/>
              </w:rPr>
              <w:t> </w:t>
            </w:r>
            <w:r>
              <w:rPr>
                <w:rFonts w:eastAsia="Times New Roman" w:cs="Arial"/>
                <w:noProof/>
                <w:color w:val="333333"/>
                <w:sz w:val="18"/>
                <w:szCs w:val="18"/>
                <w:lang w:eastAsia="en-GB"/>
              </w:rPr>
              <w:t>664</w:t>
            </w:r>
          </w:p>
        </w:tc>
        <w:tc>
          <w:tcPr>
            <w:tcW w:w="86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8</w:t>
            </w:r>
          </w:p>
        </w:tc>
        <w:tc>
          <w:tcPr>
            <w:tcW w:w="1152"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91</w:t>
            </w:r>
            <w:r>
              <w:rPr>
                <w:rFonts w:eastAsia="Times New Roman" w:cs="Calibri"/>
                <w:noProof/>
                <w:color w:val="333333"/>
                <w:sz w:val="18"/>
                <w:szCs w:val="18"/>
                <w:lang w:eastAsia="en-GB"/>
              </w:rPr>
              <w:t> </w:t>
            </w:r>
            <w:r>
              <w:rPr>
                <w:rFonts w:eastAsia="Times New Roman" w:cs="Arial"/>
                <w:noProof/>
                <w:color w:val="333333"/>
                <w:sz w:val="18"/>
                <w:szCs w:val="18"/>
                <w:lang w:eastAsia="en-GB"/>
              </w:rPr>
              <w:t>136</w:t>
            </w: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Infrastructure — Luxembourg</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107</w:t>
            </w:r>
          </w:p>
        </w:tc>
        <w:tc>
          <w:tcPr>
            <w:tcW w:w="576" w:type="dxa"/>
            <w:shd w:val="clear" w:color="auto" w:fill="auto"/>
            <w:noWrap/>
            <w:vAlign w:val="center"/>
            <w:hideMark/>
          </w:tcPr>
          <w:p>
            <w:pPr>
              <w:jc w:val="right"/>
              <w:rPr>
                <w:rFonts w:eastAsia="Times New Roman" w:cs="Arial"/>
                <w:noProof/>
                <w:color w:val="333333"/>
                <w:sz w:val="18"/>
                <w:szCs w:val="18"/>
                <w:lang w:eastAsia="en-GB"/>
              </w:rPr>
            </w:pPr>
          </w:p>
        </w:tc>
        <w:tc>
          <w:tcPr>
            <w:tcW w:w="1439" w:type="dxa"/>
            <w:shd w:val="clear" w:color="auto" w:fill="auto"/>
            <w:noWrap/>
            <w:vAlign w:val="center"/>
            <w:hideMark/>
          </w:tcPr>
          <w:p>
            <w:pPr>
              <w:jc w:val="right"/>
              <w:rPr>
                <w:rFonts w:eastAsia="Times New Roman" w:cs="Arial"/>
                <w:noProof/>
                <w:color w:val="333333"/>
                <w:sz w:val="18"/>
                <w:szCs w:val="18"/>
                <w:lang w:eastAsia="en-GB"/>
              </w:rPr>
            </w:pPr>
          </w:p>
        </w:tc>
        <w:tc>
          <w:tcPr>
            <w:tcW w:w="86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2</w:t>
            </w:r>
          </w:p>
        </w:tc>
        <w:tc>
          <w:tcPr>
            <w:tcW w:w="1152"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107</w:t>
            </w: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Consumers and Food Safety Executive Agency</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16</w:t>
            </w:r>
            <w:r>
              <w:rPr>
                <w:rFonts w:eastAsia="Times New Roman" w:cs="Calibri"/>
                <w:noProof/>
                <w:color w:val="333333"/>
                <w:sz w:val="18"/>
                <w:szCs w:val="18"/>
                <w:lang w:eastAsia="en-GB"/>
              </w:rPr>
              <w:t> </w:t>
            </w:r>
            <w:r>
              <w:rPr>
                <w:rFonts w:eastAsia="Times New Roman" w:cs="Arial"/>
                <w:noProof/>
                <w:color w:val="333333"/>
                <w:sz w:val="18"/>
                <w:szCs w:val="18"/>
                <w:lang w:eastAsia="en-GB"/>
              </w:rPr>
              <w:t>844</w:t>
            </w:r>
          </w:p>
        </w:tc>
        <w:tc>
          <w:tcPr>
            <w:tcW w:w="576" w:type="dxa"/>
            <w:shd w:val="clear" w:color="auto" w:fill="auto"/>
            <w:noWrap/>
            <w:vAlign w:val="center"/>
            <w:hideMark/>
          </w:tcPr>
          <w:p>
            <w:pPr>
              <w:jc w:val="right"/>
              <w:rPr>
                <w:rFonts w:eastAsia="Times New Roman" w:cs="Arial"/>
                <w:noProof/>
                <w:color w:val="333333"/>
                <w:sz w:val="18"/>
                <w:szCs w:val="18"/>
                <w:lang w:eastAsia="en-GB"/>
              </w:rPr>
            </w:pPr>
          </w:p>
        </w:tc>
        <w:tc>
          <w:tcPr>
            <w:tcW w:w="1439" w:type="dxa"/>
            <w:shd w:val="clear" w:color="auto" w:fill="auto"/>
            <w:noWrap/>
            <w:vAlign w:val="center"/>
            <w:hideMark/>
          </w:tcPr>
          <w:p>
            <w:pPr>
              <w:jc w:val="right"/>
              <w:rPr>
                <w:rFonts w:eastAsia="Times New Roman" w:cs="Arial"/>
                <w:noProof/>
                <w:color w:val="333333"/>
                <w:sz w:val="18"/>
                <w:szCs w:val="18"/>
                <w:lang w:eastAsia="en-GB"/>
              </w:rPr>
            </w:pPr>
          </w:p>
        </w:tc>
        <w:tc>
          <w:tcPr>
            <w:tcW w:w="86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p>
        </w:tc>
        <w:tc>
          <w:tcPr>
            <w:tcW w:w="1152"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16</w:t>
            </w:r>
            <w:r>
              <w:rPr>
                <w:rFonts w:eastAsia="Times New Roman" w:cs="Calibri"/>
                <w:noProof/>
                <w:color w:val="333333"/>
                <w:sz w:val="18"/>
                <w:szCs w:val="18"/>
                <w:lang w:eastAsia="en-GB"/>
              </w:rPr>
              <w:t> </w:t>
            </w:r>
            <w:r>
              <w:rPr>
                <w:rFonts w:eastAsia="Times New Roman" w:cs="Arial"/>
                <w:noProof/>
                <w:color w:val="333333"/>
                <w:sz w:val="18"/>
                <w:szCs w:val="18"/>
                <w:lang w:eastAsia="en-GB"/>
              </w:rPr>
              <w:t>844</w:t>
            </w: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Paymaster</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r>
              <w:rPr>
                <w:rFonts w:eastAsia="Times New Roman" w:cs="Calibri"/>
                <w:noProof/>
                <w:color w:val="333333"/>
                <w:sz w:val="18"/>
                <w:szCs w:val="18"/>
                <w:lang w:eastAsia="en-GB"/>
              </w:rPr>
              <w:t> </w:t>
            </w:r>
            <w:r>
              <w:rPr>
                <w:rFonts w:eastAsia="Times New Roman" w:cs="Arial"/>
                <w:noProof/>
                <w:color w:val="333333"/>
                <w:sz w:val="18"/>
                <w:szCs w:val="18"/>
                <w:lang w:eastAsia="en-GB"/>
              </w:rPr>
              <w:t>513</w:t>
            </w:r>
          </w:p>
        </w:tc>
        <w:tc>
          <w:tcPr>
            <w:tcW w:w="576" w:type="dxa"/>
            <w:shd w:val="clear" w:color="auto" w:fill="auto"/>
            <w:noWrap/>
            <w:vAlign w:val="center"/>
            <w:hideMark/>
          </w:tcPr>
          <w:p>
            <w:pPr>
              <w:jc w:val="right"/>
              <w:rPr>
                <w:rFonts w:eastAsia="Times New Roman" w:cs="Arial"/>
                <w:noProof/>
                <w:color w:val="333333"/>
                <w:sz w:val="18"/>
                <w:szCs w:val="18"/>
                <w:lang w:eastAsia="en-GB"/>
              </w:rPr>
            </w:pPr>
          </w:p>
        </w:tc>
        <w:tc>
          <w:tcPr>
            <w:tcW w:w="1439" w:type="dxa"/>
            <w:shd w:val="clear" w:color="auto" w:fill="auto"/>
            <w:noWrap/>
            <w:vAlign w:val="center"/>
            <w:hideMark/>
          </w:tcPr>
          <w:p>
            <w:pPr>
              <w:jc w:val="right"/>
              <w:rPr>
                <w:rFonts w:eastAsia="Times New Roman" w:cs="Arial"/>
                <w:noProof/>
                <w:color w:val="333333"/>
                <w:sz w:val="18"/>
                <w:szCs w:val="18"/>
                <w:lang w:eastAsia="en-GB"/>
              </w:rPr>
            </w:pPr>
          </w:p>
        </w:tc>
        <w:tc>
          <w:tcPr>
            <w:tcW w:w="86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3</w:t>
            </w:r>
          </w:p>
        </w:tc>
        <w:tc>
          <w:tcPr>
            <w:tcW w:w="1152"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r>
              <w:rPr>
                <w:rFonts w:eastAsia="Times New Roman" w:cs="Calibri"/>
                <w:noProof/>
                <w:color w:val="333333"/>
                <w:sz w:val="18"/>
                <w:szCs w:val="18"/>
                <w:lang w:eastAsia="en-GB"/>
              </w:rPr>
              <w:t> </w:t>
            </w:r>
            <w:r>
              <w:rPr>
                <w:rFonts w:eastAsia="Times New Roman" w:cs="Arial"/>
                <w:noProof/>
                <w:color w:val="333333"/>
                <w:sz w:val="18"/>
                <w:szCs w:val="18"/>
                <w:lang w:eastAsia="en-GB"/>
              </w:rPr>
              <w:t>513</w:t>
            </w:r>
          </w:p>
        </w:tc>
      </w:tr>
      <w:tr>
        <w:trPr>
          <w:trHeight w:val="372"/>
          <w:jc w:val="center"/>
        </w:trPr>
        <w:tc>
          <w:tcPr>
            <w:tcW w:w="1318" w:type="dxa"/>
            <w:shd w:val="clear" w:color="auto" w:fill="auto"/>
            <w:noWrap/>
            <w:vAlign w:val="center"/>
            <w:hideMark/>
          </w:tcPr>
          <w:p>
            <w:pPr>
              <w:rPr>
                <w:rFonts w:eastAsia="Times New Roman" w:cs="Arial"/>
                <w:noProof/>
                <w:color w:val="333333"/>
                <w:sz w:val="18"/>
                <w:szCs w:val="18"/>
                <w:lang w:eastAsia="en-GB"/>
              </w:rPr>
            </w:pPr>
          </w:p>
        </w:tc>
        <w:tc>
          <w:tcPr>
            <w:tcW w:w="2137" w:type="dxa"/>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Research</w:t>
            </w:r>
          </w:p>
        </w:tc>
        <w:tc>
          <w:tcPr>
            <w:tcW w:w="1584"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208</w:t>
            </w:r>
            <w:r>
              <w:rPr>
                <w:rFonts w:eastAsia="Times New Roman" w:cs="Calibri"/>
                <w:noProof/>
                <w:color w:val="333333"/>
                <w:sz w:val="18"/>
                <w:szCs w:val="18"/>
                <w:lang w:eastAsia="en-GB"/>
              </w:rPr>
              <w:t> </w:t>
            </w:r>
            <w:r>
              <w:rPr>
                <w:rFonts w:eastAsia="Times New Roman" w:cs="Arial"/>
                <w:noProof/>
                <w:color w:val="333333"/>
                <w:sz w:val="18"/>
                <w:szCs w:val="18"/>
                <w:lang w:eastAsia="en-GB"/>
              </w:rPr>
              <w:t>630</w:t>
            </w:r>
          </w:p>
        </w:tc>
        <w:tc>
          <w:tcPr>
            <w:tcW w:w="576"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w:t>
            </w:r>
          </w:p>
        </w:tc>
        <w:tc>
          <w:tcPr>
            <w:tcW w:w="1439" w:type="dxa"/>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208</w:t>
            </w:r>
            <w:r>
              <w:rPr>
                <w:rFonts w:eastAsia="Times New Roman" w:cs="Calibri"/>
                <w:noProof/>
                <w:color w:val="333333"/>
                <w:sz w:val="18"/>
                <w:szCs w:val="18"/>
                <w:lang w:eastAsia="en-GB"/>
              </w:rPr>
              <w:t> </w:t>
            </w:r>
            <w:r>
              <w:rPr>
                <w:rFonts w:eastAsia="Times New Roman" w:cs="Arial"/>
                <w:noProof/>
                <w:color w:val="333333"/>
                <w:sz w:val="18"/>
                <w:szCs w:val="18"/>
                <w:lang w:eastAsia="en-GB"/>
              </w:rPr>
              <w:t>630</w:t>
            </w:r>
          </w:p>
        </w:tc>
        <w:tc>
          <w:tcPr>
            <w:tcW w:w="864" w:type="dxa"/>
            <w:shd w:val="clear" w:color="auto" w:fill="auto"/>
            <w:noWrap/>
            <w:vAlign w:val="center"/>
            <w:hideMark/>
          </w:tcPr>
          <w:p>
            <w:pPr>
              <w:jc w:val="right"/>
              <w:rPr>
                <w:rFonts w:eastAsia="Times New Roman" w:cs="Arial"/>
                <w:noProof/>
                <w:color w:val="333333"/>
                <w:sz w:val="18"/>
                <w:szCs w:val="18"/>
                <w:lang w:eastAsia="en-GB"/>
              </w:rPr>
            </w:pPr>
          </w:p>
        </w:tc>
        <w:tc>
          <w:tcPr>
            <w:tcW w:w="1152" w:type="dxa"/>
            <w:shd w:val="clear" w:color="auto" w:fill="auto"/>
            <w:noWrap/>
            <w:vAlign w:val="center"/>
            <w:hideMark/>
          </w:tcPr>
          <w:p>
            <w:pPr>
              <w:jc w:val="right"/>
              <w:rPr>
                <w:rFonts w:eastAsia="Times New Roman" w:cs="Arial"/>
                <w:noProof/>
                <w:color w:val="333333"/>
                <w:sz w:val="18"/>
                <w:szCs w:val="18"/>
                <w:lang w:eastAsia="en-GB"/>
              </w:rPr>
            </w:pPr>
          </w:p>
        </w:tc>
      </w:tr>
      <w:tr>
        <w:trPr>
          <w:trHeight w:val="372"/>
          <w:jc w:val="center"/>
        </w:trPr>
        <w:tc>
          <w:tcPr>
            <w:tcW w:w="1318" w:type="dxa"/>
            <w:tcBorders>
              <w:bottom w:val="single" w:sz="4" w:space="0" w:color="auto"/>
            </w:tcBorders>
            <w:shd w:val="clear" w:color="auto" w:fill="auto"/>
            <w:noWrap/>
            <w:vAlign w:val="center"/>
            <w:hideMark/>
          </w:tcPr>
          <w:p>
            <w:pPr>
              <w:rPr>
                <w:rFonts w:eastAsia="Times New Roman" w:cs="Arial"/>
                <w:noProof/>
                <w:color w:val="333333"/>
                <w:sz w:val="18"/>
                <w:szCs w:val="18"/>
                <w:lang w:eastAsia="en-GB"/>
              </w:rPr>
            </w:pPr>
          </w:p>
        </w:tc>
        <w:tc>
          <w:tcPr>
            <w:tcW w:w="2137" w:type="dxa"/>
            <w:tcBorders>
              <w:bottom w:val="single" w:sz="4" w:space="0" w:color="auto"/>
            </w:tcBorders>
            <w:shd w:val="clear" w:color="auto" w:fill="auto"/>
            <w:noWrap/>
            <w:vAlign w:val="center"/>
            <w:hideMark/>
          </w:tcPr>
          <w:p>
            <w:pPr>
              <w:rPr>
                <w:rFonts w:eastAsia="Times New Roman" w:cs="Arial"/>
                <w:noProof/>
                <w:color w:val="333333"/>
                <w:sz w:val="18"/>
                <w:szCs w:val="18"/>
                <w:lang w:eastAsia="en-GB"/>
              </w:rPr>
            </w:pPr>
            <w:r>
              <w:rPr>
                <w:rFonts w:eastAsia="Times New Roman" w:cs="Arial"/>
                <w:noProof/>
                <w:color w:val="333333"/>
                <w:sz w:val="18"/>
                <w:szCs w:val="18"/>
                <w:lang w:eastAsia="en-GB"/>
              </w:rPr>
              <w:t>Legal</w:t>
            </w:r>
          </w:p>
        </w:tc>
        <w:tc>
          <w:tcPr>
            <w:tcW w:w="1584" w:type="dxa"/>
            <w:tcBorders>
              <w:bottom w:val="single" w:sz="4" w:space="0" w:color="auto"/>
            </w:tcBorders>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19</w:t>
            </w:r>
            <w:r>
              <w:rPr>
                <w:rFonts w:eastAsia="Times New Roman" w:cs="Calibri"/>
                <w:noProof/>
                <w:color w:val="333333"/>
                <w:sz w:val="18"/>
                <w:szCs w:val="18"/>
                <w:lang w:eastAsia="en-GB"/>
              </w:rPr>
              <w:t> </w:t>
            </w:r>
            <w:r>
              <w:rPr>
                <w:rFonts w:eastAsia="Times New Roman" w:cs="Arial"/>
                <w:noProof/>
                <w:color w:val="333333"/>
                <w:sz w:val="18"/>
                <w:szCs w:val="18"/>
                <w:lang w:eastAsia="en-GB"/>
              </w:rPr>
              <w:t>604</w:t>
            </w:r>
          </w:p>
        </w:tc>
        <w:tc>
          <w:tcPr>
            <w:tcW w:w="576" w:type="dxa"/>
            <w:tcBorders>
              <w:bottom w:val="single" w:sz="4" w:space="0" w:color="auto"/>
            </w:tcBorders>
            <w:shd w:val="clear" w:color="auto" w:fill="auto"/>
            <w:noWrap/>
            <w:vAlign w:val="center"/>
            <w:hideMark/>
          </w:tcPr>
          <w:p>
            <w:pPr>
              <w:jc w:val="right"/>
              <w:rPr>
                <w:rFonts w:eastAsia="Times New Roman" w:cs="Arial"/>
                <w:noProof/>
                <w:color w:val="333333"/>
                <w:sz w:val="18"/>
                <w:szCs w:val="18"/>
                <w:lang w:eastAsia="en-GB"/>
              </w:rPr>
            </w:pPr>
          </w:p>
        </w:tc>
        <w:tc>
          <w:tcPr>
            <w:tcW w:w="1439" w:type="dxa"/>
            <w:tcBorders>
              <w:bottom w:val="single" w:sz="4" w:space="0" w:color="auto"/>
            </w:tcBorders>
            <w:shd w:val="clear" w:color="auto" w:fill="auto"/>
            <w:noWrap/>
            <w:vAlign w:val="center"/>
            <w:hideMark/>
          </w:tcPr>
          <w:p>
            <w:pPr>
              <w:jc w:val="right"/>
              <w:rPr>
                <w:rFonts w:eastAsia="Times New Roman" w:cs="Arial"/>
                <w:noProof/>
                <w:color w:val="333333"/>
                <w:sz w:val="18"/>
                <w:szCs w:val="18"/>
                <w:lang w:eastAsia="en-GB"/>
              </w:rPr>
            </w:pPr>
          </w:p>
        </w:tc>
        <w:tc>
          <w:tcPr>
            <w:tcW w:w="864" w:type="dxa"/>
            <w:tcBorders>
              <w:bottom w:val="single" w:sz="4" w:space="0" w:color="auto"/>
            </w:tcBorders>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7</w:t>
            </w:r>
          </w:p>
        </w:tc>
        <w:tc>
          <w:tcPr>
            <w:tcW w:w="1152" w:type="dxa"/>
            <w:tcBorders>
              <w:bottom w:val="single" w:sz="4" w:space="0" w:color="auto"/>
            </w:tcBorders>
            <w:shd w:val="clear" w:color="auto" w:fill="auto"/>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19</w:t>
            </w:r>
            <w:r>
              <w:rPr>
                <w:rFonts w:eastAsia="Times New Roman" w:cs="Calibri"/>
                <w:noProof/>
                <w:color w:val="333333"/>
                <w:sz w:val="18"/>
                <w:szCs w:val="18"/>
                <w:lang w:eastAsia="en-GB"/>
              </w:rPr>
              <w:t> </w:t>
            </w:r>
            <w:r>
              <w:rPr>
                <w:rFonts w:eastAsia="Times New Roman" w:cs="Arial"/>
                <w:noProof/>
                <w:color w:val="333333"/>
                <w:sz w:val="18"/>
                <w:szCs w:val="18"/>
                <w:lang w:eastAsia="en-GB"/>
              </w:rPr>
              <w:t>604</w:t>
            </w:r>
          </w:p>
        </w:tc>
      </w:tr>
      <w:tr>
        <w:trPr>
          <w:trHeight w:val="372"/>
          <w:jc w:val="center"/>
        </w:trPr>
        <w:tc>
          <w:tcPr>
            <w:tcW w:w="1318" w:type="dxa"/>
            <w:tcBorders>
              <w:bottom w:val="single" w:sz="4" w:space="0" w:color="auto"/>
            </w:tcBorders>
            <w:shd w:val="clear" w:color="auto" w:fill="auto"/>
            <w:noWrap/>
            <w:vAlign w:val="center"/>
            <w:hideMark/>
          </w:tcPr>
          <w:p>
            <w:pPr>
              <w:rPr>
                <w:rFonts w:eastAsia="Times New Roman" w:cs="Arial"/>
                <w:b/>
                <w:bCs/>
                <w:noProof/>
                <w:color w:val="333333"/>
                <w:sz w:val="18"/>
                <w:szCs w:val="18"/>
                <w:lang w:eastAsia="en-GB"/>
              </w:rPr>
            </w:pPr>
            <w:r>
              <w:rPr>
                <w:rFonts w:eastAsia="Times New Roman" w:cs="Arial"/>
                <w:b/>
                <w:bCs/>
                <w:noProof/>
                <w:color w:val="333333"/>
                <w:sz w:val="18"/>
                <w:szCs w:val="18"/>
                <w:lang w:eastAsia="en-GB"/>
              </w:rPr>
              <w:t>European Commission</w:t>
            </w:r>
          </w:p>
        </w:tc>
        <w:tc>
          <w:tcPr>
            <w:tcW w:w="2137" w:type="dxa"/>
            <w:tcBorders>
              <w:bottom w:val="single" w:sz="4" w:space="0" w:color="auto"/>
            </w:tcBorders>
            <w:shd w:val="clear" w:color="auto" w:fill="auto"/>
            <w:noWrap/>
            <w:vAlign w:val="center"/>
            <w:hideMark/>
          </w:tcPr>
          <w:p>
            <w:pPr>
              <w:rPr>
                <w:rFonts w:eastAsia="Times New Roman" w:cs="Arial"/>
                <w:b/>
                <w:bCs/>
                <w:noProof/>
                <w:color w:val="333333"/>
                <w:sz w:val="18"/>
                <w:szCs w:val="18"/>
                <w:lang w:eastAsia="en-GB"/>
              </w:rPr>
            </w:pPr>
          </w:p>
        </w:tc>
        <w:tc>
          <w:tcPr>
            <w:tcW w:w="1584" w:type="dxa"/>
            <w:tcBorders>
              <w:bottom w:val="single" w:sz="4" w:space="0" w:color="auto"/>
            </w:tcBorders>
            <w:shd w:val="clear" w:color="auto" w:fill="auto"/>
            <w:noWrap/>
            <w:vAlign w:val="center"/>
            <w:hideMark/>
          </w:tcPr>
          <w:p>
            <w:pPr>
              <w:jc w:val="right"/>
              <w:rPr>
                <w:rFonts w:eastAsia="Times New Roman" w:cs="Arial"/>
                <w:b/>
                <w:bCs/>
                <w:noProof/>
                <w:color w:val="333333"/>
                <w:sz w:val="18"/>
                <w:szCs w:val="18"/>
                <w:lang w:eastAsia="en-GB"/>
              </w:rPr>
            </w:pPr>
            <w:r>
              <w:rPr>
                <w:rFonts w:eastAsia="Times New Roman" w:cs="Arial"/>
                <w:b/>
                <w:bCs/>
                <w:noProof/>
                <w:color w:val="333333"/>
                <w:sz w:val="18"/>
                <w:szCs w:val="18"/>
                <w:lang w:eastAsia="en-GB"/>
              </w:rPr>
              <w:t>10</w:t>
            </w:r>
            <w:r>
              <w:rPr>
                <w:rFonts w:eastAsia="Times New Roman" w:cs="Calibri"/>
                <w:b/>
                <w:bCs/>
                <w:noProof/>
                <w:color w:val="333333"/>
                <w:sz w:val="18"/>
                <w:szCs w:val="18"/>
                <w:lang w:eastAsia="en-GB"/>
              </w:rPr>
              <w:t> </w:t>
            </w:r>
            <w:r>
              <w:rPr>
                <w:rFonts w:eastAsia="Times New Roman" w:cs="Arial"/>
                <w:b/>
                <w:bCs/>
                <w:noProof/>
                <w:color w:val="333333"/>
                <w:sz w:val="18"/>
                <w:szCs w:val="18"/>
                <w:lang w:eastAsia="en-GB"/>
              </w:rPr>
              <w:t>682</w:t>
            </w:r>
            <w:r>
              <w:rPr>
                <w:rFonts w:eastAsia="Times New Roman" w:cs="Calibri"/>
                <w:b/>
                <w:bCs/>
                <w:noProof/>
                <w:color w:val="333333"/>
                <w:sz w:val="18"/>
                <w:szCs w:val="18"/>
                <w:lang w:eastAsia="en-GB"/>
              </w:rPr>
              <w:t> </w:t>
            </w:r>
            <w:r>
              <w:rPr>
                <w:rFonts w:eastAsia="Times New Roman" w:cs="Arial"/>
                <w:b/>
                <w:bCs/>
                <w:noProof/>
                <w:color w:val="333333"/>
                <w:sz w:val="18"/>
                <w:szCs w:val="18"/>
                <w:lang w:eastAsia="en-GB"/>
              </w:rPr>
              <w:t>629</w:t>
            </w:r>
          </w:p>
        </w:tc>
        <w:tc>
          <w:tcPr>
            <w:tcW w:w="576" w:type="dxa"/>
            <w:tcBorders>
              <w:bottom w:val="single" w:sz="4" w:space="0" w:color="auto"/>
            </w:tcBorders>
            <w:shd w:val="clear" w:color="auto" w:fill="auto"/>
            <w:noWrap/>
            <w:vAlign w:val="center"/>
            <w:hideMark/>
          </w:tcPr>
          <w:p>
            <w:pPr>
              <w:jc w:val="right"/>
              <w:rPr>
                <w:rFonts w:eastAsia="Times New Roman" w:cs="Arial"/>
                <w:b/>
                <w:bCs/>
                <w:noProof/>
                <w:color w:val="333333"/>
                <w:sz w:val="18"/>
                <w:szCs w:val="18"/>
                <w:lang w:eastAsia="en-GB"/>
              </w:rPr>
            </w:pPr>
            <w:r>
              <w:rPr>
                <w:rFonts w:eastAsia="Times New Roman" w:cs="Arial"/>
                <w:b/>
                <w:bCs/>
                <w:noProof/>
                <w:color w:val="333333"/>
                <w:sz w:val="18"/>
                <w:szCs w:val="18"/>
                <w:lang w:eastAsia="en-GB"/>
              </w:rPr>
              <w:t>38</w:t>
            </w:r>
          </w:p>
        </w:tc>
        <w:tc>
          <w:tcPr>
            <w:tcW w:w="1439" w:type="dxa"/>
            <w:tcBorders>
              <w:bottom w:val="single" w:sz="4" w:space="0" w:color="auto"/>
            </w:tcBorders>
            <w:shd w:val="clear" w:color="auto" w:fill="auto"/>
            <w:noWrap/>
            <w:vAlign w:val="center"/>
            <w:hideMark/>
          </w:tcPr>
          <w:p>
            <w:pPr>
              <w:jc w:val="right"/>
              <w:rPr>
                <w:rFonts w:eastAsia="Times New Roman" w:cs="Arial"/>
                <w:b/>
                <w:bCs/>
                <w:noProof/>
                <w:color w:val="333333"/>
                <w:sz w:val="18"/>
                <w:szCs w:val="18"/>
                <w:lang w:eastAsia="en-GB"/>
              </w:rPr>
            </w:pPr>
            <w:r>
              <w:rPr>
                <w:rFonts w:eastAsia="Times New Roman" w:cs="Arial"/>
                <w:b/>
                <w:bCs/>
                <w:noProof/>
                <w:color w:val="333333"/>
                <w:sz w:val="18"/>
                <w:szCs w:val="18"/>
                <w:lang w:eastAsia="en-GB"/>
              </w:rPr>
              <w:t>8</w:t>
            </w:r>
            <w:r>
              <w:rPr>
                <w:rFonts w:eastAsia="Times New Roman" w:cs="Calibri"/>
                <w:b/>
                <w:bCs/>
                <w:noProof/>
                <w:color w:val="333333"/>
                <w:sz w:val="18"/>
                <w:szCs w:val="18"/>
                <w:lang w:eastAsia="en-GB"/>
              </w:rPr>
              <w:t> </w:t>
            </w:r>
            <w:r>
              <w:rPr>
                <w:rFonts w:eastAsia="Times New Roman" w:cs="Arial"/>
                <w:b/>
                <w:bCs/>
                <w:noProof/>
                <w:color w:val="333333"/>
                <w:sz w:val="18"/>
                <w:szCs w:val="18"/>
                <w:lang w:eastAsia="en-GB"/>
              </w:rPr>
              <w:t>918</w:t>
            </w:r>
            <w:r>
              <w:rPr>
                <w:rFonts w:eastAsia="Times New Roman" w:cs="Calibri"/>
                <w:b/>
                <w:bCs/>
                <w:noProof/>
                <w:color w:val="333333"/>
                <w:sz w:val="18"/>
                <w:szCs w:val="18"/>
                <w:lang w:eastAsia="en-GB"/>
              </w:rPr>
              <w:t> </w:t>
            </w:r>
            <w:r>
              <w:rPr>
                <w:rFonts w:eastAsia="Times New Roman" w:cs="Arial"/>
                <w:b/>
                <w:bCs/>
                <w:noProof/>
                <w:color w:val="333333"/>
                <w:sz w:val="18"/>
                <w:szCs w:val="18"/>
                <w:lang w:eastAsia="en-GB"/>
              </w:rPr>
              <w:t>981</w:t>
            </w:r>
          </w:p>
        </w:tc>
        <w:tc>
          <w:tcPr>
            <w:tcW w:w="864" w:type="dxa"/>
            <w:tcBorders>
              <w:bottom w:val="single" w:sz="4" w:space="0" w:color="auto"/>
            </w:tcBorders>
            <w:shd w:val="clear" w:color="auto" w:fill="auto"/>
            <w:noWrap/>
            <w:vAlign w:val="center"/>
            <w:hideMark/>
          </w:tcPr>
          <w:p>
            <w:pPr>
              <w:jc w:val="right"/>
              <w:rPr>
                <w:rFonts w:eastAsia="Times New Roman" w:cs="Arial"/>
                <w:b/>
                <w:bCs/>
                <w:noProof/>
                <w:color w:val="333333"/>
                <w:sz w:val="18"/>
                <w:szCs w:val="18"/>
                <w:lang w:eastAsia="en-GB"/>
              </w:rPr>
            </w:pPr>
            <w:r>
              <w:rPr>
                <w:rFonts w:eastAsia="Times New Roman" w:cs="Arial"/>
                <w:b/>
                <w:bCs/>
                <w:noProof/>
                <w:color w:val="333333"/>
                <w:sz w:val="18"/>
                <w:szCs w:val="18"/>
                <w:lang w:eastAsia="en-GB"/>
              </w:rPr>
              <w:t>132</w:t>
            </w:r>
          </w:p>
        </w:tc>
        <w:tc>
          <w:tcPr>
            <w:tcW w:w="1152" w:type="dxa"/>
            <w:tcBorders>
              <w:bottom w:val="single" w:sz="4" w:space="0" w:color="auto"/>
            </w:tcBorders>
            <w:shd w:val="clear" w:color="auto" w:fill="auto"/>
            <w:noWrap/>
            <w:vAlign w:val="center"/>
            <w:hideMark/>
          </w:tcPr>
          <w:p>
            <w:pPr>
              <w:jc w:val="right"/>
              <w:rPr>
                <w:rFonts w:eastAsia="Times New Roman" w:cs="Arial"/>
                <w:b/>
                <w:bCs/>
                <w:noProof/>
                <w:color w:val="333333"/>
                <w:sz w:val="18"/>
                <w:szCs w:val="18"/>
                <w:lang w:eastAsia="en-GB"/>
              </w:rPr>
            </w:pPr>
            <w:r>
              <w:rPr>
                <w:rFonts w:eastAsia="Times New Roman" w:cs="Arial"/>
                <w:b/>
                <w:bCs/>
                <w:noProof/>
                <w:color w:val="333333"/>
                <w:sz w:val="18"/>
                <w:szCs w:val="18"/>
                <w:lang w:eastAsia="en-GB"/>
              </w:rPr>
              <w:t>1</w:t>
            </w:r>
            <w:r>
              <w:rPr>
                <w:rFonts w:eastAsia="Times New Roman" w:cs="Calibri"/>
                <w:b/>
                <w:bCs/>
                <w:noProof/>
                <w:color w:val="333333"/>
                <w:sz w:val="18"/>
                <w:szCs w:val="18"/>
                <w:lang w:eastAsia="en-GB"/>
              </w:rPr>
              <w:t> </w:t>
            </w:r>
            <w:r>
              <w:rPr>
                <w:rFonts w:eastAsia="Times New Roman" w:cs="Arial"/>
                <w:b/>
                <w:bCs/>
                <w:noProof/>
                <w:color w:val="333333"/>
                <w:sz w:val="18"/>
                <w:szCs w:val="18"/>
                <w:lang w:eastAsia="en-GB"/>
              </w:rPr>
              <w:t>763</w:t>
            </w:r>
            <w:r>
              <w:rPr>
                <w:rFonts w:eastAsia="Times New Roman" w:cs="Calibri"/>
                <w:b/>
                <w:bCs/>
                <w:noProof/>
                <w:color w:val="333333"/>
                <w:sz w:val="18"/>
                <w:szCs w:val="18"/>
                <w:lang w:eastAsia="en-GB"/>
              </w:rPr>
              <w:t> </w:t>
            </w:r>
            <w:r>
              <w:rPr>
                <w:rFonts w:eastAsia="Times New Roman" w:cs="Arial"/>
                <w:b/>
                <w:bCs/>
                <w:noProof/>
                <w:color w:val="333333"/>
                <w:sz w:val="18"/>
                <w:szCs w:val="18"/>
                <w:lang w:eastAsia="en-GB"/>
              </w:rPr>
              <w:t>648</w:t>
            </w:r>
          </w:p>
        </w:tc>
      </w:tr>
      <w:tr>
        <w:trPr>
          <w:trHeight w:val="455"/>
          <w:jc w:val="center"/>
        </w:trPr>
        <w:tc>
          <w:tcPr>
            <w:tcW w:w="1318" w:type="dxa"/>
            <w:tcBorders>
              <w:top w:val="single" w:sz="4" w:space="0" w:color="auto"/>
            </w:tcBorders>
            <w:shd w:val="clear" w:color="auto" w:fill="E48C32"/>
            <w:noWrap/>
            <w:vAlign w:val="center"/>
            <w:hideMark/>
          </w:tcPr>
          <w:p>
            <w:pPr>
              <w:rPr>
                <w:rFonts w:eastAsia="Times New Roman" w:cs="Arial"/>
                <w:b/>
                <w:bCs/>
                <w:noProof/>
                <w:color w:val="FFFFFF"/>
                <w:sz w:val="18"/>
                <w:szCs w:val="18"/>
                <w:lang w:eastAsia="en-GB"/>
              </w:rPr>
            </w:pPr>
            <w:r>
              <w:rPr>
                <w:rFonts w:cs="Arial"/>
                <w:b/>
                <w:bCs/>
                <w:noProof/>
                <w:color w:val="FFFFFF"/>
                <w:sz w:val="18"/>
                <w:szCs w:val="18"/>
              </w:rPr>
              <w:t>European Development Fund</w:t>
            </w:r>
          </w:p>
        </w:tc>
        <w:tc>
          <w:tcPr>
            <w:tcW w:w="2137" w:type="dxa"/>
            <w:tcBorders>
              <w:top w:val="single" w:sz="4" w:space="0" w:color="auto"/>
            </w:tcBorders>
            <w:shd w:val="clear" w:color="auto" w:fill="E48C32"/>
            <w:noWrap/>
            <w:vAlign w:val="center"/>
            <w:hideMark/>
          </w:tcPr>
          <w:p>
            <w:pPr>
              <w:rPr>
                <w:rFonts w:eastAsia="Times New Roman" w:cs="Arial"/>
                <w:b/>
                <w:bCs/>
                <w:noProof/>
                <w:color w:val="FFFFFF"/>
                <w:sz w:val="18"/>
                <w:szCs w:val="18"/>
                <w:lang w:eastAsia="en-GB"/>
              </w:rPr>
            </w:pPr>
          </w:p>
        </w:tc>
        <w:tc>
          <w:tcPr>
            <w:tcW w:w="1584" w:type="dxa"/>
            <w:tcBorders>
              <w:top w:val="single" w:sz="4" w:space="0" w:color="auto"/>
            </w:tcBorders>
            <w:shd w:val="clear" w:color="auto" w:fill="E48C32"/>
            <w:noWrap/>
            <w:vAlign w:val="center"/>
            <w:hideMark/>
          </w:tcPr>
          <w:p>
            <w:pPr>
              <w:jc w:val="right"/>
              <w:rPr>
                <w:rFonts w:eastAsia="Times New Roman" w:cs="Arial"/>
                <w:b/>
                <w:bCs/>
                <w:noProof/>
                <w:color w:val="FFFFFF"/>
                <w:sz w:val="18"/>
                <w:szCs w:val="18"/>
                <w:lang w:eastAsia="en-GB"/>
              </w:rPr>
            </w:pPr>
            <w:r>
              <w:rPr>
                <w:rFonts w:cs="Arial"/>
                <w:b/>
                <w:bCs/>
                <w:noProof/>
                <w:color w:val="FFFFFF"/>
                <w:sz w:val="18"/>
                <w:szCs w:val="18"/>
              </w:rPr>
              <w:t>Value of waivers (EUR)</w:t>
            </w:r>
          </w:p>
        </w:tc>
        <w:tc>
          <w:tcPr>
            <w:tcW w:w="2015" w:type="dxa"/>
            <w:gridSpan w:val="2"/>
            <w:tcBorders>
              <w:top w:val="single" w:sz="4" w:space="0" w:color="auto"/>
            </w:tcBorders>
            <w:shd w:val="clear" w:color="auto" w:fill="E48C32"/>
            <w:noWrap/>
            <w:vAlign w:val="center"/>
            <w:hideMark/>
          </w:tcPr>
          <w:p>
            <w:pPr>
              <w:jc w:val="right"/>
              <w:rPr>
                <w:rFonts w:eastAsia="Times New Roman" w:cs="Arial"/>
                <w:b/>
                <w:bCs/>
                <w:noProof/>
                <w:color w:val="FFFFFF"/>
                <w:sz w:val="18"/>
                <w:szCs w:val="18"/>
                <w:lang w:eastAsia="en-GB"/>
              </w:rPr>
            </w:pPr>
            <w:r>
              <w:rPr>
                <w:rFonts w:cs="Arial"/>
                <w:b/>
                <w:bCs/>
                <w:noProof/>
                <w:color w:val="FFFFFF"/>
                <w:sz w:val="18"/>
                <w:szCs w:val="18"/>
              </w:rPr>
              <w:t>Number and value (EUR) of waivers above EUR</w:t>
            </w:r>
            <w:r>
              <w:rPr>
                <w:rFonts w:cs="Calibri"/>
                <w:b/>
                <w:bCs/>
                <w:noProof/>
                <w:color w:val="FFFFFF"/>
                <w:sz w:val="18"/>
                <w:szCs w:val="18"/>
              </w:rPr>
              <w:t> </w:t>
            </w:r>
            <w:r>
              <w:rPr>
                <w:rFonts w:cs="Arial"/>
                <w:b/>
                <w:bCs/>
                <w:noProof/>
                <w:color w:val="FFFFFF"/>
                <w:sz w:val="18"/>
                <w:szCs w:val="18"/>
              </w:rPr>
              <w:t>60</w:t>
            </w:r>
            <w:r>
              <w:rPr>
                <w:rFonts w:cs="Calibri"/>
                <w:b/>
                <w:bCs/>
                <w:noProof/>
                <w:color w:val="FFFFFF"/>
                <w:sz w:val="18"/>
                <w:szCs w:val="18"/>
              </w:rPr>
              <w:t> </w:t>
            </w:r>
            <w:r>
              <w:rPr>
                <w:rFonts w:cs="Arial"/>
                <w:b/>
                <w:bCs/>
                <w:noProof/>
                <w:color w:val="FFFFFF"/>
                <w:sz w:val="18"/>
                <w:szCs w:val="18"/>
              </w:rPr>
              <w:t>000</w:t>
            </w:r>
          </w:p>
        </w:tc>
        <w:tc>
          <w:tcPr>
            <w:tcW w:w="2016" w:type="dxa"/>
            <w:gridSpan w:val="2"/>
            <w:tcBorders>
              <w:top w:val="single" w:sz="4" w:space="0" w:color="auto"/>
            </w:tcBorders>
            <w:shd w:val="clear" w:color="auto" w:fill="E48C32"/>
            <w:noWrap/>
            <w:vAlign w:val="center"/>
            <w:hideMark/>
          </w:tcPr>
          <w:p>
            <w:pPr>
              <w:jc w:val="right"/>
              <w:rPr>
                <w:rFonts w:eastAsia="Times New Roman" w:cs="Arial"/>
                <w:b/>
                <w:bCs/>
                <w:noProof/>
                <w:color w:val="FFFFFF"/>
                <w:sz w:val="18"/>
                <w:szCs w:val="18"/>
                <w:lang w:eastAsia="en-GB"/>
              </w:rPr>
            </w:pPr>
            <w:r>
              <w:rPr>
                <w:rFonts w:cs="Arial"/>
                <w:b/>
                <w:bCs/>
                <w:noProof/>
                <w:color w:val="FFFFFF"/>
                <w:sz w:val="18"/>
                <w:szCs w:val="18"/>
              </w:rPr>
              <w:t>Number and value (EUR) of waivers below EUR</w:t>
            </w:r>
            <w:r>
              <w:rPr>
                <w:rFonts w:cs="Calibri"/>
                <w:b/>
                <w:bCs/>
                <w:noProof/>
                <w:color w:val="FFFFFF"/>
                <w:sz w:val="18"/>
                <w:szCs w:val="18"/>
              </w:rPr>
              <w:t> </w:t>
            </w:r>
            <w:r>
              <w:rPr>
                <w:rFonts w:cs="Arial"/>
                <w:b/>
                <w:bCs/>
                <w:noProof/>
                <w:color w:val="FFFFFF"/>
                <w:sz w:val="18"/>
                <w:szCs w:val="18"/>
              </w:rPr>
              <w:t>60</w:t>
            </w:r>
            <w:r>
              <w:rPr>
                <w:rFonts w:cs="Calibri"/>
                <w:b/>
                <w:bCs/>
                <w:noProof/>
                <w:color w:val="FFFFFF"/>
                <w:sz w:val="18"/>
                <w:szCs w:val="18"/>
              </w:rPr>
              <w:t> </w:t>
            </w:r>
            <w:r>
              <w:rPr>
                <w:rFonts w:cs="Arial"/>
                <w:b/>
                <w:bCs/>
                <w:noProof/>
                <w:color w:val="FFFFFF"/>
                <w:sz w:val="18"/>
                <w:szCs w:val="18"/>
              </w:rPr>
              <w:t>000</w:t>
            </w:r>
          </w:p>
        </w:tc>
      </w:tr>
      <w:tr>
        <w:trPr>
          <w:trHeight w:val="372"/>
          <w:jc w:val="center"/>
        </w:trPr>
        <w:tc>
          <w:tcPr>
            <w:tcW w:w="1318" w:type="dxa"/>
            <w:shd w:val="clear" w:color="FFFFFF" w:fill="F8FBFC"/>
            <w:noWrap/>
            <w:vAlign w:val="center"/>
            <w:hideMark/>
          </w:tcPr>
          <w:p>
            <w:pPr>
              <w:rPr>
                <w:rFonts w:eastAsia="Times New Roman" w:cs="Arial"/>
                <w:noProof/>
                <w:color w:val="333333"/>
                <w:sz w:val="18"/>
                <w:szCs w:val="18"/>
                <w:lang w:eastAsia="en-GB"/>
              </w:rPr>
            </w:pPr>
          </w:p>
        </w:tc>
        <w:tc>
          <w:tcPr>
            <w:tcW w:w="2137" w:type="dxa"/>
            <w:shd w:val="clear" w:color="FFFFFF" w:fill="F8FBFC"/>
            <w:noWrap/>
            <w:vAlign w:val="center"/>
            <w:hideMark/>
          </w:tcPr>
          <w:p>
            <w:pPr>
              <w:rPr>
                <w:rFonts w:eastAsia="Times New Roman" w:cs="Arial"/>
                <w:noProof/>
                <w:color w:val="333333"/>
                <w:sz w:val="18"/>
                <w:szCs w:val="18"/>
                <w:lang w:eastAsia="en-GB"/>
              </w:rPr>
            </w:pPr>
          </w:p>
        </w:tc>
        <w:tc>
          <w:tcPr>
            <w:tcW w:w="1584" w:type="dxa"/>
            <w:shd w:val="clear" w:color="FFFFFF" w:fill="F8FBFC"/>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882</w:t>
            </w:r>
            <w:r>
              <w:rPr>
                <w:rFonts w:eastAsia="Times New Roman" w:cs="Calibri"/>
                <w:noProof/>
                <w:color w:val="333333"/>
                <w:sz w:val="18"/>
                <w:szCs w:val="18"/>
                <w:lang w:eastAsia="en-GB"/>
              </w:rPr>
              <w:t> </w:t>
            </w:r>
            <w:r>
              <w:rPr>
                <w:rFonts w:eastAsia="Times New Roman" w:cs="Arial"/>
                <w:noProof/>
                <w:color w:val="333333"/>
                <w:sz w:val="18"/>
                <w:szCs w:val="18"/>
                <w:lang w:eastAsia="en-GB"/>
              </w:rPr>
              <w:t>906</w:t>
            </w:r>
          </w:p>
        </w:tc>
        <w:tc>
          <w:tcPr>
            <w:tcW w:w="576" w:type="dxa"/>
            <w:shd w:val="clear" w:color="FFFFFF" w:fill="F8FBFC"/>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4</w:t>
            </w:r>
          </w:p>
        </w:tc>
        <w:tc>
          <w:tcPr>
            <w:tcW w:w="1439" w:type="dxa"/>
            <w:shd w:val="clear" w:color="FFFFFF" w:fill="F8FBFC"/>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847</w:t>
            </w:r>
            <w:r>
              <w:rPr>
                <w:rFonts w:eastAsia="Times New Roman" w:cs="Calibri"/>
                <w:noProof/>
                <w:color w:val="333333"/>
                <w:sz w:val="18"/>
                <w:szCs w:val="18"/>
                <w:lang w:eastAsia="en-GB"/>
              </w:rPr>
              <w:t> </w:t>
            </w:r>
            <w:r>
              <w:rPr>
                <w:rFonts w:eastAsia="Times New Roman" w:cs="Arial"/>
                <w:noProof/>
                <w:color w:val="333333"/>
                <w:sz w:val="18"/>
                <w:szCs w:val="18"/>
                <w:lang w:eastAsia="en-GB"/>
              </w:rPr>
              <w:t>631</w:t>
            </w:r>
          </w:p>
        </w:tc>
        <w:tc>
          <w:tcPr>
            <w:tcW w:w="864" w:type="dxa"/>
            <w:shd w:val="clear" w:color="FFFFFF" w:fill="F8FBFC"/>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5</w:t>
            </w:r>
          </w:p>
        </w:tc>
        <w:tc>
          <w:tcPr>
            <w:tcW w:w="1152" w:type="dxa"/>
            <w:shd w:val="clear" w:color="FFFFFF" w:fill="F8FBFC"/>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35</w:t>
            </w:r>
            <w:r>
              <w:rPr>
                <w:rFonts w:eastAsia="Times New Roman" w:cs="Calibri"/>
                <w:noProof/>
                <w:color w:val="333333"/>
                <w:sz w:val="18"/>
                <w:szCs w:val="18"/>
                <w:lang w:eastAsia="en-GB"/>
              </w:rPr>
              <w:t> </w:t>
            </w:r>
            <w:r>
              <w:rPr>
                <w:rFonts w:eastAsia="Times New Roman" w:cs="Arial"/>
                <w:noProof/>
                <w:color w:val="333333"/>
                <w:sz w:val="18"/>
                <w:szCs w:val="18"/>
                <w:lang w:eastAsia="en-GB"/>
              </w:rPr>
              <w:t>275</w:t>
            </w:r>
          </w:p>
        </w:tc>
      </w:tr>
      <w:tr>
        <w:trPr>
          <w:trHeight w:val="372"/>
          <w:jc w:val="center"/>
        </w:trPr>
        <w:tc>
          <w:tcPr>
            <w:tcW w:w="1318" w:type="dxa"/>
            <w:tcBorders>
              <w:bottom w:val="single" w:sz="4" w:space="0" w:color="auto"/>
            </w:tcBorders>
            <w:shd w:val="clear" w:color="FFFFFF" w:fill="FFFFFF"/>
            <w:noWrap/>
            <w:vAlign w:val="center"/>
            <w:hideMark/>
          </w:tcPr>
          <w:p>
            <w:pPr>
              <w:rPr>
                <w:rFonts w:eastAsia="Times New Roman" w:cs="Arial"/>
                <w:b/>
                <w:bCs/>
                <w:noProof/>
                <w:color w:val="333333"/>
                <w:sz w:val="18"/>
                <w:szCs w:val="18"/>
                <w:lang w:eastAsia="en-GB"/>
              </w:rPr>
            </w:pPr>
            <w:r>
              <w:rPr>
                <w:rFonts w:eastAsia="Times New Roman" w:cs="Arial"/>
                <w:b/>
                <w:bCs/>
                <w:noProof/>
                <w:color w:val="333333"/>
                <w:sz w:val="18"/>
                <w:szCs w:val="18"/>
                <w:lang w:eastAsia="en-GB"/>
              </w:rPr>
              <w:t>European Development Fund</w:t>
            </w:r>
          </w:p>
        </w:tc>
        <w:tc>
          <w:tcPr>
            <w:tcW w:w="2137" w:type="dxa"/>
            <w:tcBorders>
              <w:bottom w:val="single" w:sz="4" w:space="0" w:color="auto"/>
            </w:tcBorders>
            <w:shd w:val="clear" w:color="FFFFFF" w:fill="FFFFFF"/>
            <w:noWrap/>
            <w:vAlign w:val="center"/>
            <w:hideMark/>
          </w:tcPr>
          <w:p>
            <w:pPr>
              <w:rPr>
                <w:rFonts w:eastAsia="Times New Roman" w:cs="Arial"/>
                <w:b/>
                <w:bCs/>
                <w:noProof/>
                <w:color w:val="333333"/>
                <w:sz w:val="18"/>
                <w:szCs w:val="18"/>
                <w:lang w:eastAsia="en-GB"/>
              </w:rPr>
            </w:pPr>
          </w:p>
        </w:tc>
        <w:tc>
          <w:tcPr>
            <w:tcW w:w="1584" w:type="dxa"/>
            <w:tcBorders>
              <w:bottom w:val="single" w:sz="4" w:space="0" w:color="auto"/>
            </w:tcBorders>
            <w:shd w:val="clear" w:color="FFFFFF" w:fill="FFFFFF"/>
            <w:noWrap/>
            <w:vAlign w:val="center"/>
            <w:hideMark/>
          </w:tcPr>
          <w:p>
            <w:pPr>
              <w:jc w:val="right"/>
              <w:rPr>
                <w:rFonts w:eastAsia="Times New Roman" w:cs="Arial"/>
                <w:b/>
                <w:bCs/>
                <w:noProof/>
                <w:color w:val="333333"/>
                <w:sz w:val="18"/>
                <w:szCs w:val="18"/>
                <w:lang w:eastAsia="en-GB"/>
              </w:rPr>
            </w:pPr>
            <w:r>
              <w:rPr>
                <w:rFonts w:eastAsia="Times New Roman" w:cs="Arial"/>
                <w:b/>
                <w:bCs/>
                <w:noProof/>
                <w:color w:val="333333"/>
                <w:sz w:val="18"/>
                <w:szCs w:val="18"/>
                <w:lang w:eastAsia="en-GB"/>
              </w:rPr>
              <w:t>882</w:t>
            </w:r>
            <w:r>
              <w:rPr>
                <w:rFonts w:eastAsia="Times New Roman" w:cs="Calibri"/>
                <w:b/>
                <w:bCs/>
                <w:noProof/>
                <w:color w:val="333333"/>
                <w:sz w:val="18"/>
                <w:szCs w:val="18"/>
                <w:lang w:eastAsia="en-GB"/>
              </w:rPr>
              <w:t> </w:t>
            </w:r>
            <w:r>
              <w:rPr>
                <w:rFonts w:eastAsia="Times New Roman" w:cs="Arial"/>
                <w:b/>
                <w:bCs/>
                <w:noProof/>
                <w:color w:val="333333"/>
                <w:sz w:val="18"/>
                <w:szCs w:val="18"/>
                <w:lang w:eastAsia="en-GB"/>
              </w:rPr>
              <w:t>906</w:t>
            </w:r>
          </w:p>
        </w:tc>
        <w:tc>
          <w:tcPr>
            <w:tcW w:w="576" w:type="dxa"/>
            <w:tcBorders>
              <w:bottom w:val="single" w:sz="4" w:space="0" w:color="auto"/>
            </w:tcBorders>
            <w:shd w:val="clear" w:color="FFFFFF" w:fill="FFFFFF"/>
            <w:noWrap/>
            <w:vAlign w:val="center"/>
            <w:hideMark/>
          </w:tcPr>
          <w:p>
            <w:pPr>
              <w:jc w:val="right"/>
              <w:rPr>
                <w:rFonts w:eastAsia="Times New Roman" w:cs="Arial"/>
                <w:b/>
                <w:bCs/>
                <w:noProof/>
                <w:color w:val="333333"/>
                <w:sz w:val="18"/>
                <w:szCs w:val="18"/>
                <w:lang w:eastAsia="en-GB"/>
              </w:rPr>
            </w:pPr>
            <w:r>
              <w:rPr>
                <w:rFonts w:eastAsia="Times New Roman" w:cs="Arial"/>
                <w:b/>
                <w:bCs/>
                <w:noProof/>
                <w:color w:val="333333"/>
                <w:sz w:val="18"/>
                <w:szCs w:val="18"/>
                <w:lang w:eastAsia="en-GB"/>
              </w:rPr>
              <w:t>4</w:t>
            </w:r>
          </w:p>
        </w:tc>
        <w:tc>
          <w:tcPr>
            <w:tcW w:w="1439" w:type="dxa"/>
            <w:tcBorders>
              <w:bottom w:val="single" w:sz="4" w:space="0" w:color="auto"/>
            </w:tcBorders>
            <w:shd w:val="clear" w:color="FFFFFF" w:fill="FFFFFF"/>
            <w:noWrap/>
            <w:vAlign w:val="center"/>
            <w:hideMark/>
          </w:tcPr>
          <w:p>
            <w:pPr>
              <w:jc w:val="right"/>
              <w:rPr>
                <w:rFonts w:eastAsia="Times New Roman" w:cs="Arial"/>
                <w:b/>
                <w:bCs/>
                <w:noProof/>
                <w:color w:val="333333"/>
                <w:sz w:val="18"/>
                <w:szCs w:val="18"/>
                <w:lang w:eastAsia="en-GB"/>
              </w:rPr>
            </w:pPr>
            <w:r>
              <w:rPr>
                <w:rFonts w:eastAsia="Times New Roman" w:cs="Arial"/>
                <w:b/>
                <w:bCs/>
                <w:noProof/>
                <w:color w:val="333333"/>
                <w:sz w:val="18"/>
                <w:szCs w:val="18"/>
                <w:lang w:eastAsia="en-GB"/>
              </w:rPr>
              <w:t>847</w:t>
            </w:r>
            <w:r>
              <w:rPr>
                <w:rFonts w:eastAsia="Times New Roman" w:cs="Calibri"/>
                <w:b/>
                <w:bCs/>
                <w:noProof/>
                <w:color w:val="333333"/>
                <w:sz w:val="18"/>
                <w:szCs w:val="18"/>
                <w:lang w:eastAsia="en-GB"/>
              </w:rPr>
              <w:t> </w:t>
            </w:r>
            <w:r>
              <w:rPr>
                <w:rFonts w:eastAsia="Times New Roman" w:cs="Arial"/>
                <w:b/>
                <w:bCs/>
                <w:noProof/>
                <w:color w:val="333333"/>
                <w:sz w:val="18"/>
                <w:szCs w:val="18"/>
                <w:lang w:eastAsia="en-GB"/>
              </w:rPr>
              <w:t>631</w:t>
            </w:r>
          </w:p>
        </w:tc>
        <w:tc>
          <w:tcPr>
            <w:tcW w:w="864" w:type="dxa"/>
            <w:tcBorders>
              <w:bottom w:val="single" w:sz="4" w:space="0" w:color="auto"/>
            </w:tcBorders>
            <w:shd w:val="clear" w:color="FFFFFF" w:fill="FFFFFF"/>
            <w:noWrap/>
            <w:vAlign w:val="center"/>
            <w:hideMark/>
          </w:tcPr>
          <w:p>
            <w:pPr>
              <w:jc w:val="right"/>
              <w:rPr>
                <w:rFonts w:eastAsia="Times New Roman" w:cs="Arial"/>
                <w:b/>
                <w:bCs/>
                <w:noProof/>
                <w:color w:val="333333"/>
                <w:sz w:val="18"/>
                <w:szCs w:val="18"/>
                <w:lang w:eastAsia="en-GB"/>
              </w:rPr>
            </w:pPr>
            <w:r>
              <w:rPr>
                <w:rFonts w:eastAsia="Times New Roman" w:cs="Arial"/>
                <w:b/>
                <w:bCs/>
                <w:noProof/>
                <w:color w:val="333333"/>
                <w:sz w:val="18"/>
                <w:szCs w:val="18"/>
                <w:lang w:eastAsia="en-GB"/>
              </w:rPr>
              <w:t>5</w:t>
            </w:r>
          </w:p>
        </w:tc>
        <w:tc>
          <w:tcPr>
            <w:tcW w:w="1152" w:type="dxa"/>
            <w:tcBorders>
              <w:bottom w:val="single" w:sz="4" w:space="0" w:color="auto"/>
            </w:tcBorders>
            <w:shd w:val="clear" w:color="FFFFFF" w:fill="FFFFFF"/>
            <w:noWrap/>
            <w:vAlign w:val="center"/>
            <w:hideMark/>
          </w:tcPr>
          <w:p>
            <w:pPr>
              <w:jc w:val="right"/>
              <w:rPr>
                <w:rFonts w:eastAsia="Times New Roman" w:cs="Arial"/>
                <w:b/>
                <w:bCs/>
                <w:noProof/>
                <w:color w:val="333333"/>
                <w:sz w:val="18"/>
                <w:szCs w:val="18"/>
                <w:lang w:eastAsia="en-GB"/>
              </w:rPr>
            </w:pPr>
            <w:r>
              <w:rPr>
                <w:rFonts w:eastAsia="Times New Roman" w:cs="Arial"/>
                <w:b/>
                <w:bCs/>
                <w:noProof/>
                <w:color w:val="333333"/>
                <w:sz w:val="18"/>
                <w:szCs w:val="18"/>
                <w:lang w:eastAsia="en-GB"/>
              </w:rPr>
              <w:t>35</w:t>
            </w:r>
            <w:r>
              <w:rPr>
                <w:rFonts w:eastAsia="Times New Roman" w:cs="Calibri"/>
                <w:b/>
                <w:bCs/>
                <w:noProof/>
                <w:color w:val="333333"/>
                <w:sz w:val="18"/>
                <w:szCs w:val="18"/>
                <w:lang w:eastAsia="en-GB"/>
              </w:rPr>
              <w:t> </w:t>
            </w:r>
            <w:r>
              <w:rPr>
                <w:rFonts w:eastAsia="Times New Roman" w:cs="Arial"/>
                <w:b/>
                <w:bCs/>
                <w:noProof/>
                <w:color w:val="333333"/>
                <w:sz w:val="18"/>
                <w:szCs w:val="18"/>
                <w:lang w:eastAsia="en-GB"/>
              </w:rPr>
              <w:t>275</w:t>
            </w:r>
          </w:p>
        </w:tc>
      </w:tr>
      <w:tr>
        <w:trPr>
          <w:trHeight w:val="210"/>
          <w:jc w:val="center"/>
        </w:trPr>
        <w:tc>
          <w:tcPr>
            <w:tcW w:w="1318" w:type="dxa"/>
            <w:tcBorders>
              <w:left w:val="single" w:sz="4" w:space="0" w:color="auto"/>
              <w:bottom w:val="single" w:sz="4" w:space="0" w:color="auto"/>
              <w:right w:val="nil"/>
            </w:tcBorders>
            <w:shd w:val="clear" w:color="FFFFFF" w:fill="FFFFFF"/>
            <w:noWrap/>
            <w:vAlign w:val="center"/>
            <w:hideMark/>
          </w:tcPr>
          <w:p>
            <w:pPr>
              <w:rPr>
                <w:rFonts w:eastAsia="Times New Roman" w:cs="Arial"/>
                <w:b/>
                <w:bCs/>
                <w:noProof/>
                <w:color w:val="333333"/>
                <w:sz w:val="18"/>
                <w:szCs w:val="18"/>
                <w:lang w:eastAsia="en-GB"/>
              </w:rPr>
            </w:pPr>
          </w:p>
        </w:tc>
        <w:tc>
          <w:tcPr>
            <w:tcW w:w="2137" w:type="dxa"/>
            <w:tcBorders>
              <w:left w:val="nil"/>
              <w:bottom w:val="single" w:sz="4" w:space="0" w:color="auto"/>
              <w:right w:val="nil"/>
            </w:tcBorders>
            <w:shd w:val="clear" w:color="FFFFFF" w:fill="FFFFFF"/>
            <w:noWrap/>
            <w:vAlign w:val="center"/>
            <w:hideMark/>
          </w:tcPr>
          <w:p>
            <w:pPr>
              <w:rPr>
                <w:rFonts w:eastAsia="Times New Roman" w:cs="Arial"/>
                <w:b/>
                <w:bCs/>
                <w:noProof/>
                <w:color w:val="333333"/>
                <w:sz w:val="18"/>
                <w:szCs w:val="18"/>
                <w:lang w:eastAsia="en-GB"/>
              </w:rPr>
            </w:pPr>
          </w:p>
        </w:tc>
        <w:tc>
          <w:tcPr>
            <w:tcW w:w="1584" w:type="dxa"/>
            <w:tcBorders>
              <w:left w:val="nil"/>
              <w:bottom w:val="single" w:sz="4" w:space="0" w:color="auto"/>
              <w:right w:val="nil"/>
            </w:tcBorders>
            <w:shd w:val="clear" w:color="FFFFFF" w:fill="FFFFFF"/>
            <w:noWrap/>
            <w:vAlign w:val="center"/>
            <w:hideMark/>
          </w:tcPr>
          <w:p>
            <w:pPr>
              <w:jc w:val="right"/>
              <w:rPr>
                <w:rFonts w:eastAsia="Times New Roman" w:cs="Arial"/>
                <w:b/>
                <w:bCs/>
                <w:noProof/>
                <w:color w:val="333333"/>
                <w:sz w:val="18"/>
                <w:szCs w:val="18"/>
                <w:lang w:eastAsia="en-GB"/>
              </w:rPr>
            </w:pPr>
          </w:p>
        </w:tc>
        <w:tc>
          <w:tcPr>
            <w:tcW w:w="576" w:type="dxa"/>
            <w:tcBorders>
              <w:left w:val="nil"/>
              <w:bottom w:val="single" w:sz="4" w:space="0" w:color="auto"/>
              <w:right w:val="nil"/>
            </w:tcBorders>
            <w:shd w:val="clear" w:color="FFFFFF" w:fill="FFFFFF"/>
            <w:noWrap/>
            <w:vAlign w:val="center"/>
            <w:hideMark/>
          </w:tcPr>
          <w:p>
            <w:pPr>
              <w:jc w:val="right"/>
              <w:rPr>
                <w:rFonts w:eastAsia="Times New Roman" w:cs="Arial"/>
                <w:b/>
                <w:bCs/>
                <w:noProof/>
                <w:color w:val="333333"/>
                <w:sz w:val="18"/>
                <w:szCs w:val="18"/>
                <w:lang w:eastAsia="en-GB"/>
              </w:rPr>
            </w:pPr>
          </w:p>
        </w:tc>
        <w:tc>
          <w:tcPr>
            <w:tcW w:w="1439" w:type="dxa"/>
            <w:tcBorders>
              <w:left w:val="nil"/>
              <w:bottom w:val="single" w:sz="4" w:space="0" w:color="auto"/>
              <w:right w:val="nil"/>
            </w:tcBorders>
            <w:shd w:val="clear" w:color="FFFFFF" w:fill="FFFFFF"/>
            <w:noWrap/>
            <w:vAlign w:val="center"/>
            <w:hideMark/>
          </w:tcPr>
          <w:p>
            <w:pPr>
              <w:jc w:val="right"/>
              <w:rPr>
                <w:rFonts w:eastAsia="Times New Roman" w:cs="Arial"/>
                <w:b/>
                <w:bCs/>
                <w:noProof/>
                <w:color w:val="333333"/>
                <w:sz w:val="18"/>
                <w:szCs w:val="18"/>
                <w:lang w:eastAsia="en-GB"/>
              </w:rPr>
            </w:pPr>
          </w:p>
        </w:tc>
        <w:tc>
          <w:tcPr>
            <w:tcW w:w="864" w:type="dxa"/>
            <w:tcBorders>
              <w:left w:val="nil"/>
              <w:bottom w:val="single" w:sz="4" w:space="0" w:color="auto"/>
              <w:right w:val="nil"/>
            </w:tcBorders>
            <w:shd w:val="clear" w:color="FFFFFF" w:fill="FFFFFF"/>
            <w:noWrap/>
            <w:vAlign w:val="center"/>
            <w:hideMark/>
          </w:tcPr>
          <w:p>
            <w:pPr>
              <w:jc w:val="right"/>
              <w:rPr>
                <w:rFonts w:eastAsia="Times New Roman" w:cs="Arial"/>
                <w:b/>
                <w:bCs/>
                <w:noProof/>
                <w:color w:val="333333"/>
                <w:sz w:val="18"/>
                <w:szCs w:val="18"/>
                <w:lang w:eastAsia="en-GB"/>
              </w:rPr>
            </w:pPr>
          </w:p>
        </w:tc>
        <w:tc>
          <w:tcPr>
            <w:tcW w:w="1152" w:type="dxa"/>
            <w:tcBorders>
              <w:left w:val="nil"/>
              <w:bottom w:val="single" w:sz="4" w:space="0" w:color="auto"/>
              <w:right w:val="single" w:sz="4" w:space="0" w:color="auto"/>
            </w:tcBorders>
            <w:shd w:val="clear" w:color="FFFFFF" w:fill="FFFFFF"/>
            <w:noWrap/>
            <w:vAlign w:val="center"/>
            <w:hideMark/>
          </w:tcPr>
          <w:p>
            <w:pPr>
              <w:jc w:val="right"/>
              <w:rPr>
                <w:rFonts w:eastAsia="Times New Roman" w:cs="Arial"/>
                <w:b/>
                <w:bCs/>
                <w:noProof/>
                <w:color w:val="333333"/>
                <w:sz w:val="18"/>
                <w:szCs w:val="18"/>
                <w:lang w:eastAsia="en-GB"/>
              </w:rPr>
            </w:pPr>
          </w:p>
        </w:tc>
      </w:tr>
      <w:tr>
        <w:trPr>
          <w:trHeight w:val="455"/>
          <w:jc w:val="center"/>
        </w:trPr>
        <w:tc>
          <w:tcPr>
            <w:tcW w:w="1318" w:type="dxa"/>
            <w:shd w:val="clear" w:color="auto" w:fill="E48C32"/>
            <w:noWrap/>
            <w:vAlign w:val="center"/>
            <w:hideMark/>
          </w:tcPr>
          <w:p>
            <w:pPr>
              <w:rPr>
                <w:rFonts w:eastAsia="Times New Roman" w:cs="Arial"/>
                <w:b/>
                <w:bCs/>
                <w:noProof/>
                <w:color w:val="FFFFFF"/>
                <w:sz w:val="18"/>
                <w:szCs w:val="18"/>
                <w:lang w:eastAsia="en-GB"/>
              </w:rPr>
            </w:pPr>
            <w:r>
              <w:rPr>
                <w:rFonts w:cs="Arial"/>
                <w:b/>
                <w:bCs/>
                <w:noProof/>
                <w:color w:val="FFFFFF"/>
                <w:sz w:val="18"/>
                <w:szCs w:val="18"/>
              </w:rPr>
              <w:t>Guarantee Funds</w:t>
            </w:r>
          </w:p>
        </w:tc>
        <w:tc>
          <w:tcPr>
            <w:tcW w:w="2137" w:type="dxa"/>
            <w:shd w:val="clear" w:color="auto" w:fill="E48C32"/>
            <w:noWrap/>
            <w:vAlign w:val="center"/>
            <w:hideMark/>
          </w:tcPr>
          <w:p>
            <w:pPr>
              <w:rPr>
                <w:rFonts w:eastAsia="Times New Roman" w:cs="Arial"/>
                <w:b/>
                <w:bCs/>
                <w:noProof/>
                <w:color w:val="FFFFFF"/>
                <w:sz w:val="18"/>
                <w:szCs w:val="18"/>
                <w:lang w:eastAsia="en-GB"/>
              </w:rPr>
            </w:pPr>
          </w:p>
        </w:tc>
        <w:tc>
          <w:tcPr>
            <w:tcW w:w="1584" w:type="dxa"/>
            <w:shd w:val="clear" w:color="auto" w:fill="E48C32"/>
            <w:noWrap/>
            <w:vAlign w:val="center"/>
            <w:hideMark/>
          </w:tcPr>
          <w:p>
            <w:pPr>
              <w:jc w:val="right"/>
              <w:rPr>
                <w:rFonts w:eastAsia="Times New Roman" w:cs="Arial"/>
                <w:b/>
                <w:bCs/>
                <w:noProof/>
                <w:color w:val="FFFFFF"/>
                <w:sz w:val="18"/>
                <w:szCs w:val="18"/>
                <w:lang w:eastAsia="en-GB"/>
              </w:rPr>
            </w:pPr>
            <w:r>
              <w:rPr>
                <w:rFonts w:cs="Arial"/>
                <w:b/>
                <w:bCs/>
                <w:noProof/>
                <w:color w:val="FFFFFF"/>
                <w:sz w:val="18"/>
                <w:szCs w:val="18"/>
              </w:rPr>
              <w:t>Value of waivers (EUR)</w:t>
            </w:r>
          </w:p>
        </w:tc>
        <w:tc>
          <w:tcPr>
            <w:tcW w:w="2015" w:type="dxa"/>
            <w:gridSpan w:val="2"/>
            <w:shd w:val="clear" w:color="auto" w:fill="E48C32"/>
            <w:noWrap/>
            <w:vAlign w:val="center"/>
            <w:hideMark/>
          </w:tcPr>
          <w:p>
            <w:pPr>
              <w:jc w:val="right"/>
              <w:rPr>
                <w:rFonts w:eastAsia="Times New Roman" w:cs="Arial"/>
                <w:b/>
                <w:bCs/>
                <w:noProof/>
                <w:color w:val="FFFFFF"/>
                <w:sz w:val="18"/>
                <w:szCs w:val="18"/>
                <w:lang w:eastAsia="en-GB"/>
              </w:rPr>
            </w:pPr>
            <w:r>
              <w:rPr>
                <w:rFonts w:cs="Arial"/>
                <w:b/>
                <w:bCs/>
                <w:noProof/>
                <w:color w:val="FFFFFF"/>
                <w:sz w:val="18"/>
                <w:szCs w:val="18"/>
              </w:rPr>
              <w:t>Number and value (EUR) of waivers above EUR</w:t>
            </w:r>
            <w:r>
              <w:rPr>
                <w:rFonts w:cs="Calibri"/>
                <w:b/>
                <w:bCs/>
                <w:noProof/>
                <w:color w:val="FFFFFF"/>
                <w:sz w:val="18"/>
                <w:szCs w:val="18"/>
              </w:rPr>
              <w:t> </w:t>
            </w:r>
            <w:r>
              <w:rPr>
                <w:rFonts w:cs="Arial"/>
                <w:b/>
                <w:bCs/>
                <w:noProof/>
                <w:color w:val="FFFFFF"/>
                <w:sz w:val="18"/>
                <w:szCs w:val="18"/>
              </w:rPr>
              <w:t>60</w:t>
            </w:r>
            <w:r>
              <w:rPr>
                <w:rFonts w:cs="Calibri"/>
                <w:b/>
                <w:bCs/>
                <w:noProof/>
                <w:color w:val="FFFFFF"/>
                <w:sz w:val="18"/>
                <w:szCs w:val="18"/>
              </w:rPr>
              <w:t> </w:t>
            </w:r>
            <w:r>
              <w:rPr>
                <w:rFonts w:cs="Arial"/>
                <w:b/>
                <w:bCs/>
                <w:noProof/>
                <w:color w:val="FFFFFF"/>
                <w:sz w:val="18"/>
                <w:szCs w:val="18"/>
              </w:rPr>
              <w:t>000</w:t>
            </w:r>
          </w:p>
        </w:tc>
        <w:tc>
          <w:tcPr>
            <w:tcW w:w="2016" w:type="dxa"/>
            <w:gridSpan w:val="2"/>
            <w:shd w:val="clear" w:color="auto" w:fill="E48C32"/>
            <w:noWrap/>
            <w:vAlign w:val="center"/>
            <w:hideMark/>
          </w:tcPr>
          <w:p>
            <w:pPr>
              <w:jc w:val="right"/>
              <w:rPr>
                <w:rFonts w:eastAsia="Times New Roman" w:cs="Arial"/>
                <w:b/>
                <w:bCs/>
                <w:noProof/>
                <w:color w:val="FFFFFF"/>
                <w:sz w:val="18"/>
                <w:szCs w:val="18"/>
                <w:lang w:eastAsia="en-GB"/>
              </w:rPr>
            </w:pPr>
            <w:r>
              <w:rPr>
                <w:rFonts w:cs="Arial"/>
                <w:b/>
                <w:bCs/>
                <w:noProof/>
                <w:color w:val="FFFFFF"/>
                <w:sz w:val="18"/>
                <w:szCs w:val="18"/>
              </w:rPr>
              <w:t>Number and value (EUR) of waivers below EUR</w:t>
            </w:r>
            <w:r>
              <w:rPr>
                <w:rFonts w:cs="Calibri"/>
                <w:b/>
                <w:bCs/>
                <w:noProof/>
                <w:color w:val="FFFFFF"/>
                <w:sz w:val="18"/>
                <w:szCs w:val="18"/>
              </w:rPr>
              <w:t> </w:t>
            </w:r>
            <w:r>
              <w:rPr>
                <w:rFonts w:cs="Arial"/>
                <w:b/>
                <w:bCs/>
                <w:noProof/>
                <w:color w:val="FFFFFF"/>
                <w:sz w:val="18"/>
                <w:szCs w:val="18"/>
              </w:rPr>
              <w:t>60</w:t>
            </w:r>
            <w:r>
              <w:rPr>
                <w:rFonts w:cs="Calibri"/>
                <w:b/>
                <w:bCs/>
                <w:noProof/>
                <w:color w:val="FFFFFF"/>
                <w:sz w:val="18"/>
                <w:szCs w:val="18"/>
              </w:rPr>
              <w:t> </w:t>
            </w:r>
            <w:r>
              <w:rPr>
                <w:rFonts w:cs="Arial"/>
                <w:b/>
                <w:bCs/>
                <w:noProof/>
                <w:color w:val="FFFFFF"/>
                <w:sz w:val="18"/>
                <w:szCs w:val="18"/>
              </w:rPr>
              <w:t>000</w:t>
            </w:r>
          </w:p>
        </w:tc>
      </w:tr>
      <w:tr>
        <w:trPr>
          <w:trHeight w:val="372"/>
          <w:jc w:val="center"/>
        </w:trPr>
        <w:tc>
          <w:tcPr>
            <w:tcW w:w="1318" w:type="dxa"/>
            <w:shd w:val="clear" w:color="FFFFFF" w:fill="FFFFFF"/>
            <w:noWrap/>
            <w:vAlign w:val="center"/>
            <w:hideMark/>
          </w:tcPr>
          <w:p>
            <w:pPr>
              <w:rPr>
                <w:rFonts w:eastAsia="Times New Roman" w:cs="Arial"/>
                <w:noProof/>
                <w:color w:val="333333"/>
                <w:sz w:val="18"/>
                <w:szCs w:val="18"/>
                <w:lang w:eastAsia="en-GB"/>
              </w:rPr>
            </w:pPr>
          </w:p>
        </w:tc>
        <w:tc>
          <w:tcPr>
            <w:tcW w:w="2137" w:type="dxa"/>
            <w:shd w:val="clear" w:color="FFFFFF" w:fill="FFFFFF"/>
            <w:noWrap/>
            <w:vAlign w:val="center"/>
            <w:hideMark/>
          </w:tcPr>
          <w:p>
            <w:pPr>
              <w:rPr>
                <w:rFonts w:eastAsia="Times New Roman" w:cs="Arial"/>
                <w:noProof/>
                <w:color w:val="333333"/>
                <w:sz w:val="18"/>
                <w:szCs w:val="18"/>
                <w:lang w:eastAsia="en-GB"/>
              </w:rPr>
            </w:pPr>
          </w:p>
        </w:tc>
        <w:tc>
          <w:tcPr>
            <w:tcW w:w="1584" w:type="dxa"/>
            <w:shd w:val="clear" w:color="FFFFFF" w:fill="FFFFFF"/>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6</w:t>
            </w:r>
            <w:r>
              <w:rPr>
                <w:rFonts w:eastAsia="Times New Roman" w:cs="Calibri"/>
                <w:noProof/>
                <w:color w:val="333333"/>
                <w:sz w:val="18"/>
                <w:szCs w:val="18"/>
                <w:lang w:eastAsia="en-GB"/>
              </w:rPr>
              <w:t> </w:t>
            </w:r>
            <w:r>
              <w:rPr>
                <w:rFonts w:eastAsia="Times New Roman" w:cs="Arial"/>
                <w:noProof/>
                <w:color w:val="333333"/>
                <w:sz w:val="18"/>
                <w:szCs w:val="18"/>
                <w:lang w:eastAsia="en-GB"/>
              </w:rPr>
              <w:t>420</w:t>
            </w:r>
            <w:r>
              <w:rPr>
                <w:rFonts w:eastAsia="Times New Roman" w:cs="Calibri"/>
                <w:noProof/>
                <w:color w:val="333333"/>
                <w:sz w:val="18"/>
                <w:szCs w:val="18"/>
                <w:lang w:eastAsia="en-GB"/>
              </w:rPr>
              <w:t> </w:t>
            </w:r>
            <w:r>
              <w:rPr>
                <w:rFonts w:eastAsia="Times New Roman" w:cs="Arial"/>
                <w:noProof/>
                <w:color w:val="333333"/>
                <w:sz w:val="18"/>
                <w:szCs w:val="18"/>
                <w:lang w:eastAsia="en-GB"/>
              </w:rPr>
              <w:t>093</w:t>
            </w:r>
          </w:p>
        </w:tc>
        <w:tc>
          <w:tcPr>
            <w:tcW w:w="576" w:type="dxa"/>
            <w:shd w:val="clear" w:color="FFFFFF" w:fill="FFFFFF"/>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21</w:t>
            </w:r>
          </w:p>
        </w:tc>
        <w:tc>
          <w:tcPr>
            <w:tcW w:w="1439" w:type="dxa"/>
            <w:shd w:val="clear" w:color="FFFFFF" w:fill="FFFFFF"/>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5</w:t>
            </w:r>
            <w:r>
              <w:rPr>
                <w:rFonts w:eastAsia="Times New Roman" w:cs="Calibri"/>
                <w:noProof/>
                <w:color w:val="333333"/>
                <w:sz w:val="18"/>
                <w:szCs w:val="18"/>
                <w:lang w:eastAsia="en-GB"/>
              </w:rPr>
              <w:t> </w:t>
            </w:r>
            <w:r>
              <w:rPr>
                <w:rFonts w:eastAsia="Times New Roman" w:cs="Arial"/>
                <w:noProof/>
                <w:color w:val="333333"/>
                <w:sz w:val="18"/>
                <w:szCs w:val="18"/>
                <w:lang w:eastAsia="en-GB"/>
              </w:rPr>
              <w:t>816</w:t>
            </w:r>
            <w:r>
              <w:rPr>
                <w:rFonts w:eastAsia="Times New Roman" w:cs="Calibri"/>
                <w:noProof/>
                <w:color w:val="333333"/>
                <w:sz w:val="18"/>
                <w:szCs w:val="18"/>
                <w:lang w:eastAsia="en-GB"/>
              </w:rPr>
              <w:t> </w:t>
            </w:r>
            <w:r>
              <w:rPr>
                <w:rFonts w:eastAsia="Times New Roman" w:cs="Arial"/>
                <w:noProof/>
                <w:color w:val="333333"/>
                <w:sz w:val="18"/>
                <w:szCs w:val="18"/>
                <w:lang w:eastAsia="en-GB"/>
              </w:rPr>
              <w:t>204</w:t>
            </w:r>
          </w:p>
        </w:tc>
        <w:tc>
          <w:tcPr>
            <w:tcW w:w="864" w:type="dxa"/>
            <w:shd w:val="clear" w:color="FFFFFF" w:fill="FFFFFF"/>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34</w:t>
            </w:r>
          </w:p>
        </w:tc>
        <w:tc>
          <w:tcPr>
            <w:tcW w:w="1152" w:type="dxa"/>
            <w:shd w:val="clear" w:color="FFFFFF" w:fill="FFFFFF"/>
            <w:noWrap/>
            <w:vAlign w:val="center"/>
            <w:hideMark/>
          </w:tcPr>
          <w:p>
            <w:pPr>
              <w:jc w:val="right"/>
              <w:rPr>
                <w:rFonts w:eastAsia="Times New Roman" w:cs="Arial"/>
                <w:noProof/>
                <w:color w:val="333333"/>
                <w:sz w:val="18"/>
                <w:szCs w:val="18"/>
                <w:lang w:eastAsia="en-GB"/>
              </w:rPr>
            </w:pPr>
            <w:r>
              <w:rPr>
                <w:rFonts w:eastAsia="Times New Roman" w:cs="Arial"/>
                <w:noProof/>
                <w:color w:val="333333"/>
                <w:sz w:val="18"/>
                <w:szCs w:val="18"/>
                <w:lang w:eastAsia="en-GB"/>
              </w:rPr>
              <w:t>603</w:t>
            </w:r>
            <w:r>
              <w:rPr>
                <w:rFonts w:eastAsia="Times New Roman" w:cs="Calibri"/>
                <w:noProof/>
                <w:color w:val="333333"/>
                <w:sz w:val="18"/>
                <w:szCs w:val="18"/>
                <w:lang w:eastAsia="en-GB"/>
              </w:rPr>
              <w:t> </w:t>
            </w:r>
            <w:r>
              <w:rPr>
                <w:rFonts w:eastAsia="Times New Roman" w:cs="Arial"/>
                <w:noProof/>
                <w:color w:val="333333"/>
                <w:sz w:val="18"/>
                <w:szCs w:val="18"/>
                <w:lang w:eastAsia="en-GB"/>
              </w:rPr>
              <w:t>889</w:t>
            </w:r>
          </w:p>
        </w:tc>
      </w:tr>
      <w:tr>
        <w:trPr>
          <w:trHeight w:val="372"/>
          <w:jc w:val="center"/>
        </w:trPr>
        <w:tc>
          <w:tcPr>
            <w:tcW w:w="1318" w:type="dxa"/>
            <w:shd w:val="clear" w:color="FFFFFF" w:fill="FFFFFF"/>
            <w:noWrap/>
            <w:vAlign w:val="center"/>
            <w:hideMark/>
          </w:tcPr>
          <w:p>
            <w:pPr>
              <w:rPr>
                <w:rFonts w:eastAsia="Times New Roman" w:cs="Arial"/>
                <w:b/>
                <w:bCs/>
                <w:noProof/>
                <w:color w:val="333333"/>
                <w:sz w:val="18"/>
                <w:szCs w:val="18"/>
                <w:lang w:eastAsia="en-GB"/>
              </w:rPr>
            </w:pPr>
            <w:r>
              <w:rPr>
                <w:rFonts w:eastAsia="Times New Roman" w:cs="Arial"/>
                <w:b/>
                <w:bCs/>
                <w:noProof/>
                <w:color w:val="333333"/>
                <w:sz w:val="18"/>
                <w:szCs w:val="18"/>
                <w:lang w:eastAsia="en-GB"/>
              </w:rPr>
              <w:t>Guarantee Funds</w:t>
            </w:r>
          </w:p>
        </w:tc>
        <w:tc>
          <w:tcPr>
            <w:tcW w:w="2137" w:type="dxa"/>
            <w:shd w:val="clear" w:color="FFFFFF" w:fill="FFFFFF"/>
            <w:noWrap/>
            <w:vAlign w:val="center"/>
            <w:hideMark/>
          </w:tcPr>
          <w:p>
            <w:pPr>
              <w:rPr>
                <w:rFonts w:eastAsia="Times New Roman" w:cs="Arial"/>
                <w:b/>
                <w:bCs/>
                <w:noProof/>
                <w:color w:val="333333"/>
                <w:sz w:val="18"/>
                <w:szCs w:val="18"/>
                <w:lang w:eastAsia="en-GB"/>
              </w:rPr>
            </w:pPr>
          </w:p>
        </w:tc>
        <w:tc>
          <w:tcPr>
            <w:tcW w:w="1584" w:type="dxa"/>
            <w:shd w:val="clear" w:color="FFFFFF" w:fill="FFFFFF"/>
            <w:noWrap/>
            <w:vAlign w:val="center"/>
            <w:hideMark/>
          </w:tcPr>
          <w:p>
            <w:pPr>
              <w:jc w:val="right"/>
              <w:rPr>
                <w:rFonts w:eastAsia="Times New Roman" w:cs="Arial"/>
                <w:b/>
                <w:bCs/>
                <w:noProof/>
                <w:color w:val="333333"/>
                <w:sz w:val="18"/>
                <w:szCs w:val="18"/>
                <w:lang w:eastAsia="en-GB"/>
              </w:rPr>
            </w:pPr>
            <w:r>
              <w:rPr>
                <w:rFonts w:eastAsia="Times New Roman" w:cs="Arial"/>
                <w:b/>
                <w:bCs/>
                <w:noProof/>
                <w:color w:val="333333"/>
                <w:sz w:val="18"/>
                <w:szCs w:val="18"/>
                <w:lang w:eastAsia="en-GB"/>
              </w:rPr>
              <w:t>6</w:t>
            </w:r>
            <w:r>
              <w:rPr>
                <w:rFonts w:eastAsia="Times New Roman" w:cs="Calibri"/>
                <w:b/>
                <w:bCs/>
                <w:noProof/>
                <w:color w:val="333333"/>
                <w:sz w:val="18"/>
                <w:szCs w:val="18"/>
                <w:lang w:eastAsia="en-GB"/>
              </w:rPr>
              <w:t> </w:t>
            </w:r>
            <w:r>
              <w:rPr>
                <w:rFonts w:eastAsia="Times New Roman" w:cs="Arial"/>
                <w:b/>
                <w:bCs/>
                <w:noProof/>
                <w:color w:val="333333"/>
                <w:sz w:val="18"/>
                <w:szCs w:val="18"/>
                <w:lang w:eastAsia="en-GB"/>
              </w:rPr>
              <w:t>420</w:t>
            </w:r>
            <w:r>
              <w:rPr>
                <w:rFonts w:eastAsia="Times New Roman" w:cs="Calibri"/>
                <w:b/>
                <w:bCs/>
                <w:noProof/>
                <w:color w:val="333333"/>
                <w:sz w:val="18"/>
                <w:szCs w:val="18"/>
                <w:lang w:eastAsia="en-GB"/>
              </w:rPr>
              <w:t> </w:t>
            </w:r>
            <w:r>
              <w:rPr>
                <w:rFonts w:eastAsia="Times New Roman" w:cs="Arial"/>
                <w:b/>
                <w:bCs/>
                <w:noProof/>
                <w:color w:val="333333"/>
                <w:sz w:val="18"/>
                <w:szCs w:val="18"/>
                <w:lang w:eastAsia="en-GB"/>
              </w:rPr>
              <w:t>093</w:t>
            </w:r>
          </w:p>
        </w:tc>
        <w:tc>
          <w:tcPr>
            <w:tcW w:w="576" w:type="dxa"/>
            <w:shd w:val="clear" w:color="FFFFFF" w:fill="FFFFFF"/>
            <w:noWrap/>
            <w:vAlign w:val="center"/>
            <w:hideMark/>
          </w:tcPr>
          <w:p>
            <w:pPr>
              <w:jc w:val="right"/>
              <w:rPr>
                <w:rFonts w:eastAsia="Times New Roman" w:cs="Arial"/>
                <w:b/>
                <w:bCs/>
                <w:noProof/>
                <w:color w:val="333333"/>
                <w:sz w:val="18"/>
                <w:szCs w:val="18"/>
                <w:lang w:eastAsia="en-GB"/>
              </w:rPr>
            </w:pPr>
            <w:r>
              <w:rPr>
                <w:rFonts w:eastAsia="Times New Roman" w:cs="Arial"/>
                <w:b/>
                <w:bCs/>
                <w:noProof/>
                <w:color w:val="333333"/>
                <w:sz w:val="18"/>
                <w:szCs w:val="18"/>
                <w:lang w:eastAsia="en-GB"/>
              </w:rPr>
              <w:t>21</w:t>
            </w:r>
          </w:p>
        </w:tc>
        <w:tc>
          <w:tcPr>
            <w:tcW w:w="1439" w:type="dxa"/>
            <w:shd w:val="clear" w:color="FFFFFF" w:fill="FFFFFF"/>
            <w:noWrap/>
            <w:vAlign w:val="center"/>
            <w:hideMark/>
          </w:tcPr>
          <w:p>
            <w:pPr>
              <w:jc w:val="right"/>
              <w:rPr>
                <w:rFonts w:eastAsia="Times New Roman" w:cs="Arial"/>
                <w:b/>
                <w:bCs/>
                <w:noProof/>
                <w:color w:val="333333"/>
                <w:sz w:val="18"/>
                <w:szCs w:val="18"/>
                <w:lang w:eastAsia="en-GB"/>
              </w:rPr>
            </w:pPr>
            <w:r>
              <w:rPr>
                <w:rFonts w:eastAsia="Times New Roman" w:cs="Arial"/>
                <w:b/>
                <w:bCs/>
                <w:noProof/>
                <w:color w:val="333333"/>
                <w:sz w:val="18"/>
                <w:szCs w:val="18"/>
                <w:lang w:eastAsia="en-GB"/>
              </w:rPr>
              <w:t>5</w:t>
            </w:r>
            <w:r>
              <w:rPr>
                <w:rFonts w:eastAsia="Times New Roman" w:cs="Calibri"/>
                <w:b/>
                <w:bCs/>
                <w:noProof/>
                <w:color w:val="333333"/>
                <w:sz w:val="18"/>
                <w:szCs w:val="18"/>
                <w:lang w:eastAsia="en-GB"/>
              </w:rPr>
              <w:t> </w:t>
            </w:r>
            <w:r>
              <w:rPr>
                <w:rFonts w:eastAsia="Times New Roman" w:cs="Arial"/>
                <w:b/>
                <w:bCs/>
                <w:noProof/>
                <w:color w:val="333333"/>
                <w:sz w:val="18"/>
                <w:szCs w:val="18"/>
                <w:lang w:eastAsia="en-GB"/>
              </w:rPr>
              <w:t>816</w:t>
            </w:r>
            <w:r>
              <w:rPr>
                <w:rFonts w:eastAsia="Times New Roman" w:cs="Calibri"/>
                <w:b/>
                <w:bCs/>
                <w:noProof/>
                <w:color w:val="333333"/>
                <w:sz w:val="18"/>
                <w:szCs w:val="18"/>
                <w:lang w:eastAsia="en-GB"/>
              </w:rPr>
              <w:t> </w:t>
            </w:r>
            <w:r>
              <w:rPr>
                <w:rFonts w:eastAsia="Times New Roman" w:cs="Arial"/>
                <w:b/>
                <w:bCs/>
                <w:noProof/>
                <w:color w:val="333333"/>
                <w:sz w:val="18"/>
                <w:szCs w:val="18"/>
                <w:lang w:eastAsia="en-GB"/>
              </w:rPr>
              <w:t>204</w:t>
            </w:r>
          </w:p>
        </w:tc>
        <w:tc>
          <w:tcPr>
            <w:tcW w:w="864" w:type="dxa"/>
            <w:shd w:val="clear" w:color="FFFFFF" w:fill="FFFFFF"/>
            <w:noWrap/>
            <w:vAlign w:val="center"/>
            <w:hideMark/>
          </w:tcPr>
          <w:p>
            <w:pPr>
              <w:jc w:val="right"/>
              <w:rPr>
                <w:rFonts w:eastAsia="Times New Roman" w:cs="Arial"/>
                <w:b/>
                <w:bCs/>
                <w:noProof/>
                <w:color w:val="333333"/>
                <w:sz w:val="18"/>
                <w:szCs w:val="18"/>
                <w:lang w:eastAsia="en-GB"/>
              </w:rPr>
            </w:pPr>
            <w:r>
              <w:rPr>
                <w:rFonts w:eastAsia="Times New Roman" w:cs="Arial"/>
                <w:b/>
                <w:bCs/>
                <w:noProof/>
                <w:color w:val="333333"/>
                <w:sz w:val="18"/>
                <w:szCs w:val="18"/>
                <w:lang w:eastAsia="en-GB"/>
              </w:rPr>
              <w:t>34</w:t>
            </w:r>
          </w:p>
        </w:tc>
        <w:tc>
          <w:tcPr>
            <w:tcW w:w="1152" w:type="dxa"/>
            <w:shd w:val="clear" w:color="FFFFFF" w:fill="FFFFFF"/>
            <w:noWrap/>
            <w:vAlign w:val="center"/>
            <w:hideMark/>
          </w:tcPr>
          <w:p>
            <w:pPr>
              <w:jc w:val="right"/>
              <w:rPr>
                <w:rFonts w:eastAsia="Times New Roman" w:cs="Arial"/>
                <w:b/>
                <w:bCs/>
                <w:noProof/>
                <w:color w:val="333333"/>
                <w:sz w:val="18"/>
                <w:szCs w:val="18"/>
                <w:lang w:eastAsia="en-GB"/>
              </w:rPr>
            </w:pPr>
            <w:r>
              <w:rPr>
                <w:rFonts w:eastAsia="Times New Roman" w:cs="Arial"/>
                <w:b/>
                <w:bCs/>
                <w:noProof/>
                <w:color w:val="333333"/>
                <w:sz w:val="18"/>
                <w:szCs w:val="18"/>
                <w:lang w:eastAsia="en-GB"/>
              </w:rPr>
              <w:t>603</w:t>
            </w:r>
            <w:r>
              <w:rPr>
                <w:rFonts w:eastAsia="Times New Roman" w:cs="Calibri"/>
                <w:b/>
                <w:bCs/>
                <w:noProof/>
                <w:color w:val="333333"/>
                <w:sz w:val="18"/>
                <w:szCs w:val="18"/>
                <w:lang w:eastAsia="en-GB"/>
              </w:rPr>
              <w:t> </w:t>
            </w:r>
            <w:r>
              <w:rPr>
                <w:rFonts w:eastAsia="Times New Roman" w:cs="Arial"/>
                <w:b/>
                <w:bCs/>
                <w:noProof/>
                <w:color w:val="333333"/>
                <w:sz w:val="18"/>
                <w:szCs w:val="18"/>
                <w:lang w:eastAsia="en-GB"/>
              </w:rPr>
              <w:t>889</w:t>
            </w:r>
          </w:p>
        </w:tc>
      </w:tr>
      <w:tr>
        <w:trPr>
          <w:trHeight w:val="210"/>
          <w:jc w:val="center"/>
        </w:trPr>
        <w:tc>
          <w:tcPr>
            <w:tcW w:w="1318" w:type="dxa"/>
            <w:tcBorders>
              <w:bottom w:val="single" w:sz="4" w:space="0" w:color="auto"/>
            </w:tcBorders>
            <w:shd w:val="clear" w:color="FFFFFF" w:fill="FFFFFF"/>
            <w:noWrap/>
            <w:vAlign w:val="center"/>
            <w:hideMark/>
          </w:tcPr>
          <w:p>
            <w:pPr>
              <w:rPr>
                <w:rFonts w:eastAsia="Times New Roman" w:cs="Arial"/>
                <w:b/>
                <w:bCs/>
                <w:noProof/>
                <w:color w:val="333333"/>
                <w:sz w:val="18"/>
                <w:szCs w:val="18"/>
                <w:lang w:eastAsia="en-GB"/>
              </w:rPr>
            </w:pPr>
          </w:p>
        </w:tc>
        <w:tc>
          <w:tcPr>
            <w:tcW w:w="2137" w:type="dxa"/>
            <w:tcBorders>
              <w:bottom w:val="single" w:sz="4" w:space="0" w:color="auto"/>
            </w:tcBorders>
            <w:shd w:val="clear" w:color="FFFFFF" w:fill="FFFFFF"/>
            <w:noWrap/>
            <w:vAlign w:val="center"/>
            <w:hideMark/>
          </w:tcPr>
          <w:p>
            <w:pPr>
              <w:rPr>
                <w:rFonts w:eastAsia="Times New Roman" w:cs="Arial"/>
                <w:b/>
                <w:bCs/>
                <w:noProof/>
                <w:color w:val="333333"/>
                <w:sz w:val="18"/>
                <w:szCs w:val="18"/>
                <w:lang w:eastAsia="en-GB"/>
              </w:rPr>
            </w:pPr>
          </w:p>
        </w:tc>
        <w:tc>
          <w:tcPr>
            <w:tcW w:w="1584" w:type="dxa"/>
            <w:tcBorders>
              <w:bottom w:val="single" w:sz="4" w:space="0" w:color="auto"/>
            </w:tcBorders>
            <w:shd w:val="clear" w:color="FFFFFF" w:fill="FFFFFF"/>
            <w:noWrap/>
            <w:vAlign w:val="center"/>
            <w:hideMark/>
          </w:tcPr>
          <w:p>
            <w:pPr>
              <w:jc w:val="right"/>
              <w:rPr>
                <w:rFonts w:eastAsia="Times New Roman" w:cs="Arial"/>
                <w:b/>
                <w:bCs/>
                <w:noProof/>
                <w:color w:val="333333"/>
                <w:sz w:val="18"/>
                <w:szCs w:val="18"/>
                <w:lang w:eastAsia="en-GB"/>
              </w:rPr>
            </w:pPr>
          </w:p>
        </w:tc>
        <w:tc>
          <w:tcPr>
            <w:tcW w:w="576" w:type="dxa"/>
            <w:tcBorders>
              <w:bottom w:val="single" w:sz="4" w:space="0" w:color="auto"/>
            </w:tcBorders>
            <w:shd w:val="clear" w:color="FFFFFF" w:fill="FFFFFF"/>
            <w:noWrap/>
            <w:vAlign w:val="center"/>
            <w:hideMark/>
          </w:tcPr>
          <w:p>
            <w:pPr>
              <w:jc w:val="right"/>
              <w:rPr>
                <w:rFonts w:eastAsia="Times New Roman" w:cs="Arial"/>
                <w:b/>
                <w:bCs/>
                <w:noProof/>
                <w:color w:val="333333"/>
                <w:sz w:val="18"/>
                <w:szCs w:val="18"/>
                <w:lang w:eastAsia="en-GB"/>
              </w:rPr>
            </w:pPr>
          </w:p>
        </w:tc>
        <w:tc>
          <w:tcPr>
            <w:tcW w:w="1439" w:type="dxa"/>
            <w:tcBorders>
              <w:bottom w:val="single" w:sz="4" w:space="0" w:color="auto"/>
            </w:tcBorders>
            <w:shd w:val="clear" w:color="FFFFFF" w:fill="FFFFFF"/>
            <w:noWrap/>
            <w:vAlign w:val="center"/>
            <w:hideMark/>
          </w:tcPr>
          <w:p>
            <w:pPr>
              <w:jc w:val="right"/>
              <w:rPr>
                <w:rFonts w:eastAsia="Times New Roman" w:cs="Arial"/>
                <w:b/>
                <w:bCs/>
                <w:noProof/>
                <w:color w:val="333333"/>
                <w:sz w:val="18"/>
                <w:szCs w:val="18"/>
                <w:lang w:eastAsia="en-GB"/>
              </w:rPr>
            </w:pPr>
          </w:p>
        </w:tc>
        <w:tc>
          <w:tcPr>
            <w:tcW w:w="864" w:type="dxa"/>
            <w:tcBorders>
              <w:bottom w:val="single" w:sz="4" w:space="0" w:color="auto"/>
            </w:tcBorders>
            <w:shd w:val="clear" w:color="FFFFFF" w:fill="FFFFFF"/>
            <w:noWrap/>
            <w:vAlign w:val="center"/>
            <w:hideMark/>
          </w:tcPr>
          <w:p>
            <w:pPr>
              <w:jc w:val="right"/>
              <w:rPr>
                <w:rFonts w:eastAsia="Times New Roman" w:cs="Arial"/>
                <w:b/>
                <w:bCs/>
                <w:noProof/>
                <w:color w:val="333333"/>
                <w:sz w:val="18"/>
                <w:szCs w:val="18"/>
                <w:lang w:eastAsia="en-GB"/>
              </w:rPr>
            </w:pPr>
          </w:p>
        </w:tc>
        <w:tc>
          <w:tcPr>
            <w:tcW w:w="1152" w:type="dxa"/>
            <w:tcBorders>
              <w:bottom w:val="single" w:sz="4" w:space="0" w:color="auto"/>
            </w:tcBorders>
            <w:shd w:val="clear" w:color="FFFFFF" w:fill="FFFFFF"/>
            <w:noWrap/>
            <w:vAlign w:val="center"/>
            <w:hideMark/>
          </w:tcPr>
          <w:p>
            <w:pPr>
              <w:jc w:val="right"/>
              <w:rPr>
                <w:rFonts w:eastAsia="Times New Roman" w:cs="Arial"/>
                <w:b/>
                <w:bCs/>
                <w:noProof/>
                <w:color w:val="333333"/>
                <w:sz w:val="18"/>
                <w:szCs w:val="18"/>
                <w:lang w:eastAsia="en-GB"/>
              </w:rPr>
            </w:pPr>
          </w:p>
        </w:tc>
      </w:tr>
      <w:tr>
        <w:trPr>
          <w:trHeight w:val="372"/>
          <w:jc w:val="center"/>
        </w:trPr>
        <w:tc>
          <w:tcPr>
            <w:tcW w:w="1318" w:type="dxa"/>
            <w:shd w:val="clear" w:color="auto" w:fill="D9D9D9"/>
            <w:noWrap/>
            <w:vAlign w:val="center"/>
            <w:hideMark/>
          </w:tcPr>
          <w:p>
            <w:pPr>
              <w:rPr>
                <w:rFonts w:eastAsia="Times New Roman" w:cs="Arial"/>
                <w:b/>
                <w:bCs/>
                <w:noProof/>
                <w:sz w:val="18"/>
                <w:szCs w:val="18"/>
                <w:lang w:eastAsia="en-GB"/>
              </w:rPr>
            </w:pPr>
            <w:r>
              <w:rPr>
                <w:rFonts w:eastAsia="Times New Roman" w:cs="Calibri"/>
                <w:b/>
                <w:bCs/>
                <w:noProof/>
                <w:sz w:val="18"/>
                <w:szCs w:val="18"/>
                <w:lang w:eastAsia="en-GB"/>
              </w:rPr>
              <w:t>Overall total</w:t>
            </w:r>
          </w:p>
        </w:tc>
        <w:tc>
          <w:tcPr>
            <w:tcW w:w="2137" w:type="dxa"/>
            <w:shd w:val="clear" w:color="auto" w:fill="D9D9D9"/>
            <w:noWrap/>
            <w:vAlign w:val="center"/>
            <w:hideMark/>
          </w:tcPr>
          <w:p>
            <w:pPr>
              <w:rPr>
                <w:rFonts w:eastAsia="Times New Roman" w:cs="Arial"/>
                <w:b/>
                <w:bCs/>
                <w:noProof/>
                <w:sz w:val="18"/>
                <w:szCs w:val="18"/>
                <w:lang w:eastAsia="en-GB"/>
              </w:rPr>
            </w:pPr>
          </w:p>
        </w:tc>
        <w:tc>
          <w:tcPr>
            <w:tcW w:w="1584" w:type="dxa"/>
            <w:shd w:val="clear" w:color="auto" w:fill="D9D9D9"/>
            <w:noWrap/>
            <w:vAlign w:val="center"/>
            <w:hideMark/>
          </w:tcPr>
          <w:p>
            <w:pPr>
              <w:jc w:val="right"/>
              <w:rPr>
                <w:rFonts w:eastAsia="Times New Roman" w:cs="Arial"/>
                <w:b/>
                <w:bCs/>
                <w:noProof/>
                <w:sz w:val="18"/>
                <w:szCs w:val="18"/>
                <w:lang w:eastAsia="en-GB"/>
              </w:rPr>
            </w:pPr>
            <w:r>
              <w:rPr>
                <w:rFonts w:eastAsia="Times New Roman" w:cs="Arial"/>
                <w:b/>
                <w:bCs/>
                <w:noProof/>
                <w:sz w:val="18"/>
                <w:szCs w:val="18"/>
                <w:lang w:eastAsia="en-GB"/>
              </w:rPr>
              <w:t>17</w:t>
            </w:r>
            <w:r>
              <w:rPr>
                <w:rFonts w:eastAsia="Times New Roman" w:cs="Calibri"/>
                <w:b/>
                <w:bCs/>
                <w:noProof/>
                <w:sz w:val="18"/>
                <w:szCs w:val="18"/>
                <w:lang w:eastAsia="en-GB"/>
              </w:rPr>
              <w:t> </w:t>
            </w:r>
            <w:r>
              <w:rPr>
                <w:rFonts w:eastAsia="Times New Roman" w:cs="Arial"/>
                <w:b/>
                <w:bCs/>
                <w:noProof/>
                <w:sz w:val="18"/>
                <w:szCs w:val="18"/>
                <w:lang w:eastAsia="en-GB"/>
              </w:rPr>
              <w:t>985</w:t>
            </w:r>
            <w:r>
              <w:rPr>
                <w:rFonts w:eastAsia="Times New Roman" w:cs="Calibri"/>
                <w:b/>
                <w:bCs/>
                <w:noProof/>
                <w:sz w:val="18"/>
                <w:szCs w:val="18"/>
                <w:lang w:eastAsia="en-GB"/>
              </w:rPr>
              <w:t> </w:t>
            </w:r>
            <w:r>
              <w:rPr>
                <w:rFonts w:eastAsia="Times New Roman" w:cs="Arial"/>
                <w:b/>
                <w:bCs/>
                <w:noProof/>
                <w:sz w:val="18"/>
                <w:szCs w:val="18"/>
                <w:lang w:eastAsia="en-GB"/>
              </w:rPr>
              <w:t>628</w:t>
            </w:r>
          </w:p>
        </w:tc>
        <w:tc>
          <w:tcPr>
            <w:tcW w:w="576" w:type="dxa"/>
            <w:shd w:val="clear" w:color="auto" w:fill="D9D9D9"/>
            <w:noWrap/>
            <w:vAlign w:val="center"/>
            <w:hideMark/>
          </w:tcPr>
          <w:p>
            <w:pPr>
              <w:jc w:val="right"/>
              <w:rPr>
                <w:rFonts w:eastAsia="Times New Roman" w:cs="Arial"/>
                <w:b/>
                <w:bCs/>
                <w:noProof/>
                <w:sz w:val="18"/>
                <w:szCs w:val="18"/>
                <w:lang w:eastAsia="en-GB"/>
              </w:rPr>
            </w:pPr>
            <w:r>
              <w:rPr>
                <w:rFonts w:eastAsia="Times New Roman" w:cs="Arial"/>
                <w:b/>
                <w:bCs/>
                <w:noProof/>
                <w:sz w:val="18"/>
                <w:szCs w:val="18"/>
                <w:lang w:eastAsia="en-GB"/>
              </w:rPr>
              <w:t>63</w:t>
            </w:r>
          </w:p>
        </w:tc>
        <w:tc>
          <w:tcPr>
            <w:tcW w:w="1439" w:type="dxa"/>
            <w:shd w:val="clear" w:color="auto" w:fill="D9D9D9"/>
            <w:noWrap/>
            <w:vAlign w:val="center"/>
            <w:hideMark/>
          </w:tcPr>
          <w:p>
            <w:pPr>
              <w:jc w:val="right"/>
              <w:rPr>
                <w:rFonts w:eastAsia="Times New Roman" w:cs="Arial"/>
                <w:b/>
                <w:bCs/>
                <w:noProof/>
                <w:sz w:val="18"/>
                <w:szCs w:val="18"/>
                <w:lang w:eastAsia="en-GB"/>
              </w:rPr>
            </w:pPr>
            <w:r>
              <w:rPr>
                <w:rFonts w:eastAsia="Times New Roman" w:cs="Arial"/>
                <w:b/>
                <w:bCs/>
                <w:noProof/>
                <w:sz w:val="18"/>
                <w:szCs w:val="18"/>
                <w:lang w:eastAsia="en-GB"/>
              </w:rPr>
              <w:t>15</w:t>
            </w:r>
            <w:r>
              <w:rPr>
                <w:rFonts w:eastAsia="Times New Roman" w:cs="Calibri"/>
                <w:b/>
                <w:bCs/>
                <w:noProof/>
                <w:sz w:val="18"/>
                <w:szCs w:val="18"/>
                <w:lang w:eastAsia="en-GB"/>
              </w:rPr>
              <w:t> </w:t>
            </w:r>
            <w:r>
              <w:rPr>
                <w:rFonts w:eastAsia="Times New Roman" w:cs="Arial"/>
                <w:b/>
                <w:bCs/>
                <w:noProof/>
                <w:sz w:val="18"/>
                <w:szCs w:val="18"/>
                <w:lang w:eastAsia="en-GB"/>
              </w:rPr>
              <w:t>582</w:t>
            </w:r>
            <w:r>
              <w:rPr>
                <w:rFonts w:eastAsia="Times New Roman" w:cs="Calibri"/>
                <w:b/>
                <w:bCs/>
                <w:noProof/>
                <w:sz w:val="18"/>
                <w:szCs w:val="18"/>
                <w:lang w:eastAsia="en-GB"/>
              </w:rPr>
              <w:t> </w:t>
            </w:r>
            <w:r>
              <w:rPr>
                <w:rFonts w:eastAsia="Times New Roman" w:cs="Arial"/>
                <w:b/>
                <w:bCs/>
                <w:noProof/>
                <w:sz w:val="18"/>
                <w:szCs w:val="18"/>
                <w:lang w:eastAsia="en-GB"/>
              </w:rPr>
              <w:t>816</w:t>
            </w:r>
          </w:p>
        </w:tc>
        <w:tc>
          <w:tcPr>
            <w:tcW w:w="864" w:type="dxa"/>
            <w:shd w:val="clear" w:color="auto" w:fill="D9D9D9"/>
            <w:noWrap/>
            <w:vAlign w:val="center"/>
            <w:hideMark/>
          </w:tcPr>
          <w:p>
            <w:pPr>
              <w:jc w:val="right"/>
              <w:rPr>
                <w:rFonts w:eastAsia="Times New Roman" w:cs="Arial"/>
                <w:b/>
                <w:bCs/>
                <w:noProof/>
                <w:sz w:val="18"/>
                <w:szCs w:val="18"/>
                <w:lang w:eastAsia="en-GB"/>
              </w:rPr>
            </w:pPr>
            <w:r>
              <w:rPr>
                <w:rFonts w:eastAsia="Times New Roman" w:cs="Arial"/>
                <w:b/>
                <w:bCs/>
                <w:noProof/>
                <w:sz w:val="18"/>
                <w:szCs w:val="18"/>
                <w:lang w:eastAsia="en-GB"/>
              </w:rPr>
              <w:t>171</w:t>
            </w:r>
          </w:p>
        </w:tc>
        <w:tc>
          <w:tcPr>
            <w:tcW w:w="1152" w:type="dxa"/>
            <w:shd w:val="clear" w:color="auto" w:fill="D9D9D9"/>
            <w:noWrap/>
            <w:vAlign w:val="center"/>
            <w:hideMark/>
          </w:tcPr>
          <w:p>
            <w:pPr>
              <w:jc w:val="right"/>
              <w:rPr>
                <w:rFonts w:eastAsia="Times New Roman" w:cs="Arial"/>
                <w:b/>
                <w:bCs/>
                <w:noProof/>
                <w:sz w:val="18"/>
                <w:szCs w:val="18"/>
                <w:lang w:eastAsia="en-GB"/>
              </w:rPr>
            </w:pPr>
            <w:r>
              <w:rPr>
                <w:rFonts w:eastAsia="Times New Roman" w:cs="Arial"/>
                <w:b/>
                <w:bCs/>
                <w:noProof/>
                <w:sz w:val="18"/>
                <w:szCs w:val="18"/>
                <w:lang w:eastAsia="en-GB"/>
              </w:rPr>
              <w:t>2</w:t>
            </w:r>
            <w:r>
              <w:rPr>
                <w:rFonts w:eastAsia="Times New Roman" w:cs="Calibri"/>
                <w:b/>
                <w:bCs/>
                <w:noProof/>
                <w:sz w:val="18"/>
                <w:szCs w:val="18"/>
                <w:lang w:eastAsia="en-GB"/>
              </w:rPr>
              <w:t> </w:t>
            </w:r>
            <w:r>
              <w:rPr>
                <w:rFonts w:eastAsia="Times New Roman" w:cs="Arial"/>
                <w:b/>
                <w:bCs/>
                <w:noProof/>
                <w:sz w:val="18"/>
                <w:szCs w:val="18"/>
                <w:lang w:eastAsia="en-GB"/>
              </w:rPr>
              <w:t>402</w:t>
            </w:r>
            <w:r>
              <w:rPr>
                <w:rFonts w:eastAsia="Times New Roman" w:cs="Calibri"/>
                <w:b/>
                <w:bCs/>
                <w:noProof/>
                <w:sz w:val="18"/>
                <w:szCs w:val="18"/>
                <w:lang w:eastAsia="en-GB"/>
              </w:rPr>
              <w:t> </w:t>
            </w:r>
            <w:r>
              <w:rPr>
                <w:rFonts w:eastAsia="Times New Roman" w:cs="Arial"/>
                <w:b/>
                <w:bCs/>
                <w:noProof/>
                <w:sz w:val="18"/>
                <w:szCs w:val="18"/>
                <w:lang w:eastAsia="en-GB"/>
              </w:rPr>
              <w:t>812</w:t>
            </w:r>
          </w:p>
        </w:tc>
      </w:tr>
    </w:tbl>
    <w:p>
      <w:pPr>
        <w:rPr>
          <w:rFonts w:asciiTheme="majorHAnsi" w:hAnsiTheme="majorHAnsi"/>
          <w:noProof/>
          <w:sz w:val="18"/>
          <w:szCs w:val="18"/>
        </w:rPr>
      </w:pPr>
    </w:p>
    <w:p>
      <w:pPr>
        <w:rPr>
          <w:rFonts w:asciiTheme="majorHAnsi" w:hAnsiTheme="majorHAnsi"/>
          <w:noProof/>
          <w:sz w:val="18"/>
          <w:szCs w:val="18"/>
        </w:rPr>
      </w:pPr>
    </w:p>
    <w:p>
      <w:pPr>
        <w:pStyle w:val="BodyText"/>
        <w:rPr>
          <w:rFonts w:asciiTheme="majorHAnsi" w:eastAsia="Times New Roman" w:hAnsiTheme="majorHAnsi" w:cs="Arial"/>
          <w:noProof/>
          <w:sz w:val="18"/>
          <w:szCs w:val="18"/>
          <w:lang w:eastAsia="en-GB"/>
        </w:rPr>
      </w:pPr>
    </w:p>
    <w:p>
      <w:pPr>
        <w:rPr>
          <w:rFonts w:eastAsia="Times New Roman" w:cs="Arial"/>
          <w:noProof/>
          <w:szCs w:val="20"/>
          <w:lang w:eastAsia="en-GB"/>
        </w:rPr>
      </w:pPr>
    </w:p>
    <w:p>
      <w:pPr>
        <w:pStyle w:val="Title1Annexes"/>
        <w:rPr>
          <w:noProof/>
        </w:rPr>
        <w:sectPr>
          <w:headerReference w:type="even" r:id="rId160"/>
          <w:headerReference w:type="default" r:id="rId161"/>
          <w:footerReference w:type="even" r:id="rId162"/>
          <w:footerReference w:type="default" r:id="rId163"/>
          <w:headerReference w:type="first" r:id="rId164"/>
          <w:footerReference w:type="first" r:id="rId165"/>
          <w:footnotePr>
            <w:numStart w:val="413"/>
          </w:footnotePr>
          <w:pgSz w:w="11906" w:h="16838" w:code="9"/>
          <w:pgMar w:top="1418" w:right="1418" w:bottom="1418" w:left="1418" w:header="635" w:footer="635" w:gutter="0"/>
          <w:cols w:space="720"/>
          <w:docGrid w:linePitch="360"/>
        </w:sectPr>
      </w:pPr>
    </w:p>
    <w:p>
      <w:pPr>
        <w:pStyle w:val="Title1Annexes"/>
        <w:rPr>
          <w:noProof/>
        </w:rPr>
      </w:pPr>
      <w:bookmarkStart w:id="221" w:name="_Toc6304475"/>
      <w:bookmarkStart w:id="222" w:name="_Toc8386227"/>
      <w:bookmarkStart w:id="223" w:name="_Toc11679106"/>
      <w:r>
        <w:rPr>
          <w:noProof/>
        </w:rPr>
        <w:t xml:space="preserve">Annex 8: </w:t>
      </w:r>
      <w:r>
        <w:rPr>
          <w:noProof/>
        </w:rPr>
        <w:br/>
        <w:t>Report on negotiated procedures</w:t>
      </w:r>
      <w:bookmarkEnd w:id="221"/>
      <w:bookmarkEnd w:id="222"/>
      <w:bookmarkEnd w:id="223"/>
    </w:p>
    <w:p>
      <w:pPr>
        <w:pStyle w:val="Annex4-subheading1"/>
        <w:rPr>
          <w:noProof/>
        </w:rPr>
      </w:pPr>
      <w:r>
        <w:rPr>
          <w:noProof/>
        </w:rPr>
        <w:t xml:space="preserve">1. Legal basis </w:t>
      </w:r>
    </w:p>
    <w:p>
      <w:pPr>
        <w:pStyle w:val="BodyText1spaceafter"/>
      </w:pPr>
      <w:r>
        <w:rPr>
          <w:rStyle w:val="BOLDORANGEAnnexes"/>
        </w:rPr>
        <w:t>Article</w:t>
      </w:r>
      <w:r>
        <w:rPr>
          <w:rStyle w:val="BOLDORANGEAnnexes"/>
          <w:rFonts w:ascii="Calibri" w:hAnsi="Calibri" w:cs="Calibri"/>
        </w:rPr>
        <w:t> </w:t>
      </w:r>
      <w:r>
        <w:rPr>
          <w:rStyle w:val="BOLDORANGEAnnexes"/>
        </w:rPr>
        <w:t>74(10) of the Financial Regulation</w:t>
      </w:r>
      <w:r>
        <w:rPr>
          <w:rStyle w:val="fnRef"/>
          <w:rFonts w:ascii="Arial" w:hAnsi="Arial" w:cs="Arial"/>
        </w:rPr>
        <w:t> </w:t>
      </w:r>
      <w:r>
        <w:rPr>
          <w:rStyle w:val="fnRef"/>
        </w:rPr>
        <w:t>(</w:t>
      </w:r>
      <w:r>
        <w:rPr>
          <w:rStyle w:val="fnRefNo"/>
        </w:rPr>
        <w:footnoteReference w:id="60"/>
      </w:r>
      <w:r>
        <w:rPr>
          <w:rStyle w:val="fnRef"/>
        </w:rPr>
        <w:t>)</w:t>
      </w:r>
      <w:r>
        <w:t xml:space="preserve"> requires authorising officers by delegation to record contracts concluded under negotiated procedures. Furthermore, the Commission is required to annex a report on negotiated procedures to the summary of the annual activity reports referred to in Article</w:t>
      </w:r>
      <w:r>
        <w:rPr>
          <w:rFonts w:ascii="Calibri" w:hAnsi="Calibri" w:cs="Calibri"/>
        </w:rPr>
        <w:t> </w:t>
      </w:r>
      <w:r>
        <w:t xml:space="preserve">74(9) of the Financial Regulation. </w:t>
      </w:r>
    </w:p>
    <w:p>
      <w:pPr>
        <w:pStyle w:val="Annex4-subheading1"/>
        <w:rPr>
          <w:noProof/>
        </w:rPr>
      </w:pPr>
      <w:r>
        <w:rPr>
          <w:noProof/>
        </w:rPr>
        <w:t xml:space="preserve">2. Methodology </w:t>
      </w:r>
    </w:p>
    <w:p>
      <w:pPr>
        <w:pStyle w:val="BodyText1spaceafter"/>
      </w:pPr>
      <w:r>
        <w:t>A distinction has been made between the 47 departments which normally do not provide external aid and those three departments (development, neighbourhood and foreign-policy instruments) which conclude procurement contracts in the area of external relations (different legal basis: Chapter</w:t>
      </w:r>
      <w:r>
        <w:rPr>
          <w:rFonts w:ascii="Calibri" w:hAnsi="Calibri" w:cs="Calibri"/>
        </w:rPr>
        <w:t> </w:t>
      </w:r>
      <w:r>
        <w:t>3 of Title</w:t>
      </w:r>
      <w:r>
        <w:rPr>
          <w:rFonts w:ascii="Calibri" w:hAnsi="Calibri" w:cs="Calibri"/>
        </w:rPr>
        <w:t> </w:t>
      </w:r>
      <w:r>
        <w:t xml:space="preserve">VII of the Financial Regulation) or award contracts on their own account, but outside of the territory of the European Union. </w:t>
      </w:r>
    </w:p>
    <w:p>
      <w:pPr>
        <w:pStyle w:val="BodyText1spaceafter"/>
      </w:pPr>
      <w:r>
        <w:t>These three departments have special characteristics as regards data collection (decentralised services, etc.), the total number of contracts concluded and thresholds to be applied for the recording of negotiated procedures (EUR</w:t>
      </w:r>
      <w:r>
        <w:rPr>
          <w:rFonts w:ascii="Calibri" w:hAnsi="Calibri" w:cs="Calibri"/>
        </w:rPr>
        <w:t> </w:t>
      </w:r>
      <w:r>
        <w:t>20</w:t>
      </w:r>
      <w:r>
        <w:rPr>
          <w:rFonts w:ascii="Calibri" w:hAnsi="Calibri" w:cs="Calibri"/>
        </w:rPr>
        <w:t> </w:t>
      </w:r>
      <w:r>
        <w:t xml:space="preserve">000), as well as the possibility to have recourse to negotiated procedures in the framework of the rapid-reaction mechanism (extreme urgency). For these reasons, a separate approach has been used for procurement contracts awarded by these three departments. </w:t>
      </w:r>
    </w:p>
    <w:p>
      <w:pPr>
        <w:pStyle w:val="Annex4-subheading1"/>
        <w:rPr>
          <w:noProof/>
        </w:rPr>
      </w:pPr>
      <w:r>
        <w:rPr>
          <w:noProof/>
        </w:rPr>
        <w:t>3. Overall results of negotiated procedures recorded</w:t>
      </w:r>
    </w:p>
    <w:p>
      <w:pPr>
        <w:pStyle w:val="Annex4-subheading2"/>
        <w:rPr>
          <w:noProof/>
          <w:lang w:eastAsia="en-GB"/>
        </w:rPr>
      </w:pPr>
      <w:r>
        <w:rPr>
          <w:noProof/>
          <w:lang w:eastAsia="en-GB"/>
        </w:rPr>
        <w:t xml:space="preserve">3.1. The 47 departments, excluding ‘external relations’ </w:t>
      </w:r>
    </w:p>
    <w:p>
      <w:pPr>
        <w:pStyle w:val="BodyText1spaceafter"/>
      </w:pPr>
      <w:r>
        <w:t>On the basis of the data received, the following statistics were registered: 86 negotiated procedures with a total value of EUR</w:t>
      </w:r>
      <w:r>
        <w:rPr>
          <w:rFonts w:ascii="Calibri" w:hAnsi="Calibri" w:cs="Calibri"/>
        </w:rPr>
        <w:t> </w:t>
      </w:r>
      <w:r>
        <w:t>229</w:t>
      </w:r>
      <w:r>
        <w:rPr>
          <w:rFonts w:ascii="Calibri" w:hAnsi="Calibri" w:cs="Calibri"/>
        </w:rPr>
        <w:t> </w:t>
      </w:r>
      <w:r>
        <w:t>million were processed out of a total of 798 procurement procedures (negotiated, restricted or open) for contracts over EUR</w:t>
      </w:r>
      <w:r>
        <w:rPr>
          <w:rFonts w:ascii="Calibri" w:hAnsi="Calibri" w:cs="Calibri"/>
        </w:rPr>
        <w:t> </w:t>
      </w:r>
      <w:r>
        <w:t>60</w:t>
      </w:r>
      <w:r>
        <w:rPr>
          <w:rFonts w:ascii="Calibri" w:hAnsi="Calibri" w:cs="Calibri"/>
        </w:rPr>
        <w:t> </w:t>
      </w:r>
      <w:r>
        <w:t>000 with a total value of EUR</w:t>
      </w:r>
      <w:r>
        <w:rPr>
          <w:rFonts w:ascii="Calibri" w:hAnsi="Calibri" w:cs="Calibri"/>
        </w:rPr>
        <w:t> </w:t>
      </w:r>
      <w:r>
        <w:t>5.2</w:t>
      </w:r>
      <w:r>
        <w:rPr>
          <w:rFonts w:ascii="Calibri" w:hAnsi="Calibri" w:cs="Calibri"/>
        </w:rPr>
        <w:t> </w:t>
      </w:r>
      <w:r>
        <w:t xml:space="preserve">billion. </w:t>
      </w:r>
    </w:p>
    <w:p>
      <w:pPr>
        <w:pStyle w:val="BodyText1spaceafter"/>
      </w:pPr>
      <w:r>
        <w:t xml:space="preserve">For the Commission, the average proportion of negotiated procedures in relation to all procedures amounts to </w:t>
      </w:r>
      <w:r>
        <w:rPr>
          <w:rStyle w:val="BOLDORANGEAnnexes"/>
        </w:rPr>
        <w:t>10.8%</w:t>
      </w:r>
      <w:r>
        <w:t xml:space="preserve"> (</w:t>
      </w:r>
      <w:r>
        <w:rPr>
          <w:rStyle w:val="BOLDORANGEAnnexes"/>
        </w:rPr>
        <w:t xml:space="preserve">13.7% </w:t>
      </w:r>
      <w:r>
        <w:t xml:space="preserve">in 2017), which represents </w:t>
      </w:r>
      <w:r>
        <w:rPr>
          <w:rStyle w:val="BOLDORANGEAnnexes"/>
        </w:rPr>
        <w:t xml:space="preserve">4.4% </w:t>
      </w:r>
      <w:r>
        <w:t>of all procedures in value (</w:t>
      </w:r>
      <w:r>
        <w:rPr>
          <w:rStyle w:val="BOLDORANGEAnnexes"/>
        </w:rPr>
        <w:t xml:space="preserve">17.9% </w:t>
      </w:r>
      <w:r>
        <w:t xml:space="preserve">in 2017). The assessment of negotiated procedures compared to the previous year shows a decrease in the order of </w:t>
      </w:r>
      <w:r>
        <w:rPr>
          <w:rStyle w:val="BOLDORANGEAnnexes"/>
        </w:rPr>
        <w:t>2.9</w:t>
      </w:r>
      <w:r>
        <w:t xml:space="preserve"> percentage points in terms of relative number and a decrease of </w:t>
      </w:r>
      <w:r>
        <w:rPr>
          <w:rStyle w:val="BOLDORANGEAnnexes"/>
        </w:rPr>
        <w:t>13.5</w:t>
      </w:r>
      <w:r>
        <w:t xml:space="preserve"> percentage points in terms of relative value.</w:t>
      </w:r>
    </w:p>
    <w:p>
      <w:pPr>
        <w:pStyle w:val="BodyText1spaceafter"/>
      </w:pPr>
      <w:r>
        <w:t>An authorising department shall report to the institution if the proportion of negotiated procedures awarded in relation to the number of the contracts is ‘distinctly higher than the average recorded for the institution’, i.e. if it exceeds the average proportion by 50% or if the increase from one</w:t>
      </w:r>
      <w:r>
        <w:rPr>
          <w:rFonts w:ascii="Calibri" w:hAnsi="Calibri" w:cs="Calibri"/>
        </w:rPr>
        <w:t> </w:t>
      </w:r>
      <w:r>
        <w:t xml:space="preserve">year to the next is over 10% in proportion. Thus, the reference threshold for this year is fixed at </w:t>
      </w:r>
      <w:r>
        <w:rPr>
          <w:rStyle w:val="BOLDORANGEAnnexes"/>
        </w:rPr>
        <w:t xml:space="preserve">16.2% </w:t>
      </w:r>
      <w:r>
        <w:t xml:space="preserve">(20.5% in 2017). </w:t>
      </w:r>
    </w:p>
    <w:p>
      <w:pPr>
        <w:pStyle w:val="BodyText1spaceafter"/>
      </w:pPr>
      <w:r>
        <w:t xml:space="preserve">Ten departments exceeded the reference threshold and among them four increased their number of negotiated procedures by more than 10% in proportion when compared to last year. It should be noted that, among these 10 departments, one department concluded one negotiated procedure and the low total number of procedures conducted (3) makes its average high; consequently, its respective results are to be considered as non-significant. One department, although not exceeding the reference threshold, increased its number of negotiated procedures by more than 10% in proportion compared to last year. </w:t>
      </w:r>
    </w:p>
    <w:p>
      <w:pPr>
        <w:pStyle w:val="BodyText1spaceafter"/>
      </w:pPr>
      <w:r>
        <w:t xml:space="preserve">To be noted that 21 departments have not used any negotiated procedure, including eight that awarded no contracts over EUR 60 000 this year. </w:t>
      </w:r>
    </w:p>
    <w:p>
      <w:pPr>
        <w:pStyle w:val="BodyText1spaceafter"/>
      </w:pPr>
      <w:r>
        <w:t xml:space="preserve"> </w:t>
      </w:r>
    </w:p>
    <w:p>
      <w:pPr>
        <w:pStyle w:val="Annex4-subheading2"/>
        <w:rPr>
          <w:noProof/>
          <w:lang w:eastAsia="en-GB"/>
        </w:rPr>
      </w:pPr>
      <w:r>
        <w:rPr>
          <w:noProof/>
          <w:lang w:eastAsia="en-GB"/>
        </w:rPr>
        <w:t xml:space="preserve">3.2. The three ‘external relations’ departments </w:t>
      </w:r>
    </w:p>
    <w:p>
      <w:pPr>
        <w:pStyle w:val="BodyText1spaceafter"/>
      </w:pPr>
      <w:r>
        <w:t>On the basis of the data received, the following statistics were registered: 192 negotiated procedures for a total value of contracts of EUR</w:t>
      </w:r>
      <w:r>
        <w:rPr>
          <w:rFonts w:ascii="Calibri" w:hAnsi="Calibri" w:cs="Calibri"/>
        </w:rPr>
        <w:t> </w:t>
      </w:r>
      <w:r>
        <w:t>162</w:t>
      </w:r>
      <w:r>
        <w:rPr>
          <w:rFonts w:ascii="Calibri" w:hAnsi="Calibri" w:cs="Calibri"/>
        </w:rPr>
        <w:t> </w:t>
      </w:r>
      <w:r>
        <w:t xml:space="preserve">million were processed out of a total of </w:t>
      </w:r>
      <w:r>
        <w:rPr>
          <w:rStyle w:val="BOLDORANGEAnnexes"/>
        </w:rPr>
        <w:t xml:space="preserve">540 </w:t>
      </w:r>
      <w:r>
        <w:t>procedures for contracts over EUR</w:t>
      </w:r>
      <w:r>
        <w:rPr>
          <w:rFonts w:ascii="Calibri" w:hAnsi="Calibri" w:cs="Calibri"/>
        </w:rPr>
        <w:t> </w:t>
      </w:r>
      <w:r>
        <w:t>20</w:t>
      </w:r>
      <w:r>
        <w:rPr>
          <w:rFonts w:ascii="Calibri" w:hAnsi="Calibri" w:cs="Calibri"/>
        </w:rPr>
        <w:t> </w:t>
      </w:r>
      <w:r>
        <w:t>000 with a total value of about EUR</w:t>
      </w:r>
      <w:r>
        <w:rPr>
          <w:rFonts w:ascii="Calibri" w:hAnsi="Calibri" w:cs="Calibri"/>
        </w:rPr>
        <w:t> </w:t>
      </w:r>
      <w:r>
        <w:t>1.4</w:t>
      </w:r>
      <w:r>
        <w:rPr>
          <w:rFonts w:ascii="Calibri" w:hAnsi="Calibri" w:cs="Calibri"/>
        </w:rPr>
        <w:t> </w:t>
      </w:r>
      <w:r>
        <w:t xml:space="preserve">billion. </w:t>
      </w:r>
    </w:p>
    <w:p>
      <w:pPr>
        <w:pStyle w:val="BodyText1spaceafter"/>
      </w:pPr>
      <w:r>
        <w:t xml:space="preserve">For the three ‘external relations’ departments, the average proportion of negotiated procedures in relation to all procedures amounts to </w:t>
      </w:r>
      <w:r>
        <w:rPr>
          <w:rStyle w:val="BOLDORANGEAnnexes"/>
        </w:rPr>
        <w:t xml:space="preserve">35.6% </w:t>
      </w:r>
      <w:r>
        <w:t xml:space="preserve">in number (27.3% in 2017), which represents some </w:t>
      </w:r>
      <w:r>
        <w:rPr>
          <w:rStyle w:val="BOLDORANGEAnnexes"/>
        </w:rPr>
        <w:t xml:space="preserve">11.7% </w:t>
      </w:r>
      <w:r>
        <w:t>of all procedures in value (</w:t>
      </w:r>
      <w:r>
        <w:rPr>
          <w:rStyle w:val="BOLDORANGEAnnexes"/>
        </w:rPr>
        <w:t xml:space="preserve">17.8% </w:t>
      </w:r>
      <w:r>
        <w:t xml:space="preserve">in 2017). Compared to the previous year, these departments have registered an increase of </w:t>
      </w:r>
      <w:r>
        <w:rPr>
          <w:rStyle w:val="BOLDORANGEAnnexes"/>
        </w:rPr>
        <w:t xml:space="preserve">8.3 </w:t>
      </w:r>
      <w:r>
        <w:t xml:space="preserve">percentage points in number of negotiated procedures in relation to all procedures and a decrease of </w:t>
      </w:r>
      <w:r>
        <w:rPr>
          <w:rStyle w:val="BOLDORANGEAnnexes"/>
        </w:rPr>
        <w:t xml:space="preserve">6.1 </w:t>
      </w:r>
      <w:r>
        <w:t xml:space="preserve">percentage points in terms of relative value. </w:t>
      </w:r>
    </w:p>
    <w:p>
      <w:pPr>
        <w:pStyle w:val="BodyText1spaceafter"/>
        <w:rPr>
          <w:rStyle w:val="BOLDORANGEAnnexes"/>
          <w:b w:val="0"/>
          <w:color w:val="auto"/>
        </w:rPr>
      </w:pPr>
      <w:r>
        <w:t>An authorising department shall report to the institution if the proportion of negotiated procedures awarded in relation to the number of the contracts is ‘distinctly higher than the average recorded for the institution’, i.e. if it exceeds the average proportion by 50% or if the increase from one</w:t>
      </w:r>
      <w:r>
        <w:rPr>
          <w:rFonts w:ascii="Calibri" w:hAnsi="Calibri" w:cs="Calibri"/>
        </w:rPr>
        <w:t> </w:t>
      </w:r>
      <w:r>
        <w:t xml:space="preserve">year to the next is over 10% in the proportion. Thus the reference threshold for this year is fixed at </w:t>
      </w:r>
      <w:r>
        <w:rPr>
          <w:rStyle w:val="BOLDORANGEAnnexes"/>
        </w:rPr>
        <w:t>53.3%</w:t>
      </w:r>
      <w:r>
        <w:t xml:space="preserve"> (</w:t>
      </w:r>
      <w:r>
        <w:rPr>
          <w:rStyle w:val="BOLDORANGEAnnexes"/>
        </w:rPr>
        <w:t xml:space="preserve">40.9% </w:t>
      </w:r>
      <w:r>
        <w:t>in 2017); none of the three departments exceeds it</w:t>
      </w:r>
      <w:r>
        <w:rPr>
          <w:rStyle w:val="BOLDORANGEAnnexes"/>
          <w:b w:val="0"/>
          <w:color w:val="auto"/>
        </w:rPr>
        <w:t xml:space="preserve">. </w:t>
      </w:r>
    </w:p>
    <w:p>
      <w:pPr>
        <w:pStyle w:val="BodyText1spaceafter"/>
      </w:pPr>
      <w:r>
        <w:t xml:space="preserve">Nevertheless, two out of the three departments presented an increase over 10% in the proportion of negotiated procedures compared to last year. </w:t>
      </w:r>
    </w:p>
    <w:p>
      <w:pPr>
        <w:pStyle w:val="Annex4-subheading1"/>
        <w:rPr>
          <w:noProof/>
        </w:rPr>
      </w:pPr>
      <w:r>
        <w:rPr>
          <w:noProof/>
        </w:rPr>
        <w:t>4. Analysis of the justifications and corrective measures</w:t>
      </w:r>
    </w:p>
    <w:p>
      <w:pPr>
        <w:pStyle w:val="BodyText1spaceafter"/>
      </w:pPr>
      <w:r>
        <w:t>The number of negotiated procedures in 2018 compared to 2017 has decreased (from 102 to 86), despite the increase in the number of procurement procedures (from 746 from 798). Overall, this is a positive result.</w:t>
      </w:r>
    </w:p>
    <w:p>
      <w:pPr>
        <w:pStyle w:val="BodyText1spaceafter"/>
      </w:pPr>
      <w:r>
        <w:t>The following categories of justifications for the use of a negotiated procedure have been presented by the departments exceededing the thresholds.</w:t>
      </w:r>
    </w:p>
    <w:p>
      <w:pPr>
        <w:pStyle w:val="bulletsorange"/>
      </w:pPr>
      <w:r>
        <w:rPr>
          <w:rStyle w:val="BOLDORANGEAnnexes"/>
        </w:rPr>
        <w:t>Similar services/works as provided for in the initial tender specifications.</w:t>
      </w:r>
      <w:r>
        <w:rPr>
          <w:b/>
        </w:rPr>
        <w:t xml:space="preserve"> </w:t>
      </w:r>
      <w:r>
        <w:t xml:space="preserve">One service in charge of large interinstitutional procurement procedures realises during the implementation of the contract that the needs initially envisaged do not match with the consumption trend during the execution of the contract. Therefore, the leading service must start a negotiated procedure on behalf of all institutions to increase the ceiling of the framework contract in question. </w:t>
      </w:r>
    </w:p>
    <w:p>
      <w:pPr>
        <w:pStyle w:val="bulletsorange"/>
      </w:pPr>
      <w:r>
        <w:rPr>
          <w:rStyle w:val="BOLDORANGEAnnexes"/>
        </w:rPr>
        <w:t>Objective situations of the economic activity sector,</w:t>
      </w:r>
      <w:r>
        <w:rPr>
          <w:b/>
        </w:rPr>
        <w:t xml:space="preserve"> </w:t>
      </w:r>
      <w:r>
        <w:t xml:space="preserve">where the number of operators may be very limited or in a monopoly situation (for reasons of intellectual property, specific technical expertise/reasons, exclusivity rights, highly specialised markets, where competition is limited to very few economic operators or is even completely absent, etc.). Monopoly situations have been met, among other things, in the organisation of communication events, in specialised services (e.g. financial, fitting services for buildings). Situations of technical captivity may also arise especially in the IT domain (absence of competition for technical reasons and/or because of the protection of exclusive rights related to the purchase of proprietary licences or the maintenance and continuity of existing applications i.e. upgrades etc.). </w:t>
      </w:r>
    </w:p>
    <w:p>
      <w:pPr>
        <w:pStyle w:val="bulletsorange"/>
        <w:rPr>
          <w:rFonts w:eastAsia="Times New Roman" w:cs="Arial"/>
          <w:szCs w:val="20"/>
          <w:lang w:eastAsia="en-GB"/>
        </w:rPr>
      </w:pPr>
      <w:r>
        <w:rPr>
          <w:rStyle w:val="BOLDORANGEAnnexes"/>
        </w:rPr>
        <w:t>Unsuccessful open or restricted procedures,</w:t>
      </w:r>
      <w:r>
        <w:rPr>
          <w:rFonts w:eastAsia="Times New Roman" w:cs="Arial"/>
          <w:szCs w:val="20"/>
          <w:lang w:eastAsia="en-GB"/>
        </w:rPr>
        <w:t xml:space="preserve"> leading to a negotiated procedure.</w:t>
      </w:r>
    </w:p>
    <w:p>
      <w:pPr>
        <w:pStyle w:val="bulletsorange"/>
      </w:pPr>
      <w:r>
        <w:rPr>
          <w:rStyle w:val="BOLDORANGEAnnexes"/>
        </w:rPr>
        <w:t>Additional services</w:t>
      </w:r>
      <w:r>
        <w:rPr>
          <w:b/>
        </w:rPr>
        <w:t xml:space="preserve"> </w:t>
      </w:r>
      <w:r>
        <w:t>not included in the initial contract, which become necessary, due to unforeseen circumstances.</w:t>
      </w:r>
    </w:p>
    <w:p>
      <w:pPr>
        <w:pStyle w:val="BodyText1spacebeforeandafter"/>
      </w:pPr>
      <w:r>
        <w:t>Regular available measures are proposed or implemented by the budget department and other departments concerned to redress the use of negotiated procedures when other alternatives could be available.</w:t>
      </w:r>
    </w:p>
    <w:p>
      <w:pPr>
        <w:pStyle w:val="bulletsorange"/>
      </w:pPr>
      <w:r>
        <w:rPr>
          <w:rStyle w:val="BOLDORANGEAnnexes"/>
        </w:rPr>
        <w:t xml:space="preserve">Improved programming </w:t>
      </w:r>
      <w:r>
        <w:t xml:space="preserve">of procurement procedures. </w:t>
      </w:r>
    </w:p>
    <w:p>
      <w:pPr>
        <w:pStyle w:val="bulletsorange"/>
      </w:pPr>
      <w:r>
        <w:rPr>
          <w:rStyle w:val="BOLDORANGEAnnexes"/>
        </w:rPr>
        <w:t>Improvement of the system of evaluation of needs</w:t>
      </w:r>
      <w:r>
        <w:t xml:space="preserve"> — the Commission’s central services will continue their active communication and consultation policy with the other Commission departments, institutions, agencies and other bodies along the following axes. </w:t>
      </w:r>
    </w:p>
    <w:p>
      <w:pPr>
        <w:pStyle w:val="BodyText"/>
        <w:numPr>
          <w:ilvl w:val="0"/>
          <w:numId w:val="42"/>
        </w:numPr>
        <w:jc w:val="both"/>
        <w:rPr>
          <w:rFonts w:eastAsia="Times New Roman" w:cs="Arial"/>
          <w:noProof/>
          <w:szCs w:val="20"/>
          <w:lang w:eastAsia="en-GB"/>
        </w:rPr>
      </w:pPr>
      <w:r>
        <w:rPr>
          <w:rFonts w:eastAsia="Times New Roman" w:cs="Arial"/>
          <w:noProof/>
          <w:szCs w:val="20"/>
          <w:lang w:eastAsia="en-GB"/>
        </w:rPr>
        <w:t>Permanent exchange of information via regular meetings with user services and agencies in appropriate forums.</w:t>
      </w:r>
    </w:p>
    <w:p>
      <w:pPr>
        <w:pStyle w:val="BodyText"/>
        <w:numPr>
          <w:ilvl w:val="0"/>
          <w:numId w:val="42"/>
        </w:numPr>
        <w:jc w:val="both"/>
        <w:rPr>
          <w:rFonts w:eastAsia="Times New Roman" w:cs="Arial"/>
          <w:noProof/>
          <w:szCs w:val="20"/>
          <w:lang w:eastAsia="en-GB"/>
        </w:rPr>
      </w:pPr>
      <w:r>
        <w:rPr>
          <w:rFonts w:eastAsia="Times New Roman" w:cs="Arial"/>
          <w:noProof/>
          <w:szCs w:val="20"/>
          <w:lang w:eastAsia="en-GB"/>
        </w:rPr>
        <w:t xml:space="preserve">Ad hoc detailed surveys prior to the initiation of (interinstitutional) procurement procedures for the evaluation of needs. </w:t>
      </w:r>
    </w:p>
    <w:p>
      <w:pPr>
        <w:pStyle w:val="BodyText"/>
        <w:numPr>
          <w:ilvl w:val="0"/>
          <w:numId w:val="42"/>
        </w:numPr>
        <w:jc w:val="both"/>
        <w:rPr>
          <w:rFonts w:eastAsia="Times New Roman" w:cs="Arial"/>
          <w:noProof/>
          <w:szCs w:val="20"/>
          <w:lang w:eastAsia="en-GB"/>
        </w:rPr>
      </w:pPr>
      <w:r>
        <w:rPr>
          <w:rFonts w:eastAsia="Times New Roman" w:cs="Arial"/>
          <w:noProof/>
          <w:szCs w:val="20"/>
          <w:lang w:eastAsia="en-GB"/>
        </w:rPr>
        <w:t>Better estimate of needs of interinstitutional framework contracts and better monitoring with semester consumption reports from user services or agencies.</w:t>
      </w:r>
    </w:p>
    <w:p>
      <w:pPr>
        <w:pStyle w:val="bulletsorange"/>
      </w:pPr>
      <w:r>
        <w:rPr>
          <w:rStyle w:val="BOLDORANGEAnnexes"/>
        </w:rPr>
        <w:t>Training and improved inter-service communication</w:t>
      </w:r>
      <w:r>
        <w:t xml:space="preserve"> — the budget department’s central financial service provides regular practical training sessions on procurement and community of practice sessions. </w:t>
      </w:r>
    </w:p>
    <w:p>
      <w:pPr>
        <w:pStyle w:val="bulletsorange"/>
        <w:rPr>
          <w:rFonts w:eastAsia="Times New Roman" w:cs="Arial"/>
          <w:szCs w:val="20"/>
          <w:lang w:eastAsia="en-GB"/>
        </w:rPr>
      </w:pPr>
      <w:r>
        <w:rPr>
          <w:rFonts w:eastAsia="Times New Roman" w:cs="Arial"/>
          <w:szCs w:val="20"/>
          <w:lang w:eastAsia="en-GB"/>
        </w:rPr>
        <w:t xml:space="preserve">Regular update of </w:t>
      </w:r>
      <w:r>
        <w:rPr>
          <w:rStyle w:val="BOLDORANGEAnnexes"/>
        </w:rPr>
        <w:t xml:space="preserve">standard model documents and guidance documents </w:t>
      </w:r>
      <w:r>
        <w:rPr>
          <w:rFonts w:eastAsia="Times New Roman" w:cs="Arial"/>
          <w:szCs w:val="20"/>
          <w:lang w:eastAsia="en-GB"/>
        </w:rPr>
        <w:t>on procurement.</w:t>
      </w:r>
    </w:p>
    <w:p>
      <w:pPr>
        <w:rPr>
          <w:noProof/>
          <w:lang w:eastAsia="en-GB"/>
        </w:rPr>
        <w:sectPr>
          <w:headerReference w:type="even" r:id="rId166"/>
          <w:headerReference w:type="default" r:id="rId167"/>
          <w:footerReference w:type="even" r:id="rId168"/>
          <w:footerReference w:type="default" r:id="rId169"/>
          <w:headerReference w:type="first" r:id="rId170"/>
          <w:footerReference w:type="first" r:id="rId171"/>
          <w:footnotePr>
            <w:numStart w:val="413"/>
          </w:footnotePr>
          <w:pgSz w:w="11906" w:h="16838" w:code="9"/>
          <w:pgMar w:top="1418" w:right="1418" w:bottom="1418" w:left="1418" w:header="635" w:footer="635" w:gutter="0"/>
          <w:cols w:space="720"/>
          <w:docGrid w:linePitch="360"/>
        </w:sectPr>
      </w:pPr>
    </w:p>
    <w:p>
      <w:pPr>
        <w:rPr>
          <w:noProof/>
          <w:lang w:eastAsia="en-GB"/>
        </w:rPr>
        <w:sectPr>
          <w:headerReference w:type="even" r:id="rId172"/>
          <w:headerReference w:type="default" r:id="rId173"/>
          <w:footerReference w:type="even" r:id="rId174"/>
          <w:footerReference w:type="default" r:id="rId175"/>
          <w:headerReference w:type="first" r:id="rId176"/>
          <w:footerReference w:type="first" r:id="rId177"/>
          <w:footnotePr>
            <w:numStart w:val="413"/>
          </w:footnotePr>
          <w:pgSz w:w="11906" w:h="16838" w:code="9"/>
          <w:pgMar w:top="1418" w:right="1418" w:bottom="1418" w:left="1418" w:header="635" w:footer="635" w:gutter="0"/>
          <w:cols w:space="720"/>
          <w:docGrid w:linePitch="360"/>
        </w:sectPr>
      </w:pPr>
    </w:p>
    <w:p>
      <w:pPr>
        <w:pStyle w:val="Title1Annexes"/>
        <w:rPr>
          <w:noProof/>
        </w:rPr>
      </w:pPr>
      <w:bookmarkStart w:id="224" w:name="_Toc6304476"/>
      <w:bookmarkStart w:id="225" w:name="_Toc8386228"/>
      <w:bookmarkStart w:id="226" w:name="_Toc11679107"/>
      <w:r>
        <w:rPr>
          <w:noProof/>
        </w:rPr>
        <w:t xml:space="preserve">Annex 9: </w:t>
      </w:r>
      <w:r>
        <w:rPr>
          <w:noProof/>
        </w:rPr>
        <w:br/>
        <w:t>EU Trust Funds</w:t>
      </w:r>
      <w:bookmarkEnd w:id="224"/>
      <w:bookmarkEnd w:id="225"/>
      <w:bookmarkEnd w:id="226"/>
    </w:p>
    <w:p>
      <w:pPr>
        <w:pStyle w:val="BodyText1spaceafter"/>
        <w:rPr>
          <w:rFonts w:eastAsia="Times New Roman" w:cs="Arial"/>
          <w:szCs w:val="20"/>
          <w:lang w:eastAsia="en-GB"/>
        </w:rPr>
      </w:pPr>
      <w:r>
        <w:t xml:space="preserve">In accordance with </w:t>
      </w:r>
      <w:r>
        <w:rPr>
          <w:rStyle w:val="BOLDORANGEAnnexes"/>
        </w:rPr>
        <w:t>Article</w:t>
      </w:r>
      <w:r>
        <w:rPr>
          <w:rStyle w:val="BOLDORANGEAnnexes"/>
          <w:rFonts w:ascii="Calibri" w:hAnsi="Calibri" w:cs="Calibri"/>
        </w:rPr>
        <w:t> </w:t>
      </w:r>
      <w:r>
        <w:rPr>
          <w:rStyle w:val="BOLDORANGEAnnexes"/>
        </w:rPr>
        <w:t>252 of the Financial Regulation</w:t>
      </w:r>
      <w:r>
        <w:t>, this</w:t>
      </w:r>
      <w:r>
        <w:rPr>
          <w:rFonts w:eastAsia="Times New Roman" w:cs="Arial"/>
          <w:szCs w:val="20"/>
          <w:lang w:eastAsia="en-GB"/>
        </w:rPr>
        <w:t xml:space="preserve"> annex contains </w:t>
      </w:r>
      <w:r>
        <w:rPr>
          <w:rStyle w:val="BOLDORANGEAnnexes"/>
        </w:rPr>
        <w:t>a comprehensive and detailed report to the European Parliament and to the Council on the activities supported by European Union Trust Funds and on their implementation and performance, as well as on their accounts</w:t>
      </w:r>
      <w:r>
        <w:rPr>
          <w:rFonts w:eastAsia="Times New Roman" w:cs="Arial"/>
          <w:szCs w:val="20"/>
          <w:lang w:eastAsia="en-GB"/>
        </w:rPr>
        <w:t>.</w:t>
      </w:r>
    </w:p>
    <w:p>
      <w:pPr>
        <w:pStyle w:val="BodyText"/>
        <w:keepNext/>
        <w:jc w:val="both"/>
        <w:rPr>
          <w:rFonts w:eastAsia="Times New Roman" w:cs="Arial"/>
          <w:b/>
          <w:i/>
          <w:iCs/>
          <w:noProof/>
          <w:szCs w:val="20"/>
          <w:lang w:eastAsia="en-GB"/>
        </w:rPr>
      </w:pPr>
      <w:r>
        <w:rPr>
          <w:rFonts w:eastAsia="Times New Roman" w:cs="Arial"/>
          <w:b/>
          <w:i/>
          <w:iCs/>
          <w:noProof/>
          <w:szCs w:val="20"/>
          <w:lang w:eastAsia="en-GB"/>
        </w:rPr>
        <w:t>For the performance and results aspects, see section 1, subsection on ‘Global Europe’.</w:t>
      </w:r>
    </w:p>
    <w:p>
      <w:pPr>
        <w:pStyle w:val="BodyText1spaceafter"/>
      </w:pPr>
      <w:r>
        <w:t>The financial regulation allowed the European Commission to create and administer EU Trust Funds in the field of external action: these are multi-donor trust funds for emergency, post-emergency or thematic actions.</w:t>
      </w:r>
    </w:p>
    <w:p>
      <w:pPr>
        <w:pStyle w:val="BodyText1spaceafter"/>
      </w:pPr>
      <w:r>
        <w:t>A trust fund is both a legal arrangement and a distinct financial structure relying on a pool funding mechanism, in which several donors jointly finance an action on the basis of commonly agreed objectives and reporting formats. Trust funds have many advantages, such as flexibility, speed of decision-making and the possibility to pool funding from different sources and donors.</w:t>
      </w:r>
    </w:p>
    <w:p>
      <w:pPr>
        <w:pStyle w:val="bulletsorange"/>
        <w:spacing w:after="60"/>
        <w:contextualSpacing w:val="0"/>
      </w:pPr>
      <w:r>
        <w:t>EU Trust Funds enhance the international role of the EU as well as strengthen the visibility and efficiency of its external action and development assistance.</w:t>
      </w:r>
    </w:p>
    <w:p>
      <w:pPr>
        <w:pStyle w:val="bulletsorange"/>
        <w:spacing w:after="60"/>
        <w:contextualSpacing w:val="0"/>
      </w:pPr>
      <w:r>
        <w:t>Another advantage is a faster decision-making process in the selection of the measures to be implemented in comparison with traditional multiannual programmes devoted to development cooperation — this can prove crucial in emergency and post-emergency actions, the categories of measures (together with thematic actions) for which EU Trust Funds may be established.</w:t>
      </w:r>
    </w:p>
    <w:p>
      <w:pPr>
        <w:pStyle w:val="bulletsorange"/>
      </w:pPr>
      <w:r>
        <w:t>One more benefit is the leverage of additional resources to devote to external action, since the establishment of an EU Trust Fund requires at least one additional donor.</w:t>
      </w:r>
    </w:p>
    <w:p>
      <w:pPr>
        <w:pStyle w:val="BodyText1spacebeforeandafter"/>
      </w:pPr>
      <w:r>
        <w:t>Donors to an EU Trust Fund may be individual Member States as well as other entities. The pooling of resources could also increase coordination between different EU donors in selected areas of intervention, for example if individual Member States decide to channel at least part of their national bilateral assistance through EU Trust Funds.</w:t>
      </w:r>
    </w:p>
    <w:p>
      <w:pPr>
        <w:pStyle w:val="BodyText1spaceafter"/>
      </w:pPr>
      <w:r>
        <w:t>In order for an EU Trust Fund to be created, it must meet a number of conditions, including EU added value (its objectives can be better met at EU level than at national level), additionally (the trust fund should not duplicate already existing and similar instruments) and managerial advantages.</w:t>
      </w:r>
    </w:p>
    <w:p>
      <w:pPr>
        <w:pStyle w:val="BodyText1spaceafter"/>
      </w:pPr>
      <w:r>
        <w:t>The constitutive act of the EU Trust Fund signed by the European Commission and the donors details some important features of the trust fund, including its specific objectives, the rules for the composition and the internal rules of its board, as well as the duration of the trust fund, which is always limited in time. EU Trust Funds have so far all been set up for an initial 60</w:t>
      </w:r>
      <w:r>
        <w:rPr>
          <w:rFonts w:ascii="Calibri" w:hAnsi="Calibri" w:cs="Calibri"/>
        </w:rPr>
        <w:t> </w:t>
      </w:r>
      <w:r>
        <w:t>months (5</w:t>
      </w:r>
      <w:r>
        <w:rPr>
          <w:rFonts w:ascii="Calibri" w:hAnsi="Calibri" w:cs="Calibri"/>
        </w:rPr>
        <w:t> </w:t>
      </w:r>
      <w:r>
        <w:t>years), apart from the Colombia-EU Trust Fund set up (December 2016) for 4</w:t>
      </w:r>
      <w:r>
        <w:rPr>
          <w:rFonts w:ascii="Calibri" w:hAnsi="Calibri" w:cs="Calibri"/>
        </w:rPr>
        <w:t> </w:t>
      </w:r>
      <w:r>
        <w:t>years.</w:t>
      </w:r>
    </w:p>
    <w:p>
      <w:pPr>
        <w:pStyle w:val="BodyText1spaceafter"/>
      </w:pPr>
      <w:r>
        <w:t>Financial contributions to an EU Trust Fund are lodged in a specific bank account. EU Trust Funds are not integrated in the EU budget, but their management needs to be in accordance with the financial regulation to the extent necessary to ensure proper use of public resources.</w:t>
      </w:r>
      <w:r>
        <w:rPr>
          <w:rFonts w:ascii="Calibri" w:hAnsi="Calibri" w:cs="Calibri"/>
        </w:rPr>
        <w:t xml:space="preserve"> </w:t>
      </w:r>
      <w:r>
        <w:t>The European Commission is empowered to adopt delegated acts laying down detailed rules on the management, governance and reporting of the EU Trust Funds.</w:t>
      </w:r>
    </w:p>
    <w:p>
      <w:pPr>
        <w:pStyle w:val="BodyText1spaceafter"/>
      </w:pPr>
      <w:r>
        <w:t>EU Trust Funds are implemented directly by the European Commission, which is authorised to use up to 5% of the resources pooled in a trust fund to cover its management costs.</w:t>
      </w:r>
      <w:r>
        <w:rPr>
          <w:rFonts w:ascii="Calibri" w:hAnsi="Calibri" w:cs="Calibri"/>
        </w:rPr>
        <w:t xml:space="preserve"> </w:t>
      </w:r>
      <w:r>
        <w:t>In the case of emergency or post-emergency EU Trust Funds, budget implementation may also be indirect, with the possibility to entrust relevant tasks to other entities, such as non-EU countries and their designated bodies or international organisations and their agencies. In addition to the specific objectives of a given trust fund, implementation must comply with the principles of sound financial management, transparency, proportionality, non-discrimination and equal treatment.</w:t>
      </w:r>
    </w:p>
    <w:p>
      <w:pPr>
        <w:pStyle w:val="BodyText1spaceafter"/>
      </w:pPr>
      <w:r>
        <w:t>Each EU Trust Fund has its own governing board, which decides on the use of the pooled resources. The board ensures representation of the donors and is chaired by the European Commission, whose positive vote is required for the final decision on the use of the resources. Member States that do not contribute to the trust fund as well as the European Parliament are invited to participate as observers. An EU Trust Fund acts collectively on behalf of the EU and all the contributors to its financing.</w:t>
      </w:r>
    </w:p>
    <w:p>
      <w:pPr>
        <w:pStyle w:val="BodyText1spaceafter"/>
      </w:pPr>
      <w:r>
        <w:t>As far as control and audit mechanisms are concerned, the provisions of the financial regulation and its rules of application include a series of safeguards. For example, each year EU Trust Funds are subject to an independent external audit. In addition, the powers of the European Court of Auditors and of the Commission’s internal auditor over EU Trust Funds are the same as those they exercise over the other activities of the European Commission.</w:t>
      </w:r>
    </w:p>
    <w:p>
      <w:pPr>
        <w:pStyle w:val="BodyText1spaceafter"/>
      </w:pPr>
      <w:r>
        <w:t>With regard to reporting obligations, the European Commission is to submit an annual report on each EU Trust Fund to the European Parliament and to the Council. The annual report must be exhaustive and include detailed information on the activities supported by the trust fund, their implementation and performance, as well as their accounts. The Commission also reports on a monthly basis to the European Parliament and to the Council on the budgetary implementation of the EU Trust Funds.</w:t>
      </w:r>
    </w:p>
    <w:p>
      <w:pPr>
        <w:pStyle w:val="BodyText1spaceafter"/>
      </w:pPr>
      <w:r>
        <w:t>The following EU Trust Funds have been established.</w:t>
      </w:r>
    </w:p>
    <w:p>
      <w:pPr>
        <w:pStyle w:val="bulletsorange"/>
        <w:spacing w:after="60"/>
        <w:contextualSpacing w:val="0"/>
      </w:pPr>
      <w:r>
        <w:t>EU Trust Fund for the Central African Republic: ‘the Bêkou Trust Fund’ — established in 2014.</w:t>
      </w:r>
    </w:p>
    <w:p>
      <w:pPr>
        <w:pStyle w:val="bulletsorange"/>
        <w:spacing w:after="60"/>
        <w:contextualSpacing w:val="0"/>
      </w:pPr>
      <w:r>
        <w:t>EU Regional Trust Fund in Response to the Syrian Crisis — established in 2014.</w:t>
      </w:r>
    </w:p>
    <w:p>
      <w:pPr>
        <w:pStyle w:val="bulletsorange"/>
        <w:spacing w:after="60"/>
        <w:contextualSpacing w:val="0"/>
      </w:pPr>
      <w:r>
        <w:t>European Union Emergency Trust Fund for stability and addressing root causes of irregular migration and displaced persons in Africa: ‘the Africa Trust Fund’ — established in 2015.</w:t>
      </w:r>
    </w:p>
    <w:p>
      <w:pPr>
        <w:pStyle w:val="bulletsorange"/>
      </w:pPr>
      <w:r>
        <w:t>European Union Trust Fund for Colombia: ‘the Colombia Trust Fund’ — established in 2016</w:t>
      </w:r>
      <w:r>
        <w:rPr>
          <w:rFonts w:ascii="Calibri" w:hAnsi="Calibri" w:cs="Calibri"/>
        </w:rPr>
        <w:t>.</w:t>
      </w:r>
    </w:p>
    <w:p>
      <w:pPr>
        <w:pStyle w:val="Annex4-subheading1"/>
        <w:rPr>
          <w:noProof/>
        </w:rPr>
      </w:pPr>
      <w:r>
        <w:rPr>
          <w:noProof/>
        </w:rPr>
        <w:t xml:space="preserve">The Bêkou Trust Fund </w:t>
      </w:r>
    </w:p>
    <w:p>
      <w:pPr>
        <w:pStyle w:val="BodyText1spaceafter"/>
      </w:pPr>
      <w:r>
        <w:t>The Bêkou Trust Fund (which means ‘hope’ in Sango, the primary language spoken in the Central African Republic) was established on 15</w:t>
      </w:r>
      <w:r>
        <w:rPr>
          <w:rFonts w:ascii="Calibri" w:hAnsi="Calibri" w:cs="Calibri"/>
        </w:rPr>
        <w:t> </w:t>
      </w:r>
      <w:r>
        <w:t>July 2014 by the European Union (represented by the Commission’s development and humanitarian departments and by the European External Action Service) and three of its Member States: Germany, France and the Netherlands. The fund was established with the objective to support all aspects of the country’s exit from crisis and its reconstruction efforts. It was furthermore designed, taking into consideration the need to better link the reconstruction/development programmes with the humanitarian response (linking relief, rehabilitation and development) in order to rebuild the capacity of the country.</w:t>
      </w:r>
      <w:r>
        <w:rPr>
          <w:rFonts w:ascii="Calibri" w:hAnsi="Calibri" w:cs="Calibri"/>
        </w:rPr>
        <w:t> </w:t>
      </w:r>
    </w:p>
    <w:p>
      <w:pPr>
        <w:pStyle w:val="BodyText1spaceafter"/>
      </w:pPr>
      <w:r>
        <w:t>In total five EU Member States and other donors have, by 31</w:t>
      </w:r>
      <w:r>
        <w:rPr>
          <w:rFonts w:ascii="Calibri" w:hAnsi="Calibri" w:cs="Calibri"/>
        </w:rPr>
        <w:t> </w:t>
      </w:r>
      <w:r>
        <w:t>December 2018, contributed to this EU Trust Fund. The total amount of pledges from donors, the European Development Fund and the EU budget reached over EUR</w:t>
      </w:r>
      <w:r>
        <w:rPr>
          <w:rFonts w:ascii="Calibri" w:hAnsi="Calibri" w:cs="Calibri"/>
        </w:rPr>
        <w:t> </w:t>
      </w:r>
      <w:r>
        <w:t>242</w:t>
      </w:r>
      <w:r>
        <w:rPr>
          <w:rFonts w:ascii="Calibri" w:hAnsi="Calibri" w:cs="Calibri"/>
        </w:rPr>
        <w:t> </w:t>
      </w:r>
      <w:r>
        <w:t>million.</w:t>
      </w:r>
      <w:r>
        <w:rPr>
          <w:rFonts w:ascii="Calibri" w:hAnsi="Calibri" w:cs="Calibri"/>
        </w:rPr>
        <w:t> </w:t>
      </w:r>
    </w:p>
    <w:p>
      <w:pPr>
        <w:pStyle w:val="BodyText1spaceafter"/>
      </w:pPr>
      <w:r>
        <w:t>The priority sectors that the Trust Fund supports include basic services, notably in health, agriculture development, the restoration of national and local administrations, economic recovery and reconciliation within Central African Republic society. By end 2018, the Bêkou Trust Fund has funded in total 16 actions for a total value of EUR</w:t>
      </w:r>
      <w:r>
        <w:rPr>
          <w:rFonts w:ascii="Calibri" w:hAnsi="Calibri" w:cs="Calibri"/>
        </w:rPr>
        <w:t> </w:t>
      </w:r>
      <w:r>
        <w:t>195</w:t>
      </w:r>
      <w:r>
        <w:rPr>
          <w:rFonts w:ascii="Calibri" w:hAnsi="Calibri" w:cs="Calibri"/>
        </w:rPr>
        <w:t> </w:t>
      </w:r>
      <w:r>
        <w:t>million.</w:t>
      </w:r>
    </w:p>
    <w:p>
      <w:pPr>
        <w:pStyle w:val="BodyText1spaceafter"/>
      </w:pPr>
      <w:r>
        <w:t>Furthermore, the Court of Auditors published a special report in which it assessed the justification of the fund’s establishment, its management and the achievement of its objectives so far. Despite some limited shortcomings, it concluded that the choice to set up the fund was appropriate in the given circumstances. It should be taken into account that this was the first EU Trust Fund ever set up. The Court recommended the Commission to develop further guidance on the choice of aid vehicle, to improve donor coordination, selection procedures and performance measurement and to optimise administrative costs.</w:t>
      </w:r>
      <w:r>
        <w:rPr>
          <w:rFonts w:ascii="Calibri" w:hAnsi="Calibri" w:cs="Calibri"/>
        </w:rPr>
        <w:t> </w:t>
      </w:r>
    </w:p>
    <w:p>
      <w:pPr>
        <w:pStyle w:val="Annex4-subheading1"/>
        <w:rPr>
          <w:noProof/>
        </w:rPr>
      </w:pPr>
      <w:r>
        <w:rPr>
          <w:noProof/>
        </w:rPr>
        <w:t xml:space="preserve">The Syrian Crisis Trust Fund </w:t>
      </w:r>
    </w:p>
    <w:p>
      <w:pPr>
        <w:pStyle w:val="BodyText1spaceafter"/>
      </w:pPr>
      <w:r>
        <w:t>The EU Regional Trust Fund in Response to the Syrian Crisis was established on 15</w:t>
      </w:r>
      <w:r>
        <w:rPr>
          <w:rFonts w:ascii="Calibri" w:hAnsi="Calibri" w:cs="Calibri"/>
        </w:rPr>
        <w:t> </w:t>
      </w:r>
      <w:r>
        <w:t>December 2014.</w:t>
      </w:r>
    </w:p>
    <w:p>
      <w:pPr>
        <w:pStyle w:val="BodyText1spaceafter"/>
      </w:pPr>
      <w:r>
        <w:t>By way of a revised Commission establishment decision in December 2015, and subsequent adoption by the Trust Fund Board in March 2016, the scope of the Trust Fund has been expanded to also cover support to internally displaced persons (IDPs) in Iraq fleeing from the interlinked Syria/Iraq/Da’esh crisis, to provide flexibility to support affected countries also with hosting non-Syrian refugees, and to provide support in the Western Balkans to non-EU countries affected by the refugee crisis.</w:t>
      </w:r>
    </w:p>
    <w:p>
      <w:pPr>
        <w:pStyle w:val="BodyText1spaceafter"/>
      </w:pPr>
      <w:r>
        <w:t>At the end of 2018, the EU and 23 donors contributed to the Trust Fund: the EU budget, 22 Member States and one non-EU country, with total contributions reaching an amount of EUR</w:t>
      </w:r>
      <w:r>
        <w:rPr>
          <w:rFonts w:ascii="Calibri" w:hAnsi="Calibri" w:cs="Calibri"/>
        </w:rPr>
        <w:t> </w:t>
      </w:r>
      <w:r>
        <w:t>1.</w:t>
      </w:r>
      <w:r>
        <w:rPr>
          <w:rFonts w:ascii="Calibri" w:hAnsi="Calibri" w:cs="Calibri"/>
        </w:rPr>
        <w:t>7 </w:t>
      </w:r>
      <w:r>
        <w:t>billion. The contributions from the EU budget amounted by the end of 2018 to EUR</w:t>
      </w:r>
      <w:r>
        <w:rPr>
          <w:rFonts w:ascii="Calibri" w:hAnsi="Calibri" w:cs="Calibri"/>
        </w:rPr>
        <w:t> </w:t>
      </w:r>
      <w:r>
        <w:t>1.</w:t>
      </w:r>
      <w:r>
        <w:rPr>
          <w:rFonts w:ascii="Calibri" w:hAnsi="Calibri" w:cs="Calibri"/>
        </w:rPr>
        <w:t>5 </w:t>
      </w:r>
      <w:r>
        <w:t>billion, while the contributions from Member States and other donors amounted to EUR</w:t>
      </w:r>
      <w:r>
        <w:rPr>
          <w:rFonts w:ascii="Calibri" w:hAnsi="Calibri" w:cs="Calibri"/>
        </w:rPr>
        <w:t> </w:t>
      </w:r>
      <w:r>
        <w:t>183</w:t>
      </w:r>
      <w:r>
        <w:rPr>
          <w:rFonts w:ascii="Calibri" w:hAnsi="Calibri" w:cs="Calibri"/>
        </w:rPr>
        <w:t> </w:t>
      </w:r>
      <w:r>
        <w:t>million, including EUR</w:t>
      </w:r>
      <w:r>
        <w:rPr>
          <w:rFonts w:ascii="Calibri" w:hAnsi="Calibri" w:cs="Calibri"/>
        </w:rPr>
        <w:t> </w:t>
      </w:r>
      <w:r>
        <w:t>24.7</w:t>
      </w:r>
      <w:r>
        <w:rPr>
          <w:rFonts w:ascii="Calibri" w:hAnsi="Calibri" w:cs="Calibri"/>
        </w:rPr>
        <w:t> </w:t>
      </w:r>
      <w:r>
        <w:t>million from Turkey.</w:t>
      </w:r>
      <w:r>
        <w:rPr>
          <w:rFonts w:ascii="Calibri" w:hAnsi="Calibri" w:cs="Calibri"/>
        </w:rPr>
        <w:t xml:space="preserve"> </w:t>
      </w:r>
      <w:r>
        <w:t>Projects focusing on education, livelihoods and health covering a total of EUR</w:t>
      </w:r>
      <w:r>
        <w:rPr>
          <w:rFonts w:ascii="Calibri" w:hAnsi="Calibri" w:cs="Calibri"/>
        </w:rPr>
        <w:t> </w:t>
      </w:r>
      <w:r>
        <w:t>1.5</w:t>
      </w:r>
      <w:r>
        <w:rPr>
          <w:rFonts w:ascii="Calibri" w:hAnsi="Calibri" w:cs="Calibri"/>
        </w:rPr>
        <w:t> </w:t>
      </w:r>
      <w:r>
        <w:t>billion have already been approved, out of which EUR</w:t>
      </w:r>
      <w:r>
        <w:rPr>
          <w:rFonts w:ascii="Calibri" w:hAnsi="Calibri" w:cs="Calibri"/>
        </w:rPr>
        <w:t> </w:t>
      </w:r>
      <w:r>
        <w:t>1.2</w:t>
      </w:r>
      <w:r>
        <w:rPr>
          <w:rFonts w:ascii="Calibri" w:hAnsi="Calibri" w:cs="Calibri"/>
        </w:rPr>
        <w:t> </w:t>
      </w:r>
      <w:r>
        <w:t>billion have been contracted to the Trust Fund’s implementing partners on the ground.</w:t>
      </w:r>
    </w:p>
    <w:p>
      <w:pPr>
        <w:pStyle w:val="BodyText1spaceafter"/>
      </w:pPr>
      <w:r>
        <w:t>The Trust Fund is an important implementation channel also for the Facility for Refugees in Turkey, with some 10% of the facility</w:t>
      </w:r>
      <w:r>
        <w:rPr>
          <w:rFonts w:cs="EC Square Sans Pro"/>
        </w:rPr>
        <w:t>’</w:t>
      </w:r>
      <w:r>
        <w:t>s budget having been channelled via the Trust Fund.</w:t>
      </w:r>
    </w:p>
    <w:p>
      <w:pPr>
        <w:pStyle w:val="BodyText1spaceafter"/>
      </w:pPr>
      <w:r>
        <w:t>These programmes support refugees and host communities in their needs for basic education and child protection, training and higher education, better access to healthcare, improved water and wastewater infrastructure, as well as support for projects promoting resilience, economic opportunities and social inclusion.</w:t>
      </w:r>
    </w:p>
    <w:p>
      <w:pPr>
        <w:pStyle w:val="Annex4-subheading1"/>
        <w:rPr>
          <w:noProof/>
        </w:rPr>
      </w:pPr>
      <w:r>
        <w:rPr>
          <w:noProof/>
        </w:rPr>
        <w:t xml:space="preserve">The Africa Trust Fund </w:t>
      </w:r>
    </w:p>
    <w:p>
      <w:pPr>
        <w:pStyle w:val="BodyText1spaceafter"/>
      </w:pPr>
      <w:r>
        <w:t>The EU Trust Fund for Africa was established on 12</w:t>
      </w:r>
      <w:r>
        <w:rPr>
          <w:rFonts w:ascii="Calibri" w:hAnsi="Calibri" w:cs="Calibri"/>
        </w:rPr>
        <w:t> </w:t>
      </w:r>
      <w:r>
        <w:t xml:space="preserve">November 2015. It provides a rapid, flexible and effective response to root causes of irregular migration and displaced persons in Africa as well as to the crisis in the Sahel and Lake Chad, the Horn of Africa and the north of Africa regions. It has since then been extended to </w:t>
      </w:r>
      <w:r>
        <w:rPr>
          <w:rFonts w:asciiTheme="minorHAnsi" w:hAnsiTheme="minorHAnsi"/>
          <w:color w:val="000000"/>
        </w:rPr>
        <w:t>Côte d’Ivoire,</w:t>
      </w:r>
      <w:r>
        <w:t xml:space="preserve"> Ghana and Guinea</w:t>
      </w:r>
      <w:r>
        <w:rPr>
          <w:rFonts w:ascii="Verdana" w:hAnsi="Verdana"/>
          <w:color w:val="000000"/>
          <w:sz w:val="17"/>
          <w:szCs w:val="17"/>
        </w:rPr>
        <w:t>.</w:t>
      </w:r>
    </w:p>
    <w:p>
      <w:pPr>
        <w:pStyle w:val="BodyText1spaceafter"/>
      </w:pPr>
      <w:r>
        <w:t>It aims to help fostering stability and contributing to better migration management. In line with the EU development-led approach to forced displacement, it also helps addressing the root causes of destabilisation, forced displacement and irregular migration by promoting economic and equal opportunities, security and development.</w:t>
      </w:r>
    </w:p>
    <w:p>
      <w:pPr>
        <w:pStyle w:val="BodyText1spaceafter"/>
      </w:pPr>
      <w:r>
        <w:t>The EU provides support to the three regions to face the growing challenges of demographic pressure, environmental stress, extreme poverty, internal tensions, institutional weaknesses, weak social and economic infrastructures and insufficient resilience to food crises, which have in some places led to open conflict, displacement, criminality, radicalisation and violent extremism, as well as irregular migration, trafficking in human beings and the smuggling of migrants.</w:t>
      </w:r>
    </w:p>
    <w:p>
      <w:pPr>
        <w:pStyle w:val="BodyText1spaceafter"/>
      </w:pPr>
      <w:r>
        <w:t>The EU Trust Fund for Africa benefits a comprehensive group of African countries crossed by the major migration routes. These countries are part of the following regional operational windows.</w:t>
      </w:r>
    </w:p>
    <w:p>
      <w:pPr>
        <w:pStyle w:val="bulletsorange"/>
        <w:spacing w:after="60"/>
        <w:contextualSpacing w:val="0"/>
      </w:pPr>
      <w:r>
        <w:t xml:space="preserve">Window A — Sahel and Lake Chad: Burkina Faso, Cameroon, Chad, </w:t>
      </w:r>
      <w:r>
        <w:rPr>
          <w:rFonts w:asciiTheme="minorHAnsi" w:hAnsiTheme="minorHAnsi"/>
          <w:color w:val="000000"/>
        </w:rPr>
        <w:t>Côte d’Ivoire,</w:t>
      </w:r>
      <w:r>
        <w:t xml:space="preserve"> the Gambia, Ghana, Guinea, Mali, Mauritania, Niger, Nigeria and Senegal.</w:t>
      </w:r>
    </w:p>
    <w:p>
      <w:pPr>
        <w:pStyle w:val="bulletsorange"/>
        <w:spacing w:after="60"/>
        <w:contextualSpacing w:val="0"/>
      </w:pPr>
      <w:r>
        <w:t>Window B — Horn of Africa: Djibouti, Eritrea, Ethiopia, Kenya, Somalia, South Sudan, Sudan, Tanzania and Uganda.</w:t>
      </w:r>
    </w:p>
    <w:p>
      <w:pPr>
        <w:pStyle w:val="bulletsorange"/>
      </w:pPr>
      <w:r>
        <w:t>Window C — north of Africa: Algeria, Egypt, Libya, Morocco and Tunisia.</w:t>
      </w:r>
    </w:p>
    <w:p>
      <w:pPr>
        <w:pStyle w:val="BodyText1spacebeforeandafter"/>
      </w:pPr>
      <w:r>
        <w:t>In addition to the countries mentioned above, neighbouring African countries may also benefit, on a case-by-case basis, from EU Trust Fund for Africa projects with a regional dimension in order to address regional migration flows and related cross-border challenges.</w:t>
      </w:r>
    </w:p>
    <w:p>
      <w:pPr>
        <w:pStyle w:val="BodyText1spaceafter"/>
      </w:pPr>
      <w:r>
        <w:t>Activities funded under the EU Trust Fund for Africa are implemented through a range of operating partners, including EU Member States cooperation agencies, non-governmental organisations and international organisations. Several implementation modalities are envisaged: delegated cooperation, calls for proposals, budget support, blending and direct awards in particular situations. Priorities of the EU Trust Fund for Africa have been identified through a dialogue with African partners and relevant local, national and regional stakeholders.</w:t>
      </w:r>
    </w:p>
    <w:p>
      <w:pPr>
        <w:pStyle w:val="BodyText1spaceafter"/>
      </w:pPr>
      <w:r>
        <w:t>As of 31</w:t>
      </w:r>
      <w:r>
        <w:rPr>
          <w:rFonts w:ascii="Calibri" w:hAnsi="Calibri" w:cs="Calibri"/>
        </w:rPr>
        <w:t> </w:t>
      </w:r>
      <w:r>
        <w:t>December 2018, a total of 187 projects worth EUR</w:t>
      </w:r>
      <w:r>
        <w:rPr>
          <w:rFonts w:ascii="Calibri" w:hAnsi="Calibri" w:cs="Calibri"/>
        </w:rPr>
        <w:t> </w:t>
      </w:r>
      <w:r>
        <w:t>3</w:t>
      </w:r>
      <w:r>
        <w:rPr>
          <w:rFonts w:ascii="Calibri" w:hAnsi="Calibri" w:cs="Calibri"/>
        </w:rPr>
        <w:t> </w:t>
      </w:r>
      <w:r>
        <w:t>590</w:t>
      </w:r>
      <w:r>
        <w:rPr>
          <w:rFonts w:ascii="Calibri" w:hAnsi="Calibri" w:cs="Calibri"/>
        </w:rPr>
        <w:t> </w:t>
      </w:r>
      <w:r>
        <w:t>million have been approved, divided as follows: for Sahel and Lake Chad (EUR</w:t>
      </w:r>
      <w:r>
        <w:rPr>
          <w:rFonts w:ascii="Calibri" w:hAnsi="Calibri" w:cs="Calibri"/>
        </w:rPr>
        <w:t> </w:t>
      </w:r>
      <w:r>
        <w:t>1</w:t>
      </w:r>
      <w:r>
        <w:rPr>
          <w:rFonts w:ascii="Calibri" w:hAnsi="Calibri" w:cs="Calibri"/>
        </w:rPr>
        <w:t> </w:t>
      </w:r>
      <w:r>
        <w:t>721</w:t>
      </w:r>
      <w:r>
        <w:rPr>
          <w:rFonts w:ascii="Calibri" w:hAnsi="Calibri" w:cs="Calibri"/>
        </w:rPr>
        <w:t> </w:t>
      </w:r>
      <w:r>
        <w:t>million), the Horn of Africa (EUR</w:t>
      </w:r>
      <w:r>
        <w:rPr>
          <w:rFonts w:ascii="Calibri" w:hAnsi="Calibri" w:cs="Calibri"/>
        </w:rPr>
        <w:t> </w:t>
      </w:r>
      <w:r>
        <w:t>1</w:t>
      </w:r>
      <w:r>
        <w:rPr>
          <w:rFonts w:ascii="Calibri" w:hAnsi="Calibri" w:cs="Calibri"/>
        </w:rPr>
        <w:t> </w:t>
      </w:r>
      <w:r>
        <w:t>286</w:t>
      </w:r>
      <w:r>
        <w:rPr>
          <w:rFonts w:ascii="Calibri" w:hAnsi="Calibri" w:cs="Calibri"/>
        </w:rPr>
        <w:t> </w:t>
      </w:r>
      <w:r>
        <w:t>million) and the north of Africa region (EUR</w:t>
      </w:r>
      <w:r>
        <w:rPr>
          <w:rFonts w:ascii="Calibri" w:hAnsi="Calibri" w:cs="Calibri"/>
        </w:rPr>
        <w:t> </w:t>
      </w:r>
      <w:r>
        <w:t>582</w:t>
      </w:r>
      <w:r>
        <w:rPr>
          <w:rFonts w:ascii="Calibri" w:hAnsi="Calibri" w:cs="Calibri"/>
        </w:rPr>
        <w:t> </w:t>
      </w:r>
      <w:r>
        <w:t>million). Of the total amount approved, 385 contracts have been signed with implementing partners for a total amount of over EUR</w:t>
      </w:r>
      <w:r>
        <w:rPr>
          <w:rFonts w:ascii="Calibri" w:hAnsi="Calibri" w:cs="Calibri"/>
        </w:rPr>
        <w:t> </w:t>
      </w:r>
      <w:r>
        <w:t>2</w:t>
      </w:r>
      <w:r>
        <w:rPr>
          <w:rFonts w:ascii="Calibri" w:hAnsi="Calibri" w:cs="Calibri"/>
        </w:rPr>
        <w:t> </w:t>
      </w:r>
      <w:r>
        <w:t>462</w:t>
      </w:r>
      <w:r>
        <w:rPr>
          <w:rFonts w:ascii="Calibri" w:hAnsi="Calibri" w:cs="Calibri"/>
        </w:rPr>
        <w:t> </w:t>
      </w:r>
      <w:r>
        <w:t>million.</w:t>
      </w:r>
    </w:p>
    <w:p>
      <w:pPr>
        <w:pStyle w:val="BodyText"/>
        <w:jc w:val="both"/>
        <w:rPr>
          <w:rFonts w:eastAsia="Times New Roman" w:cs="Arial"/>
          <w:noProof/>
          <w:szCs w:val="20"/>
          <w:lang w:eastAsia="en-GB"/>
        </w:rPr>
      </w:pPr>
      <w:r>
        <w:rPr>
          <w:rFonts w:eastAsia="Times New Roman" w:cs="Arial"/>
          <w:noProof/>
          <w:szCs w:val="20"/>
          <w:lang w:eastAsia="en-GB"/>
        </w:rPr>
        <w:t>In total 27 EU Member States and two other donors (Norway and Switzerland) have, by end of 2018, contributed with EUR 490</w:t>
      </w:r>
      <w:r>
        <w:rPr>
          <w:rFonts w:ascii="Calibri" w:eastAsia="Times New Roman" w:hAnsi="Calibri" w:cs="Calibri"/>
          <w:noProof/>
          <w:szCs w:val="20"/>
          <w:lang w:eastAsia="en-GB"/>
        </w:rPr>
        <w:t> </w:t>
      </w:r>
      <w:r>
        <w:rPr>
          <w:rFonts w:eastAsia="Times New Roman" w:cs="Arial"/>
          <w:noProof/>
          <w:szCs w:val="20"/>
          <w:lang w:eastAsia="en-GB"/>
        </w:rPr>
        <w:t>million to this EU Trust Fund. Contributions through EU instruments and European Development Funds amount to EUR 3</w:t>
      </w:r>
      <w:r>
        <w:rPr>
          <w:rFonts w:ascii="Calibri" w:eastAsia="Times New Roman" w:hAnsi="Calibri" w:cs="Calibri"/>
          <w:noProof/>
          <w:szCs w:val="20"/>
          <w:lang w:eastAsia="en-GB"/>
        </w:rPr>
        <w:t> </w:t>
      </w:r>
      <w:r>
        <w:rPr>
          <w:rFonts w:eastAsia="Times New Roman" w:cs="Arial"/>
          <w:noProof/>
          <w:szCs w:val="20"/>
          <w:lang w:eastAsia="en-GB"/>
        </w:rPr>
        <w:t>720</w:t>
      </w:r>
      <w:r>
        <w:rPr>
          <w:rFonts w:ascii="Calibri" w:eastAsia="Times New Roman" w:hAnsi="Calibri" w:cs="Calibri"/>
          <w:noProof/>
          <w:szCs w:val="20"/>
          <w:lang w:eastAsia="en-GB"/>
        </w:rPr>
        <w:t> </w:t>
      </w:r>
      <w:r>
        <w:rPr>
          <w:rFonts w:eastAsia="Times New Roman" w:cs="Arial"/>
          <w:noProof/>
          <w:szCs w:val="20"/>
          <w:lang w:eastAsia="en-GB"/>
        </w:rPr>
        <w:t>million.</w:t>
      </w:r>
    </w:p>
    <w:p>
      <w:pPr>
        <w:pStyle w:val="Annex4-subheading1"/>
        <w:rPr>
          <w:noProof/>
        </w:rPr>
      </w:pPr>
      <w:r>
        <w:rPr>
          <w:noProof/>
        </w:rPr>
        <w:t>The Colombia Trust Fund</w:t>
      </w:r>
    </w:p>
    <w:p>
      <w:pPr>
        <w:pStyle w:val="BodyText1spaceafter"/>
      </w:pPr>
      <w:r>
        <w:t>The signature of the constitutive agreement of the EU Trust Fund for Colombia took place on 12</w:t>
      </w:r>
      <w:r>
        <w:rPr>
          <w:rFonts w:ascii="Calibri" w:hAnsi="Calibri" w:cs="Calibri"/>
        </w:rPr>
        <w:t> </w:t>
      </w:r>
      <w:r>
        <w:t>December 2016. At the end of 2018 the EU Trust Fund has close to EUR</w:t>
      </w:r>
      <w:r>
        <w:rPr>
          <w:rFonts w:ascii="Calibri" w:hAnsi="Calibri" w:cs="Calibri"/>
        </w:rPr>
        <w:t> </w:t>
      </w:r>
      <w:r>
        <w:t>94</w:t>
      </w:r>
      <w:r>
        <w:rPr>
          <w:rFonts w:ascii="Calibri" w:hAnsi="Calibri" w:cs="Calibri"/>
        </w:rPr>
        <w:t> </w:t>
      </w:r>
      <w:r>
        <w:t>million at its disposal, from the EU budget and EUR</w:t>
      </w:r>
      <w:r>
        <w:rPr>
          <w:rFonts w:ascii="Calibri" w:hAnsi="Calibri" w:cs="Calibri"/>
        </w:rPr>
        <w:t> </w:t>
      </w:r>
      <w:r>
        <w:t>25</w:t>
      </w:r>
      <w:r>
        <w:rPr>
          <w:rFonts w:ascii="Calibri" w:hAnsi="Calibri" w:cs="Calibri"/>
        </w:rPr>
        <w:t> </w:t>
      </w:r>
      <w:r>
        <w:t>million from contributions of 19 EU Member States (Czechia, Germany, Ireland, Spain, France, Croatia, Italy, Cyprus, Latvia, Lithuania, Luxembourg, Hungary, Malta, the Netherlands, Portugal, Slovenia, Slovakia, Sweden and the United Kingdom).</w:t>
      </w:r>
    </w:p>
    <w:p>
      <w:pPr>
        <w:pStyle w:val="BodyText1spaceafter"/>
      </w:pPr>
      <w:r>
        <w:t>The Colombia Trust Fund has approved projects for a total amount of EUR</w:t>
      </w:r>
      <w:r>
        <w:rPr>
          <w:rFonts w:ascii="Calibri" w:hAnsi="Calibri" w:cs="Calibri"/>
        </w:rPr>
        <w:t> </w:t>
      </w:r>
      <w:r>
        <w:t>66</w:t>
      </w:r>
      <w:r>
        <w:rPr>
          <w:rFonts w:ascii="Calibri" w:hAnsi="Calibri" w:cs="Calibri"/>
        </w:rPr>
        <w:t> </w:t>
      </w:r>
      <w:r>
        <w:t>million and EUR</w:t>
      </w:r>
      <w:r>
        <w:rPr>
          <w:rFonts w:ascii="Calibri" w:hAnsi="Calibri" w:cs="Calibri"/>
        </w:rPr>
        <w:t> </w:t>
      </w:r>
      <w:r>
        <w:t>58</w:t>
      </w:r>
      <w:r>
        <w:rPr>
          <w:rFonts w:ascii="Calibri" w:hAnsi="Calibri" w:cs="Calibri"/>
        </w:rPr>
        <w:t> </w:t>
      </w:r>
      <w:r>
        <w:t>million were contracted by 31</w:t>
      </w:r>
      <w:r>
        <w:rPr>
          <w:rFonts w:ascii="Calibri" w:hAnsi="Calibri" w:cs="Calibri"/>
        </w:rPr>
        <w:t> </w:t>
      </w:r>
      <w:r>
        <w:t>December 2018.</w:t>
      </w:r>
    </w:p>
    <w:p>
      <w:pPr>
        <w:pStyle w:val="BodyText1spaceafter"/>
      </w:pPr>
      <w:r>
        <w:t>The Trust Fund will help to support the implementation of the peace agreement in the early recovery and stabilisation phases of the post-conflict. The overall objective is to help Colombia to secure a stable and lasting peace, to rebuild its social and economic fabric and to give new hope to the people of Colombia.</w:t>
      </w:r>
    </w:p>
    <w:p>
      <w:pPr>
        <w:pStyle w:val="BodyText1spaceafter"/>
      </w:pPr>
      <w:r>
        <w:t xml:space="preserve">The </w:t>
      </w:r>
      <w:r>
        <w:rPr>
          <w:rStyle w:val="BOLDORANGEAnnexes"/>
        </w:rPr>
        <w:t>EU Trust Funds’ annual reports by their trust fund managers</w:t>
      </w:r>
      <w:r>
        <w:rPr>
          <w:b/>
          <w:iCs/>
        </w:rPr>
        <w:t xml:space="preserve"> </w:t>
      </w:r>
      <w:r>
        <w:t xml:space="preserve">(as authorising officers by subdelegation) include more details on the activities of the EU Trust Funds. They can be found as annexes of the annual activity reports of the Commission’s development and neighbourhood departments. </w:t>
      </w:r>
    </w:p>
    <w:p>
      <w:pPr>
        <w:pStyle w:val="Annex4-subheading1"/>
        <w:rPr>
          <w:noProof/>
        </w:rPr>
      </w:pPr>
      <w:r>
        <w:rPr>
          <w:noProof/>
        </w:rPr>
        <w:t>Development department</w:t>
      </w:r>
    </w:p>
    <w:p>
      <w:pPr>
        <w:pStyle w:val="bulletsorange"/>
        <w:spacing w:after="60"/>
        <w:contextualSpacing w:val="0"/>
      </w:pPr>
      <w:r>
        <w:t>Trust Fund ‘Bêkou’ — the EU Trust Fund for the Central African Republic.</w:t>
      </w:r>
    </w:p>
    <w:p>
      <w:pPr>
        <w:pStyle w:val="bulletsorange"/>
        <w:spacing w:after="60"/>
        <w:contextualSpacing w:val="0"/>
      </w:pPr>
      <w:r>
        <w:t>Trust Fund ‘Africa’ — Horn of Africa window.</w:t>
      </w:r>
    </w:p>
    <w:p>
      <w:pPr>
        <w:pStyle w:val="bulletsorange"/>
        <w:spacing w:after="60"/>
        <w:contextualSpacing w:val="0"/>
      </w:pPr>
      <w:r>
        <w:t>Trust Fund ‘Africa’ — Sahel and Lake Chad window.</w:t>
      </w:r>
    </w:p>
    <w:p>
      <w:pPr>
        <w:pStyle w:val="bulletsorange"/>
        <w:spacing w:after="60"/>
        <w:contextualSpacing w:val="0"/>
      </w:pPr>
      <w:r>
        <w:t>Trust Fund ‘Africa’ — north of Africa window (</w:t>
      </w:r>
      <w:r>
        <w:rPr>
          <w:i/>
        </w:rPr>
        <w:t>management cross-subdelegated to the neighbourhood department</w:t>
      </w:r>
      <w:r>
        <w:t>).</w:t>
      </w:r>
    </w:p>
    <w:p>
      <w:pPr>
        <w:pStyle w:val="bulletsorange"/>
        <w:rPr>
          <w:b/>
          <w:bCs/>
        </w:rPr>
      </w:pPr>
      <w:r>
        <w:t>Trust Fund ‘Colombia’.</w:t>
      </w:r>
    </w:p>
    <w:p>
      <w:pPr>
        <w:pStyle w:val="Annex4-subheading1"/>
        <w:rPr>
          <w:noProof/>
        </w:rPr>
      </w:pPr>
      <w:r>
        <w:rPr>
          <w:noProof/>
        </w:rPr>
        <w:t>Neighbourhood department</w:t>
      </w:r>
    </w:p>
    <w:p>
      <w:pPr>
        <w:pStyle w:val="bulletsorange"/>
      </w:pPr>
      <w:r>
        <w:t>Trust Fund ’Syrian crisis'.</w:t>
      </w:r>
    </w:p>
    <w:p>
      <w:pPr>
        <w:pStyle w:val="BodyText"/>
        <w:jc w:val="both"/>
        <w:rPr>
          <w:rFonts w:eastAsia="Times New Roman" w:cs="Arial"/>
          <w:noProof/>
          <w:szCs w:val="20"/>
          <w:lang w:eastAsia="en-GB"/>
        </w:rPr>
      </w:pPr>
    </w:p>
    <w:sectPr>
      <w:headerReference w:type="even" r:id="rId178"/>
      <w:headerReference w:type="default" r:id="rId179"/>
      <w:footerReference w:type="even" r:id="rId180"/>
      <w:footerReference w:type="default" r:id="rId181"/>
      <w:headerReference w:type="first" r:id="rId182"/>
      <w:footerReference w:type="first" r:id="rId183"/>
      <w:footnotePr>
        <w:numStart w:val="413"/>
      </w:footnotePr>
      <w:pgSz w:w="11906" w:h="16838" w:code="9"/>
      <w:pgMar w:top="1418" w:right="1418" w:bottom="1418" w:left="1418" w:header="635" w:footer="635"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 Square Sans Pro Thin">
    <w:panose1 w:val="020B0506040000020004"/>
    <w:charset w:val="00"/>
    <w:family w:val="swiss"/>
    <w:pitch w:val="variable"/>
    <w:sig w:usb0="A00002BF" w:usb1="5000E0F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27930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187</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13983209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206</w:t>
        </w:r>
        <w:r>
          <w:rPr>
            <w:noProof/>
          </w:rPr>
          <w:fldChar w:fldCharType="end"/>
        </w:r>
      </w:sdtContent>
    </w:sdt>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21303050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193</w:t>
        </w:r>
        <w:r>
          <w:rPr>
            <w:noProof/>
          </w:rPr>
          <w:fldChar w:fldCharType="end"/>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18381409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206</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12815699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199</w:t>
        </w:r>
        <w:r>
          <w:rPr>
            <w:noProof/>
          </w:rPr>
          <w:fldChar w:fldCharType="end"/>
        </w:r>
      </w:sdtContent>
    </w:sdt>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18784630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206</w:t>
        </w:r>
        <w:r>
          <w:rPr>
            <w:noProof/>
          </w:rPr>
          <w:fldChar w:fldCharType="end"/>
        </w:r>
      </w:sdtContent>
    </w:sdt>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12669922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207</w:t>
        </w:r>
        <w:r>
          <w:rPr>
            <w:noProof/>
          </w:rPr>
          <w:fldChar w:fldCharType="end"/>
        </w:r>
      </w:sdtContent>
    </w:sdt>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9475093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236</w:t>
        </w:r>
        <w:r>
          <w:rPr>
            <w:noProof/>
          </w:rPr>
          <w:fldChar w:fldCharType="end"/>
        </w:r>
      </w:sdtContent>
    </w:sdt>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7916664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219</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19681560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236</w:t>
        </w:r>
        <w:r>
          <w:rPr>
            <w:noProof/>
          </w:rPr>
          <w:fldChar w:fldCharType="end"/>
        </w:r>
      </w:sdtContent>
    </w:sdt>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6076604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227</w:t>
        </w:r>
        <w:r>
          <w:rPr>
            <w:noProof/>
          </w:rPr>
          <w:fldChar w:fldCharType="end"/>
        </w:r>
      </w:sdtContent>
    </w:sdt>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91632172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236</w:t>
        </w:r>
        <w:r>
          <w:rPr>
            <w:noProof/>
          </w:rPr>
          <w:fldChar w:fldCharType="end"/>
        </w:r>
      </w:sdtContent>
    </w:sdt>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16966512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229</w:t>
        </w:r>
        <w:r>
          <w:rPr>
            <w:noProof/>
          </w:rPr>
          <w:fldChar w:fldCharType="end"/>
        </w:r>
      </w:sdtContent>
    </w:sdt>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17496942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236</w:t>
        </w:r>
        <w:r>
          <w:rPr>
            <w:noProof/>
          </w:rPr>
          <w:fldChar w:fldCharType="end"/>
        </w:r>
      </w:sdtContent>
    </w:sdt>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189349085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230</w:t>
        </w:r>
        <w:r>
          <w:rPr>
            <w:noProof/>
          </w:rPr>
          <w:fldChar w:fldCharType="end"/>
        </w:r>
      </w:sdtContent>
    </w:sdt>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20368444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236</w:t>
        </w:r>
        <w:r>
          <w:rPr>
            <w:noProof/>
          </w:rPr>
          <w:fldChar w:fldCharType="end"/>
        </w:r>
      </w:sdtContent>
    </w:sdt>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1826348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234</w:t>
        </w:r>
        <w:r>
          <w:rPr>
            <w:noProof/>
          </w:rPr>
          <w:fldChar w:fldCharType="end"/>
        </w:r>
      </w:sdtContent>
    </w:sdt>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5047894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244</w:t>
        </w:r>
        <w:r>
          <w:rPr>
            <w:noProof/>
          </w:rPr>
          <w:fldChar w:fldCharType="end"/>
        </w:r>
      </w:sdtContent>
    </w:sdt>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3031322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235</w:t>
        </w:r>
        <w:r>
          <w:rPr>
            <w:noProof/>
          </w:rPr>
          <w:fldChar w:fldCharType="end"/>
        </w:r>
      </w:sdtContent>
    </w:sdt>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10196248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244</w:t>
        </w:r>
        <w:r>
          <w:rPr>
            <w:noProof/>
          </w:rPr>
          <w:fldChar w:fldCharType="end"/>
        </w:r>
      </w:sdtContent>
    </w:sdt>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sdt>
      <w:sdtPr>
        <w:id w:val="1526524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241</w:t>
        </w:r>
        <w:r>
          <w:rPr>
            <w:noProof/>
          </w:rPr>
          <w:fldChar w:fldCharType="end"/>
        </w:r>
      </w:sdtContent>
    </w:sdt>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rPr>
        <w:rFonts w:cs="Times New Roman"/>
        <w:noProof/>
        <w:sz w:val="2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257680"/>
      <w:docPartObj>
        <w:docPartGallery w:val="Page Numbers (Bottom of Page)"/>
        <w:docPartUnique/>
      </w:docPartObj>
    </w:sdtPr>
    <w:sdtEndPr>
      <w:rPr>
        <w:noProof/>
      </w:rPr>
    </w:sdtEndPr>
    <w:sdtContent>
      <w:p>
        <w:pPr>
          <w:pStyle w:val="PageNumber1"/>
        </w:pPr>
        <w:r>
          <w:fldChar w:fldCharType="begin"/>
        </w:r>
        <w:r>
          <w:instrText xml:space="preserve"> PAGE   \* MERGEFORMAT </w:instrText>
        </w:r>
        <w:r>
          <w:fldChar w:fldCharType="separate"/>
        </w:r>
        <w:r>
          <w:rPr>
            <w:noProof/>
          </w:rPr>
          <w:t>250</w:t>
        </w:r>
        <w:r>
          <w:rPr>
            <w:noProof/>
          </w:rPr>
          <w:fldChar w:fldCharType="end"/>
        </w:r>
      </w:p>
    </w:sdtContent>
  </w:sdt>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41284"/>
      <w:docPartObj>
        <w:docPartGallery w:val="Page Numbers (Bottom of Page)"/>
        <w:docPartUnique/>
      </w:docPartObj>
    </w:sdtPr>
    <w:sdtEndPr>
      <w:rPr>
        <w:noProof/>
      </w:rPr>
    </w:sdtEndPr>
    <w:sdtContent>
      <w:p>
        <w:pPr>
          <w:pStyle w:val="PageNumber1"/>
        </w:pPr>
        <w:r>
          <w:fldChar w:fldCharType="begin"/>
        </w:r>
        <w:r>
          <w:instrText xml:space="preserve"> PAGE   \* MERGEFORMAT </w:instrText>
        </w:r>
        <w:r>
          <w:fldChar w:fldCharType="separate"/>
        </w:r>
        <w:r>
          <w:rPr>
            <w:noProof/>
          </w:rPr>
          <w:t>248</w:t>
        </w:r>
        <w:r>
          <w:rPr>
            <w:noProof/>
          </w:rPr>
          <w:fldChar w:fldCharType="end"/>
        </w: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337303"/>
      <w:docPartObj>
        <w:docPartGallery w:val="Page Numbers (Bottom of Page)"/>
        <w:docPartUnique/>
      </w:docPartObj>
    </w:sdtPr>
    <w:sdtEndPr>
      <w:rPr>
        <w:noProof/>
      </w:rPr>
    </w:sdtEndPr>
    <w:sdtContent>
      <w:p>
        <w:pPr>
          <w:pStyle w:val="PageNumber1"/>
        </w:pPr>
        <w:r>
          <w:fldChar w:fldCharType="begin"/>
        </w:r>
        <w:r>
          <w:instrText xml:space="preserve"> PAGE   \* MERGEFORMAT </w:instrText>
        </w:r>
        <w:r>
          <w:fldChar w:fldCharType="separate"/>
        </w:r>
        <w:r>
          <w:rPr>
            <w:noProof/>
          </w:rPr>
          <w:t>256</w:t>
        </w:r>
        <w:r>
          <w:rPr>
            <w:noProof/>
          </w:rPr>
          <w:fldChar w:fldCharType="end"/>
        </w:r>
      </w:p>
    </w:sdtContent>
  </w:sdt>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884096"/>
      <w:docPartObj>
        <w:docPartGallery w:val="Page Numbers (Bottom of Page)"/>
        <w:docPartUnique/>
      </w:docPartObj>
    </w:sdtPr>
    <w:sdtEndPr>
      <w:rPr>
        <w:noProof/>
      </w:rPr>
    </w:sdtEndPr>
    <w:sdtContent>
      <w:p>
        <w:pPr>
          <w:pStyle w:val="PageNumber1"/>
        </w:pPr>
        <w:r>
          <w:fldChar w:fldCharType="begin"/>
        </w:r>
        <w:r>
          <w:instrText xml:space="preserve"> PAGE   \* MERGEFORMAT </w:instrText>
        </w:r>
        <w:r>
          <w:fldChar w:fldCharType="separate"/>
        </w:r>
        <w:r>
          <w:rPr>
            <w:noProof/>
          </w:rPr>
          <w:t>250</w:t>
        </w:r>
        <w:r>
          <w:rPr>
            <w:noProof/>
          </w:rPr>
          <w:fldChar w:fldCharType="end"/>
        </w:r>
      </w:p>
    </w:sdtContent>
  </w:sdt>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907555"/>
      <w:docPartObj>
        <w:docPartGallery w:val="Page Numbers (Bottom of Page)"/>
        <w:docPartUnique/>
      </w:docPartObj>
    </w:sdtPr>
    <w:sdtEndPr>
      <w:rPr>
        <w:noProof/>
      </w:rPr>
    </w:sdtEndPr>
    <w:sdtContent>
      <w:p>
        <w:pPr>
          <w:pStyle w:val="PageNumber1"/>
        </w:pPr>
        <w:r>
          <w:fldChar w:fldCharType="begin"/>
        </w:r>
        <w:r>
          <w:instrText xml:space="preserve"> PAGE   \* MERGEFORMAT </w:instrText>
        </w:r>
        <w:r>
          <w:fldChar w:fldCharType="separate"/>
        </w:r>
        <w:r>
          <w:rPr>
            <w:noProof/>
          </w:rPr>
          <w:t>256</w:t>
        </w:r>
        <w:r>
          <w:rPr>
            <w:noProof/>
          </w:rPr>
          <w:fldChar w:fldCharType="end"/>
        </w:r>
      </w:p>
    </w:sdtContent>
  </w:sdt>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255237"/>
      <w:docPartObj>
        <w:docPartGallery w:val="Page Numbers (Bottom of Page)"/>
        <w:docPartUnique/>
      </w:docPartObj>
    </w:sdtPr>
    <w:sdtEndPr>
      <w:rPr>
        <w:noProof/>
        <w:szCs w:val="16"/>
      </w:rPr>
    </w:sdtEndPr>
    <w:sdtContent>
      <w:p>
        <w:pPr>
          <w:pStyle w:val="PageNumber1"/>
          <w:rPr>
            <w:szCs w:val="16"/>
          </w:rPr>
        </w:pPr>
        <w:r>
          <w:fldChar w:fldCharType="begin"/>
        </w:r>
        <w:r>
          <w:instrText xml:space="preserve"> PAGE   \* MERGEFORMAT </w:instrText>
        </w:r>
        <w:r>
          <w:fldChar w:fldCharType="separate"/>
        </w:r>
        <w:r>
          <w:rPr>
            <w:noProof/>
          </w:rPr>
          <w:t>253</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jc w:val="lef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663100"/>
      <w:docPartObj>
        <w:docPartGallery w:val="Page Numbers (Bottom of Page)"/>
        <w:docPartUnique/>
      </w:docPartObj>
    </w:sdtPr>
    <w:sdtEndPr>
      <w:rPr>
        <w:noProof/>
      </w:rPr>
    </w:sdtEndPr>
    <w:sdtContent>
      <w:p>
        <w:pPr>
          <w:pStyle w:val="PageNumber1"/>
        </w:pPr>
        <w:r>
          <w:fldChar w:fldCharType="begin"/>
        </w:r>
        <w:r>
          <w:instrText xml:space="preserve"> PAGE   \* MERGEFORMAT </w:instrText>
        </w:r>
        <w:r>
          <w:fldChar w:fldCharType="separate"/>
        </w:r>
        <w:r>
          <w:rPr>
            <w:noProof/>
          </w:rPr>
          <w:t>260</w:t>
        </w:r>
        <w:r>
          <w:rPr>
            <w:noProof/>
          </w:rPr>
          <w:fldChar w:fldCharType="end"/>
        </w:r>
      </w:p>
    </w:sdtContent>
  </w:sdt>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488746"/>
      <w:docPartObj>
        <w:docPartGallery w:val="Page Numbers (Bottom of Page)"/>
        <w:docPartUnique/>
      </w:docPartObj>
    </w:sdtPr>
    <w:sdtEndPr>
      <w:rPr>
        <w:noProof/>
        <w:szCs w:val="16"/>
      </w:rPr>
    </w:sdtEndPr>
    <w:sdtContent>
      <w:p>
        <w:pPr>
          <w:pStyle w:val="PageNumber1"/>
          <w:rPr>
            <w:szCs w:val="16"/>
          </w:rPr>
        </w:pPr>
        <w:r>
          <w:fldChar w:fldCharType="begin"/>
        </w:r>
        <w:r>
          <w:instrText xml:space="preserve"> PAGE   \* MERGEFORMAT </w:instrText>
        </w:r>
        <w:r>
          <w:fldChar w:fldCharType="separate"/>
        </w:r>
        <w:r>
          <w:rPr>
            <w:noProof/>
          </w:rPr>
          <w:t>255</w:t>
        </w:r>
        <w:r>
          <w:fldChar w:fldCharType="end"/>
        </w:r>
      </w:p>
    </w:sdtContent>
  </w:sdt>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pPr>
      <w:r>
        <w:rPr>
          <w:rStyle w:val="fnRef"/>
        </w:rPr>
        <w:t>(</w:t>
      </w:r>
      <w:r>
        <w:rPr>
          <w:rStyle w:val="fnRefNo"/>
        </w:rPr>
        <w:footnoteRef/>
      </w:r>
      <w:r>
        <w:rPr>
          <w:rStyle w:val="fnRef"/>
        </w:rPr>
        <w:t>)</w:t>
      </w:r>
      <w:r>
        <w:rPr>
          <w:rStyle w:val="fnRef"/>
        </w:rPr>
        <w:tab/>
        <w:t>Reporting is based on data available as at 1.2.2019, except for indicator 24 (retrieved on 7.3.2019), indicators 28 and 29 (retrieved on 20.06.2019) and indicator 37 (retrieved on 18.2.2019). The information, including the baseline, may have been updated in the meantime or more recent time-series may have come available. Most recent data is available on the website of Eurostat.</w:t>
      </w:r>
    </w:p>
  </w:footnote>
  <w:footnote w:id="3">
    <w:p>
      <w:pPr>
        <w:pStyle w:val="FootnoteText"/>
        <w:jc w:val="both"/>
      </w:pPr>
      <w:r>
        <w:t>(</w:t>
      </w:r>
      <w:r>
        <w:rPr>
          <w:rStyle w:val="fnRefNo"/>
        </w:rPr>
        <w:footnoteRef/>
      </w:r>
      <w:r>
        <w:t>)</w:t>
      </w:r>
      <w:r>
        <w:tab/>
        <w:t xml:space="preserve">Eurostat periodically revises its published data to reflect new or improved information, also for previous years. The latest published data are available by clicking on ‘bookmark’. The ‘latest known value’ column reflects the data that were available at the time of the preparation of the </w:t>
      </w:r>
      <w:r>
        <w:rPr>
          <w:i/>
        </w:rPr>
        <w:t>annual activity report 2018</w:t>
      </w:r>
      <w:r>
        <w:t xml:space="preserve"> and is the reference point for the annual activity reports of Commission services. </w:t>
      </w:r>
    </w:p>
  </w:footnote>
  <w:footnote w:id="4">
    <w:p>
      <w:pPr>
        <w:pStyle w:val="FootnoteText"/>
      </w:pPr>
      <w:r>
        <w:t>(</w:t>
      </w:r>
      <w:r>
        <w:rPr>
          <w:rStyle w:val="fnRefNo"/>
        </w:rPr>
        <w:footnoteRef/>
      </w:r>
      <w:r>
        <w:t>)</w:t>
      </w:r>
      <w:r>
        <w:tab/>
        <w:t xml:space="preserve">The share of 18-year-old to 24-year-old persons who have at most lower-secondary education and are not in further education or training. </w:t>
      </w:r>
    </w:p>
  </w:footnote>
  <w:footnote w:id="5">
    <w:p>
      <w:pPr>
        <w:pStyle w:val="FootnoteText"/>
      </w:pPr>
      <w:r>
        <w:rPr>
          <w:rStyle w:val="fnRef"/>
        </w:rPr>
        <w:t>(</w:t>
      </w:r>
      <w:r>
        <w:rPr>
          <w:rStyle w:val="fnRefNo"/>
        </w:rPr>
        <w:footnoteRef/>
      </w:r>
      <w:r>
        <w:rPr>
          <w:rStyle w:val="fnRef"/>
        </w:rPr>
        <w:t>)</w:t>
      </w:r>
      <w:r>
        <w:rPr>
          <w:rStyle w:val="fnRef"/>
        </w:rPr>
        <w:tab/>
      </w:r>
      <w:r>
        <w:t>Gross domestic product at 2010 reference levels per hour worked (purchasing power parity adjusted).</w:t>
      </w:r>
    </w:p>
  </w:footnote>
  <w:footnote w:id="6">
    <w:p>
      <w:pPr>
        <w:pStyle w:val="FootnoteText"/>
      </w:pPr>
      <w:r>
        <w:rPr>
          <w:rStyle w:val="fnRef"/>
        </w:rPr>
        <w:t>(</w:t>
      </w:r>
      <w:r>
        <w:rPr>
          <w:rStyle w:val="fnRefNo"/>
        </w:rPr>
        <w:footnoteRef/>
      </w:r>
      <w:r>
        <w:rPr>
          <w:rStyle w:val="fnRef"/>
        </w:rPr>
        <w:t>)</w:t>
      </w:r>
      <w:r>
        <w:rPr>
          <w:rStyle w:val="fnRef"/>
        </w:rPr>
        <w:tab/>
      </w:r>
      <w:r>
        <w:t>The indicator focuses on the sustainability of growth and jobs.</w:t>
      </w:r>
    </w:p>
  </w:footnote>
  <w:footnote w:id="7">
    <w:p>
      <w:pPr>
        <w:pStyle w:val="FootnoteText"/>
      </w:pPr>
      <w:r>
        <w:rPr>
          <w:rStyle w:val="fnRef"/>
        </w:rPr>
        <w:t>(</w:t>
      </w:r>
      <w:r>
        <w:rPr>
          <w:rStyle w:val="fnRefNo"/>
        </w:rPr>
        <w:footnoteRef/>
      </w:r>
      <w:r>
        <w:rPr>
          <w:rStyle w:val="fnRef"/>
        </w:rPr>
        <w:t>)</w:t>
      </w:r>
      <w:r>
        <w:rPr>
          <w:rStyle w:val="fnRef"/>
        </w:rPr>
        <w:tab/>
        <w:t xml:space="preserve">The </w:t>
      </w:r>
      <w:r>
        <w:t>Digital Economy and Society Index is a composite index that summarises relevant indicators on Europe’s digital performance and tracks the evolution of EU Member States in digital competitiveness. The closer the value is to 1 the better. The DESI index is calculated as the weighted average of the five main DESI dimensions: (1) connectivity (25%), (2) human capital (25%), (3) use of internet (15%), (4) integration of digital technology (20%), and (5) digital public services (15%). The DESI index is updated once a year.</w:t>
      </w:r>
    </w:p>
  </w:footnote>
  <w:footnote w:id="8">
    <w:p>
      <w:pPr>
        <w:pStyle w:val="FootnoteText"/>
      </w:pPr>
      <w:r>
        <w:rPr>
          <w:rStyle w:val="fnRef"/>
        </w:rPr>
        <w:t>(</w:t>
      </w:r>
      <w:r>
        <w:rPr>
          <w:rStyle w:val="fnRefNo"/>
        </w:rPr>
        <w:footnoteRef/>
      </w:r>
      <w:r>
        <w:rPr>
          <w:rStyle w:val="fnRef"/>
        </w:rPr>
        <w:t>)</w:t>
      </w:r>
      <w:r>
        <w:rPr>
          <w:rStyle w:val="fnRef"/>
        </w:rPr>
        <w:tab/>
      </w:r>
      <w:r>
        <w:t>The Fintec indicator is a scale-free measure normalised to always lie between 0 and 1; 0 being no cross-border integration, 1 being full integration; for the price-based part, 1 would be a total absence of any price differentials for comparable money market instruments; for the volume-based part, 0 would be a lack of any home bias on the side of investors.</w:t>
      </w:r>
    </w:p>
  </w:footnote>
  <w:footnote w:id="9">
    <w:p>
      <w:pPr>
        <w:pStyle w:val="FootnoteText"/>
      </w:pPr>
      <w:r>
        <w:rPr>
          <w:rStyle w:val="fnRef"/>
        </w:rPr>
        <w:t>(</w:t>
      </w:r>
      <w:r>
        <w:rPr>
          <w:rStyle w:val="fnRefNo"/>
        </w:rPr>
        <w:footnoteRef/>
      </w:r>
      <w:r>
        <w:rPr>
          <w:rStyle w:val="fnRef"/>
        </w:rPr>
        <w:t>)</w:t>
      </w:r>
      <w:r>
        <w:rPr>
          <w:rStyle w:val="fnRef"/>
        </w:rPr>
        <w:tab/>
      </w:r>
      <w:r>
        <w:t>Variation coefficient of gross domestic product volume indices of expenditure per capita.</w:t>
      </w:r>
    </w:p>
  </w:footnote>
  <w:footnote w:id="10">
    <w:p>
      <w:pPr>
        <w:pStyle w:val="FootnoteText"/>
      </w:pPr>
      <w:r>
        <w:rPr>
          <w:rStyle w:val="fnRef"/>
        </w:rPr>
        <w:t>(</w:t>
      </w:r>
      <w:r>
        <w:rPr>
          <w:rStyle w:val="fnRefNo"/>
        </w:rPr>
        <w:footnoteRef/>
      </w:r>
      <w:r>
        <w:rPr>
          <w:rStyle w:val="fnRef"/>
        </w:rPr>
        <w:t>)</w:t>
      </w:r>
      <w:r>
        <w:rPr>
          <w:rStyle w:val="fnRef"/>
        </w:rPr>
        <w:tab/>
      </w:r>
      <w:r>
        <w:rPr>
          <w:rFonts w:eastAsia="SimSun"/>
        </w:rPr>
        <w:t>CISS measures the state of instability in the euro-area financial system. It comprises 15 mostly market-</w:t>
      </w:r>
      <w:r>
        <w:t>based financial stress measures split into five categories: financial intermediaries sector, money markets, equity markets, bond markets and foreign-exchange markets. It is unit free and constrained to lie within the interval (0, 1).</w:t>
      </w:r>
    </w:p>
  </w:footnote>
  <w:footnote w:id="11">
    <w:p>
      <w:pPr>
        <w:pStyle w:val="FootnoteText"/>
      </w:pPr>
      <w:r>
        <w:rPr>
          <w:rStyle w:val="fnRef"/>
        </w:rPr>
        <w:t>(</w:t>
      </w:r>
      <w:r>
        <w:rPr>
          <w:rStyle w:val="fnRefNo"/>
        </w:rPr>
        <w:footnoteRef/>
      </w:r>
      <w:r>
        <w:rPr>
          <w:rStyle w:val="fnRef"/>
        </w:rPr>
        <w:t>)</w:t>
      </w:r>
      <w:r>
        <w:rPr>
          <w:rStyle w:val="fnRef"/>
        </w:rPr>
        <w:tab/>
      </w:r>
      <w:r>
        <w:t>The ratio of total income received by 20% of the population with the highest income (top quintile) to that received by 20% of the population with the lowest income (lowest quintile).</w:t>
      </w:r>
    </w:p>
  </w:footnote>
  <w:footnote w:id="12">
    <w:p>
      <w:pPr>
        <w:pStyle w:val="FootnoteText"/>
      </w:pPr>
      <w:r>
        <w:rPr>
          <w:rStyle w:val="fnRef"/>
        </w:rPr>
        <w:t>(</w:t>
      </w:r>
      <w:r>
        <w:rPr>
          <w:rStyle w:val="fnRefNo"/>
        </w:rPr>
        <w:footnoteRef/>
      </w:r>
      <w:r>
        <w:rPr>
          <w:rStyle w:val="fnRef"/>
        </w:rPr>
        <w:t>)</w:t>
      </w:r>
      <w:r>
        <w:rPr>
          <w:rStyle w:val="fnRef"/>
        </w:rPr>
        <w:tab/>
      </w:r>
      <w:r>
        <w:t>The unadjusted gender pay gap represents the difference between average gross hourly earnings of male paid employees and of female paid employees as a percentage of average gross hourly earnings of male paid employees.</w:t>
      </w:r>
    </w:p>
  </w:footnote>
  <w:footnote w:id="13">
    <w:p>
      <w:pPr>
        <w:pStyle w:val="FootnoteText"/>
      </w:pPr>
      <w:r>
        <w:rPr>
          <w:rStyle w:val="fnRef"/>
        </w:rPr>
        <w:t>(</w:t>
      </w:r>
      <w:r>
        <w:rPr>
          <w:rStyle w:val="fnRefNo"/>
        </w:rPr>
        <w:footnoteRef/>
      </w:r>
      <w:r>
        <w:rPr>
          <w:rStyle w:val="fnRef"/>
        </w:rPr>
        <w:t>)</w:t>
      </w:r>
      <w:r>
        <w:rPr>
          <w:rStyle w:val="fnRef"/>
        </w:rPr>
        <w:tab/>
      </w:r>
      <w:r>
        <w:t>The indicator measures the % of effected returns compared to return decisions issued by the Member States.</w:t>
      </w:r>
    </w:p>
  </w:footnote>
  <w:footnote w:id="14">
    <w:p>
      <w:pPr>
        <w:pStyle w:val="FootnoteText"/>
      </w:pPr>
      <w:r>
        <w:t>(</w:t>
      </w:r>
      <w:r>
        <w:rPr>
          <w:rStyle w:val="fnRefNo"/>
        </w:rPr>
        <w:footnoteRef/>
      </w:r>
      <w:r>
        <w:t>)</w:t>
      </w:r>
      <w:r>
        <w:tab/>
        <w:t xml:space="preserve">For the purpose of this exercise the EU rate of effective return to third countries in 2018 incorporates the figures of the total returns effected by Greece and reported as such to Eurostat (contrary to previous years, Greece did not specifically report on return to third countries in 2018. </w:t>
      </w:r>
    </w:p>
  </w:footnote>
  <w:footnote w:id="15">
    <w:p>
      <w:pPr>
        <w:pStyle w:val="FootnoteText"/>
      </w:pPr>
      <w:r>
        <w:rPr>
          <w:rStyle w:val="fnRef"/>
        </w:rPr>
        <w:t>(</w:t>
      </w:r>
      <w:r>
        <w:rPr>
          <w:rStyle w:val="fnRefNo"/>
        </w:rPr>
        <w:footnoteRef/>
      </w:r>
      <w:r>
        <w:rPr>
          <w:rStyle w:val="fnRef"/>
        </w:rPr>
        <w:t>)</w:t>
      </w:r>
      <w:r>
        <w:rPr>
          <w:rStyle w:val="fnRef"/>
        </w:rPr>
        <w:tab/>
      </w:r>
      <w:r>
        <w:t>Eurostat annually collects both the nominator and the denominator from the ministries of interior/border guards/police of the Member States. The data depend very much on national circumstances and policies. In addition, the time lag between the return decision and its execution means that the reference population of the nominator and denominator are not the same.</w:t>
      </w:r>
    </w:p>
  </w:footnote>
  <w:footnote w:id="16">
    <w:p>
      <w:pPr>
        <w:pStyle w:val="FootnoteText"/>
      </w:pPr>
      <w:r>
        <w:rPr>
          <w:rStyle w:val="fnRef"/>
        </w:rPr>
        <w:t>(</w:t>
      </w:r>
      <w:r>
        <w:rPr>
          <w:rStyle w:val="fnRefNo"/>
        </w:rPr>
        <w:footnoteRef/>
      </w:r>
      <w:r>
        <w:rPr>
          <w:rStyle w:val="fnRef"/>
        </w:rPr>
        <w:t>)</w:t>
      </w:r>
      <w:r>
        <w:rPr>
          <w:rStyle w:val="fnRef"/>
        </w:rPr>
        <w:tab/>
      </w:r>
      <w:r>
        <w:t>Host-country nationals and other EU nationals counted together.</w:t>
      </w:r>
    </w:p>
  </w:footnote>
  <w:footnote w:id="17">
    <w:p>
      <w:pPr>
        <w:pStyle w:val="FootnoteText"/>
      </w:pPr>
      <w:r>
        <w:rPr>
          <w:rStyle w:val="fnRef"/>
        </w:rPr>
        <w:t>(</w:t>
      </w:r>
      <w:r>
        <w:rPr>
          <w:rStyle w:val="fnRefNo"/>
        </w:rPr>
        <w:footnoteRef/>
      </w:r>
      <w:r>
        <w:rPr>
          <w:rStyle w:val="fnRef"/>
        </w:rPr>
        <w:t>)</w:t>
      </w:r>
      <w:r>
        <w:rPr>
          <w:rStyle w:val="fnRef"/>
        </w:rPr>
        <w:tab/>
      </w:r>
      <w:r>
        <w:t>This designation is without prejudice to positions on status, and is in line with UNSCR 1244/1999 and the ICJ Opinion on the Kosovo declaration of independence.</w:t>
      </w:r>
    </w:p>
  </w:footnote>
  <w:footnote w:id="18">
    <w:p>
      <w:pPr>
        <w:pStyle w:val="FootnoteText"/>
      </w:pPr>
      <w:r>
        <w:rPr>
          <w:rStyle w:val="fnRef"/>
        </w:rPr>
        <w:t>(</w:t>
      </w:r>
      <w:r>
        <w:rPr>
          <w:rStyle w:val="fnRefNo"/>
        </w:rPr>
        <w:footnoteRef/>
      </w:r>
      <w:r>
        <w:rPr>
          <w:rStyle w:val="fnRef"/>
        </w:rPr>
        <w:t>)</w:t>
      </w:r>
      <w:r>
        <w:rPr>
          <w:rStyle w:val="fnRef"/>
        </w:rPr>
        <w:tab/>
      </w:r>
      <w:r>
        <w:t>This designation is without prejudice to positions on status, and is in line with UNSCR 1244/1999 and the ICJ Opinion on the Kosovo declaration of independence.</w:t>
      </w:r>
    </w:p>
  </w:footnote>
  <w:footnote w:id="19">
    <w:p>
      <w:pPr>
        <w:pStyle w:val="FootnoteText"/>
      </w:pPr>
      <w:r>
        <w:rPr>
          <w:rStyle w:val="fnRef"/>
        </w:rPr>
        <w:t>(</w:t>
      </w:r>
      <w:r>
        <w:rPr>
          <w:rStyle w:val="fnRefNo"/>
        </w:rPr>
        <w:footnoteRef/>
      </w:r>
      <w:r>
        <w:rPr>
          <w:rStyle w:val="fnRef"/>
        </w:rPr>
        <w:t>)</w:t>
      </w:r>
      <w:r>
        <w:rPr>
          <w:rStyle w:val="fnRef"/>
        </w:rPr>
        <w:tab/>
      </w:r>
      <w:r>
        <w:t>The indicator measures perceptions of the likelihood that the government will be destabilised or overthrown by unconstitutional or violent means, including politically motivated violence and terrorism. Higher values in the percentile rank indicate better governance ratings.</w:t>
      </w:r>
    </w:p>
  </w:footnote>
  <w:footnote w:id="20">
    <w:p>
      <w:pPr>
        <w:pStyle w:val="FootnoteText"/>
      </w:pPr>
      <w:r>
        <w:rPr>
          <w:rStyle w:val="fnRef"/>
        </w:rPr>
        <w:t>(</w:t>
      </w:r>
      <w:r>
        <w:rPr>
          <w:rStyle w:val="fnRefNo"/>
        </w:rPr>
        <w:footnoteRef/>
      </w:r>
      <w:r>
        <w:rPr>
          <w:rStyle w:val="fnRef"/>
        </w:rPr>
        <w:t>)</w:t>
      </w:r>
      <w:r>
        <w:rPr>
          <w:rStyle w:val="fnRef"/>
        </w:rPr>
        <w:tab/>
      </w:r>
      <w:r>
        <w:t>For the calculation of the baseline, beneficiary countries under the Development Cooperation Instrument and the European Development Fund have been taken into account. Beneficiaries under the European Neighbourhood Instrument and the EU–Greenland Partnership Instrument have been excluded.</w:t>
      </w:r>
    </w:p>
  </w:footnote>
  <w:footnote w:id="21">
    <w:p>
      <w:pPr>
        <w:pStyle w:val="FootnoteText"/>
      </w:pPr>
      <w:r>
        <w:rPr>
          <w:rStyle w:val="fnRef"/>
        </w:rPr>
        <w:t>(</w:t>
      </w:r>
      <w:r>
        <w:rPr>
          <w:rStyle w:val="fnRefNo"/>
        </w:rPr>
        <w:footnoteRef/>
      </w:r>
      <w:r>
        <w:rPr>
          <w:rStyle w:val="fnRef"/>
        </w:rPr>
        <w:t>)</w:t>
      </w:r>
      <w:r>
        <w:rPr>
          <w:rStyle w:val="fnRef"/>
        </w:rPr>
        <w:tab/>
      </w:r>
      <w:r>
        <w:t>The number of opinions to a certain degree depends on the number of legislative proposals and policy communications put forward by the Commission.</w:t>
      </w:r>
    </w:p>
  </w:footnote>
  <w:footnote w:id="22">
    <w:p>
      <w:pPr>
        <w:pStyle w:val="FootnoteText"/>
      </w:pPr>
      <w:r>
        <w:rPr>
          <w:rStyle w:val="fnRef"/>
        </w:rPr>
        <w:t>(</w:t>
      </w:r>
      <w:r>
        <w:rPr>
          <w:rStyle w:val="fnRefNo"/>
        </w:rPr>
        <w:footnoteRef/>
      </w:r>
      <w:r>
        <w:rPr>
          <w:rStyle w:val="fnRef"/>
        </w:rPr>
        <w:t>)</w:t>
      </w:r>
      <w:r>
        <w:rPr>
          <w:rStyle w:val="fnRef"/>
        </w:rPr>
        <w:tab/>
      </w:r>
      <w:r>
        <w:t>For information, such corrections do not include the penalties and fines, as they are not related to ‘undue’ payments or quantified ‘financial errors’.</w:t>
      </w:r>
    </w:p>
  </w:footnote>
  <w:footnote w:id="23">
    <w:p>
      <w:pPr>
        <w:pStyle w:val="FootnoteText"/>
      </w:pPr>
      <w:r>
        <w:rPr>
          <w:rStyle w:val="fnRef"/>
        </w:rPr>
        <w:t>(</w:t>
      </w:r>
      <w:r>
        <w:rPr>
          <w:rStyle w:val="fnRefNo"/>
        </w:rPr>
        <w:footnoteRef/>
      </w:r>
      <w:r>
        <w:rPr>
          <w:rStyle w:val="fnRef"/>
        </w:rPr>
        <w:t>)</w:t>
      </w:r>
      <w:r>
        <w:rPr>
          <w:rStyle w:val="fnRef"/>
        </w:rPr>
        <w:tab/>
        <w:t>T</w:t>
      </w:r>
      <w:r>
        <w:t>he envisaged corrections identified for the specific operational programmes affected.</w:t>
      </w:r>
    </w:p>
  </w:footnote>
  <w:footnote w:id="24">
    <w:p>
      <w:pPr>
        <w:pStyle w:val="FootnoteText"/>
      </w:pPr>
      <w:r>
        <w:rPr>
          <w:rStyle w:val="fnRef"/>
        </w:rPr>
        <w:t>(</w:t>
      </w:r>
      <w:r>
        <w:rPr>
          <w:rStyle w:val="fnRefNo"/>
        </w:rPr>
        <w:footnoteRef/>
      </w:r>
      <w:r>
        <w:rPr>
          <w:rStyle w:val="fnRef"/>
        </w:rPr>
        <w:t>)</w:t>
      </w:r>
      <w:r>
        <w:rPr>
          <w:rStyle w:val="fnRef"/>
        </w:rPr>
        <w:tab/>
      </w:r>
      <w:r>
        <w:t>‘Pre-financing’ in line with note 2.5.1. of the Commission’s (provisional) annual accounts.</w:t>
      </w:r>
    </w:p>
  </w:footnote>
  <w:footnote w:id="25">
    <w:p>
      <w:pPr>
        <w:pStyle w:val="FootnoteText"/>
      </w:pPr>
      <w:r>
        <w:t>(</w:t>
      </w:r>
      <w:r>
        <w:footnoteRef/>
      </w:r>
      <w:r>
        <w:t>)</w:t>
      </w:r>
      <w:r>
        <w:tab/>
        <w:t>In addition to their risk at payment for the 2018 relevant expenditure (1.7% for cohesion; 1.7% for the regional department, 1.9% for the employment department), these departments also reported their confirmed residual total error rate for the accounting year 2016/2017 (2014-2020 operational programmes, excluding financial instruments), respectively at 1.96% and 1.5%. The weighted average of these is 1.8%.</w:t>
      </w:r>
    </w:p>
  </w:footnote>
  <w:footnote w:id="26">
    <w:p>
      <w:pPr>
        <w:pStyle w:val="FootnoteText"/>
      </w:pPr>
      <w:r>
        <w:t>(</w:t>
      </w:r>
      <w:r>
        <w:footnoteRef/>
      </w:r>
      <w:r>
        <w:t>)</w:t>
      </w:r>
      <w:r>
        <w:tab/>
        <w:t>The estimated risk at payment reported by the department for agriculture and rural development is 2.15%.</w:t>
      </w:r>
    </w:p>
  </w:footnote>
  <w:footnote w:id="27">
    <w:p>
      <w:pPr>
        <w:pStyle w:val="FootnoteText"/>
      </w:pPr>
      <w:r>
        <w:rPr>
          <w:rStyle w:val="fnRef"/>
        </w:rPr>
        <w:t>(</w:t>
      </w:r>
      <w:r>
        <w:rPr>
          <w:rStyle w:val="fnRefNo"/>
        </w:rPr>
        <w:footnoteRef/>
      </w:r>
      <w:r>
        <w:rPr>
          <w:rStyle w:val="fnRef"/>
        </w:rPr>
        <w:t>)</w:t>
      </w:r>
      <w:r>
        <w:rPr>
          <w:rStyle w:val="fnRef"/>
        </w:rPr>
        <w:tab/>
      </w:r>
      <w:r>
        <w:t>At the time of reporting, some of the corrective measures have already been implemented, while others will be in the next year(s). Therefore, the residual error rate is based on the detected error rate but takes into account those corrections that have already been made up to the end of the reporting year. This concept is an ‘intermediate’ type of error rate between estimated risk at payment and estimated risk at closure, up to the moment of reporting in the management cycle.</w:t>
      </w:r>
    </w:p>
  </w:footnote>
  <w:footnote w:id="28">
    <w:p>
      <w:pPr>
        <w:pStyle w:val="FootnoteText"/>
      </w:pPr>
      <w:r>
        <w:rPr>
          <w:rStyle w:val="fnRef"/>
        </w:rPr>
        <w:t>(</w:t>
      </w:r>
      <w:r>
        <w:rPr>
          <w:rStyle w:val="fnRefNo"/>
        </w:rPr>
        <w:footnoteRef/>
      </w:r>
      <w:r>
        <w:rPr>
          <w:rStyle w:val="fnRef"/>
        </w:rPr>
        <w:t>)</w:t>
      </w:r>
      <w:r>
        <w:rPr>
          <w:rStyle w:val="fnRef"/>
        </w:rPr>
        <w:tab/>
      </w:r>
      <w:r>
        <w:t xml:space="preserve">European Court of Auditors, </w:t>
      </w:r>
      <w:r>
        <w:rPr>
          <w:i/>
        </w:rPr>
        <w:t>2017 Annual activity report</w:t>
      </w:r>
      <w:r>
        <w:t>, methodological Annex</w:t>
      </w:r>
      <w:r>
        <w:rPr>
          <w:rFonts w:ascii="Calibri" w:hAnsi="Calibri" w:cs="Calibri"/>
        </w:rPr>
        <w:t> </w:t>
      </w:r>
      <w:r>
        <w:t>1.1, paragraph</w:t>
      </w:r>
      <w:r>
        <w:rPr>
          <w:rFonts w:ascii="Calibri" w:hAnsi="Calibri" w:cs="Calibri"/>
        </w:rPr>
        <w:t> </w:t>
      </w:r>
      <w:r>
        <w:t>23.</w:t>
      </w:r>
    </w:p>
  </w:footnote>
  <w:footnote w:id="29">
    <w:p>
      <w:pPr>
        <w:pStyle w:val="FootnoteText"/>
      </w:pPr>
      <w:r>
        <w:t>(</w:t>
      </w:r>
      <w:r>
        <w:footnoteRef/>
      </w:r>
      <w:r>
        <w:t>) These are not reported in the tables below but in a separate section in Annex</w:t>
      </w:r>
      <w:r>
        <w:rPr>
          <w:rFonts w:ascii="Calibri" w:hAnsi="Calibri" w:cs="Calibri"/>
        </w:rPr>
        <w:t> </w:t>
      </w:r>
      <w:r>
        <w:t>4.</w:t>
      </w:r>
    </w:p>
  </w:footnote>
  <w:footnote w:id="30">
    <w:p>
      <w:pPr>
        <w:pStyle w:val="FootnoteText"/>
      </w:pPr>
      <w:r>
        <w:rPr>
          <w:rStyle w:val="fnRef"/>
        </w:rPr>
        <w:t>(</w:t>
      </w:r>
      <w:r>
        <w:rPr>
          <w:rStyle w:val="fnRefNo"/>
        </w:rPr>
        <w:footnoteRef/>
      </w:r>
      <w:r>
        <w:rPr>
          <w:rStyle w:val="fnRef"/>
        </w:rPr>
        <w:t>)</w:t>
      </w:r>
      <w:r>
        <w:rPr>
          <w:rStyle w:val="fnRef"/>
        </w:rPr>
        <w:tab/>
      </w:r>
      <w:r>
        <w:t>In cohesion this is not always a ‘net’ reimbursement to the EU budget, as Member States have the option to replace the ineligible expenditure with new eligible expenditure.</w:t>
      </w:r>
    </w:p>
  </w:footnote>
  <w:footnote w:id="31">
    <w:p>
      <w:pPr>
        <w:pStyle w:val="FootnoteText"/>
      </w:pPr>
      <w:r>
        <w:t>(</w:t>
      </w:r>
      <w:r>
        <w:rPr>
          <w:rStyle w:val="fnRef"/>
          <w:vertAlign w:val="superscript"/>
        </w:rPr>
        <w:footnoteRef/>
      </w:r>
      <w:r>
        <w:t>)</w:t>
      </w:r>
      <w:r>
        <w:tab/>
        <w:t xml:space="preserve">European Court of Auditors, </w:t>
      </w:r>
      <w:r>
        <w:rPr>
          <w:i/>
        </w:rPr>
        <w:t>Protecting the EU budget from irregular spending: The Commission made increasing use of preventive measures and financial corrections in cohesion during the 2007-2013 period — Special Report No</w:t>
      </w:r>
      <w:r>
        <w:rPr>
          <w:rFonts w:ascii="Calibri" w:hAnsi="Calibri" w:cs="Calibri"/>
          <w:i/>
        </w:rPr>
        <w:t> </w:t>
      </w:r>
      <w:r>
        <w:rPr>
          <w:i/>
        </w:rPr>
        <w:t>4/2017</w:t>
      </w:r>
      <w:r>
        <w:t>.</w:t>
      </w:r>
    </w:p>
  </w:footnote>
  <w:footnote w:id="32">
    <w:p>
      <w:pPr>
        <w:pStyle w:val="FootnoteText"/>
        <w:spacing w:before="120"/>
        <w:ind w:left="425" w:hanging="425"/>
      </w:pPr>
      <w:r>
        <w:t>(</w:t>
      </w:r>
      <w:r>
        <w:footnoteRef/>
      </w:r>
      <w:r>
        <w:t>)</w:t>
      </w:r>
      <w:r>
        <w:tab/>
        <w:t>It should be noted that due to the rounding of figures into EUR millions, some financial data in the tables below may appear not to add up.</w:t>
      </w:r>
    </w:p>
  </w:footnote>
  <w:footnote w:id="33">
    <w:p>
      <w:pPr>
        <w:pStyle w:val="FootnoteText"/>
      </w:pPr>
      <w:r>
        <w:t>(</w:t>
      </w:r>
      <w:r>
        <w:footnoteRef/>
      </w:r>
      <w:r>
        <w:t>)</w:t>
      </w:r>
      <w:r>
        <w:tab/>
        <w:t xml:space="preserve">For the purpose of calculating its corrective capacity in the AAR, DG Agriculture and Rural Development takes into account only the amounts related to conformity clearance decisions adopted by the Commission and published in the </w:t>
      </w:r>
      <w:r>
        <w:rPr>
          <w:i/>
        </w:rPr>
        <w:t>Official Journal of the European Union</w:t>
      </w:r>
      <w:r>
        <w:t xml:space="preserve"> and deducts the corrections in respect of cross-compliance infringements. </w:t>
      </w:r>
    </w:p>
  </w:footnote>
  <w:footnote w:id="34">
    <w:p>
      <w:pPr>
        <w:pStyle w:val="FootnoteText"/>
      </w:pPr>
      <w:r>
        <w:t>(</w:t>
      </w:r>
      <w:r>
        <w:footnoteRef/>
      </w:r>
      <w:r>
        <w:t>)</w:t>
      </w:r>
      <w:r>
        <w:tab/>
        <w:t>As regards recoveries by Member States, DG Agriculture and Rural Development uses the amounts reported in their debtor’s ledger.</w:t>
      </w:r>
    </w:p>
  </w:footnote>
  <w:footnote w:id="35">
    <w:p>
      <w:pPr>
        <w:pStyle w:val="FootnoteText"/>
      </w:pPr>
      <w:r>
        <w:t>(</w:t>
      </w:r>
      <w:r>
        <w:footnoteRef/>
      </w:r>
      <w:r>
        <w:t>)</w:t>
      </w:r>
      <w:r>
        <w:tab/>
        <w:t xml:space="preserve">The amount does not include the financial corrections </w:t>
      </w:r>
      <w:r>
        <w:rPr>
          <w:lang w:val="en-IE"/>
        </w:rPr>
        <w:t>‘</w:t>
      </w:r>
      <w:r>
        <w:t>at source’.</w:t>
      </w:r>
    </w:p>
  </w:footnote>
  <w:footnote w:id="36">
    <w:p>
      <w:pPr>
        <w:pStyle w:val="FootnoteText"/>
      </w:pPr>
      <w:r>
        <w:t>(</w:t>
      </w:r>
      <w:r>
        <w:footnoteRef/>
      </w:r>
      <w:r>
        <w:t>)</w:t>
      </w:r>
      <w:r>
        <w:tab/>
        <w:t>Article</w:t>
      </w:r>
      <w:r>
        <w:rPr>
          <w:rFonts w:ascii="Calibri" w:hAnsi="Calibri" w:cs="Calibri"/>
        </w:rPr>
        <w:t> </w:t>
      </w:r>
      <w:r>
        <w:t>21(3)(c) of the financial regulation.</w:t>
      </w:r>
    </w:p>
  </w:footnote>
  <w:footnote w:id="37">
    <w:p>
      <w:pPr>
        <w:pStyle w:val="FootnoteText"/>
      </w:pPr>
      <w:r>
        <w:t>(</w:t>
      </w:r>
      <w:r>
        <w:footnoteRef/>
      </w:r>
      <w:r>
        <w:t>)</w:t>
      </w:r>
      <w:r>
        <w:tab/>
        <w:t>Article 41 of Regulation (EU) No 1306/2013 of the European Parliament and of the Council of 17 December 2013 on the financing, management and monitoring of the common agricultural policy and repealing Council Regulations (EEC) No 352/78, (EC) No 165/94, (EC) No 2799/98, (EC) No 814/2000, (EC) No 1290/2005 and (EC) No 485/2008 (OJ L 347, 20.12.2013, pp. 549-607).</w:t>
      </w:r>
    </w:p>
  </w:footnote>
  <w:footnote w:id="38">
    <w:p>
      <w:pPr>
        <w:pStyle w:val="FootnoteText"/>
      </w:pPr>
      <w:r>
        <w:t>(</w:t>
      </w:r>
      <w:r>
        <w:footnoteRef/>
      </w:r>
      <w:r>
        <w:t>)</w:t>
      </w:r>
      <w:r>
        <w:tab/>
        <w:t>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 (OJ L</w:t>
      </w:r>
      <w:r>
        <w:rPr>
          <w:rFonts w:ascii="Calibri" w:hAnsi="Calibri" w:cs="Calibri"/>
        </w:rPr>
        <w:t> </w:t>
      </w:r>
      <w:r>
        <w:t>347, 20.12.2013, pp.</w:t>
      </w:r>
      <w:r>
        <w:rPr>
          <w:rFonts w:ascii="Calibri" w:hAnsi="Calibri" w:cs="Calibri"/>
        </w:rPr>
        <w:t> </w:t>
      </w:r>
      <w:r>
        <w:t>320-469).</w:t>
      </w:r>
    </w:p>
  </w:footnote>
  <w:footnote w:id="39">
    <w:p>
      <w:pPr>
        <w:pStyle w:val="FootnoteText"/>
      </w:pPr>
      <w:r>
        <w:t>(</w:t>
      </w:r>
      <w:r>
        <w:footnoteRef/>
      </w:r>
      <w:r>
        <w:t>)</w:t>
      </w:r>
      <w:r>
        <w:tab/>
        <w:t>Stemming from Member States' control statistics reported to the Commission.</w:t>
      </w:r>
    </w:p>
  </w:footnote>
  <w:footnote w:id="40">
    <w:p>
      <w:pPr>
        <w:pStyle w:val="FootnoteText"/>
      </w:pPr>
      <w:r>
        <w:t>(</w:t>
      </w:r>
      <w:r>
        <w:footnoteRef/>
      </w:r>
      <w:r>
        <w:t>)</w:t>
      </w:r>
      <w:r>
        <w:tab/>
        <w:t>Not for the 2000-2006 period.</w:t>
      </w:r>
    </w:p>
  </w:footnote>
  <w:footnote w:id="41">
    <w:p>
      <w:pPr>
        <w:pStyle w:val="FootnoteText"/>
      </w:pPr>
      <w:r>
        <w:t>(</w:t>
      </w:r>
      <w:r>
        <w:footnoteRef/>
      </w:r>
      <w:r>
        <w:t>) 'Technical Assistance and Information Exchange instrument TAIEX-REGIO PEER 2 PEER'.</w:t>
      </w:r>
    </w:p>
  </w:footnote>
  <w:footnote w:id="42">
    <w:p>
      <w:pPr>
        <w:pStyle w:val="FootnoteText"/>
      </w:pPr>
      <w:r>
        <w:t>(</w:t>
      </w:r>
      <w:r>
        <w:footnoteRef/>
      </w:r>
      <w:r>
        <w:t xml:space="preserve">)  DG </w:t>
      </w:r>
      <w:r>
        <w:rPr>
          <w:rFonts w:ascii="Calibri" w:hAnsi="Calibri" w:cs="Calibri"/>
        </w:rPr>
        <w:t> </w:t>
      </w:r>
      <w:r>
        <w:t>Regional</w:t>
      </w:r>
      <w:r>
        <w:rPr>
          <w:rFonts w:ascii="Calibri" w:hAnsi="Calibri" w:cs="Calibri"/>
        </w:rPr>
        <w:t> </w:t>
      </w:r>
      <w:r>
        <w:t>and</w:t>
      </w:r>
      <w:r>
        <w:rPr>
          <w:rFonts w:ascii="Calibri" w:hAnsi="Calibri" w:cs="Calibri"/>
        </w:rPr>
        <w:t> </w:t>
      </w:r>
      <w:r>
        <w:t>Urban</w:t>
      </w:r>
      <w:r>
        <w:rPr>
          <w:rFonts w:ascii="Calibri" w:hAnsi="Calibri" w:cs="Calibri"/>
        </w:rPr>
        <w:t> </w:t>
      </w:r>
      <w:r>
        <w:t>Policy; DG Employment,</w:t>
      </w:r>
      <w:r>
        <w:rPr>
          <w:rFonts w:ascii="Calibri" w:hAnsi="Calibri" w:cs="Calibri"/>
        </w:rPr>
        <w:t> </w:t>
      </w:r>
      <w:r>
        <w:t>Social</w:t>
      </w:r>
      <w:r>
        <w:rPr>
          <w:rFonts w:ascii="Calibri" w:hAnsi="Calibri" w:cs="Calibri"/>
        </w:rPr>
        <w:t> </w:t>
      </w:r>
      <w:r>
        <w:t>Affairs, and</w:t>
      </w:r>
      <w:r>
        <w:rPr>
          <w:rFonts w:ascii="Calibri" w:hAnsi="Calibri" w:cs="Calibri"/>
        </w:rPr>
        <w:t> </w:t>
      </w:r>
      <w:r>
        <w:t>Inclusion; DG Agriculture and Rural Development</w:t>
      </w:r>
      <w:r>
        <w:rPr>
          <w:rFonts w:ascii="Calibri" w:hAnsi="Calibri" w:cs="Calibri"/>
        </w:rPr>
        <w:t>;</w:t>
      </w:r>
      <w:r>
        <w:t xml:space="preserve"> DG Maritime Affairs and Fisheries.</w:t>
      </w:r>
    </w:p>
  </w:footnote>
  <w:footnote w:id="43">
    <w:p>
      <w:pPr>
        <w:pStyle w:val="FootnoteText"/>
      </w:pPr>
      <w:r>
        <w:t>(</w:t>
      </w:r>
      <w:r>
        <w:footnoteRef/>
      </w:r>
      <w:r>
        <w:t>) Interreg, funded by the European Regional Development Fund (ERDF),</w:t>
      </w:r>
      <w:r>
        <w:rPr>
          <w:rFonts w:ascii="Calibri" w:hAnsi="Calibri" w:cs="Calibri"/>
        </w:rPr>
        <w:t> </w:t>
      </w:r>
      <w:r>
        <w:t>is one of the key instruments of the EU supporting cooperation across borders through project funding.</w:t>
      </w:r>
      <w:r>
        <w:rPr>
          <w:rFonts w:ascii="Calibri" w:hAnsi="Calibri" w:cs="Calibri"/>
        </w:rPr>
        <w:t> </w:t>
      </w:r>
    </w:p>
  </w:footnote>
  <w:footnote w:id="44">
    <w:p>
      <w:pPr>
        <w:pStyle w:val="FootnoteText"/>
      </w:pPr>
      <w:r>
        <w:t>(</w:t>
      </w:r>
      <w:r>
        <w:footnoteRef/>
      </w:r>
      <w:r>
        <w:t>)</w:t>
      </w:r>
      <w:r>
        <w:tab/>
        <w:t>Including financial corrections at source.</w:t>
      </w:r>
    </w:p>
  </w:footnote>
  <w:footnote w:id="45">
    <w:p>
      <w:pPr>
        <w:pStyle w:val="FootnoteText"/>
      </w:pPr>
      <w:r>
        <w:t>(</w:t>
      </w:r>
      <w:r>
        <w:footnoteRef/>
      </w:r>
      <w:r>
        <w:t>)</w:t>
      </w:r>
      <w:r>
        <w:tab/>
        <w:t>This information has been sent in the assurance packages received in February 2019 for the fourth accounting year and is still under assessment by the Commission services (information as reported by the Member States, pending the Commission verifications).</w:t>
      </w:r>
    </w:p>
  </w:footnote>
  <w:footnote w:id="46">
    <w:p>
      <w:pPr>
        <w:pStyle w:val="FootnoteText"/>
      </w:pPr>
      <w:r>
        <w:t>(</w:t>
      </w:r>
      <w:r>
        <w:footnoteRef/>
      </w:r>
      <w:r>
        <w:t>)</w:t>
      </w:r>
      <w:r>
        <w:tab/>
        <w:t>In addition to Commission reporting.</w:t>
      </w:r>
    </w:p>
  </w:footnote>
  <w:footnote w:id="47">
    <w:p>
      <w:pPr>
        <w:pStyle w:val="FootnoteText"/>
      </w:pPr>
      <w:r>
        <w:t>(</w:t>
      </w:r>
      <w:r>
        <w:footnoteRef/>
      </w:r>
      <w:r>
        <w:t>)</w:t>
      </w:r>
      <w:r>
        <w:tab/>
        <w:t>Research budget implemented by the Commission and Executive Agencies.</w:t>
      </w:r>
    </w:p>
  </w:footnote>
  <w:footnote w:id="48">
    <w:p>
      <w:pPr>
        <w:pStyle w:val="FootnoteText"/>
      </w:pPr>
      <w:r>
        <w:t>(</w:t>
      </w:r>
      <w:r>
        <w:footnoteRef/>
      </w:r>
      <w:r>
        <w:t>)</w:t>
      </w:r>
      <w:r>
        <w:tab/>
        <w:t>Implementation of Research budget entrusted to joint undertakings.</w:t>
      </w:r>
    </w:p>
  </w:footnote>
  <w:footnote w:id="49">
    <w:p>
      <w:pPr>
        <w:pStyle w:val="FootnoteText"/>
      </w:pPr>
      <w:r>
        <w:t>(</w:t>
      </w:r>
      <w:r>
        <w:footnoteRef/>
      </w:r>
      <w:r>
        <w:t>)</w:t>
      </w:r>
      <w:r>
        <w:tab/>
        <w:t>Budget implementation by international organisations.</w:t>
      </w:r>
    </w:p>
  </w:footnote>
  <w:footnote w:id="50">
    <w:p>
      <w:pPr>
        <w:pStyle w:val="BodyText"/>
        <w:spacing w:after="0"/>
      </w:pPr>
      <w:r>
        <w:t>(</w:t>
      </w:r>
      <w:r>
        <w:footnoteRef/>
      </w:r>
      <w:r>
        <w:t xml:space="preserve">) </w:t>
      </w:r>
      <w:r>
        <w:rPr>
          <w:rFonts w:eastAsia="Calibri"/>
          <w:color w:val="000000" w:themeColor="text1"/>
          <w:sz w:val="16"/>
          <w:szCs w:val="16"/>
          <w:lang w:eastAsia="fr-BE"/>
        </w:rPr>
        <w:t>It should be noted that due to the rounding of figures into EUR millions, some financial data in the tables above may appear not to add up.</w:t>
      </w:r>
    </w:p>
  </w:footnote>
  <w:footnote w:id="51">
    <w:p>
      <w:pPr>
        <w:pStyle w:val="BodyText"/>
        <w:spacing w:after="0"/>
      </w:pPr>
      <w:r>
        <w:t>(</w:t>
      </w:r>
      <w:r>
        <w:footnoteRef/>
      </w:r>
      <w:r>
        <w:t xml:space="preserve">) </w:t>
      </w:r>
      <w:r>
        <w:rPr>
          <w:rFonts w:eastAsia="Calibri"/>
          <w:color w:val="000000" w:themeColor="text1"/>
          <w:sz w:val="16"/>
          <w:szCs w:val="16"/>
          <w:lang w:eastAsia="fr-BE"/>
        </w:rPr>
        <w:t>It should be noted that due to the rounding of figures into EUR millions, some financial data in the tables above may appear not to add up.</w:t>
      </w:r>
    </w:p>
  </w:footnote>
  <w:footnote w:id="52">
    <w:p>
      <w:pPr>
        <w:pStyle w:val="FootnoteText"/>
      </w:pPr>
      <w:r>
        <w:t>(</w:t>
      </w:r>
      <w:r>
        <w:footnoteRef/>
      </w:r>
      <w:r>
        <w:t>)</w:t>
      </w:r>
      <w:r>
        <w:tab/>
        <w:t>For European Regional Development Fund /Cohesion Fund, flat-rate corrections should be seen as an estimation of the financial corrections (flat rate and/or extrapolated) which are not directly linked to individual operations/projectes. It needs also to be underlined that in some cases the amounts of corrections communicated by the Member States cover both individual and flat-rate/extrapolated corrections; for reporting purposes these amounts are included under the typology (individual or flat rate) which is considered prevalent. These two limitations do not have an impact on the reliability of the global amounts reported.</w:t>
      </w:r>
    </w:p>
  </w:footnote>
  <w:footnote w:id="53">
    <w:p>
      <w:pPr>
        <w:pStyle w:val="FootnoteText"/>
      </w:pPr>
      <w:r>
        <w:t>(</w:t>
      </w:r>
      <w:r>
        <w:footnoteRef/>
      </w:r>
      <w:r>
        <w:t>)</w:t>
      </w:r>
      <w:r>
        <w:tab/>
        <w:t>As a result, the eligible expenditure declared to the Commission is capped to the amount after the deduction of the flat-rate correction.</w:t>
      </w:r>
    </w:p>
  </w:footnote>
  <w:footnote w:id="54">
    <w:p>
      <w:pPr>
        <w:pStyle w:val="FootnoteText"/>
      </w:pPr>
      <w:r>
        <w:t>(</w:t>
      </w:r>
      <w:r>
        <w:footnoteRef/>
      </w:r>
      <w:r>
        <w:t>) Interreg, funded by the European Regional Development Fund (ERDF),</w:t>
      </w:r>
      <w:r>
        <w:rPr>
          <w:rFonts w:ascii="Calibri" w:hAnsi="Calibri" w:cs="Calibri"/>
        </w:rPr>
        <w:t> </w:t>
      </w:r>
      <w:r>
        <w:t>is one of the key instruments of the EU supporting cooperation across borders through project funding.</w:t>
      </w:r>
    </w:p>
    <w:p>
      <w:pPr>
        <w:pStyle w:val="FootnoteText"/>
      </w:pPr>
    </w:p>
  </w:footnote>
  <w:footnote w:id="55">
    <w:p>
      <w:pPr>
        <w:pStyle w:val="FootnoteText"/>
      </w:pPr>
      <w:r>
        <w:rPr>
          <w:rStyle w:val="fnRef"/>
        </w:rPr>
        <w:t>(</w:t>
      </w:r>
      <w:r>
        <w:rPr>
          <w:rStyle w:val="fnRefNo"/>
        </w:rPr>
        <w:footnoteRef/>
      </w:r>
      <w:r>
        <w:rPr>
          <w:rStyle w:val="fnRef"/>
        </w:rPr>
        <w:t>)</w:t>
      </w:r>
      <w:r>
        <w:rPr>
          <w:rStyle w:val="fnRef"/>
        </w:rPr>
        <w:tab/>
      </w:r>
      <w:r>
        <w:t>Commission Delegated Regulation (EU) No°1268/2012 of 29</w:t>
      </w:r>
      <w:r>
        <w:rPr>
          <w:rFonts w:ascii="Calibri" w:hAnsi="Calibri" w:cs="Calibri"/>
        </w:rPr>
        <w:t> </w:t>
      </w:r>
      <w:r>
        <w:t xml:space="preserve">October 2012 on the rules of application of Regulation (EU, Euratom) </w:t>
      </w:r>
      <w:r>
        <w:rPr>
          <w:rFonts w:asciiTheme="minorHAnsi" w:hAnsiTheme="minorHAnsi"/>
        </w:rPr>
        <w:t>No</w:t>
      </w:r>
      <w:r>
        <w:rPr>
          <w:rFonts w:ascii="Calibri" w:hAnsi="Calibri" w:cs="Calibri"/>
        </w:rPr>
        <w:t> </w:t>
      </w:r>
      <w:r>
        <w:rPr>
          <w:rFonts w:asciiTheme="minorHAnsi" w:hAnsiTheme="minorHAnsi" w:cs="Calibri"/>
        </w:rPr>
        <w:t>966/2012 of the European Parliament and of the Council on the financial rules applicable to the general budget of the Union</w:t>
      </w:r>
      <w:r>
        <w:t xml:space="preserve"> (OJ L</w:t>
      </w:r>
      <w:r>
        <w:rPr>
          <w:rFonts w:ascii="Calibri" w:hAnsi="Calibri" w:cs="Calibri"/>
        </w:rPr>
        <w:t> </w:t>
      </w:r>
      <w:r>
        <w:t>362, 31.12.2012, pp.</w:t>
      </w:r>
      <w:r>
        <w:rPr>
          <w:rFonts w:ascii="Calibri" w:hAnsi="Calibri" w:cs="Calibri"/>
        </w:rPr>
        <w:t> </w:t>
      </w:r>
      <w:r>
        <w:t>1-111).</w:t>
      </w:r>
    </w:p>
  </w:footnote>
  <w:footnote w:id="56">
    <w:p>
      <w:pPr>
        <w:pStyle w:val="FootnoteText"/>
      </w:pPr>
      <w:r>
        <w:rPr>
          <w:rStyle w:val="fnRef"/>
        </w:rPr>
        <w:t>(</w:t>
      </w:r>
      <w:r>
        <w:rPr>
          <w:rStyle w:val="fnRefNo"/>
        </w:rPr>
        <w:footnoteRef/>
      </w:r>
      <w:r>
        <w:rPr>
          <w:rStyle w:val="fnRef"/>
        </w:rPr>
        <w:t>)</w:t>
      </w:r>
      <w:r>
        <w:rPr>
          <w:rStyle w:val="fnRef"/>
        </w:rPr>
        <w:tab/>
        <w:t xml:space="preserve">Council </w:t>
      </w:r>
      <w:r>
        <w:t>Regulation (EC) No</w:t>
      </w:r>
      <w:r>
        <w:rPr>
          <w:rFonts w:ascii="Calibri" w:hAnsi="Calibri" w:cs="Calibri"/>
        </w:rPr>
        <w:t> </w:t>
      </w:r>
      <w:r>
        <w:t>1083/2006 of 11 July 2006 laying down general provisions on the European Regional Development Fund, the European Social Fund and the Cohesion fund and repealing Regulation (EC) No</w:t>
      </w:r>
      <w:r>
        <w:rPr>
          <w:rFonts w:ascii="Calibri" w:hAnsi="Calibri" w:cs="Calibri"/>
        </w:rPr>
        <w:t> </w:t>
      </w:r>
      <w:r>
        <w:t>1260/1999 (OJ L</w:t>
      </w:r>
      <w:r>
        <w:rPr>
          <w:rFonts w:ascii="Calibri" w:hAnsi="Calibri" w:cs="Calibri"/>
        </w:rPr>
        <w:t> </w:t>
      </w:r>
      <w:r>
        <w:t>210, 31.7.2006, pp.</w:t>
      </w:r>
      <w:r>
        <w:rPr>
          <w:rFonts w:ascii="Calibri" w:hAnsi="Calibri" w:cs="Calibri"/>
        </w:rPr>
        <w:t> </w:t>
      </w:r>
      <w:r>
        <w:t>25-78).</w:t>
      </w:r>
    </w:p>
  </w:footnote>
  <w:footnote w:id="57">
    <w:p>
      <w:pPr>
        <w:pStyle w:val="FootnoteText"/>
      </w:pPr>
      <w:r>
        <w:rPr>
          <w:rStyle w:val="fnRef"/>
        </w:rPr>
        <w:t>(</w:t>
      </w:r>
      <w:r>
        <w:rPr>
          <w:rStyle w:val="fnRefNo"/>
        </w:rPr>
        <w:footnoteRef/>
      </w:r>
      <w:r>
        <w:rPr>
          <w:rStyle w:val="fnRef"/>
        </w:rPr>
        <w:t>)</w:t>
      </w:r>
      <w:r>
        <w:rPr>
          <w:rStyle w:val="fnRef"/>
        </w:rPr>
        <w:tab/>
      </w:r>
      <w:r>
        <w:t>Based on available data in the corporate accounting system as of end of the financial year 2007.</w:t>
      </w:r>
    </w:p>
  </w:footnote>
  <w:footnote w:id="58">
    <w:p>
      <w:pPr>
        <w:pStyle w:val="FootnoteText"/>
      </w:pPr>
      <w:r>
        <w:rPr>
          <w:rStyle w:val="fnRef"/>
        </w:rPr>
        <w:t>(</w:t>
      </w:r>
      <w:r>
        <w:rPr>
          <w:rStyle w:val="fnRefNo"/>
        </w:rPr>
        <w:footnoteRef/>
      </w:r>
      <w:r>
        <w:rPr>
          <w:rStyle w:val="fnRef"/>
        </w:rPr>
        <w:t>)</w:t>
      </w:r>
      <w:r>
        <w:rPr>
          <w:rStyle w:val="fnRef"/>
        </w:rPr>
        <w:tab/>
      </w:r>
      <w:r>
        <w:t>i.e. above the statutory time limit.</w:t>
      </w:r>
    </w:p>
  </w:footnote>
  <w:footnote w:id="59">
    <w:p>
      <w:pPr>
        <w:pStyle w:val="FootnoteText"/>
      </w:pPr>
      <w:r>
        <w:rPr>
          <w:rStyle w:val="fnRef"/>
        </w:rPr>
        <w:t>(</w:t>
      </w:r>
      <w:r>
        <w:rPr>
          <w:rStyle w:val="fnRefNo"/>
        </w:rPr>
        <w:footnoteRef/>
      </w:r>
      <w:r>
        <w:rPr>
          <w:rStyle w:val="fnRef"/>
        </w:rPr>
        <w:t>)</w:t>
      </w:r>
      <w:r>
        <w:rPr>
          <w:rStyle w:val="fnRef"/>
        </w:rPr>
        <w:tab/>
      </w:r>
      <w:r>
        <w:t>i.e. no longer conditional upon the presentation of a request for payment (with the exception of amounts below EUR 200).</w:t>
      </w:r>
    </w:p>
  </w:footnote>
  <w:footnote w:id="60">
    <w:p>
      <w:pPr>
        <w:pStyle w:val="FootnoteText"/>
      </w:pPr>
      <w:r>
        <w:rPr>
          <w:rStyle w:val="fnRef"/>
        </w:rPr>
        <w:t>(</w:t>
      </w:r>
      <w:r>
        <w:rPr>
          <w:rStyle w:val="fnRefNo"/>
        </w:rPr>
        <w:footnoteRef/>
      </w:r>
      <w:r>
        <w:rPr>
          <w:rStyle w:val="fnRef"/>
        </w:rPr>
        <w:t>)</w:t>
      </w:r>
      <w:r>
        <w:rPr>
          <w:rStyle w:val="fnRef"/>
        </w:rPr>
        <w:tab/>
      </w:r>
      <w:r>
        <w:t>Regulation (EU, Euratom) 2018/1046 of the European Parliament and of the Council of 18</w:t>
      </w:r>
      <w:r>
        <w:rPr>
          <w:rFonts w:ascii="Calibri" w:hAnsi="Calibri" w:cs="Calibri"/>
        </w:rPr>
        <w:t> </w:t>
      </w:r>
      <w:r>
        <w:t>July 2018 on the financial rules applicable to the general budget of the Union, amending Regulations (EU) No</w:t>
      </w:r>
      <w:r>
        <w:rPr>
          <w:rFonts w:ascii="Calibri" w:hAnsi="Calibri" w:cs="Calibri"/>
        </w:rPr>
        <w:t> </w:t>
      </w:r>
      <w:r>
        <w:t>1296/2013, (EU) No</w:t>
      </w:r>
      <w:r>
        <w:rPr>
          <w:rFonts w:ascii="Calibri" w:hAnsi="Calibri" w:cs="Calibri"/>
        </w:rPr>
        <w:t> </w:t>
      </w:r>
      <w:r>
        <w:t>1301/2013, (EU) No</w:t>
      </w:r>
      <w:r>
        <w:rPr>
          <w:rFonts w:ascii="Calibri" w:hAnsi="Calibri" w:cs="Calibri"/>
        </w:rPr>
        <w:t> 1</w:t>
      </w:r>
      <w:r>
        <w:t>303/2013, (EU) No</w:t>
      </w:r>
      <w:r>
        <w:rPr>
          <w:rFonts w:ascii="Calibri" w:hAnsi="Calibri" w:cs="Calibri"/>
        </w:rPr>
        <w:t> </w:t>
      </w:r>
      <w:r>
        <w:t>1304/2013, (EU) No</w:t>
      </w:r>
      <w:r>
        <w:rPr>
          <w:rFonts w:ascii="Calibri" w:hAnsi="Calibri" w:cs="Calibri"/>
        </w:rPr>
        <w:t> </w:t>
      </w:r>
      <w:r>
        <w:t>1309/2013, (EU) No</w:t>
      </w:r>
      <w:r>
        <w:rPr>
          <w:rFonts w:ascii="Calibri" w:hAnsi="Calibri" w:cs="Calibri"/>
        </w:rPr>
        <w:t> </w:t>
      </w:r>
      <w:r>
        <w:t>1316/2013, (EU) No</w:t>
      </w:r>
      <w:r>
        <w:rPr>
          <w:rFonts w:ascii="Calibri" w:hAnsi="Calibri" w:cs="Calibri"/>
        </w:rPr>
        <w:t> </w:t>
      </w:r>
      <w:r>
        <w:t>223/2014, (EU) No</w:t>
      </w:r>
      <w:r>
        <w:rPr>
          <w:rFonts w:ascii="Calibri" w:hAnsi="Calibri" w:cs="Calibri"/>
        </w:rPr>
        <w:t> </w:t>
      </w:r>
      <w:r>
        <w:t>283/2014, and Decision No</w:t>
      </w:r>
      <w:r>
        <w:rPr>
          <w:rFonts w:ascii="Calibri" w:hAnsi="Calibri" w:cs="Calibri"/>
        </w:rPr>
        <w:t> </w:t>
      </w:r>
      <w:r>
        <w:t>541/2014/EU and repealing Regulation (EU, Euratom) No</w:t>
      </w:r>
      <w:r>
        <w:rPr>
          <w:rFonts w:ascii="Calibri" w:hAnsi="Calibri" w:cs="Calibri"/>
        </w:rPr>
        <w:t> </w:t>
      </w:r>
      <w:r>
        <w:t>966/2012 (OJ L</w:t>
      </w:r>
      <w:r>
        <w:rPr>
          <w:rFonts w:ascii="Calibri" w:hAnsi="Calibri" w:cs="Calibri"/>
        </w:rPr>
        <w:t> </w:t>
      </w:r>
      <w:r>
        <w:t>193, 30.7.2018, pp.</w:t>
      </w:r>
      <w:r>
        <w:rPr>
          <w:rFonts w:ascii="Calibri" w:hAnsi="Calibri" w:cs="Calibri"/>
        </w:rPr>
        <w:t> </w:t>
      </w:r>
      <w:r>
        <w:t>1-222).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pPr>
    <w:r>
      <w:rPr>
        <w:color w:val="E48C32" w:themeColor="accent5"/>
        <w:lang w:eastAsia="en-GB"/>
      </w:rPr>
      <mc:AlternateContent>
        <mc:Choice Requires="wps">
          <w:drawing>
            <wp:anchor distT="0" distB="0" distL="114300" distR="114300" simplePos="0" relativeHeight="251652096" behindDoc="0" locked="0" layoutInCell="1" allowOverlap="1">
              <wp:simplePos x="0" y="0"/>
              <wp:positionH relativeFrom="page">
                <wp:posOffset>0</wp:posOffset>
              </wp:positionH>
              <wp:positionV relativeFrom="page">
                <wp:posOffset>0</wp:posOffset>
              </wp:positionV>
              <wp:extent cx="7621200" cy="212400"/>
              <wp:effectExtent l="0" t="0" r="0" b="0"/>
              <wp:wrapNone/>
              <wp:docPr id="26" name="Rectangle 2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A1FBD3" id="Rectangle 26" o:spid="_x0000_s1026" style="position:absolute;margin-left:0;margin-top:0;width:600.1pt;height:16.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500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1" name="Rectangle 1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0E254C" id="Rectangle 11" o:spid="_x0000_s1026" style="position:absolute;margin-left:-3.7pt;margin-top:-116.05pt;width:8.85pt;height:3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MFlw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CPXeMFlwIAAIYFAAAOAAAAAAAAAAAAAAAAAC4CAABkcnMvZTJv&#10;RG9jLnhtbFBLAQItABQABgAIAAAAIQCfCmR44QAAAAsBAAAPAAAAAAAAAAAAAAAAAPEEAABkcnMv&#10;ZG93bnJldi54bWxQSwUGAAAAAAQABADzAAAA/wUAAAAA&#10;" fillcolor="#3fb296" stroked="f" strokeweight="2pt"/>
          </w:pict>
        </mc:Fallback>
      </mc:AlternateContent>
    </w:r>
    <w:r>
      <w:rPr>
        <w:color w:val="E48C32" w:themeColor="accent5"/>
      </w:rPr>
      <w:t xml:space="preserve">ANNEXES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pPr>
    <w:r>
      <w:rPr>
        <w:color w:val="E48C32" w:themeColor="accent5"/>
        <w:lang w:eastAsia="en-GB"/>
      </w:rPr>
      <mc:AlternateContent>
        <mc:Choice Requires="wps">
          <w:drawing>
            <wp:anchor distT="0" distB="0" distL="114300" distR="114300" simplePos="0" relativeHeight="251641856" behindDoc="0" locked="0" layoutInCell="1" allowOverlap="1">
              <wp:simplePos x="0" y="0"/>
              <wp:positionH relativeFrom="page">
                <wp:posOffset>0</wp:posOffset>
              </wp:positionH>
              <wp:positionV relativeFrom="page">
                <wp:posOffset>0</wp:posOffset>
              </wp:positionV>
              <wp:extent cx="7621200" cy="212400"/>
              <wp:effectExtent l="0" t="0" r="0" b="0"/>
              <wp:wrapNone/>
              <wp:docPr id="27" name="Rectangle 2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BB6415" id="Rectangle 27" o:spid="_x0000_s1026" style="position:absolute;margin-left:0;margin-top:0;width:600.1pt;height:16.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377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0" name="Rectangle 3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8836FF" id="Rectangle 30" o:spid="_x0000_s1026" style="position:absolute;margin-left:-3.7pt;margin-top:-116.05pt;width:8.85pt;height:37.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0o5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OStKOZgCAACGBQAADgAAAAAAAAAAAAAAAAAuAgAAZHJzL2Uy&#10;b0RvYy54bWxQSwECLQAUAAYACAAAACEAnwpkeOEAAAALAQAADwAAAAAAAAAAAAAAAADyBAAAZHJz&#10;L2Rvd25yZXYueG1sUEsFBgAAAAAEAAQA8wAAAAAGAAAAAA==&#10;" fillcolor="#3fb296" stroked="f" strokeweight="2pt"/>
          </w:pict>
        </mc:Fallback>
      </mc:AlternateContent>
    </w:r>
    <w:r>
      <w:rPr>
        <w:color w:val="E48C32" w:themeColor="accent5"/>
      </w:rPr>
      <w:t xml:space="preserve">ANNEXES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pPr>
    <w:r>
      <w:rPr>
        <w:color w:val="E48C32" w:themeColor="accent5"/>
        <w:lang w:eastAsia="en-GB"/>
      </w:rPr>
      <mc:AlternateContent>
        <mc:Choice Requires="wps">
          <w:drawing>
            <wp:anchor distT="0" distB="0" distL="114300" distR="114300" simplePos="0" relativeHeight="251630592" behindDoc="0" locked="0" layoutInCell="1" allowOverlap="1">
              <wp:simplePos x="0" y="0"/>
              <wp:positionH relativeFrom="page">
                <wp:posOffset>0</wp:posOffset>
              </wp:positionH>
              <wp:positionV relativeFrom="page">
                <wp:posOffset>0</wp:posOffset>
              </wp:positionV>
              <wp:extent cx="7621200" cy="212400"/>
              <wp:effectExtent l="0" t="0" r="0" b="0"/>
              <wp:wrapNone/>
              <wp:docPr id="7" name="Rectangle 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E53D87" id="Rectangle 7" o:spid="_x0000_s1026" style="position:absolute;margin-left:0;margin-top:0;width:600.1pt;height:16.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295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 name="Rectangle 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5F52F7" id="Rectangle 9" o:spid="_x0000_s1026" style="position:absolute;margin-left:-3.7pt;margin-top:-116.05pt;width:8.85pt;height:37.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QXlwIAAIQ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A9leQXlwIAAIQFAAAOAAAAAAAAAAAAAAAAAC4CAABkcnMvZTJv&#10;RG9jLnhtbFBLAQItABQABgAIAAAAIQCfCmR44QAAAAsBAAAPAAAAAAAAAAAAAAAAAPEEAABkcnMv&#10;ZG93bnJldi54bWxQSwUGAAAAAAQABADzAAAA/wUAAAAA&#10;" fillcolor="#3fb296" stroked="f" strokeweight="2pt"/>
          </w:pict>
        </mc:Fallback>
      </mc:AlternateContent>
    </w:r>
    <w:r>
      <w:rPr>
        <w:color w:val="E48C32" w:themeColor="accent5"/>
      </w:rPr>
      <w:t xml:space="preserve">ANNEXES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pPr>
    <w:r>
      <w:rPr>
        <w:color w:val="E48C32" w:themeColor="accent5"/>
        <w:lang w:eastAsia="en-GB"/>
      </w:rPr>
      <mc:AlternateContent>
        <mc:Choice Requires="wps">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621200" cy="212400"/>
              <wp:effectExtent l="0" t="0" r="0" b="0"/>
              <wp:wrapNone/>
              <wp:docPr id="18" name="Rectangle 1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6CAB95" id="Rectangle 18" o:spid="_x0000_s1026" style="position:absolute;margin-left:0;margin-top:0;width:600.1pt;height:16.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lBjQIAAIo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602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 name="Rectangle 2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914000" id="Rectangle 20" o:spid="_x0000_s1026" style="position:absolute;margin-left:-3.7pt;margin-top:-116.05pt;width:8.85pt;height:3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SeW+ZgCAACGBQAADgAAAAAAAAAAAAAAAAAuAgAAZHJzL2Uy&#10;b0RvYy54bWxQSwECLQAUAAYACAAAACEAnwpkeOEAAAALAQAADwAAAAAAAAAAAAAAAADyBAAAZHJz&#10;L2Rvd25yZXYueG1sUEsFBgAAAAAEAAQA8wAAAAAGAAAAAA==&#10;" fillcolor="#3fb296" stroked="f" strokeweight="2pt"/>
          </w:pict>
        </mc:Fallback>
      </mc:AlternateContent>
    </w:r>
    <w:r>
      <w:rPr>
        <w:color w:val="E48C32" w:themeColor="accent5"/>
      </w:rPr>
      <w:t xml:space="preserve">ANNEXES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pPr>
    <w:r>
      <w:rPr>
        <w:color w:val="E48C32" w:themeColor="accent5"/>
        <w:lang w:eastAsia="en-GB"/>
      </w:rPr>
      <mc:AlternateContent>
        <mc:Choice Requires="wps">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621200" cy="212400"/>
              <wp:effectExtent l="0" t="0" r="0" b="0"/>
              <wp:wrapNone/>
              <wp:docPr id="15" name="Rectangle 1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44D9A4" id="Rectangle 15" o:spid="_x0000_s1026" style="position:absolute;margin-left:0;margin-top:0;width:600.1pt;height:1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561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7" name="Rectangle 1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C4BBDC" id="Rectangle 17" o:spid="_x0000_s1026" style="position:absolute;margin-left:-3.7pt;margin-top:-116.05pt;width:8.85pt;height:3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OL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U4p&#10;0a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yHAjeP4fEa7L0artJC+4xrYxmiooppjrFLyr0dhCufdgQuHi6Wy2iG&#10;A2uYv9GPhgfwwGroy6f9M7Omb16PXX8Lw9yy+bseTrbBU8Ny60E2scFfeO35xmGPjdMvprBNXsvR&#10;6mV9Ln4D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zCzTi5gCAACGBQAADgAAAAAAAAAAAAAAAAAuAgAAZHJzL2Uy&#10;b0RvYy54bWxQSwECLQAUAAYACAAAACEAnwpkeOEAAAALAQAADwAAAAAAAAAAAAAAAADyBAAAZHJz&#10;L2Rvd25yZXYueG1sUEsFBgAAAAAEAAQA8wAAAAAGAAAAAA==&#10;" fillcolor="#3fb296" stroked="f" strokeweight="2pt"/>
          </w:pict>
        </mc:Fallback>
      </mc:AlternateContent>
    </w:r>
    <w:r>
      <w:rPr>
        <w:color w:val="E48C32" w:themeColor="accent5"/>
      </w:rPr>
      <w:t xml:space="preserve">ANNEXES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pPr>
    <w:r>
      <w:rPr>
        <w:color w:val="E48C32" w:themeColor="accent5"/>
        <w:lang w:eastAsia="en-GB"/>
      </w:rPr>
      <mc:AlternateContent>
        <mc:Choice Requires="wps">
          <w:drawing>
            <wp:anchor distT="0" distB="0" distL="114300" distR="114300" simplePos="0" relativeHeight="2516346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 name="Rectangle 3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DCD784" id="Rectangle 32" o:spid="_x0000_s1026" style="position:absolute;margin-left:-3.7pt;margin-top:-116.05pt;width:8.85pt;height:37.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1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x/mK9ZgCAACGBQAADgAAAAAAAAAAAAAAAAAuAgAAZHJzL2Uy&#10;b0RvYy54bWxQSwECLQAUAAYACAAAACEAnwpkeOEAAAALAQAADwAAAAAAAAAAAAAAAADyBAAAZHJz&#10;L2Rvd25yZXYueG1sUEsFBgAAAAAEAAQA8wAAAAAGAAAAAA==&#10;" fillcolor="#3fb296" stroked="f" strokeweight="2pt"/>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pPr>
    <w:r>
      <w:rPr>
        <w:color w:val="E48C32" w:themeColor="accent5"/>
        <w:lang w:eastAsia="en-GB"/>
      </w:rPr>
      <mc:AlternateContent>
        <mc:Choice Requires="wps">
          <w:drawing>
            <wp:anchor distT="0" distB="0" distL="114300" distR="114300" simplePos="0" relativeHeight="2516387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 name="Rectangle 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9298F0" id="Rectangle 6" o:spid="_x0000_s1026" style="position:absolute;margin-left:-3.7pt;margin-top:-116.05pt;width:8.85pt;height:37.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" fillcolor="#3fb296" stroked="f" strokeweight="2pt"/>
          </w:pict>
        </mc:Fallback>
      </mc:AlternateContent>
    </w:r>
    <w:r>
      <w:rPr>
        <w:color w:val="E48C32" w:themeColor="accent5"/>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rPr>
        <w:color w:val="E48C32" w:themeColor="accent5"/>
      </w:rPr>
    </w:pPr>
    <w:r>
      <w:rPr>
        <w:color w:val="E48C32" w:themeColor="accent5"/>
        <w:lang w:eastAsia="en-GB"/>
      </w:rPr>
      <mc:AlternateContent>
        <mc:Choice Requires="wps">
          <w:drawing>
            <wp:anchor distT="0" distB="0" distL="114300" distR="114300" simplePos="0" relativeHeight="251636736" behindDoc="0" locked="0" layoutInCell="1" allowOverlap="1">
              <wp:simplePos x="0" y="0"/>
              <wp:positionH relativeFrom="page">
                <wp:posOffset>-3810</wp:posOffset>
              </wp:positionH>
              <wp:positionV relativeFrom="page">
                <wp:posOffset>0</wp:posOffset>
              </wp:positionV>
              <wp:extent cx="7621200" cy="212400"/>
              <wp:effectExtent l="0" t="0" r="0" b="0"/>
              <wp:wrapNone/>
              <wp:docPr id="33" name="Rectangle 3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64C703" id="Rectangle 33" o:spid="_x0000_s1026" style="position:absolute;margin-left:-.3pt;margin-top:0;width:600.1pt;height:16.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408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4" name="Rectangle 3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4374F9" id="Rectangle 34" o:spid="_x0000_s1026" style="position:absolute;margin-left:-3.7pt;margin-top:-116.05pt;width:8.85pt;height:37.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p7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hIi6e5gCAACGBQAADgAAAAAAAAAAAAAAAAAuAgAAZHJzL2Uy&#10;b0RvYy54bWxQSwECLQAUAAYACAAAACEAnwpkeOEAAAALAQAADwAAAAAAAAAAAAAAAADyBAAAZHJz&#10;L2Rvd25yZXYueG1sUEsFBgAAAAAEAAQA8wAAAAAGAAAAAA==&#10;" fillcolor="#3fb296" stroked="f" strokeweight="2pt"/>
          </w:pict>
        </mc:Fallback>
      </mc:AlternateContent>
    </w:r>
    <w:r>
      <w:rPr>
        <w:color w:val="E48C32" w:themeColor="accent5"/>
      </w:rPr>
      <w:t>ANNEXES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rPr>
        <w:color w:val="E48C32" w:themeColor="accent5"/>
      </w:rPr>
    </w:pPr>
    <w:r>
      <w:rPr>
        <w:color w:val="E48C32" w:themeColor="accent5"/>
        <w:lang w:eastAsia="en-GB"/>
      </w:rPr>
      <mc:AlternateContent>
        <mc:Choice Requires="wps">
          <w:drawing>
            <wp:anchor distT="0" distB="0" distL="114300" distR="114300" simplePos="0" relativeHeight="251631616" behindDoc="0" locked="0" layoutInCell="1" allowOverlap="1">
              <wp:simplePos x="0" y="0"/>
              <wp:positionH relativeFrom="page">
                <wp:posOffset>-3810</wp:posOffset>
              </wp:positionH>
              <wp:positionV relativeFrom="page">
                <wp:posOffset>0</wp:posOffset>
              </wp:positionV>
              <wp:extent cx="7621200" cy="212400"/>
              <wp:effectExtent l="0" t="0" r="0" b="0"/>
              <wp:wrapNone/>
              <wp:docPr id="19" name="Rectangle 1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35865C" id="Rectangle 19" o:spid="_x0000_s1026" style="position:absolute;margin-left:-.3pt;margin-top:0;width:600.1pt;height:16.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326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3" name="Rectangle 2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14ECB8" id="Rectangle 23" o:spid="_x0000_s1026" style="position:absolute;margin-left:-3.7pt;margin-top:-116.05pt;width:8.85pt;height:37.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ZT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fJw2U5gCAACGBQAADgAAAAAAAAAAAAAAAAAuAgAAZHJzL2Uy&#10;b0RvYy54bWxQSwECLQAUAAYACAAAACEAnwpkeOEAAAALAQAADwAAAAAAAAAAAAAAAADyBAAAZHJz&#10;L2Rvd25yZXYueG1sUEsFBgAAAAAEAAQA8wAAAAAGAAAAAA==&#10;" fillcolor="#3fb296" stroked="f" strokeweight="2pt"/>
          </w:pict>
        </mc:Fallback>
      </mc:AlternateContent>
    </w:r>
    <w:r>
      <w:rPr>
        <w:color w:val="E48C32" w:themeColor="accent5"/>
      </w:rPr>
      <w:t>ANNEXES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rPr>
        <w:color w:val="E48C32" w:themeColor="accent5"/>
      </w:rPr>
    </w:pPr>
    <w:r>
      <w:rPr>
        <w:color w:val="E48C32" w:themeColor="accent5"/>
        <w:lang w:eastAsia="en-GB"/>
      </w:rPr>
      <mc:AlternateContent>
        <mc:Choice Requires="wps">
          <w:drawing>
            <wp:anchor distT="0" distB="0" distL="114300" distR="114300" simplePos="0" relativeHeight="251664384" behindDoc="0" locked="0" layoutInCell="1" allowOverlap="1">
              <wp:simplePos x="0" y="0"/>
              <wp:positionH relativeFrom="page">
                <wp:posOffset>-3810</wp:posOffset>
              </wp:positionH>
              <wp:positionV relativeFrom="page">
                <wp:posOffset>0</wp:posOffset>
              </wp:positionV>
              <wp:extent cx="7621200" cy="212400"/>
              <wp:effectExtent l="0" t="0" r="0" b="0"/>
              <wp:wrapNone/>
              <wp:docPr id="31" name="Rectangle 3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242D52" id="Rectangle 31" o:spid="_x0000_s1026" style="position:absolute;margin-left:-.3pt;margin-top:0;width:600.1pt;height:16.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654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6" name="Rectangle 3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92C1FE" id="Rectangle 36" o:spid="_x0000_s1026" style="position:absolute;margin-left:-3.7pt;margin-top:-116.05pt;width:8.85pt;height:3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HpaereWAgAAhgUAAA4AAAAAAAAAAAAAAAAALgIAAGRycy9lMm9E&#10;b2MueG1sUEsBAi0AFAAGAAgAAAAhAJ8KZHjhAAAACwEAAA8AAAAAAAAAAAAAAAAA8AQAAGRycy9k&#10;b3ducmV2LnhtbFBLBQYAAAAABAAEAPMAAAD+BQAAAAA=&#10;" fillcolor="#3fb296" stroked="f" strokeweight="2pt"/>
          </w:pict>
        </mc:Fallback>
      </mc:AlternateContent>
    </w:r>
    <w:r>
      <w:rPr>
        <w:color w:val="E48C32" w:themeColor="accent5"/>
      </w:rPr>
      <w:t>ANNEXES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rPr>
        <w:color w:val="E48C32" w:themeColor="accent5"/>
      </w:rPr>
    </w:pPr>
    <w:r>
      <w:rPr>
        <w:color w:val="E48C32" w:themeColor="accent5"/>
        <w:lang w:eastAsia="en-GB"/>
      </w:rPr>
      <mc:AlternateContent>
        <mc:Choice Requires="wps">
          <w:drawing>
            <wp:anchor distT="0" distB="0" distL="114300" distR="114300" simplePos="0" relativeHeight="251662336" behindDoc="0" locked="0" layoutInCell="1" allowOverlap="1">
              <wp:simplePos x="0" y="0"/>
              <wp:positionH relativeFrom="page">
                <wp:posOffset>-3810</wp:posOffset>
              </wp:positionH>
              <wp:positionV relativeFrom="page">
                <wp:posOffset>0</wp:posOffset>
              </wp:positionV>
              <wp:extent cx="7621200" cy="212400"/>
              <wp:effectExtent l="0" t="0" r="0" b="0"/>
              <wp:wrapNone/>
              <wp:docPr id="22" name="Rectangle 2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C86F6A" id="Rectangle 22" o:spid="_x0000_s1026" style="position:absolute;margin-left:-.3pt;margin-top:0;width:600.1pt;height:16.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633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 name="Rectangle 2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C084D4" id="Rectangle 25" o:spid="_x0000_s1026" style="position:absolute;margin-left:-3.7pt;margin-top:-116.05pt;width:8.85pt;height:3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D/tBt2ZAgAAhgUAAA4AAAAAAAAAAAAAAAAALgIAAGRycy9l&#10;Mm9Eb2MueG1sUEsBAi0AFAAGAAgAAAAhAJ8KZHjhAAAACwEAAA8AAAAAAAAAAAAAAAAA8wQAAGRy&#10;cy9kb3ducmV2LnhtbFBLBQYAAAAABAAEAPMAAAABBgAAAAA=&#10;" fillcolor="#3fb296" stroked="f" strokeweight="2pt"/>
          </w:pict>
        </mc:Fallback>
      </mc:AlternateContent>
    </w:r>
    <w:r>
      <w:rPr>
        <w:color w:val="E48C32" w:themeColor="accent5"/>
      </w:rPr>
      <w:t>ANNEXES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rPr>
        <w:color w:val="E48C32" w:themeColor="accent5"/>
      </w:rPr>
    </w:pPr>
    <w:r>
      <w:rPr>
        <w:color w:val="E48C32" w:themeColor="accent5"/>
        <w:lang w:eastAsia="en-GB"/>
      </w:rPr>
      <mc:AlternateContent>
        <mc:Choice Requires="wps">
          <w:drawing>
            <wp:anchor distT="0" distB="0" distL="114300" distR="114300" simplePos="0" relativeHeight="251668480" behindDoc="0" locked="0" layoutInCell="1" allowOverlap="1">
              <wp:simplePos x="0" y="0"/>
              <wp:positionH relativeFrom="page">
                <wp:posOffset>-3810</wp:posOffset>
              </wp:positionH>
              <wp:positionV relativeFrom="page">
                <wp:posOffset>0</wp:posOffset>
              </wp:positionV>
              <wp:extent cx="7621200" cy="212400"/>
              <wp:effectExtent l="0" t="0" r="0" b="0"/>
              <wp:wrapNone/>
              <wp:docPr id="40" name="Rectangle 4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69E19F" id="Rectangle 40" o:spid="_x0000_s1026" style="position:absolute;margin-left:-.3pt;margin-top:0;width:600.1pt;height:16.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695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6" name="Rectangle 4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09E5AF" id="Rectangle 46" o:spid="_x0000_s1026" style="position:absolute;margin-left:-3.7pt;margin-top:-116.05pt;width:8.85pt;height:3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OV2/ZiWAgAAhgUAAA4AAAAAAAAAAAAAAAAALgIAAGRycy9lMm9E&#10;b2MueG1sUEsBAi0AFAAGAAgAAAAhAJ8KZHjhAAAACwEAAA8AAAAAAAAAAAAAAAAA8AQAAGRycy9k&#10;b3ducmV2LnhtbFBLBQYAAAAABAAEAPMAAAD+BQAAAAA=&#10;" fillcolor="#3fb296" stroked="f" strokeweight="2pt"/>
          </w:pict>
        </mc:Fallback>
      </mc:AlternateContent>
    </w:r>
    <w:r>
      <w:rPr>
        <w:color w:val="E48C32" w:themeColor="accent5"/>
      </w:rPr>
      <w:t>ANNEXES</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rPr>
        <w:color w:val="E48C32" w:themeColor="accent5"/>
      </w:rPr>
    </w:pPr>
    <w:r>
      <w:rPr>
        <w:color w:val="E48C32" w:themeColor="accent5"/>
        <w:lang w:eastAsia="en-GB"/>
      </w:rPr>
      <mc:AlternateContent>
        <mc:Choice Requires="wps">
          <w:drawing>
            <wp:anchor distT="0" distB="0" distL="114300" distR="114300" simplePos="0" relativeHeight="251666432" behindDoc="0" locked="0" layoutInCell="1" allowOverlap="1">
              <wp:simplePos x="0" y="0"/>
              <wp:positionH relativeFrom="page">
                <wp:posOffset>-3810</wp:posOffset>
              </wp:positionH>
              <wp:positionV relativeFrom="page">
                <wp:posOffset>0</wp:posOffset>
              </wp:positionV>
              <wp:extent cx="7621200" cy="212400"/>
              <wp:effectExtent l="0" t="0" r="0" b="0"/>
              <wp:wrapNone/>
              <wp:docPr id="38" name="Rectangle 3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B3B2F8" id="Rectangle 38" o:spid="_x0000_s1026" style="position:absolute;margin-left:-.3pt;margin-top:0;width:600.1pt;height:16.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DMjgIAAIo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674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9" name="Rectangle 3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1FC97C" id="Rectangle 39" o:spid="_x0000_s1026" style="position:absolute;margin-left:-3.7pt;margin-top:-116.05pt;width:8.85pt;height:3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cva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PAXL2pgCAACGBQAADgAAAAAAAAAAAAAAAAAuAgAAZHJzL2Uy&#10;b0RvYy54bWxQSwECLQAUAAYACAAAACEAnwpkeOEAAAALAQAADwAAAAAAAAAAAAAAAADyBAAAZHJz&#10;L2Rvd25yZXYueG1sUEsFBgAAAAAEAAQA8wAAAAAGAAAAAA==&#10;" fillcolor="#3fb296" stroked="f" strokeweight="2pt"/>
          </w:pict>
        </mc:Fallback>
      </mc:AlternateContent>
    </w:r>
    <w:r>
      <w:rPr>
        <w:color w:val="E48C32" w:themeColor="accent5"/>
      </w:rPr>
      <w:t>ANNEXES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rPr>
        <w:color w:val="E48C32" w:themeColor="accent5"/>
      </w:rPr>
    </w:pPr>
    <w:r>
      <w:rPr>
        <w:color w:val="E48C32" w:themeColor="accent5"/>
        <w:lang w:eastAsia="en-GB"/>
      </w:rPr>
      <mc:AlternateContent>
        <mc:Choice Requires="wps">
          <w:drawing>
            <wp:anchor distT="0" distB="0" distL="114300" distR="114300" simplePos="0" relativeHeight="251672576" behindDoc="0" locked="0" layoutInCell="1" allowOverlap="1">
              <wp:simplePos x="0" y="0"/>
              <wp:positionH relativeFrom="page">
                <wp:posOffset>-3810</wp:posOffset>
              </wp:positionH>
              <wp:positionV relativeFrom="page">
                <wp:posOffset>0</wp:posOffset>
              </wp:positionV>
              <wp:extent cx="7621200" cy="212400"/>
              <wp:effectExtent l="0" t="0" r="0" b="0"/>
              <wp:wrapNone/>
              <wp:docPr id="51" name="Rectangle 5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D56018" id="Rectangle 51" o:spid="_x0000_s1026" style="position:absolute;margin-left:-.3pt;margin-top:0;width:600.1pt;height:16.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736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2" name="Rectangle 5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672CF8" id="Rectangle 52" o:spid="_x0000_s1026" style="position:absolute;margin-left:-3.7pt;margin-top:-116.05pt;width:8.85pt;height:3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Ea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nNnRGpgCAACGBQAADgAAAAAAAAAAAAAAAAAuAgAAZHJzL2Uy&#10;b0RvYy54bWxQSwECLQAUAAYACAAAACEAnwpkeOEAAAALAQAADwAAAAAAAAAAAAAAAADyBAAAZHJz&#10;L2Rvd25yZXYueG1sUEsFBgAAAAAEAAQA8wAAAAAGAAAAAA==&#10;" fillcolor="#3fb296" stroked="f" strokeweight="2pt"/>
          </w:pict>
        </mc:Fallback>
      </mc:AlternateContent>
    </w:r>
    <w:r>
      <w:rPr>
        <w:color w:val="E48C32" w:themeColor="accent5"/>
      </w:rPr>
      <w:t>ANNEXES</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rPr>
        <w:color w:val="E48C32" w:themeColor="accent5"/>
      </w:rPr>
    </w:pPr>
    <w:r>
      <w:rPr>
        <w:color w:val="E48C32" w:themeColor="accent5"/>
        <w:lang w:eastAsia="en-GB"/>
      </w:rPr>
      <mc:AlternateContent>
        <mc:Choice Requires="wps">
          <w:drawing>
            <wp:anchor distT="0" distB="0" distL="114300" distR="114300" simplePos="0" relativeHeight="251670528" behindDoc="0" locked="0" layoutInCell="1" allowOverlap="1">
              <wp:simplePos x="0" y="0"/>
              <wp:positionH relativeFrom="page">
                <wp:posOffset>-3810</wp:posOffset>
              </wp:positionH>
              <wp:positionV relativeFrom="page">
                <wp:posOffset>0</wp:posOffset>
              </wp:positionV>
              <wp:extent cx="7621200" cy="212400"/>
              <wp:effectExtent l="0" t="0" r="0" b="0"/>
              <wp:wrapNone/>
              <wp:docPr id="47" name="Rectangle 4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D68FB2" id="Rectangle 47" o:spid="_x0000_s1026" style="position:absolute;margin-left:-.3pt;margin-top:0;width:600.1pt;height:16.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715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0" name="Rectangle 5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9C7B23" id="Rectangle 50" o:spid="_x0000_s1026" style="position:absolute;margin-left:-3.7pt;margin-top:-116.05pt;width:8.85pt;height:3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HW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YgsR1pgCAACGBQAADgAAAAAAAAAAAAAAAAAuAgAAZHJzL2Uy&#10;b0RvYy54bWxQSwECLQAUAAYACAAAACEAnwpkeOEAAAALAQAADwAAAAAAAAAAAAAAAADyBAAAZHJz&#10;L2Rvd25yZXYueG1sUEsFBgAAAAAEAAQA8wAAAAAGAAAAAA==&#10;" fillcolor="#3fb296" stroked="f" strokeweight="2pt"/>
          </w:pict>
        </mc:Fallback>
      </mc:AlternateContent>
    </w:r>
    <w:r>
      <w:rPr>
        <w:color w:val="E48C32" w:themeColor="accent5"/>
      </w:rPr>
      <w:t>ANNEXES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rPr>
        <w:color w:val="E48C32" w:themeColor="accent5"/>
      </w:rPr>
    </w:pPr>
    <w:r>
      <w:rPr>
        <w:color w:val="E48C32" w:themeColor="accent5"/>
        <w:lang w:eastAsia="en-GB"/>
      </w:rPr>
      <mc:AlternateContent>
        <mc:Choice Requires="wps">
          <w:drawing>
            <wp:anchor distT="0" distB="0" distL="114300" distR="114300" simplePos="0" relativeHeight="251676672" behindDoc="0" locked="0" layoutInCell="1" allowOverlap="1">
              <wp:simplePos x="0" y="0"/>
              <wp:positionH relativeFrom="page">
                <wp:posOffset>-3810</wp:posOffset>
              </wp:positionH>
              <wp:positionV relativeFrom="page">
                <wp:posOffset>0</wp:posOffset>
              </wp:positionV>
              <wp:extent cx="7621200" cy="212400"/>
              <wp:effectExtent l="0" t="0" r="0" b="0"/>
              <wp:wrapNone/>
              <wp:docPr id="55" name="Rectangle 5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FBB48A" id="Rectangle 55" o:spid="_x0000_s1026" style="position:absolute;margin-left:-.3pt;margin-top:0;width:600.1pt;height:16.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776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6" name="Rectangle 5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00646DC" id="Rectangle 56" o:spid="_x0000_s1026" style="position:absolute;margin-left:-3.7pt;margin-top:-116.05pt;width:8.85pt;height:3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CF6IViWAgAAhgUAAA4AAAAAAAAAAAAAAAAALgIAAGRycy9lMm9E&#10;b2MueG1sUEsBAi0AFAAGAAgAAAAhAJ8KZHjhAAAACwEAAA8AAAAAAAAAAAAAAAAA8AQAAGRycy9k&#10;b3ducmV2LnhtbFBLBQYAAAAABAAEAPMAAAD+BQAAAAA=&#10;" fillcolor="#3fb296" stroked="f" strokeweight="2pt"/>
          </w:pict>
        </mc:Fallback>
      </mc:AlternateContent>
    </w:r>
    <w:r>
      <w:rPr>
        <w:color w:val="E48C32" w:themeColor="accent5"/>
      </w:rPr>
      <w:t>ANNEXES</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rPr>
        <w:color w:val="E48C32" w:themeColor="accent5"/>
      </w:rPr>
    </w:pPr>
    <w:r>
      <w:rPr>
        <w:color w:val="E48C32" w:themeColor="accent5"/>
        <w:lang w:eastAsia="en-GB"/>
      </w:rPr>
      <mc:AlternateContent>
        <mc:Choice Requires="wps">
          <w:drawing>
            <wp:anchor distT="0" distB="0" distL="114300" distR="114300" simplePos="0" relativeHeight="251674624" behindDoc="0" locked="0" layoutInCell="1" allowOverlap="1">
              <wp:simplePos x="0" y="0"/>
              <wp:positionH relativeFrom="page">
                <wp:posOffset>-3810</wp:posOffset>
              </wp:positionH>
              <wp:positionV relativeFrom="page">
                <wp:posOffset>0</wp:posOffset>
              </wp:positionV>
              <wp:extent cx="7621200" cy="212400"/>
              <wp:effectExtent l="0" t="0" r="0" b="0"/>
              <wp:wrapNone/>
              <wp:docPr id="53" name="Rectangle 5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E641B2" id="Rectangle 53" o:spid="_x0000_s1026" style="position:absolute;margin-left:-.3pt;margin-top:0;width:600.1pt;height:16.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756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4" name="Rectangle 5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DFFB085" id="Rectangle 54" o:spid="_x0000_s1026" style="position:absolute;margin-left:-3.7pt;margin-top:-116.05pt;width:8.85pt;height:3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GU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U0p&#10;0a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yHAjeP4fEa7L0artJC+4xrYxmiooppjrFLyr0dhCufdgQuHi6Wy2iG&#10;A2uYv9GPhgfwwGroy6f9M7Omb16PXX8Lw9yy+bseTrbBU8Ny60E2scFfeO35xmGPjdMvprBNXsvR&#10;6mV9Ln4D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36jhlJgCAACGBQAADgAAAAAAAAAAAAAAAAAuAgAAZHJzL2Uy&#10;b0RvYy54bWxQSwECLQAUAAYACAAAACEAnwpkeOEAAAALAQAADwAAAAAAAAAAAAAAAADyBAAAZHJz&#10;L2Rvd25yZXYueG1sUEsFBgAAAAAEAAQA8wAAAAAGAAAAAA==&#10;" fillcolor="#3fb296" stroked="f" strokeweight="2pt"/>
          </w:pict>
        </mc:Fallback>
      </mc:AlternateContent>
    </w:r>
    <w:r>
      <w:rPr>
        <w:color w:val="E48C32" w:themeColor="accent5"/>
      </w:rPr>
      <w:t>ANNEXES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rPr>
        <w:color w:val="E48C32" w:themeColor="accent5"/>
      </w:rPr>
    </w:pPr>
    <w:r>
      <w:rPr>
        <w:color w:val="E48C32" w:themeColor="accent5"/>
        <w:lang w:eastAsia="en-GB"/>
      </w:rPr>
      <mc:AlternateContent>
        <mc:Choice Requires="wps">
          <w:drawing>
            <wp:anchor distT="0" distB="0" distL="114300" distR="114300" simplePos="0" relativeHeight="251642880" behindDoc="0" locked="0" layoutInCell="1" allowOverlap="1">
              <wp:simplePos x="0" y="0"/>
              <wp:positionH relativeFrom="page">
                <wp:posOffset>-3810</wp:posOffset>
              </wp:positionH>
              <wp:positionV relativeFrom="page">
                <wp:posOffset>0</wp:posOffset>
              </wp:positionV>
              <wp:extent cx="7621200" cy="212400"/>
              <wp:effectExtent l="0" t="0" r="0" b="0"/>
              <wp:wrapNone/>
              <wp:docPr id="35" name="Rectangle 3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60CE0C" id="Rectangle 35" o:spid="_x0000_s1026" style="position:absolute;margin-left:-.3pt;margin-top:0;width:600.1pt;height:16.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459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7" name="Rectangle 3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6B40E7" id="Rectangle 37" o:spid="_x0000_s1026" style="position:absolute;margin-left:-3.7pt;margin-top:-116.05pt;width:8.85pt;height:3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rR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BTMa0ZgCAACGBQAADgAAAAAAAAAAAAAAAAAuAgAAZHJzL2Uy&#10;b0RvYy54bWxQSwECLQAUAAYACAAAACEAnwpkeOEAAAALAQAADwAAAAAAAAAAAAAAAADyBAAAZHJz&#10;L2Rvd25yZXYueG1sUEsFBgAAAAAEAAQA8wAAAAAGAAAAAA==&#10;" fillcolor="#3fb296" stroked="f" strokeweight="2pt"/>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rPr>
        <w:color w:val="E48C32" w:themeColor="accent5"/>
      </w:rPr>
    </w:pPr>
    <w:r>
      <w:rPr>
        <w:color w:val="E48C32" w:themeColor="accent5"/>
        <w:lang w:eastAsia="en-GB"/>
      </w:rPr>
      <mc:AlternateContent>
        <mc:Choice Requires="wps">
          <w:drawing>
            <wp:anchor distT="0" distB="0" distL="114300" distR="114300" simplePos="0" relativeHeight="251678720" behindDoc="0" locked="0" layoutInCell="1" allowOverlap="1">
              <wp:simplePos x="0" y="0"/>
              <wp:positionH relativeFrom="page">
                <wp:posOffset>-3810</wp:posOffset>
              </wp:positionH>
              <wp:positionV relativeFrom="page">
                <wp:posOffset>0</wp:posOffset>
              </wp:positionV>
              <wp:extent cx="7621200" cy="212400"/>
              <wp:effectExtent l="0" t="0" r="0" b="0"/>
              <wp:wrapNone/>
              <wp:docPr id="57" name="Rectangle 57"/>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C87E48" id="Rectangle 57" o:spid="_x0000_s1026" style="position:absolute;margin-left:-.3pt;margin-top:0;width:600.1pt;height:16.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WjgIAAIo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797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8" name="Rectangle 5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684EC7" id="Rectangle 58" o:spid="_x0000_s1026" style="position:absolute;margin-left:-3.7pt;margin-top:-116.05pt;width:8.85pt;height:3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BT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eGX&#10;0q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yHAjeP4fEa7L0artJC+4xrYxmiooppjrFLyr0dhCufdgQuHi6Wy2iG&#10;A2uYv9GPhgfwwGroy6f9M7Omb16PXX8Lw9yy+bseTrbBU8Ny60E2scFfeO35xmGPjdMvprBNXsvR&#10;6mV9Ln4D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GEzwU5gCAACGBQAADgAAAAAAAAAAAAAAAAAuAgAAZHJzL2Uy&#10;b0RvYy54bWxQSwECLQAUAAYACAAAACEAnwpkeOEAAAALAQAADwAAAAAAAAAAAAAAAADyBAAAZHJz&#10;L2Rvd25yZXYueG1sUEsFBgAAAAAEAAQA8wAAAAAGAAAAAA==&#10;" fillcolor="#3fb296" stroked="f" strokeweight="2pt"/>
          </w:pict>
        </mc:Fallback>
      </mc:AlternateContent>
    </w:r>
    <w:r>
      <w:rPr>
        <w:color w:val="E48C32" w:themeColor="accent5"/>
      </w:rPr>
      <w:t>ANNEXES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rPr>
        <w:color w:val="E48C32" w:themeColor="accent5"/>
      </w:rPr>
    </w:pPr>
    <w:r>
      <w:rPr>
        <w:color w:val="E48C32" w:themeColor="accent5"/>
        <w:lang w:eastAsia="en-GB"/>
      </w:rPr>
      <mc:AlternateContent>
        <mc:Choice Requires="wps">
          <w:drawing>
            <wp:anchor distT="0" distB="0" distL="114300" distR="114300" simplePos="0" relativeHeight="251682816" behindDoc="0" locked="0" layoutInCell="1" allowOverlap="1">
              <wp:simplePos x="0" y="0"/>
              <wp:positionH relativeFrom="page">
                <wp:posOffset>-3810</wp:posOffset>
              </wp:positionH>
              <wp:positionV relativeFrom="page">
                <wp:posOffset>0</wp:posOffset>
              </wp:positionV>
              <wp:extent cx="7621200" cy="212400"/>
              <wp:effectExtent l="0" t="0" r="0" b="0"/>
              <wp:wrapNone/>
              <wp:docPr id="61" name="Rectangle 6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405893" id="Rectangle 61" o:spid="_x0000_s1026" style="position:absolute;margin-left:-.3pt;margin-top:0;width:600.1pt;height:16.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838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2" name="Rectangle 6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5E8B4C7" id="Rectangle 62" o:spid="_x0000_s1026" style="position:absolute;margin-left:-3.7pt;margin-top:-116.05pt;width:8.85pt;height:3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SAmAIAAIY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kcrEgJgCAACGBQAADgAAAAAAAAAAAAAAAAAuAgAAZHJzL2Uy&#10;b0RvYy54bWxQSwECLQAUAAYACAAAACEAnwpkeOEAAAALAQAADwAAAAAAAAAAAAAAAADyBAAAZHJz&#10;L2Rvd25yZXYueG1sUEsFBgAAAAAEAAQA8wAAAAAGAAAAAA==&#10;" fillcolor="#3fb296" stroked="f" strokeweight="2pt"/>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rPr>
        <w:color w:val="E48C32" w:themeColor="accent5"/>
      </w:rPr>
    </w:pPr>
    <w:r>
      <w:rPr>
        <w:color w:val="E48C32" w:themeColor="accent5"/>
        <w:lang w:eastAsia="en-GB"/>
      </w:rPr>
      <mc:AlternateContent>
        <mc:Choice Requires="wps">
          <w:drawing>
            <wp:anchor distT="0" distB="0" distL="114300" distR="114300" simplePos="0" relativeHeight="251680768" behindDoc="0" locked="0" layoutInCell="1" allowOverlap="1">
              <wp:simplePos x="0" y="0"/>
              <wp:positionH relativeFrom="page">
                <wp:posOffset>-3810</wp:posOffset>
              </wp:positionH>
              <wp:positionV relativeFrom="page">
                <wp:posOffset>0</wp:posOffset>
              </wp:positionV>
              <wp:extent cx="7621200" cy="212400"/>
              <wp:effectExtent l="0" t="0" r="0" b="0"/>
              <wp:wrapNone/>
              <wp:docPr id="59" name="Rectangle 5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C3345D" id="Rectangle 59" o:spid="_x0000_s1026" style="position:absolute;margin-left:-.3pt;margin-top:0;width:600.1pt;height:16.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817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0" name="Rectangle 6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1C6782" id="Rectangle 60" o:spid="_x0000_s1026" style="position:absolute;margin-left:-3.7pt;margin-top:-116.05pt;width:8.85pt;height:3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RM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bxgETJgCAACGBQAADgAAAAAAAAAAAAAAAAAuAgAAZHJzL2Uy&#10;b0RvYy54bWxQSwECLQAUAAYACAAAACEAnwpkeOEAAAALAQAADwAAAAAAAAAAAAAAAADyBAAAZHJz&#10;L2Rvd25yZXYueG1sUEsFBgAAAAAEAAQA8wAAAAAGAAAAAA==&#10;" fillcolor="#3fb296" stroked="f" strokeweight="2pt"/>
          </w:pict>
        </mc:Fallback>
      </mc:AlternateContent>
    </w:r>
    <w:r>
      <w:rPr>
        <w:color w:val="E48C32" w:themeColor="accent5"/>
      </w:rPr>
      <w:t>ANNEXES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rPr>
        <w:color w:val="E48C32" w:themeColor="accent5"/>
      </w:rPr>
    </w:pPr>
    <w:r>
      <w:rPr>
        <w:color w:val="E48C32" w:themeColor="accent5"/>
        <w:lang w:eastAsia="en-GB"/>
      </w:rPr>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621200" cy="212400"/>
              <wp:effectExtent l="0" t="0" r="0" b="0"/>
              <wp:wrapNone/>
              <wp:docPr id="42" name="Rectangle 4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0FD7B6A" id="Rectangle 42" o:spid="_x0000_s1026" style="position:absolute;margin-left:0;margin-top:0;width:600.1pt;height:1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vdjgIAAIo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572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3" name="Rectangle 4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3FD54C" id="Rectangle 43" o:spid="_x0000_s1026" style="position:absolute;margin-left:-3.7pt;margin-top:-116.05pt;width:8.85pt;height:3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28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J7xtvJgCAACGBQAADgAAAAAAAAAAAAAAAAAuAgAAZHJzL2Uy&#10;b0RvYy54bWxQSwECLQAUAAYACAAAACEAnwpkeOEAAAALAQAADwAAAAAAAAAAAAAAAADyBAAAZHJz&#10;L2Rvd25yZXYueG1sUEsFBgAAAAAEAAQA8wAAAAAGAAAAAA==&#10;" fillcolor="#3fb296" stroked="f" strokeweight="2pt"/>
          </w:pict>
        </mc:Fallback>
      </mc:AlternateContent>
    </w:r>
    <w:r>
      <w:rPr>
        <w:color w:val="E48C32" w:themeColor="accent5"/>
      </w:rPr>
      <w:t>ANNEXES</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rPr>
        <w:color w:val="E48C32" w:themeColor="accent5"/>
      </w:rPr>
    </w:pPr>
    <w:r>
      <w:rPr>
        <w:color w:val="E48C32" w:themeColor="accent5"/>
        <w:lang w:eastAsia="en-GB"/>
      </w:rPr>
      <mc:AlternateContent>
        <mc:Choice Requires="wps">
          <w:drawing>
            <wp:anchor distT="0" distB="0" distL="114300" distR="114300" simplePos="0" relativeHeight="251655168" behindDoc="0" locked="0" layoutInCell="1" allowOverlap="1">
              <wp:simplePos x="0" y="0"/>
              <wp:positionH relativeFrom="page">
                <wp:posOffset>0</wp:posOffset>
              </wp:positionH>
              <wp:positionV relativeFrom="page">
                <wp:posOffset>0</wp:posOffset>
              </wp:positionV>
              <wp:extent cx="7621200" cy="212400"/>
              <wp:effectExtent l="0" t="0" r="0" b="0"/>
              <wp:wrapNone/>
              <wp:docPr id="1" name="Rectangle 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E01566" id="Rectangle 1" o:spid="_x0000_s1026" style="position:absolute;margin-left:0;margin-top:0;width:600.1pt;height:16.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531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 name="Rectangle 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036EC6" id="Rectangle 4" o:spid="_x0000_s1026" style="position:absolute;margin-left:-3.7pt;margin-top:-116.05pt;width:8.85pt;height:3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UJlwIAAIQ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BkNpUJlwIAAIQFAAAOAAAAAAAAAAAAAAAAAC4CAABkcnMvZTJv&#10;RG9jLnhtbFBLAQItABQABgAIAAAAIQCfCmR44QAAAAsBAAAPAAAAAAAAAAAAAAAAAPEEAABkcnMv&#10;ZG93bnJldi54bWxQSwUGAAAAAAQABADzAAAA/wUAAAAA&#10;" fillcolor="#3fb296" stroked="f" strokeweight="2pt"/>
          </w:pict>
        </mc:Fallback>
      </mc:AlternateContent>
    </w:r>
    <w:r>
      <w:rPr>
        <w:color w:val="E48C32" w:themeColor="accent5"/>
      </w:rPr>
      <w:t>ANNEXES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rPr>
        <w:color w:val="E48C32" w:themeColor="accent5"/>
      </w:rPr>
    </w:pPr>
    <w:r>
      <w:rPr>
        <w:color w:val="E48C32" w:themeColor="accent5"/>
        <w:lang w:eastAsia="en-GB"/>
      </w:rPr>
      <mc:AlternateContent>
        <mc:Choice Requires="wps">
          <w:drawing>
            <wp:anchor distT="0" distB="0" distL="114300" distR="114300" simplePos="0" relativeHeight="251648000" behindDoc="0" locked="0" layoutInCell="1" allowOverlap="1">
              <wp:simplePos x="0" y="0"/>
              <wp:positionH relativeFrom="page">
                <wp:posOffset>0</wp:posOffset>
              </wp:positionH>
              <wp:positionV relativeFrom="page">
                <wp:posOffset>0</wp:posOffset>
              </wp:positionV>
              <wp:extent cx="7621200" cy="212400"/>
              <wp:effectExtent l="0" t="0" r="0" b="0"/>
              <wp:wrapNone/>
              <wp:docPr id="44" name="Rectangle 4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F42949" id="Rectangle 44" o:spid="_x0000_s1026" style="position:absolute;margin-left:0;margin-top:0;width:600.1pt;height:16.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UjgIAAIo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449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5" name="Rectangle 4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9BE80B" id="Rectangle 45" o:spid="_x0000_s1026" style="position:absolute;margin-left:-3.7pt;margin-top:-116.05pt;width:8.85pt;height:3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GTNXTKZAgAAhgUAAA4AAAAAAAAAAAAAAAAALgIAAGRycy9l&#10;Mm9Eb2MueG1sUEsBAi0AFAAGAAgAAAAhAJ8KZHjhAAAACwEAAA8AAAAAAAAAAAAAAAAA8wQAAGRy&#10;cy9kb3ducmV2LnhtbFBLBQYAAAAABAAEAPMAAAABBgAAAAA=&#10;" fillcolor="#3fb296" stroked="f" strokeweight="2pt"/>
          </w:pict>
        </mc:Fallback>
      </mc:AlternateContent>
    </w:r>
    <w:r>
      <w:rPr>
        <w:color w:val="E48C32" w:themeColor="accent5"/>
      </w:rPr>
      <w:t>ANNEXES</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rPr>
        <w:color w:val="E48C32" w:themeColor="accent5"/>
      </w:rPr>
    </w:pPr>
    <w:r>
      <w:rPr>
        <w:color w:val="E48C32" w:themeColor="accent5"/>
        <w:lang w:eastAsia="en-GB"/>
      </w:rPr>
      <mc:AlternateContent>
        <mc:Choice Requires="wps">
          <w:drawing>
            <wp:anchor distT="0" distB="0" distL="114300" distR="114300" simplePos="0" relativeHeight="251649024" behindDoc="0" locked="0" layoutInCell="1" allowOverlap="1">
              <wp:simplePos x="0" y="0"/>
              <wp:positionH relativeFrom="page">
                <wp:posOffset>0</wp:posOffset>
              </wp:positionH>
              <wp:positionV relativeFrom="page">
                <wp:posOffset>0</wp:posOffset>
              </wp:positionV>
              <wp:extent cx="7621200" cy="212400"/>
              <wp:effectExtent l="0" t="0" r="0" b="0"/>
              <wp:wrapNone/>
              <wp:docPr id="13" name="Rectangle 1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8E0906" id="Rectangle 13" o:spid="_x0000_s1026" style="position:absolute;margin-left:0;margin-top:0;width:600.1pt;height:16.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ujgIAAIo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469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6" name="Rectangle 1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A45BA7" id="Rectangle 16" o:spid="_x0000_s1026" style="position:absolute;margin-left:-3.7pt;margin-top:-116.05pt;width:8.85pt;height:3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LNFs+2WAgAAhgUAAA4AAAAAAAAAAAAAAAAALgIAAGRycy9lMm9E&#10;b2MueG1sUEsBAi0AFAAGAAgAAAAhAJ8KZHjhAAAACwEAAA8AAAAAAAAAAAAAAAAA8AQAAGRycy9k&#10;b3ducmV2LnhtbFBLBQYAAAAABAAEAPMAAAD+BQAAAAA=&#10;" fillcolor="#3fb296" stroked="f" strokeweight="2pt"/>
          </w:pict>
        </mc:Fallback>
      </mc:AlternateContent>
    </w:r>
    <w:r>
      <w:rPr>
        <w:color w:val="E48C32" w:themeColor="accent5"/>
      </w:rPr>
      <w:t>ANNEXES</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rPr>
        <w:color w:val="E48C32" w:themeColor="accent5"/>
      </w:rPr>
    </w:pPr>
    <w:r>
      <w:rPr>
        <w:color w:val="E48C32" w:themeColor="accent5"/>
        <w:lang w:eastAsia="en-GB"/>
      </w:rPr>
      <mc:AlternateContent>
        <mc:Choice Requires="wps">
          <w:drawing>
            <wp:anchor distT="0" distB="0" distL="114300" distR="114300" simplePos="0" relativeHeight="251685888" behindDoc="0" locked="0" layoutInCell="1" allowOverlap="1">
              <wp:simplePos x="0" y="0"/>
              <wp:positionH relativeFrom="page">
                <wp:posOffset>0</wp:posOffset>
              </wp:positionH>
              <wp:positionV relativeFrom="page">
                <wp:posOffset>0</wp:posOffset>
              </wp:positionV>
              <wp:extent cx="7621200" cy="212400"/>
              <wp:effectExtent l="0" t="0" r="0" b="0"/>
              <wp:wrapNone/>
              <wp:docPr id="63" name="Rectangle 6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E61E2D" id="Rectangle 63" o:spid="_x0000_s1026" style="position:absolute;margin-left:0;margin-top:0;width:600.1pt;height:16.7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TljgIAAIo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848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6" name="Rectangle 9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28C0E3" id="Rectangle 96" o:spid="_x0000_s1026" style="position:absolute;margin-left:-3.7pt;margin-top:-116.05pt;width:8.85pt;height:3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" fillcolor="#3fb296" stroked="f" strokeweight="2pt"/>
          </w:pict>
        </mc:Fallback>
      </mc:AlternateContent>
    </w:r>
    <w:r>
      <w:rPr>
        <w:color w:val="E48C32" w:themeColor="accent5"/>
      </w:rPr>
      <w:t>ANNEXES</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rPr>
        <w:color w:val="E48C32" w:themeColor="accent5"/>
      </w:rPr>
    </w:pPr>
    <w:r>
      <w:rPr>
        <w:color w:val="E48C32" w:themeColor="accent5"/>
        <w:lang w:eastAsia="en-GB"/>
      </w:rPr>
      <mc:AlternateContent>
        <mc:Choice Requires="wps">
          <w:drawing>
            <wp:anchor distT="0" distB="0" distL="114300" distR="114300" simplePos="0" relativeHeight="251635712" behindDoc="0" locked="0" layoutInCell="1" allowOverlap="1">
              <wp:simplePos x="0" y="0"/>
              <wp:positionH relativeFrom="page">
                <wp:posOffset>0</wp:posOffset>
              </wp:positionH>
              <wp:positionV relativeFrom="page">
                <wp:posOffset>0</wp:posOffset>
              </wp:positionV>
              <wp:extent cx="7621200" cy="212400"/>
              <wp:effectExtent l="0" t="0" r="0" b="0"/>
              <wp:wrapNone/>
              <wp:docPr id="106" name="Rectangle 10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7BB452" id="Rectangle 106" o:spid="_x0000_s1026" style="position:absolute;margin-left:0;margin-top:0;width:600.1pt;height:16.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336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07" name="Rectangle 10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B999E4" id="Rectangle 107" o:spid="_x0000_s1026" style="position:absolute;margin-left:-3.7pt;margin-top:-116.05pt;width:8.85pt;height:37.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c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Kf7jdyZAgAAiAUAAA4AAAAAAAAAAAAAAAAALgIAAGRycy9l&#10;Mm9Eb2MueG1sUEsBAi0AFAAGAAgAAAAhAJ8KZHjhAAAACwEAAA8AAAAAAAAAAAAAAAAA8wQAAGRy&#10;cy9kb3ducmV2LnhtbFBLBQYAAAAABAAEAPMAAAABBgAAAAA=&#10;" fillcolor="#3fb296" stroked="f" strokeweight="2pt"/>
          </w:pict>
        </mc:Fallback>
      </mc:AlternateContent>
    </w:r>
    <w:r>
      <w:rPr>
        <w:color w:val="E48C32" w:themeColor="accent5"/>
      </w:rPr>
      <w:t>ANNEXES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rPr>
        <w:color w:val="E48C32" w:themeColor="accent5"/>
      </w:rPr>
    </w:pPr>
    <w:r>
      <w:rPr>
        <w:color w:val="E48C32" w:themeColor="accent5"/>
        <w:lang w:eastAsia="en-GB"/>
      </w:rPr>
      <mc:AlternateContent>
        <mc:Choice Requires="wps">
          <w:drawing>
            <wp:anchor distT="0" distB="0" distL="114300" distR="114300" simplePos="0" relativeHeight="251654144" behindDoc="0" locked="0" layoutInCell="1" allowOverlap="1">
              <wp:simplePos x="0" y="0"/>
              <wp:positionH relativeFrom="page">
                <wp:posOffset>0</wp:posOffset>
              </wp:positionH>
              <wp:positionV relativeFrom="page">
                <wp:posOffset>0</wp:posOffset>
              </wp:positionV>
              <wp:extent cx="7621200" cy="212400"/>
              <wp:effectExtent l="0" t="0" r="0" b="0"/>
              <wp:wrapNone/>
              <wp:docPr id="48" name="Rectangle 4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C5C8D6" id="Rectangle 48" o:spid="_x0000_s1026" style="position:absolute;margin-left:0;margin-top:0;width:600.1pt;height:16.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fHjgIAAIo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510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9" name="Rectangle 4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116E96" id="Rectangle 49" o:spid="_x0000_s1026" style="position:absolute;margin-left:-3.7pt;margin-top:-116.05pt;width:8.85pt;height:3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z1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oylM9ZgCAACGBQAADgAAAAAAAAAAAAAAAAAuAgAAZHJzL2Uy&#10;b0RvYy54bWxQSwECLQAUAAYACAAAACEAnwpkeOEAAAALAQAADwAAAAAAAAAAAAAAAADyBAAAZHJz&#10;L2Rvd25yZXYueG1sUEsFBgAAAAAEAAQA8wAAAAAGAAAAAA==&#10;" fillcolor="#3fb296" stroked="f" strokeweight="2pt"/>
          </w:pict>
        </mc:Fallback>
      </mc:AlternateContent>
    </w:r>
    <w:r>
      <w:rPr>
        <w:color w:val="E48C32" w:themeColor="accent5"/>
      </w:rPr>
      <w:t>ANNEXES</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rPr>
        <w:color w:val="E48C32" w:themeColor="accent5"/>
      </w:rPr>
    </w:pPr>
    <w:r>
      <w:rPr>
        <w:color w:val="E48C32" w:themeColor="accent5"/>
        <w:lang w:eastAsia="en-GB"/>
      </w:rPr>
      <mc:AlternateContent>
        <mc:Choice Requires="wps">
          <w:drawing>
            <wp:anchor distT="0" distB="0" distL="114300" distR="114300" simplePos="0" relativeHeight="251643904" behindDoc="0" locked="0" layoutInCell="1" allowOverlap="1">
              <wp:simplePos x="0" y="0"/>
              <wp:positionH relativeFrom="page">
                <wp:posOffset>0</wp:posOffset>
              </wp:positionH>
              <wp:positionV relativeFrom="page">
                <wp:posOffset>0</wp:posOffset>
              </wp:positionV>
              <wp:extent cx="7621200" cy="212400"/>
              <wp:effectExtent l="0" t="0" r="0" b="0"/>
              <wp:wrapNone/>
              <wp:docPr id="28" name="Rectangle 2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B8BBF5" id="Rectangle 28" o:spid="_x0000_s1026" style="position:absolute;margin-left:0;margin-top:0;width:600.1pt;height:16.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KjgIAAIo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" fillcolor="#e48c32 [3208]" stroked="f" strokeweight="2pt">
              <w10:wrap anchorx="page" anchory="page"/>
            </v:rect>
          </w:pict>
        </mc:Fallback>
      </mc:AlternateContent>
    </w:r>
    <w:r>
      <w:rPr>
        <w:color w:val="E48C32" w:themeColor="accent5"/>
        <w:lang w:eastAsia="en-GB"/>
      </w:rPr>
      <mc:AlternateContent>
        <mc:Choice Requires="wps">
          <w:drawing>
            <wp:anchor distT="0" distB="0" distL="114300" distR="114300" simplePos="0" relativeHeight="2516398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9" name="Rectangle 2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6BF020" id="Rectangle 29" o:spid="_x0000_s1026" style="position:absolute;margin-left:-3.7pt;margin-top:-116.05pt;width:8.85pt;height:37.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AkXGpgCAACGBQAADgAAAAAAAAAAAAAAAAAuAgAAZHJzL2Uy&#10;b0RvYy54bWxQSwECLQAUAAYACAAAACEAnwpkeOEAAAALAQAADwAAAAAAAAAAAAAAAADyBAAAZHJz&#10;L2Rvd25yZXYueG1sUEsFBgAAAAAEAAQA8wAAAAAGAAAAAA==&#10;" fillcolor="#3fb296" stroked="f" strokeweight="2pt"/>
          </w:pict>
        </mc:Fallback>
      </mc:AlternateContent>
    </w:r>
    <w:r>
      <w:rPr>
        <w:color w:val="E48C32" w:themeColor="accent5"/>
      </w:rPr>
      <w:t>ANNEXES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F3AA030"/>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BC86FAC6"/>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581652A"/>
    <w:multiLevelType w:val="multilevel"/>
    <w:tmpl w:val="0809001F"/>
    <w:styleLink w:val="Style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0CAD0DC7"/>
    <w:multiLevelType w:val="hybridMultilevel"/>
    <w:tmpl w:val="9ED49A1A"/>
    <w:styleLink w:val="Style1"/>
    <w:lvl w:ilvl="0" w:tplc="824ABCD2">
      <w:start w:val="1"/>
      <w:numFmt w:val="decimal"/>
      <w:pStyle w:val="AARHintboxtitle"/>
      <w:lvlText w:val="%1."/>
      <w:lvlJc w:val="left"/>
      <w:pPr>
        <w:ind w:left="720" w:hanging="360"/>
      </w:pPr>
    </w:lvl>
    <w:lvl w:ilvl="1" w:tplc="80027478">
      <w:numFmt w:val="bullet"/>
      <w:lvlText w:val="-"/>
      <w:lvlJc w:val="left"/>
      <w:pPr>
        <w:ind w:left="1440" w:hanging="360"/>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2A2BEC"/>
    <w:multiLevelType w:val="hybridMultilevel"/>
    <w:tmpl w:val="A13601F8"/>
    <w:lvl w:ilvl="0" w:tplc="F228B2E2">
      <w:start w:val="1"/>
      <w:numFmt w:val="bullet"/>
      <w:pStyle w:val="Box2BulletsBlueReport"/>
      <w:lvlText w:val=""/>
      <w:lvlJc w:val="left"/>
      <w:pPr>
        <w:ind w:left="720" w:hanging="360"/>
      </w:pPr>
      <w:rPr>
        <w:rFonts w:ascii="Symbol" w:hAnsi="Symbol" w:hint="default"/>
        <w:color w:val="08AA74"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510309"/>
    <w:multiLevelType w:val="hybridMultilevel"/>
    <w:tmpl w:val="A718B89A"/>
    <w:lvl w:ilvl="0" w:tplc="9F62DE8E">
      <w:start w:val="1"/>
      <w:numFmt w:val="bullet"/>
      <w:pStyle w:val="bulletsblue"/>
      <w:lvlText w:val=""/>
      <w:lvlJc w:val="left"/>
      <w:pPr>
        <w:ind w:left="720" w:hanging="360"/>
      </w:pPr>
      <w:rPr>
        <w:rFonts w:ascii="Symbol" w:hAnsi="Symbol" w:hint="default"/>
        <w:color w:val="E48C32"/>
      </w:rPr>
    </w:lvl>
    <w:lvl w:ilvl="1" w:tplc="86609C52">
      <w:start w:val="1"/>
      <w:numFmt w:val="bullet"/>
      <w:lvlText w:val="○"/>
      <w:lvlJc w:val="left"/>
      <w:pPr>
        <w:ind w:left="1440" w:hanging="360"/>
      </w:pPr>
      <w:rPr>
        <w:rFonts w:ascii="Courier New" w:hAnsi="Courier New" w:hint="default"/>
        <w:color w:val="E48C32"/>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9157755"/>
    <w:multiLevelType w:val="hybridMultilevel"/>
    <w:tmpl w:val="73D08B34"/>
    <w:lvl w:ilvl="0" w:tplc="6FEC0D58">
      <w:start w:val="1"/>
      <w:numFmt w:val="bullet"/>
      <w:lvlText w:val=""/>
      <w:lvlJc w:val="left"/>
      <w:pPr>
        <w:ind w:left="720" w:hanging="360"/>
      </w:pPr>
      <w:rPr>
        <w:rFonts w:ascii="Symbol" w:hAnsi="Symbol" w:hint="default"/>
        <w:color w:val="E48C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8">
    <w:nsid w:val="1F5E1D64"/>
    <w:multiLevelType w:val="multilevel"/>
    <w:tmpl w:val="F7E6CECC"/>
    <w:lvl w:ilvl="0">
      <w:start w:val="1"/>
      <w:numFmt w:val="decimal"/>
      <w:lvlText w:val="%1."/>
      <w:lvlJc w:val="left"/>
      <w:pPr>
        <w:tabs>
          <w:tab w:val="num" w:pos="360"/>
        </w:tabs>
        <w:ind w:left="0" w:firstLine="0"/>
      </w:pPr>
      <w:rPr>
        <w:rFonts w:hint="default"/>
      </w:rPr>
    </w:lvl>
    <w:lvl w:ilvl="1">
      <w:start w:val="9"/>
      <w:numFmt w:val="decimal"/>
      <w:pStyle w:val="Para2"/>
      <w:lvlText w:val="%1.%2."/>
      <w:lvlJc w:val="left"/>
      <w:pPr>
        <w:tabs>
          <w:tab w:val="num" w:pos="720"/>
        </w:tabs>
        <w:ind w:left="0" w:firstLine="0"/>
      </w:pPr>
      <w:rPr>
        <w:rFonts w:hint="default"/>
      </w:rPr>
    </w:lvl>
    <w:lvl w:ilvl="2">
      <w:start w:val="1"/>
      <w:numFmt w:val="decimal"/>
      <w:pStyle w:val="Para3"/>
      <w:lvlText w:val="%1.%2.%3."/>
      <w:lvlJc w:val="left"/>
      <w:pPr>
        <w:tabs>
          <w:tab w:val="num" w:pos="720"/>
        </w:tabs>
        <w:ind w:left="0" w:firstLine="0"/>
      </w:pPr>
      <w:rPr>
        <w:rFonts w:hint="default"/>
      </w:rPr>
    </w:lvl>
    <w:lvl w:ilvl="3">
      <w:start w:val="1"/>
      <w:numFmt w:val="lowerLetter"/>
      <w:pStyle w:val="Para4"/>
      <w:lvlText w:val="(%4)"/>
      <w:lvlJc w:val="left"/>
      <w:pPr>
        <w:tabs>
          <w:tab w:val="num" w:pos="454"/>
        </w:tabs>
        <w:ind w:left="454" w:hanging="454"/>
      </w:pPr>
      <w:rPr>
        <w:rFonts w:hint="default"/>
      </w:rPr>
    </w:lvl>
    <w:lvl w:ilvl="4">
      <w:start w:val="1"/>
      <w:numFmt w:val="lowerRoman"/>
      <w:pStyle w:val="Para5"/>
      <w:lvlText w:val="(%5)"/>
      <w:lvlJc w:val="left"/>
      <w:pPr>
        <w:tabs>
          <w:tab w:val="num" w:pos="1174"/>
        </w:tabs>
        <w:ind w:left="851" w:hanging="39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12">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3">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4">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59A0316"/>
    <w:multiLevelType w:val="hybridMultilevel"/>
    <w:tmpl w:val="BD5CE308"/>
    <w:lvl w:ilvl="0" w:tplc="FFFFFFFF">
      <w:start w:val="1"/>
      <w:numFmt w:val="bullet"/>
      <w:pStyle w:val="ADPPuce1"/>
      <w:lvlText w:val=""/>
      <w:lvlJc w:val="left"/>
      <w:pPr>
        <w:tabs>
          <w:tab w:val="num" w:pos="1080"/>
        </w:tabs>
        <w:ind w:left="1060" w:hanging="340"/>
      </w:pPr>
      <w:rPr>
        <w:rFonts w:ascii="Symbol" w:hAnsi="Symbol" w:hint="default"/>
        <w:color w:val="000080"/>
      </w:rPr>
    </w:lvl>
    <w:lvl w:ilvl="1" w:tplc="FFFFFFFF">
      <w:numFmt w:val="bullet"/>
      <w:lvlText w:val="-"/>
      <w:lvlJc w:val="left"/>
      <w:pPr>
        <w:tabs>
          <w:tab w:val="num" w:pos="1083"/>
        </w:tabs>
        <w:ind w:left="1083" w:hanging="360"/>
      </w:pPr>
      <w:rPr>
        <w:rFonts w:ascii="Times New Roman" w:eastAsia="Times New Roman" w:hAnsi="Times New Roman" w:cs="Times New Roman" w:hint="default"/>
      </w:rPr>
    </w:lvl>
    <w:lvl w:ilvl="2" w:tplc="FFFFFFFF" w:tentative="1">
      <w:start w:val="1"/>
      <w:numFmt w:val="bullet"/>
      <w:lvlText w:val=""/>
      <w:lvlJc w:val="left"/>
      <w:pPr>
        <w:tabs>
          <w:tab w:val="num" w:pos="1803"/>
        </w:tabs>
        <w:ind w:left="1803" w:hanging="360"/>
      </w:pPr>
      <w:rPr>
        <w:rFonts w:ascii="Wingdings" w:hAnsi="Wingdings" w:hint="default"/>
      </w:rPr>
    </w:lvl>
    <w:lvl w:ilvl="3" w:tplc="FFFFFFFF" w:tentative="1">
      <w:start w:val="1"/>
      <w:numFmt w:val="bullet"/>
      <w:lvlText w:val=""/>
      <w:lvlJc w:val="left"/>
      <w:pPr>
        <w:tabs>
          <w:tab w:val="num" w:pos="2523"/>
        </w:tabs>
        <w:ind w:left="2523" w:hanging="360"/>
      </w:pPr>
      <w:rPr>
        <w:rFonts w:ascii="Symbol" w:hAnsi="Symbol" w:hint="default"/>
      </w:rPr>
    </w:lvl>
    <w:lvl w:ilvl="4" w:tplc="FFFFFFFF" w:tentative="1">
      <w:start w:val="1"/>
      <w:numFmt w:val="bullet"/>
      <w:lvlText w:val="o"/>
      <w:lvlJc w:val="left"/>
      <w:pPr>
        <w:tabs>
          <w:tab w:val="num" w:pos="3243"/>
        </w:tabs>
        <w:ind w:left="3243" w:hanging="360"/>
      </w:pPr>
      <w:rPr>
        <w:rFonts w:ascii="Courier New" w:hAnsi="Courier New" w:hint="default"/>
      </w:rPr>
    </w:lvl>
    <w:lvl w:ilvl="5" w:tplc="FFFFFFFF" w:tentative="1">
      <w:start w:val="1"/>
      <w:numFmt w:val="bullet"/>
      <w:lvlText w:val=""/>
      <w:lvlJc w:val="left"/>
      <w:pPr>
        <w:tabs>
          <w:tab w:val="num" w:pos="3963"/>
        </w:tabs>
        <w:ind w:left="3963" w:hanging="360"/>
      </w:pPr>
      <w:rPr>
        <w:rFonts w:ascii="Wingdings" w:hAnsi="Wingdings" w:hint="default"/>
      </w:rPr>
    </w:lvl>
    <w:lvl w:ilvl="6" w:tplc="FFFFFFFF" w:tentative="1">
      <w:start w:val="1"/>
      <w:numFmt w:val="bullet"/>
      <w:lvlText w:val=""/>
      <w:lvlJc w:val="left"/>
      <w:pPr>
        <w:tabs>
          <w:tab w:val="num" w:pos="4683"/>
        </w:tabs>
        <w:ind w:left="4683" w:hanging="360"/>
      </w:pPr>
      <w:rPr>
        <w:rFonts w:ascii="Symbol" w:hAnsi="Symbol" w:hint="default"/>
      </w:rPr>
    </w:lvl>
    <w:lvl w:ilvl="7" w:tplc="FFFFFFFF" w:tentative="1">
      <w:start w:val="1"/>
      <w:numFmt w:val="bullet"/>
      <w:lvlText w:val="o"/>
      <w:lvlJc w:val="left"/>
      <w:pPr>
        <w:tabs>
          <w:tab w:val="num" w:pos="5403"/>
        </w:tabs>
        <w:ind w:left="5403" w:hanging="360"/>
      </w:pPr>
      <w:rPr>
        <w:rFonts w:ascii="Courier New" w:hAnsi="Courier New" w:hint="default"/>
      </w:rPr>
    </w:lvl>
    <w:lvl w:ilvl="8" w:tplc="FFFFFFFF" w:tentative="1">
      <w:start w:val="1"/>
      <w:numFmt w:val="bullet"/>
      <w:lvlText w:val=""/>
      <w:lvlJc w:val="left"/>
      <w:pPr>
        <w:tabs>
          <w:tab w:val="num" w:pos="6123"/>
        </w:tabs>
        <w:ind w:left="6123" w:hanging="360"/>
      </w:pPr>
      <w:rPr>
        <w:rFonts w:ascii="Wingdings" w:hAnsi="Wingdings" w:hint="default"/>
      </w:rPr>
    </w:lvl>
  </w:abstractNum>
  <w:abstractNum w:abstractNumId="16">
    <w:nsid w:val="3DB92A87"/>
    <w:multiLevelType w:val="multilevel"/>
    <w:tmpl w:val="D2D8303A"/>
    <w:styleLink w:val="Bullets"/>
    <w:lvl w:ilvl="0">
      <w:start w:val="1"/>
      <w:numFmt w:val="bullet"/>
      <w:lvlText w:val=""/>
      <w:lvlJc w:val="left"/>
      <w:pPr>
        <w:tabs>
          <w:tab w:val="num" w:pos="680"/>
        </w:tabs>
        <w:ind w:left="680" w:hanging="340"/>
      </w:pPr>
      <w:rPr>
        <w:rFonts w:ascii="Wingdings" w:hAnsi="Wingdings" w:hint="default"/>
        <w:color w:val="002395"/>
        <w:sz w:val="24"/>
      </w:rPr>
    </w:lvl>
    <w:lvl w:ilvl="1">
      <w:start w:val="1"/>
      <w:numFmt w:val="bullet"/>
      <w:lvlText w:val="-"/>
      <w:lvlJc w:val="left"/>
      <w:pPr>
        <w:tabs>
          <w:tab w:val="num" w:pos="1021"/>
        </w:tabs>
        <w:ind w:left="1021" w:hanging="341"/>
      </w:pPr>
      <w:rPr>
        <w:rFonts w:ascii="Arial" w:hAnsi="Arial" w:hint="default"/>
        <w:color w:val="auto"/>
        <w:sz w:val="24"/>
      </w:rPr>
    </w:lvl>
    <w:lvl w:ilvl="2">
      <w:start w:val="1"/>
      <w:numFmt w:val="bullet"/>
      <w:lvlText w:val="◦"/>
      <w:lvlJc w:val="left"/>
      <w:pPr>
        <w:tabs>
          <w:tab w:val="num" w:pos="1361"/>
        </w:tabs>
        <w:ind w:left="1361" w:hanging="340"/>
      </w:pPr>
      <w:rPr>
        <w:rFonts w:ascii="Arial" w:hAnsi="Arial" w:hint="default"/>
        <w:color w:val="1F497D"/>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17">
    <w:nsid w:val="401947C8"/>
    <w:multiLevelType w:val="hybridMultilevel"/>
    <w:tmpl w:val="BF54B00A"/>
    <w:lvl w:ilvl="0" w:tplc="AE3CC164">
      <w:start w:val="1"/>
      <w:numFmt w:val="decimal"/>
      <w:pStyle w:val="footnote"/>
      <w:lvlText w:val="%1."/>
      <w:lvlJc w:val="left"/>
      <w:pPr>
        <w:ind w:left="720" w:hanging="360"/>
      </w:pPr>
      <w:rPr>
        <w:rFonts w:ascii="EC Square Sans Pro" w:hAnsi="EC Square Sans Pro" w:hint="default"/>
        <w:b/>
        <w:i w:val="0"/>
        <w:color w:val="auto"/>
        <w:sz w:val="16"/>
        <w:vertAlign w:val="superscrip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21">
    <w:nsid w:val="45E76756"/>
    <w:multiLevelType w:val="multilevel"/>
    <w:tmpl w:val="F8C65FCC"/>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3">
    <w:nsid w:val="463D4341"/>
    <w:multiLevelType w:val="hybridMultilevel"/>
    <w:tmpl w:val="D67499BA"/>
    <w:lvl w:ilvl="0" w:tplc="2B68B41A">
      <w:start w:val="1"/>
      <w:numFmt w:val="lowerLetter"/>
      <w:pStyle w:val="BulletsletteringAnnexes"/>
      <w:lvlText w:val="(%1)"/>
      <w:lvlJc w:val="left"/>
      <w:pPr>
        <w:ind w:left="1575" w:hanging="405"/>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4">
    <w:nsid w:val="50E10522"/>
    <w:multiLevelType w:val="hybridMultilevel"/>
    <w:tmpl w:val="1C1A629E"/>
    <w:lvl w:ilvl="0" w:tplc="FAAE958C">
      <w:start w:val="1"/>
      <w:numFmt w:val="decimal"/>
      <w:pStyle w:val="TOCHeading1"/>
      <w:lvlText w:val="SECTION %1 - "/>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53896B11"/>
    <w:multiLevelType w:val="hybridMultilevel"/>
    <w:tmpl w:val="93B2A0DC"/>
    <w:lvl w:ilvl="0" w:tplc="ADAC3530">
      <w:start w:val="1"/>
      <w:numFmt w:val="decimal"/>
      <w:pStyle w:val="Title3Annexes"/>
      <w:lvlText w:val="%1."/>
      <w:lvlJc w:val="left"/>
      <w:pPr>
        <w:ind w:left="1004" w:hanging="360"/>
      </w:pPr>
      <w:rPr>
        <w:rFonts w:ascii="EC Square Sans Pro" w:hAnsi="EC Square Sans Pro" w:hint="default"/>
        <w:b/>
        <w:bCs w:val="0"/>
        <w:i w:val="0"/>
        <w:iCs w:val="0"/>
        <w:caps w:val="0"/>
        <w:smallCaps w:val="0"/>
        <w:strike w:val="0"/>
        <w:dstrike w:val="0"/>
        <w:outline w:val="0"/>
        <w:shadow w:val="0"/>
        <w:emboss w:val="0"/>
        <w:imprint w:val="0"/>
        <w:noProof w:val="0"/>
        <w:vanish w:val="0"/>
        <w:color w:val="E48C32" w:themeColor="accent5"/>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148A372">
      <w:start w:val="1"/>
      <w:numFmt w:val="lowerLetter"/>
      <w:pStyle w:val="Title4annexes"/>
      <w:lvlText w:val="%2."/>
      <w:lvlJc w:val="left"/>
      <w:pPr>
        <w:ind w:left="172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2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7">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28">
    <w:nsid w:val="5AB77644"/>
    <w:multiLevelType w:val="multilevel"/>
    <w:tmpl w:val="A4106118"/>
    <w:lvl w:ilvl="0">
      <w:start w:val="1"/>
      <w:numFmt w:val="bullet"/>
      <w:lvlText w:val=""/>
      <w:lvlJc w:val="left"/>
      <w:pPr>
        <w:ind w:left="720" w:hanging="153"/>
      </w:pPr>
      <w:rPr>
        <w:rFonts w:ascii="Symbol" w:hAnsi="Symbol" w:hint="default"/>
        <w:color w:val="E48C32"/>
      </w:rPr>
    </w:lvl>
    <w:lvl w:ilvl="1">
      <w:start w:val="1"/>
      <w:numFmt w:val="bullet"/>
      <w:lvlText w:val="o"/>
      <w:lvlJc w:val="left"/>
      <w:pPr>
        <w:ind w:left="1440" w:hanging="360"/>
      </w:pPr>
      <w:rPr>
        <w:rFonts w:ascii="Courier New" w:hAnsi="Courier New" w:hint="default"/>
        <w:color w:val="E48C3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3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3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2">
    <w:nsid w:val="5DDE4E89"/>
    <w:multiLevelType w:val="hybridMultilevel"/>
    <w:tmpl w:val="61B6F0EA"/>
    <w:lvl w:ilvl="0" w:tplc="F5E05770">
      <w:start w:val="1"/>
      <w:numFmt w:val="bullet"/>
      <w:pStyle w:val="Bulletsannexes"/>
      <w:lvlText w:val=""/>
      <w:lvlJc w:val="left"/>
      <w:pPr>
        <w:ind w:left="720" w:hanging="360"/>
      </w:pPr>
      <w:rPr>
        <w:rFonts w:ascii="Symbol" w:hAnsi="Symbol" w:hint="default"/>
        <w:color w:val="E48C3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5DE3067D"/>
    <w:multiLevelType w:val="hybridMultilevel"/>
    <w:tmpl w:val="09B4C1FC"/>
    <w:lvl w:ilvl="0" w:tplc="E172701C">
      <w:start w:val="1"/>
      <w:numFmt w:val="upperLetter"/>
      <w:lvlText w:val="%1."/>
      <w:lvlJc w:val="left"/>
      <w:pPr>
        <w:ind w:left="720" w:hanging="360"/>
      </w:pPr>
      <w:rPr>
        <w:rFonts w:ascii="EC Square Sans Pro" w:hAnsi="EC Square Sans Pro" w:hint="default"/>
        <w:color w:val="08AA74" w:themeColor="accent3"/>
        <w:sz w:val="22"/>
      </w:rPr>
    </w:lvl>
    <w:lvl w:ilvl="1" w:tplc="B3DA4B16">
      <w:start w:val="1"/>
      <w:numFmt w:val="lowerLetter"/>
      <w:pStyle w:val="Title4Executivesummary"/>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5">
    <w:nsid w:val="60544356"/>
    <w:multiLevelType w:val="hybridMultilevel"/>
    <w:tmpl w:val="EFEA8546"/>
    <w:name w:val="Bullet 02"/>
    <w:lvl w:ilvl="0" w:tplc="09D21778">
      <w:start w:val="1"/>
      <w:numFmt w:val="bullet"/>
      <w:lvlRestart w:val="0"/>
      <w:pStyle w:val="Titreobjetprliminaire"/>
      <w:lvlText w:val=""/>
      <w:lvlJc w:val="left"/>
      <w:pPr>
        <w:tabs>
          <w:tab w:val="num" w:pos="850"/>
        </w:tabs>
        <w:ind w:left="850" w:hanging="8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7">
    <w:nsid w:val="60D34148"/>
    <w:multiLevelType w:val="hybridMultilevel"/>
    <w:tmpl w:val="4F1AED16"/>
    <w:lvl w:ilvl="0" w:tplc="6FEC0D58">
      <w:start w:val="1"/>
      <w:numFmt w:val="bullet"/>
      <w:lvlText w:val=""/>
      <w:lvlJc w:val="left"/>
      <w:pPr>
        <w:ind w:left="1440" w:hanging="360"/>
      </w:pPr>
      <w:rPr>
        <w:rFonts w:ascii="Symbol" w:hAnsi="Symbol" w:hint="default"/>
        <w:color w:val="E48C3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0">
    <w:nsid w:val="69F068F7"/>
    <w:multiLevelType w:val="hybridMultilevel"/>
    <w:tmpl w:val="2B2470D4"/>
    <w:lvl w:ilvl="0" w:tplc="6FEC0D58">
      <w:start w:val="1"/>
      <w:numFmt w:val="bullet"/>
      <w:lvlText w:val=""/>
      <w:lvlJc w:val="left"/>
      <w:pPr>
        <w:ind w:left="720" w:hanging="360"/>
      </w:pPr>
      <w:rPr>
        <w:rFonts w:ascii="Symbol" w:hAnsi="Symbol" w:hint="default"/>
        <w:color w:val="E48C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FC2303A"/>
    <w:multiLevelType w:val="hybridMultilevel"/>
    <w:tmpl w:val="98F42E8C"/>
    <w:lvl w:ilvl="0" w:tplc="6FEC0D58">
      <w:start w:val="1"/>
      <w:numFmt w:val="bullet"/>
      <w:lvlText w:val=""/>
      <w:lvlJc w:val="left"/>
      <w:pPr>
        <w:ind w:left="420" w:hanging="360"/>
      </w:pPr>
      <w:rPr>
        <w:rFonts w:ascii="Symbol" w:hAnsi="Symbol" w:hint="default"/>
        <w:color w:val="E48C32"/>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2">
    <w:nsid w:val="70E37927"/>
    <w:multiLevelType w:val="hybridMultilevel"/>
    <w:tmpl w:val="5A68D248"/>
    <w:lvl w:ilvl="0" w:tplc="9D8C783C">
      <w:start w:val="1"/>
      <w:numFmt w:val="decimal"/>
      <w:pStyle w:val="Title3Report-Numbered"/>
      <w:lvlText w:val="%1."/>
      <w:lvlJc w:val="left"/>
      <w:pPr>
        <w:ind w:left="501" w:hanging="360"/>
      </w:pPr>
      <w:rPr>
        <w:rFonts w:ascii="EC Square Sans Pro" w:hAnsi="EC Square Sans Pro" w:hint="default"/>
        <w:b/>
        <w:bCs w:val="0"/>
        <w:i w:val="0"/>
        <w:iCs w:val="0"/>
        <w:caps w:val="0"/>
        <w:smallCaps w:val="0"/>
        <w:strike w:val="0"/>
        <w:dstrike w:val="0"/>
        <w:outline w:val="0"/>
        <w:shadow w:val="0"/>
        <w:emboss w:val="0"/>
        <w:imprint w:val="0"/>
        <w:noProof w:val="0"/>
        <w:vanish w:val="0"/>
        <w:color w:val="65BBC8" w:themeColor="accen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CCC3DE">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3">
    <w:nsid w:val="79811ADC"/>
    <w:multiLevelType w:val="hybridMultilevel"/>
    <w:tmpl w:val="3028F1F8"/>
    <w:lvl w:ilvl="0" w:tplc="CD305E2A">
      <w:start w:val="1"/>
      <w:numFmt w:val="bullet"/>
      <w:pStyle w:val="Bulletsgreen"/>
      <w:lvlText w:val=""/>
      <w:lvlJc w:val="left"/>
      <w:pPr>
        <w:ind w:left="720" w:hanging="360"/>
      </w:pPr>
      <w:rPr>
        <w:rFonts w:ascii="Symbol" w:hAnsi="Symbol" w:hint="default"/>
        <w:color w:val="08AA74" w:themeColor="accent3"/>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nsid w:val="7A8627F7"/>
    <w:multiLevelType w:val="hybridMultilevel"/>
    <w:tmpl w:val="8210149E"/>
    <w:lvl w:ilvl="0" w:tplc="A4828464">
      <w:start w:val="1"/>
      <w:numFmt w:val="decimal"/>
      <w:pStyle w:val="TITLE3Executivesummary"/>
      <w:lvlText w:val="%1."/>
      <w:lvlJc w:val="left"/>
      <w:pPr>
        <w:ind w:left="720" w:hanging="360"/>
      </w:pPr>
      <w:rPr>
        <w:rFonts w:ascii="EC Square Sans Pro" w:hAnsi="EC Square Sans Pro" w:hint="default"/>
        <w:b/>
        <w:i w:val="0"/>
        <w:color w:val="08AA74" w:themeColor="accent3"/>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
    <w:nsid w:val="7CBE4812"/>
    <w:multiLevelType w:val="singleLevel"/>
    <w:tmpl w:val="23C821E4"/>
    <w:name w:val="Considérant"/>
    <w:lvl w:ilvl="0">
      <w:start w:val="1"/>
      <w:numFmt w:val="decimal"/>
      <w:lvlRestart w:val="0"/>
      <w:lvlText w:val="(%1)"/>
      <w:lvlJc w:val="left"/>
      <w:pPr>
        <w:tabs>
          <w:tab w:val="num" w:pos="709"/>
        </w:tabs>
        <w:ind w:left="709" w:hanging="709"/>
      </w:pPr>
    </w:lvl>
  </w:abstractNum>
  <w:abstractNum w:abstractNumId="46">
    <w:nsid w:val="7FFA6E33"/>
    <w:multiLevelType w:val="hybridMultilevel"/>
    <w:tmpl w:val="D7BA8432"/>
    <w:lvl w:ilvl="0" w:tplc="6FEC0D58">
      <w:start w:val="1"/>
      <w:numFmt w:val="bullet"/>
      <w:lvlText w:val=""/>
      <w:lvlJc w:val="left"/>
      <w:pPr>
        <w:ind w:left="720" w:hanging="360"/>
      </w:pPr>
      <w:rPr>
        <w:rFonts w:ascii="Symbol" w:hAnsi="Symbol" w:hint="default"/>
        <w:color w:val="E48C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18"/>
  </w:num>
  <w:num w:numId="4">
    <w:abstractNumId w:val="39"/>
  </w:num>
  <w:num w:numId="5">
    <w:abstractNumId w:val="12"/>
  </w:num>
  <w:num w:numId="6">
    <w:abstractNumId w:val="19"/>
  </w:num>
  <w:num w:numId="7">
    <w:abstractNumId w:val="9"/>
  </w:num>
  <w:num w:numId="8">
    <w:abstractNumId w:val="32"/>
  </w:num>
  <w:num w:numId="9">
    <w:abstractNumId w:val="43"/>
  </w:num>
  <w:num w:numId="10">
    <w:abstractNumId w:val="17"/>
  </w:num>
  <w:num w:numId="11">
    <w:abstractNumId w:val="23"/>
  </w:num>
  <w:num w:numId="12">
    <w:abstractNumId w:val="1"/>
  </w:num>
  <w:num w:numId="13">
    <w:abstractNumId w:val="0"/>
  </w:num>
  <w:num w:numId="14">
    <w:abstractNumId w:val="4"/>
  </w:num>
  <w:num w:numId="15">
    <w:abstractNumId w:val="5"/>
  </w:num>
  <w:num w:numId="16">
    <w:abstractNumId w:val="44"/>
  </w:num>
  <w:num w:numId="17">
    <w:abstractNumId w:val="42"/>
  </w:num>
  <w:num w:numId="18">
    <w:abstractNumId w:val="25"/>
  </w:num>
  <w:num w:numId="19">
    <w:abstractNumId w:val="33"/>
  </w:num>
  <w:num w:numId="20">
    <w:abstractNumId w:val="23"/>
    <w:lvlOverride w:ilvl="0">
      <w:startOverride w:val="8"/>
    </w:lvlOverride>
  </w:num>
  <w:num w:numId="21">
    <w:abstractNumId w:val="23"/>
    <w:lvlOverride w:ilvl="0">
      <w:startOverride w:val="3"/>
    </w:lvlOverride>
  </w:num>
  <w:num w:numId="22">
    <w:abstractNumId w:val="16"/>
  </w:num>
  <w:num w:numId="23">
    <w:abstractNumId w:val="3"/>
  </w:num>
  <w:num w:numId="24">
    <w:abstractNumId w:val="21"/>
  </w:num>
  <w:num w:numId="25">
    <w:abstractNumId w:val="35"/>
  </w:num>
  <w:num w:numId="26">
    <w:abstractNumId w:val="10"/>
  </w:num>
  <w:num w:numId="27">
    <w:abstractNumId w:val="13"/>
  </w:num>
  <w:num w:numId="28">
    <w:abstractNumId w:val="36"/>
  </w:num>
  <w:num w:numId="29">
    <w:abstractNumId w:val="34"/>
  </w:num>
  <w:num w:numId="30">
    <w:abstractNumId w:val="22"/>
  </w:num>
  <w:num w:numId="31">
    <w:abstractNumId w:val="26"/>
  </w:num>
  <w:num w:numId="32">
    <w:abstractNumId w:val="14"/>
  </w:num>
  <w:num w:numId="33">
    <w:abstractNumId w:val="24"/>
  </w:num>
  <w:num w:numId="34">
    <w:abstractNumId w:val="15"/>
  </w:num>
  <w:num w:numId="35">
    <w:abstractNumId w:val="2"/>
  </w:num>
  <w:num w:numId="36">
    <w:abstractNumId w:val="8"/>
  </w:num>
  <w:num w:numId="37">
    <w:abstractNumId w:val="28"/>
  </w:num>
  <w:num w:numId="38">
    <w:abstractNumId w:val="6"/>
  </w:num>
  <w:num w:numId="39">
    <w:abstractNumId w:val="41"/>
  </w:num>
  <w:num w:numId="40">
    <w:abstractNumId w:val="46"/>
  </w:num>
  <w:num w:numId="41">
    <w:abstractNumId w:val="40"/>
  </w:num>
  <w:num w:numId="42">
    <w:abstractNumId w:val="37"/>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HIEU Tonny (SG)">
    <w15:presenceInfo w15:providerId="None" w15:userId="MATHIEU Tonny (S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nl-BE" w:vendorID="64" w:dllVersion="131078" w:nlCheck="1" w:checkStyle="0"/>
  <w:activeWritingStyle w:appName="MSWord" w:lang="es-ES" w:vendorID="64" w:dllVersion="131078" w:nlCheck="1" w:checkStyle="0"/>
  <w:activeWritingStyle w:appName="MSWord" w:lang="it-I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hyphenationZone w:val="425"/>
  <w:characterSpacingControl w:val="doNotCompress"/>
  <w:hdrShapeDefaults>
    <o:shapedefaults v:ext="edit" spidmax="8193"/>
  </w:hdrShapeDefaults>
  <w:footnotePr>
    <w:numStart w:val="413"/>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to the "/>
    <w:docVar w:name="LW_ANNEX_NBR_FIRST" w:val="1"/>
    <w:docVar w:name="LW_ANNEX_NBR_LAST" w:val="9"/>
    <w:docVar w:name="LW_ANNEX_UNIQUE" w:val="0"/>
    <w:docVar w:name="LW_CORRIGENDUM" w:val="&lt;UNUSED&gt;"/>
    <w:docVar w:name="LW_COVERPAGE_EXISTS" w:val="True"/>
    <w:docVar w:name="LW_COVERPAGE_GUID" w:val="CFA44843-BA1C-48C0-9E7C-B4F0AC5F06F0"/>
    <w:docVar w:name="LW_COVERPAGE_TYPE" w:val="1"/>
    <w:docVar w:name="LW_CROSSREFERENCE" w:val="&lt;UNUSED&gt;"/>
    <w:docVar w:name="LW_DocType" w:val="NORMAL"/>
    <w:docVar w:name="LW_EMISSION" w:val="25.6.2019"/>
    <w:docVar w:name="LW_EMISSION_ISODATE" w:val="2019-06-25"/>
    <w:docVar w:name="LW_EMISSION_LOCATION" w:val="BRX"/>
    <w:docVar w:name="LW_EMISSION_PREFIX" w:val="Brussels, "/>
    <w:docVar w:name="LW_EMISSION_SUFFIX" w:val="&lt;EMPTY&gt;"/>
    <w:docVar w:name="LW_ID_DOCTYPE_NONLW" w:val="CP-039"/>
    <w:docVar w:name="LW_LANGUE" w:val="EN"/>
    <w:docVar w:name="LW_LEVEL_OF_SENSITIVITY" w:val="Standard treatment"/>
    <w:docVar w:name="LW_NOM.INST" w:val="EUROPEAN COMMISSION"/>
    <w:docVar w:name="LW_NOM.INST_JOINTDOC" w:val="&lt;EMPTY&gt;"/>
    <w:docVar w:name="LW_OBJETACTEPRINCIPAL.CP" w:val="2018 Annual Management and Performance Report for the EU Budget"/>
    <w:docVar w:name="LW_PART_NBR" w:val="&lt;UNUSED&gt;"/>
    <w:docVar w:name="LW_PART_NBR_TOTAL" w:val="&lt;UNUSED&gt;"/>
    <w:docVar w:name="LW_REF.INST.NEW" w:val="COM"/>
    <w:docVar w:name="LW_REF.INST.NEW_ADOPTED" w:val="final"/>
    <w:docVar w:name="LW_REF.INST.NEW_TEXT" w:val="(2019) 29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ANNEXES_x000b_"/>
    <w:docVar w:name="LW_TYPEACTEPRINCIPAL.CP" w:val="REPORT FROM THE COMMISSION TO THE EUROPEAN PARLIAMENT, THE COUNCIL AND THE COURT OF AUDITORS"/>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qFormat="1"/>
    <w:lsdException w:name="annotation text" w:uiPriority="99" w:qFormat="1"/>
    <w:lsdException w:name="header" w:uiPriority="99"/>
    <w:lsdException w:name="footer" w:uiPriority="99"/>
    <w:lsdException w:name="caption" w:qFormat="1"/>
    <w:lsdException w:name="footnote reference" w:uiPriority="99" w:qFormat="1"/>
    <w:lsdException w:name="annotation reference" w:uiPriority="99" w:qFormat="1"/>
    <w:lsdException w:name="line number" w:uiPriority="99"/>
    <w:lsdException w:name="endnote reference" w:uiPriority="99"/>
    <w:lsdException w:name="endnote text" w:uiPriority="99"/>
    <w:lsdException w:name="Title" w:semiHidden="0" w:unhideWhenUsed="0" w:qFormat="1"/>
    <w:lsdException w:name="Signature" w:uiPriority="99"/>
    <w:lsdException w:name="Default Paragraph Font" w:uiPriority="1"/>
    <w:lsdException w:name="Body Text" w:qFormat="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olorful 1" w:uiPriority="99"/>
    <w:lsdException w:name="Table Colorful 2" w:uiPriority="99"/>
    <w:lsdException w:name="Table Colorful 3" w:uiPriority="99"/>
    <w:lsdException w:name="Table Columns 2"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Pr>
      <w:rFonts w:ascii="EC Square Sans Pro" w:hAnsi="EC Square Sans Pro" w:cs="Times New Roman"/>
      <w:sz w:val="20"/>
      <w:lang w:val="en-GB"/>
    </w:rPr>
  </w:style>
  <w:style w:type="paragraph" w:styleId="Heading1">
    <w:name w:val="heading 1"/>
    <w:aliases w:val="AMPR Heading 1,AMPR H1 a,AMPR H1b"/>
    <w:basedOn w:val="Normal"/>
    <w:next w:val="Normal"/>
    <w:link w:val="Heading1Char"/>
    <w:qFormat/>
    <w:pPr>
      <w:keepNext/>
      <w:keepLines/>
      <w:widowControl w:val="0"/>
      <w:spacing w:before="480"/>
      <w:outlineLvl w:val="0"/>
    </w:pPr>
    <w:rPr>
      <w:rFonts w:eastAsiaTheme="majorEastAsia" w:cstheme="majorBidi"/>
      <w:b/>
      <w:bCs/>
      <w:color w:val="3B97A5" w:themeColor="accent1" w:themeShade="BF"/>
      <w:sz w:val="28"/>
      <w:szCs w:val="28"/>
      <w:lang w:eastAsia="en-GB"/>
    </w:rPr>
  </w:style>
  <w:style w:type="paragraph" w:styleId="Heading2">
    <w:name w:val="heading 2"/>
    <w:basedOn w:val="Normal"/>
    <w:next w:val="Text1"/>
    <w:link w:val="Heading2Char"/>
    <w:uiPriority w:val="9"/>
    <w:unhideWhenUsed/>
    <w:qFormat/>
    <w:pPr>
      <w:keepNext/>
      <w:tabs>
        <w:tab w:val="num" w:pos="850"/>
      </w:tabs>
      <w:spacing w:before="120" w:after="120"/>
      <w:ind w:left="850" w:hanging="850"/>
      <w:jc w:val="both"/>
      <w:outlineLvl w:val="1"/>
    </w:pPr>
    <w:rPr>
      <w:rFonts w:eastAsiaTheme="majorEastAsia"/>
      <w:b/>
      <w:bCs/>
      <w:sz w:val="24"/>
      <w:szCs w:val="26"/>
    </w:rPr>
  </w:style>
  <w:style w:type="paragraph" w:styleId="Heading3">
    <w:name w:val="heading 3"/>
    <w:basedOn w:val="Normal"/>
    <w:next w:val="Normal"/>
    <w:link w:val="Heading3Char"/>
    <w:unhideWhenUsed/>
    <w:qFormat/>
    <w:pPr>
      <w:keepNext/>
      <w:keepLines/>
      <w:spacing w:before="40"/>
      <w:outlineLvl w:val="2"/>
    </w:pPr>
    <w:rPr>
      <w:rFonts w:eastAsiaTheme="majorEastAsia" w:cstheme="majorBidi"/>
      <w:color w:val="27646E" w:themeColor="accent1" w:themeShade="7F"/>
      <w:sz w:val="24"/>
      <w:szCs w:val="24"/>
    </w:rPr>
  </w:style>
  <w:style w:type="paragraph" w:styleId="Heading4">
    <w:name w:val="heading 4"/>
    <w:basedOn w:val="Normal"/>
    <w:next w:val="Text1"/>
    <w:link w:val="Heading4Char"/>
    <w:unhideWhenUsed/>
    <w:qFormat/>
    <w:pPr>
      <w:keepNext/>
      <w:tabs>
        <w:tab w:val="num" w:pos="850"/>
      </w:tabs>
      <w:spacing w:before="120" w:after="120"/>
      <w:ind w:left="850" w:hanging="850"/>
      <w:jc w:val="both"/>
      <w:outlineLvl w:val="3"/>
    </w:pPr>
    <w:rPr>
      <w:rFonts w:eastAsiaTheme="majorEastAsia"/>
      <w:bCs/>
      <w:iCs/>
      <w:sz w:val="24"/>
    </w:rPr>
  </w:style>
  <w:style w:type="paragraph" w:styleId="Heading5">
    <w:name w:val="heading 5"/>
    <w:basedOn w:val="Normal"/>
    <w:next w:val="Normal"/>
    <w:link w:val="Heading5Char"/>
    <w:unhideWhenUsed/>
    <w:qFormat/>
    <w:pPr>
      <w:keepNext/>
      <w:keepLines/>
      <w:spacing w:before="200"/>
      <w:outlineLvl w:val="4"/>
    </w:pPr>
    <w:rPr>
      <w:rFonts w:eastAsiaTheme="majorEastAsia" w:cstheme="majorBidi"/>
      <w:color w:val="27646E" w:themeColor="accent1" w:themeShade="7F"/>
    </w:rPr>
  </w:style>
  <w:style w:type="paragraph" w:styleId="Heading6">
    <w:name w:val="heading 6"/>
    <w:basedOn w:val="Normal"/>
    <w:next w:val="Normal"/>
    <w:link w:val="Heading6Char"/>
    <w:unhideWhenUsed/>
    <w:qFormat/>
    <w:pPr>
      <w:keepNext/>
      <w:keepLines/>
      <w:spacing w:before="200"/>
      <w:outlineLvl w:val="5"/>
    </w:pPr>
    <w:rPr>
      <w:rFonts w:eastAsiaTheme="majorEastAsia" w:cstheme="majorBidi"/>
      <w:i/>
      <w:iCs/>
      <w:color w:val="27646E" w:themeColor="accent1" w:themeShade="7F"/>
    </w:rPr>
  </w:style>
  <w:style w:type="paragraph" w:styleId="Heading7">
    <w:name w:val="heading 7"/>
    <w:basedOn w:val="Normal"/>
    <w:next w:val="Normal"/>
    <w:link w:val="Heading7Char"/>
    <w:unhideWhenUsed/>
    <w:qFormat/>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nhideWhenUsed/>
    <w:qFormat/>
    <w:pPr>
      <w:keepNext/>
      <w:keepLines/>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nhideWhenUsed/>
    <w:qFormat/>
    <w:pPr>
      <w:keepNext/>
      <w:keepLines/>
      <w:spacing w:before="200"/>
      <w:outlineLvl w:val="8"/>
    </w:pPr>
    <w:rPr>
      <w:rFonts w:eastAsiaTheme="majorEastAsia"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rFonts w:ascii="EC Square Sans Pro" w:hAnsi="EC Square Sans Pro"/>
      <w:color w:val="0000FF"/>
      <w:shd w:val="clear" w:color="auto" w:fill="auto"/>
      <w:lang w:val="en-GB"/>
    </w:rPr>
  </w:style>
  <w:style w:type="paragraph" w:customStyle="1" w:styleId="Pagedecouverture">
    <w:name w:val="Page de couverture"/>
    <w:basedOn w:val="Normal"/>
    <w:next w:val="Normal"/>
    <w:link w:val="PagedecouvertureChar"/>
    <w:pPr>
      <w:jc w:val="both"/>
    </w:pPr>
    <w:rPr>
      <w:sz w:val="24"/>
    </w:rPr>
  </w:style>
  <w:style w:type="paragraph" w:styleId="Header">
    <w:name w:val="header"/>
    <w:basedOn w:val="Normal"/>
    <w:link w:val="HeaderChar"/>
    <w:uiPriority w:val="99"/>
    <w:unhideWhenUsed/>
    <w:pPr>
      <w:tabs>
        <w:tab w:val="center" w:pos="4536"/>
        <w:tab w:val="right" w:pos="9072"/>
      </w:tabs>
    </w:pPr>
    <w:rPr>
      <w:rFonts w:cstheme="minorBidi"/>
    </w:rPr>
  </w:style>
  <w:style w:type="character" w:customStyle="1" w:styleId="HeaderChar">
    <w:name w:val="Header Char"/>
    <w:basedOn w:val="DefaultParagraphFont"/>
    <w:link w:val="Header"/>
    <w:uiPriority w:val="99"/>
    <w:rPr>
      <w:rFonts w:ascii="EC Square Sans Pro" w:hAnsi="EC Square Sans Pro"/>
      <w:sz w:val="20"/>
      <w:lang w:val="en-GB"/>
    </w:rPr>
  </w:style>
  <w:style w:type="paragraph" w:styleId="Footer">
    <w:name w:val="footer"/>
    <w:basedOn w:val="Normal"/>
    <w:link w:val="FooterChar"/>
    <w:uiPriority w:val="99"/>
    <w:unhideWhenUsed/>
    <w:pPr>
      <w:tabs>
        <w:tab w:val="center" w:pos="4536"/>
        <w:tab w:val="right" w:pos="9072"/>
      </w:tabs>
    </w:pPr>
    <w:rPr>
      <w:rFonts w:cstheme="minorBidi"/>
    </w:rPr>
  </w:style>
  <w:style w:type="character" w:customStyle="1" w:styleId="FooterChar">
    <w:name w:val="Footer Char"/>
    <w:basedOn w:val="DefaultParagraphFont"/>
    <w:link w:val="Footer"/>
    <w:uiPriority w:val="99"/>
    <w:rPr>
      <w:rFonts w:ascii="EC Square Sans Pro" w:hAnsi="EC Square Sans Pro"/>
      <w:sz w:val="20"/>
      <w:lang w:val="en-GB"/>
    </w:rPr>
  </w:style>
  <w:style w:type="paragraph" w:customStyle="1" w:styleId="Forewordbodytext">
    <w:name w:val="Foreword body text"/>
    <w:basedOn w:val="Pagedecouverture"/>
    <w:link w:val="ForewordbodytextChar"/>
    <w:rPr>
      <w:noProof/>
      <w:sz w:val="18"/>
      <w:lang w:eastAsia="fr-BE"/>
    </w:rPr>
  </w:style>
  <w:style w:type="paragraph" w:customStyle="1" w:styleId="Bulletsgreen">
    <w:name w:val="Bullets green"/>
    <w:basedOn w:val="Forewordbodytext"/>
    <w:link w:val="BulletsgreenChar"/>
    <w:qFormat/>
    <w:pPr>
      <w:numPr>
        <w:numId w:val="9"/>
      </w:numPr>
    </w:pPr>
    <w:rPr>
      <w:sz w:val="20"/>
    </w:rPr>
  </w:style>
  <w:style w:type="character" w:customStyle="1" w:styleId="PagedecouvertureChar">
    <w:name w:val="Page de couverture Char"/>
    <w:basedOn w:val="DefaultParagraphFont"/>
    <w:link w:val="Pagedecouverture"/>
    <w:rPr>
      <w:rFonts w:ascii="EC Square Sans Pro" w:hAnsi="EC Square Sans Pro" w:cs="Times New Roman"/>
      <w:sz w:val="24"/>
      <w:lang w:val="en-GB"/>
    </w:rPr>
  </w:style>
  <w:style w:type="character" w:customStyle="1" w:styleId="ForewordbodytextChar">
    <w:name w:val="Foreword body text Char"/>
    <w:basedOn w:val="PagedecouvertureChar"/>
    <w:link w:val="Forewordbodytext"/>
    <w:rPr>
      <w:rFonts w:ascii="EC Square Sans Pro" w:hAnsi="EC Square Sans Pro" w:cs="Times New Roman"/>
      <w:noProof/>
      <w:sz w:val="18"/>
      <w:lang w:val="en-GB" w:eastAsia="fr-BE"/>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en-GB"/>
    </w:rPr>
  </w:style>
  <w:style w:type="paragraph" w:customStyle="1" w:styleId="SubtitleAMPR">
    <w:name w:val="Subtitle AMPR"/>
    <w:basedOn w:val="Title2Executivesummary"/>
    <w:link w:val="SubtitleAMPRChar"/>
    <w:rPr>
      <w:color w:val="65BBC8"/>
    </w:rPr>
  </w:style>
  <w:style w:type="character" w:customStyle="1" w:styleId="BulletsgreenChar">
    <w:name w:val="Bullets green Char"/>
    <w:basedOn w:val="ForewordbodytextChar"/>
    <w:link w:val="Bulletsgreen"/>
    <w:rPr>
      <w:rFonts w:ascii="EC Square Sans Pro" w:hAnsi="EC Square Sans Pro" w:cs="Times New Roman"/>
      <w:noProof/>
      <w:sz w:val="20"/>
      <w:lang w:val="en-GB" w:eastAsia="fr-BE"/>
    </w:rPr>
  </w:style>
  <w:style w:type="character" w:customStyle="1" w:styleId="Heading1Char">
    <w:name w:val="Heading 1 Char"/>
    <w:aliases w:val="AMPR Heading 1 Char,AMPR H1 a Char,AMPR H1b Char"/>
    <w:basedOn w:val="DefaultParagraphFont"/>
    <w:link w:val="Heading1"/>
    <w:rPr>
      <w:rFonts w:ascii="EC Square Sans Pro" w:eastAsiaTheme="majorEastAsia" w:hAnsi="EC Square Sans Pro" w:cstheme="majorBidi"/>
      <w:b/>
      <w:bCs/>
      <w:color w:val="3B97A5" w:themeColor="accent1" w:themeShade="BF"/>
      <w:sz w:val="28"/>
      <w:szCs w:val="28"/>
      <w:lang w:val="en-GB" w:eastAsia="en-GB"/>
    </w:rPr>
  </w:style>
  <w:style w:type="paragraph" w:styleId="Title">
    <w:name w:val="Title"/>
    <w:basedOn w:val="Normal"/>
    <w:next w:val="Normal"/>
    <w:link w:val="TitleChar"/>
    <w:qFormat/>
    <w:pPr>
      <w:pBdr>
        <w:bottom w:val="single" w:sz="8" w:space="4" w:color="65BBC8" w:themeColor="accent1"/>
      </w:pBdr>
      <w:spacing w:after="300"/>
      <w:contextualSpacing/>
    </w:pPr>
    <w:rPr>
      <w:rFonts w:eastAsiaTheme="majorEastAsia" w:cstheme="majorBidi"/>
      <w:color w:val="A1A1A1" w:themeColor="text2" w:themeShade="BF"/>
      <w:spacing w:val="5"/>
      <w:kern w:val="28"/>
      <w:sz w:val="52"/>
      <w:szCs w:val="52"/>
    </w:rPr>
  </w:style>
  <w:style w:type="character" w:customStyle="1" w:styleId="TitleChar">
    <w:name w:val="Title Char"/>
    <w:basedOn w:val="DefaultParagraphFont"/>
    <w:link w:val="Title"/>
    <w:rPr>
      <w:rFonts w:ascii="EC Square Sans Pro" w:eastAsiaTheme="majorEastAsia" w:hAnsi="EC Square Sans Pro" w:cstheme="majorBidi"/>
      <w:color w:val="A1A1A1" w:themeColor="text2" w:themeShade="BF"/>
      <w:spacing w:val="5"/>
      <w:kern w:val="28"/>
      <w:sz w:val="52"/>
      <w:szCs w:val="52"/>
      <w:lang w:val="en-GB"/>
    </w:rPr>
  </w:style>
  <w:style w:type="paragraph" w:styleId="NormalWeb">
    <w:name w:val="Normal (Web)"/>
    <w:basedOn w:val="Normal"/>
    <w:uiPriority w:val="99"/>
    <w:unhideWhenUsed/>
    <w:rPr>
      <w:rFonts w:eastAsia="Times New Roman"/>
      <w:szCs w:val="20"/>
      <w:lang w:eastAsia="zh-CN"/>
    </w:rPr>
  </w:style>
  <w:style w:type="table" w:styleId="TableGrid">
    <w:name w:val="Table Grid"/>
    <w:basedOn w:val="TableNormal"/>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1 Char Char Char,Footnote Text Char Char Char Char Char,Footnote Text Char1 Char1 Char,Footnote Text Char Char Char1 Char,EMPL6,Footnote Text Char1,Schriftart: 9 pt,ft"/>
    <w:basedOn w:val="Normal"/>
    <w:link w:val="FootnoteTextChar"/>
    <w:uiPriority w:val="99"/>
    <w:unhideWhenUsed/>
    <w:qFormat/>
    <w:pPr>
      <w:tabs>
        <w:tab w:val="left" w:pos="426"/>
      </w:tabs>
      <w:ind w:left="426" w:hanging="426"/>
    </w:pPr>
    <w:rPr>
      <w:rFonts w:eastAsia="Calibri"/>
      <w:noProof/>
      <w:sz w:val="16"/>
      <w:szCs w:val="20"/>
      <w:lang w:eastAsia="zh-CN"/>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EMPL6 Char"/>
    <w:basedOn w:val="DefaultParagraphFont"/>
    <w:link w:val="FootnoteText"/>
    <w:uiPriority w:val="99"/>
    <w:qFormat/>
    <w:rPr>
      <w:rFonts w:ascii="EC Square Sans Pro" w:eastAsia="Calibri" w:hAnsi="EC Square Sans Pro" w:cs="Times New Roman"/>
      <w:noProof/>
      <w:sz w:val="16"/>
      <w:szCs w:val="20"/>
      <w:lang w:val="en-GB" w:eastAsia="zh-CN"/>
    </w:rPr>
  </w:style>
  <w:style w:type="paragraph" w:customStyle="1" w:styleId="TITLE3Executivesummary">
    <w:name w:val="TITLE 3 / Executive summary"/>
    <w:basedOn w:val="Normal"/>
    <w:link w:val="TITLE3ExecutivesummaryChar"/>
    <w:qFormat/>
    <w:pPr>
      <w:numPr>
        <w:numId w:val="16"/>
      </w:numPr>
      <w:spacing w:before="240" w:after="240"/>
      <w:outlineLvl w:val="2"/>
    </w:pPr>
    <w:rPr>
      <w:b/>
      <w:color w:val="08AA74" w:themeColor="accent3"/>
      <w:sz w:val="24"/>
      <w:lang w:eastAsia="zh-CN"/>
    </w:rPr>
  </w:style>
  <w:style w:type="character" w:customStyle="1" w:styleId="SubtitleAMPRChar">
    <w:name w:val="Subtitle AMPR Char"/>
    <w:basedOn w:val="Title2ExecutivesummaryChar"/>
    <w:link w:val="SubtitleAMPR"/>
    <w:rPr>
      <w:rFonts w:ascii="EC Square Sans Pro" w:eastAsia="EC Square Sans Pro" w:hAnsi="EC Square Sans Pro" w:cs="Times New Roman"/>
      <w:b/>
      <w:color w:val="65BBC8"/>
      <w:sz w:val="28"/>
      <w:szCs w:val="21"/>
      <w:lang w:val="en-GB" w:eastAsia="zh-CN"/>
    </w:rPr>
  </w:style>
  <w:style w:type="paragraph" w:customStyle="1" w:styleId="footnote">
    <w:name w:val="footnote"/>
    <w:basedOn w:val="Normal"/>
    <w:next w:val="Normal"/>
    <w:uiPriority w:val="99"/>
    <w:pPr>
      <w:numPr>
        <w:numId w:val="10"/>
      </w:numPr>
      <w:jc w:val="both"/>
    </w:pPr>
    <w:rPr>
      <w:rFonts w:cstheme="minorBidi"/>
      <w:sz w:val="16"/>
      <w:szCs w:val="20"/>
      <w:vertAlign w:val="superscript"/>
    </w:rPr>
  </w:style>
  <w:style w:type="character" w:styleId="CommentReference">
    <w:name w:val="annotation reference"/>
    <w:basedOn w:val="DefaultParagraphFont"/>
    <w:uiPriority w:val="99"/>
    <w:unhideWhenUsed/>
    <w:qFormat/>
    <w:rPr>
      <w:rFonts w:ascii="EC Square Sans Pro" w:hAnsi="EC Square Sans Pro"/>
      <w:w w:val="100"/>
      <w:sz w:val="16"/>
      <w:szCs w:val="16"/>
      <w:shd w:val="clear" w:color="auto" w:fill="auto"/>
      <w:lang w:val="en-GB"/>
    </w:rPr>
  </w:style>
  <w:style w:type="paragraph" w:customStyle="1" w:styleId="Annualmgntandperformance">
    <w:name w:val="Annual mgnt and performance"/>
    <w:basedOn w:val="TITLE1Report"/>
    <w:link w:val="AnnualmgntandperformanceChar"/>
    <w:qFormat/>
    <w:rPr>
      <w:color w:val="65BBC8"/>
      <w:lang w:eastAsia="zh-CN"/>
    </w:rPr>
  </w:style>
  <w:style w:type="paragraph" w:customStyle="1" w:styleId="bulletsblue">
    <w:name w:val="bullets blue"/>
    <w:basedOn w:val="BodyText1"/>
    <w:link w:val="bulletsblueChar"/>
    <w:qFormat/>
    <w:pPr>
      <w:numPr>
        <w:numId w:val="15"/>
      </w:numPr>
    </w:pPr>
  </w:style>
  <w:style w:type="paragraph" w:styleId="BalloonText">
    <w:name w:val="Balloon Text"/>
    <w:basedOn w:val="Normal"/>
    <w:link w:val="BalloonTextChar"/>
    <w:unhideWhenUsed/>
    <w:rPr>
      <w:rFonts w:cs="Segoe UI"/>
      <w:sz w:val="18"/>
      <w:szCs w:val="18"/>
    </w:rPr>
  </w:style>
  <w:style w:type="character" w:customStyle="1" w:styleId="BalloonTextChar">
    <w:name w:val="Balloon Text Char"/>
    <w:basedOn w:val="DefaultParagraphFont"/>
    <w:link w:val="BalloonText"/>
    <w:rPr>
      <w:rFonts w:ascii="EC Square Sans Pro" w:hAnsi="EC Square Sans Pro" w:cs="Segoe UI"/>
      <w:sz w:val="18"/>
      <w:szCs w:val="18"/>
      <w:lang w:val="en-GB"/>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34"/>
    <w:qFormat/>
    <w:pPr>
      <w:ind w:left="720"/>
    </w:pPr>
    <w:rPr>
      <w:rFonts w:eastAsia="Calibri"/>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EC Square Sans Pro" w:eastAsia="Calibri" w:hAnsi="EC Square Sans Pro" w:cs="Times New Roman"/>
      <w:sz w:val="20"/>
      <w:szCs w:val="20"/>
      <w:lang w:val="en-GB" w:eastAsia="zh-CN"/>
    </w:rPr>
  </w:style>
  <w:style w:type="paragraph" w:styleId="CommentSubject">
    <w:name w:val="annotation subject"/>
    <w:basedOn w:val="Normal"/>
    <w:next w:val="Normal"/>
    <w:link w:val="CommentSubjectChar"/>
    <w:unhideWhenUsed/>
    <w:pPr>
      <w:spacing w:after="200"/>
    </w:pPr>
    <w:rPr>
      <w:rFonts w:cstheme="minorBidi"/>
      <w:b/>
      <w:bCs/>
      <w:szCs w:val="20"/>
    </w:rPr>
  </w:style>
  <w:style w:type="character" w:customStyle="1" w:styleId="CommentSubjectChar">
    <w:name w:val="Comment Subject Char"/>
    <w:basedOn w:val="DefaultParagraphFont"/>
    <w:link w:val="CommentSubject"/>
    <w:rPr>
      <w:rFonts w:ascii="EC Square Sans Pro" w:hAnsi="EC Square Sans Pro"/>
      <w:b/>
      <w:bCs/>
      <w:sz w:val="20"/>
      <w:szCs w:val="20"/>
      <w:lang w:val="en-GB"/>
    </w:rPr>
  </w:style>
  <w:style w:type="character" w:customStyle="1" w:styleId="st">
    <w:name w:val="st"/>
    <w:basedOn w:val="DefaultParagraphFont"/>
    <w:rPr>
      <w:rFonts w:ascii="EC Square Sans Pro" w:hAnsi="EC Square Sans Pro"/>
      <w:lang w:val="en-GB"/>
    </w:rPr>
  </w:style>
  <w:style w:type="paragraph" w:styleId="Revision">
    <w:name w:val="Revision"/>
    <w:hidden/>
    <w:uiPriority w:val="99"/>
    <w:semiHidden/>
  </w:style>
  <w:style w:type="character" w:customStyle="1" w:styleId="Heading3Char">
    <w:name w:val="Heading 3 Char"/>
    <w:basedOn w:val="DefaultParagraphFont"/>
    <w:link w:val="Heading3"/>
    <w:rPr>
      <w:rFonts w:ascii="EC Square Sans Pro" w:eastAsiaTheme="majorEastAsia" w:hAnsi="EC Square Sans Pro" w:cstheme="majorBidi"/>
      <w:color w:val="27646E" w:themeColor="accent1" w:themeShade="7F"/>
      <w:sz w:val="24"/>
      <w:szCs w:val="24"/>
      <w:lang w:val="en-GB"/>
    </w:rPr>
  </w:style>
  <w:style w:type="paragraph" w:customStyle="1" w:styleId="Text1">
    <w:name w:val="Text 1"/>
    <w:basedOn w:val="Normal"/>
    <w:pPr>
      <w:spacing w:before="120" w:after="120"/>
      <w:ind w:left="850"/>
      <w:jc w:val="both"/>
    </w:pPr>
    <w:rPr>
      <w:rFonts w:eastAsia="Times New Roman"/>
      <w:sz w:val="24"/>
      <w:szCs w:val="24"/>
    </w:rPr>
  </w:style>
  <w:style w:type="character" w:styleId="Strong">
    <w:name w:val="Strong"/>
    <w:basedOn w:val="DefaultParagraphFont"/>
    <w:uiPriority w:val="22"/>
    <w:qFormat/>
    <w:rPr>
      <w:rFonts w:ascii="EC Square Sans Pro" w:hAnsi="EC Square Sans Pro"/>
      <w:b/>
      <w:bCs/>
      <w:lang w:val="en-GB"/>
    </w:rPr>
  </w:style>
  <w:style w:type="character" w:customStyle="1" w:styleId="Heading2Char">
    <w:name w:val="Heading 2 Char"/>
    <w:basedOn w:val="DefaultParagraphFont"/>
    <w:link w:val="Heading2"/>
    <w:uiPriority w:val="9"/>
    <w:rPr>
      <w:rFonts w:ascii="EC Square Sans Pro" w:eastAsiaTheme="majorEastAsia" w:hAnsi="EC Square Sans Pro" w:cs="Times New Roman"/>
      <w:b/>
      <w:bCs/>
      <w:sz w:val="24"/>
      <w:szCs w:val="26"/>
      <w:lang w:val="en-GB"/>
    </w:rPr>
  </w:style>
  <w:style w:type="character" w:customStyle="1" w:styleId="Heading4Char">
    <w:name w:val="Heading 4 Char"/>
    <w:basedOn w:val="DefaultParagraphFont"/>
    <w:link w:val="Heading4"/>
    <w:rPr>
      <w:rFonts w:ascii="EC Square Sans Pro" w:eastAsiaTheme="majorEastAsia" w:hAnsi="EC Square Sans Pro" w:cs="Times New Roman"/>
      <w:bCs/>
      <w:iCs/>
      <w:sz w:val="24"/>
      <w:lang w:val="en-GB"/>
    </w:rPr>
  </w:style>
  <w:style w:type="character" w:customStyle="1" w:styleId="TITLE3ExecutivesummaryChar">
    <w:name w:val="TITLE 3 / Executive summary Char"/>
    <w:basedOn w:val="DefaultParagraphFont"/>
    <w:link w:val="TITLE3Executivesummary"/>
    <w:rPr>
      <w:rFonts w:ascii="EC Square Sans Pro" w:hAnsi="EC Square Sans Pro" w:cs="Times New Roman"/>
      <w:b/>
      <w:color w:val="08AA74" w:themeColor="accent3"/>
      <w:sz w:val="24"/>
      <w:lang w:val="en-GB" w:eastAsia="zh-CN"/>
    </w:rPr>
  </w:style>
  <w:style w:type="character" w:styleId="Hyperlink">
    <w:name w:val="Hyperlink"/>
    <w:basedOn w:val="DefaultParagraphFont"/>
    <w:uiPriority w:val="99"/>
    <w:unhideWhenUsed/>
    <w:rPr>
      <w:rFonts w:ascii="EC Square Sans Pro" w:hAnsi="EC Square Sans Pro"/>
      <w:strike w:val="0"/>
      <w:dstrike w:val="0"/>
      <w:color w:val="0065A2"/>
      <w:u w:val="none"/>
      <w:effect w:val="none"/>
      <w:shd w:val="clear" w:color="auto" w:fill="auto"/>
      <w:lang w:val="en-GB"/>
    </w:rPr>
  </w:style>
  <w:style w:type="character" w:customStyle="1" w:styleId="leaf">
    <w:name w:val="leaf"/>
    <w:basedOn w:val="DefaultParagraphFont"/>
    <w:rPr>
      <w:rFonts w:ascii="EC Square Sans Pro" w:hAnsi="EC Square Sans Pro"/>
      <w:lang w:val="en-GB"/>
    </w:rPr>
  </w:style>
  <w:style w:type="character" w:styleId="Emphasis">
    <w:name w:val="Emphasis"/>
    <w:aliases w:val="AMPR Emphasis"/>
    <w:basedOn w:val="DefaultParagraphFont"/>
    <w:uiPriority w:val="20"/>
    <w:qFormat/>
    <w:rPr>
      <w:rFonts w:ascii="EC Square Sans Pro" w:hAnsi="EC Square Sans Pro"/>
      <w:i/>
      <w:iCs/>
      <w:lang w:val="en-GB"/>
    </w:rPr>
  </w:style>
  <w:style w:type="table" w:styleId="LightShading-Accent6">
    <w:name w:val="Light Shading Accent 6"/>
    <w:basedOn w:val="TableNormal"/>
    <w:uiPriority w:val="60"/>
    <w:rPr>
      <w:color w:val="E6A518" w:themeColor="accent6" w:themeShade="BF"/>
      <w:sz w:val="20"/>
      <w:szCs w:val="20"/>
      <w:lang w:eastAsia="en-GB"/>
    </w:rPr>
    <w:tblPr>
      <w:tblStyleRowBandSize w:val="1"/>
      <w:tblStyleColBandSize w:val="1"/>
      <w:tblBorders>
        <w:top w:val="single" w:sz="8" w:space="0" w:color="EFC465" w:themeColor="accent6"/>
        <w:bottom w:val="single" w:sz="8" w:space="0" w:color="EFC465" w:themeColor="accent6"/>
      </w:tblBorders>
    </w:tblPr>
    <w:tblStylePr w:type="firstRow">
      <w:pPr>
        <w:spacing w:before="0" w:after="0" w:line="240" w:lineRule="auto"/>
      </w:pPr>
      <w:rPr>
        <w:b/>
        <w:bCs/>
      </w:rPr>
      <w:tblPr/>
      <w:tcPr>
        <w:tcBorders>
          <w:top w:val="single" w:sz="8" w:space="0" w:color="EFC465" w:themeColor="accent6"/>
          <w:left w:val="nil"/>
          <w:bottom w:val="single" w:sz="8" w:space="0" w:color="EFC465" w:themeColor="accent6"/>
          <w:right w:val="nil"/>
          <w:insideH w:val="nil"/>
          <w:insideV w:val="nil"/>
        </w:tcBorders>
      </w:tcPr>
    </w:tblStylePr>
    <w:tblStylePr w:type="lastRow">
      <w:pPr>
        <w:spacing w:before="0" w:after="0" w:line="240" w:lineRule="auto"/>
      </w:pPr>
      <w:rPr>
        <w:b/>
        <w:bCs/>
      </w:rPr>
      <w:tblPr/>
      <w:tcPr>
        <w:tcBorders>
          <w:top w:val="single" w:sz="8" w:space="0" w:color="EFC465" w:themeColor="accent6"/>
          <w:left w:val="nil"/>
          <w:bottom w:val="single" w:sz="8" w:space="0" w:color="EFC46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0D8" w:themeFill="accent6" w:themeFillTint="3F"/>
      </w:tcPr>
    </w:tblStylePr>
    <w:tblStylePr w:type="band1Horz">
      <w:tblPr/>
      <w:tcPr>
        <w:tcBorders>
          <w:left w:val="nil"/>
          <w:right w:val="nil"/>
          <w:insideH w:val="nil"/>
          <w:insideV w:val="nil"/>
        </w:tcBorders>
        <w:shd w:val="clear" w:color="auto" w:fill="FBF0D8" w:themeFill="accent6" w:themeFillTint="3F"/>
      </w:tcPr>
    </w:tblStylePr>
  </w:style>
  <w:style w:type="paragraph" w:styleId="EndnoteText">
    <w:name w:val="endnote text"/>
    <w:basedOn w:val="Normal"/>
    <w:link w:val="EndnoteTextChar"/>
    <w:uiPriority w:val="99"/>
    <w:unhideWhenUsed/>
    <w:rPr>
      <w:rFonts w:eastAsia="Calibri" w:cstheme="minorBidi"/>
      <w:szCs w:val="20"/>
    </w:rPr>
  </w:style>
  <w:style w:type="character" w:customStyle="1" w:styleId="EndnoteTextChar">
    <w:name w:val="Endnote Text Char"/>
    <w:basedOn w:val="DefaultParagraphFont"/>
    <w:link w:val="EndnoteText"/>
    <w:uiPriority w:val="99"/>
    <w:rPr>
      <w:rFonts w:ascii="EC Square Sans Pro" w:eastAsia="Calibri" w:hAnsi="EC Square Sans Pro"/>
      <w:sz w:val="20"/>
      <w:szCs w:val="20"/>
      <w:lang w:val="en-GB"/>
    </w:rPr>
  </w:style>
  <w:style w:type="character" w:styleId="EndnoteReference">
    <w:name w:val="endnote reference"/>
    <w:basedOn w:val="DefaultParagraphFont"/>
    <w:uiPriority w:val="99"/>
    <w:unhideWhenUsed/>
    <w:rPr>
      <w:rFonts w:ascii="EC Square Sans Pro" w:hAnsi="EC Square Sans Pro"/>
      <w:vertAlign w:val="superscript"/>
      <w:lang w:val="en-GB"/>
    </w:rPr>
  </w:style>
  <w:style w:type="paragraph" w:customStyle="1" w:styleId="PSParagraphTitle">
    <w:name w:val="PS_Paragraph_Title"/>
    <w:basedOn w:val="Normal"/>
    <w:link w:val="PSParagraphTitleChar"/>
    <w:qFormat/>
    <w:pPr>
      <w:spacing w:before="120" w:after="120"/>
      <w:jc w:val="both"/>
    </w:pPr>
    <w:rPr>
      <w:rFonts w:eastAsia="Times New Roman"/>
      <w:b/>
      <w:i/>
      <w:szCs w:val="20"/>
      <w:lang w:eastAsia="en-GB"/>
    </w:rPr>
  </w:style>
  <w:style w:type="character" w:customStyle="1" w:styleId="PSParagraphTitleChar">
    <w:name w:val="PS_Paragraph_Title Char"/>
    <w:basedOn w:val="DefaultParagraphFont"/>
    <w:link w:val="PSParagraphTitle"/>
    <w:rPr>
      <w:rFonts w:ascii="EC Square Sans Pro" w:eastAsia="Times New Roman" w:hAnsi="EC Square Sans Pro" w:cs="Times New Roman"/>
      <w:b/>
      <w:i/>
      <w:sz w:val="20"/>
      <w:szCs w:val="20"/>
      <w:lang w:val="en-GB" w:eastAsia="en-GB"/>
    </w:rPr>
  </w:style>
  <w:style w:type="paragraph" w:customStyle="1" w:styleId="PSParagraphText">
    <w:name w:val="PS_Paragraph_Text"/>
    <w:basedOn w:val="Normal"/>
    <w:link w:val="PSParagraphTextChar"/>
    <w:qFormat/>
    <w:pPr>
      <w:spacing w:after="120"/>
      <w:jc w:val="both"/>
    </w:pPr>
    <w:rPr>
      <w:rFonts w:eastAsia="Times New Roman"/>
      <w:szCs w:val="20"/>
      <w:lang w:eastAsia="en-GB"/>
    </w:rPr>
  </w:style>
  <w:style w:type="character" w:customStyle="1" w:styleId="PSParagraphTextChar">
    <w:name w:val="PS_Paragraph_Text Char"/>
    <w:basedOn w:val="DefaultParagraphFont"/>
    <w:link w:val="PSParagraphText"/>
    <w:rPr>
      <w:rFonts w:ascii="EC Square Sans Pro" w:eastAsia="Times New Roman" w:hAnsi="EC Square Sans Pro" w:cs="Times New Roman"/>
      <w:sz w:val="20"/>
      <w:szCs w:val="20"/>
      <w:lang w:val="en-GB" w:eastAsia="en-GB"/>
    </w:rPr>
  </w:style>
  <w:style w:type="paragraph" w:styleId="ListBullet">
    <w:name w:val="List Bullet"/>
    <w:basedOn w:val="Normal"/>
    <w:unhideWhenUsed/>
    <w:pPr>
      <w:tabs>
        <w:tab w:val="num" w:pos="360"/>
      </w:tabs>
      <w:spacing w:before="120" w:after="120"/>
      <w:ind w:left="360" w:hanging="360"/>
      <w:contextualSpacing/>
      <w:jc w:val="both"/>
    </w:pPr>
    <w:rPr>
      <w:sz w:val="24"/>
    </w:rPr>
  </w:style>
  <w:style w:type="paragraph" w:styleId="ListBullet2">
    <w:name w:val="List Bullet 2"/>
    <w:basedOn w:val="Normal"/>
    <w:unhideWhenUsed/>
    <w:pPr>
      <w:tabs>
        <w:tab w:val="num" w:pos="643"/>
      </w:tabs>
      <w:spacing w:before="120" w:after="120"/>
      <w:ind w:left="643" w:hanging="360"/>
      <w:contextualSpacing/>
      <w:jc w:val="both"/>
    </w:pPr>
    <w:rPr>
      <w:sz w:val="24"/>
    </w:rPr>
  </w:style>
  <w:style w:type="paragraph" w:styleId="ListBullet3">
    <w:name w:val="List Bullet 3"/>
    <w:basedOn w:val="Normal"/>
    <w:unhideWhenUsed/>
    <w:pPr>
      <w:tabs>
        <w:tab w:val="num" w:pos="926"/>
      </w:tabs>
      <w:spacing w:before="120" w:after="120"/>
      <w:ind w:left="926" w:hanging="360"/>
      <w:contextualSpacing/>
      <w:jc w:val="both"/>
    </w:pPr>
    <w:rPr>
      <w:sz w:val="24"/>
    </w:rPr>
  </w:style>
  <w:style w:type="paragraph" w:styleId="ListBullet4">
    <w:name w:val="List Bullet 4"/>
    <w:basedOn w:val="Normal"/>
    <w:unhideWhenUsed/>
    <w:pPr>
      <w:tabs>
        <w:tab w:val="num" w:pos="1209"/>
      </w:tabs>
      <w:spacing w:before="120" w:after="120"/>
      <w:ind w:left="1209" w:hanging="360"/>
      <w:contextualSpacing/>
      <w:jc w:val="both"/>
    </w:pPr>
    <w:rPr>
      <w:sz w:val="24"/>
    </w:rPr>
  </w:style>
  <w:style w:type="table" w:styleId="LightShading-Accent5">
    <w:name w:val="Light Shading Accent 5"/>
    <w:basedOn w:val="TableNormal"/>
    <w:uiPriority w:val="60"/>
    <w:rPr>
      <w:color w:val="B76818" w:themeColor="accent5" w:themeShade="BF"/>
      <w:sz w:val="20"/>
      <w:szCs w:val="20"/>
      <w:lang w:eastAsia="en-GB"/>
    </w:rPr>
    <w:tblPr>
      <w:tblStyleRowBandSize w:val="1"/>
      <w:tblStyleColBandSize w:val="1"/>
      <w:tblBorders>
        <w:top w:val="single" w:sz="8" w:space="0" w:color="E48C32" w:themeColor="accent5"/>
        <w:bottom w:val="single" w:sz="8" w:space="0" w:color="E48C32" w:themeColor="accent5"/>
      </w:tblBorders>
    </w:tblPr>
    <w:tblStylePr w:type="firstRow">
      <w:pPr>
        <w:spacing w:before="0" w:after="0" w:line="240" w:lineRule="auto"/>
      </w:pPr>
      <w:rPr>
        <w:b/>
        <w:bCs/>
      </w:rPr>
      <w:tblPr/>
      <w:tcPr>
        <w:tcBorders>
          <w:top w:val="single" w:sz="8" w:space="0" w:color="E48C32" w:themeColor="accent5"/>
          <w:left w:val="nil"/>
          <w:bottom w:val="single" w:sz="8" w:space="0" w:color="E48C32" w:themeColor="accent5"/>
          <w:right w:val="nil"/>
          <w:insideH w:val="nil"/>
          <w:insideV w:val="nil"/>
        </w:tcBorders>
      </w:tcPr>
    </w:tblStylePr>
    <w:tblStylePr w:type="lastRow">
      <w:pPr>
        <w:spacing w:before="0" w:after="0" w:line="240" w:lineRule="auto"/>
      </w:pPr>
      <w:rPr>
        <w:b/>
        <w:bCs/>
      </w:rPr>
      <w:tblPr/>
      <w:tcPr>
        <w:tcBorders>
          <w:top w:val="single" w:sz="8" w:space="0" w:color="E48C32" w:themeColor="accent5"/>
          <w:left w:val="nil"/>
          <w:bottom w:val="single" w:sz="8" w:space="0" w:color="E48C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2CC" w:themeFill="accent5" w:themeFillTint="3F"/>
      </w:tcPr>
    </w:tblStylePr>
    <w:tblStylePr w:type="band1Horz">
      <w:tblPr/>
      <w:tcPr>
        <w:tcBorders>
          <w:left w:val="nil"/>
          <w:right w:val="nil"/>
          <w:insideH w:val="nil"/>
          <w:insideV w:val="nil"/>
        </w:tcBorders>
        <w:shd w:val="clear" w:color="auto" w:fill="F8E2CC" w:themeFill="accent5" w:themeFillTint="3F"/>
      </w:tcPr>
    </w:tblStylePr>
  </w:style>
  <w:style w:type="paragraph" w:styleId="TOCHeading">
    <w:name w:val="TOC Heading"/>
    <w:basedOn w:val="Normal"/>
    <w:next w:val="Normal"/>
    <w:uiPriority w:val="39"/>
    <w:unhideWhenUsed/>
    <w:qFormat/>
    <w:pPr>
      <w:spacing w:before="120" w:after="240"/>
      <w:jc w:val="center"/>
    </w:pPr>
    <w:rPr>
      <w:b/>
      <w:sz w:val="28"/>
    </w:rPr>
  </w:style>
  <w:style w:type="character" w:customStyle="1" w:styleId="bulletsblueChar">
    <w:name w:val="bullets blue Char"/>
    <w:basedOn w:val="ForewordbodytextChar"/>
    <w:link w:val="bulletsblue"/>
    <w:rPr>
      <w:rFonts w:ascii="EC Square Sans Pro" w:hAnsi="EC Square Sans Pro" w:cs="Times New Roman"/>
      <w:noProof/>
      <w:color w:val="000000" w:themeColor="text1"/>
      <w:sz w:val="20"/>
      <w:lang w:val="en-GB" w:eastAsia="fr-BE"/>
    </w:rPr>
  </w:style>
  <w:style w:type="paragraph" w:customStyle="1" w:styleId="HeaderLandscape">
    <w:name w:val="HeaderLandscape"/>
    <w:basedOn w:val="Normal"/>
    <w:pPr>
      <w:tabs>
        <w:tab w:val="center" w:pos="7285"/>
        <w:tab w:val="right" w:pos="14003"/>
      </w:tabs>
      <w:spacing w:after="120"/>
      <w:jc w:val="both"/>
    </w:pPr>
    <w:rPr>
      <w:sz w:val="24"/>
    </w:rPr>
  </w:style>
  <w:style w:type="paragraph" w:customStyle="1" w:styleId="Text2">
    <w:name w:val="Text 2"/>
    <w:basedOn w:val="Normal"/>
    <w:link w:val="Text2Char"/>
    <w:pPr>
      <w:spacing w:before="120" w:after="120"/>
      <w:ind w:left="1417"/>
      <w:jc w:val="both"/>
    </w:pPr>
    <w:rPr>
      <w:sz w:val="24"/>
    </w:rPr>
  </w:style>
  <w:style w:type="paragraph" w:customStyle="1" w:styleId="Text3">
    <w:name w:val="Text 3"/>
    <w:basedOn w:val="Normal"/>
    <w:pPr>
      <w:spacing w:before="120" w:after="120"/>
      <w:ind w:left="1984"/>
      <w:jc w:val="both"/>
    </w:pPr>
    <w:rPr>
      <w:sz w:val="24"/>
    </w:rPr>
  </w:style>
  <w:style w:type="paragraph" w:customStyle="1" w:styleId="Text4">
    <w:name w:val="Text 4"/>
    <w:basedOn w:val="Normal"/>
    <w:pPr>
      <w:spacing w:before="120" w:after="120"/>
      <w:ind w:left="2551"/>
      <w:jc w:val="both"/>
    </w:pPr>
    <w:rPr>
      <w:sz w:val="24"/>
    </w:rPr>
  </w:style>
  <w:style w:type="paragraph" w:customStyle="1" w:styleId="NormalCentered">
    <w:name w:val="Normal Centered"/>
    <w:basedOn w:val="Normal"/>
    <w:pPr>
      <w:spacing w:before="120" w:after="120"/>
      <w:jc w:val="center"/>
    </w:pPr>
    <w:rPr>
      <w:sz w:val="24"/>
    </w:rPr>
  </w:style>
  <w:style w:type="paragraph" w:customStyle="1" w:styleId="NormalLeft">
    <w:name w:val="Normal Left"/>
    <w:basedOn w:val="Normal"/>
    <w:pPr>
      <w:spacing w:before="120" w:after="120"/>
    </w:pPr>
    <w:rPr>
      <w:sz w:val="24"/>
    </w:rPr>
  </w:style>
  <w:style w:type="paragraph" w:customStyle="1" w:styleId="NormalRight">
    <w:name w:val="Normal Right"/>
    <w:basedOn w:val="Normal"/>
    <w:pPr>
      <w:spacing w:before="120" w:after="120"/>
      <w:jc w:val="right"/>
    </w:pPr>
    <w:rPr>
      <w:sz w:val="24"/>
    </w:rPr>
  </w:style>
  <w:style w:type="paragraph" w:customStyle="1" w:styleId="QuotedText">
    <w:name w:val="Quoted Text"/>
    <w:basedOn w:val="Normal"/>
    <w:link w:val="QuotedTextChar"/>
    <w:pPr>
      <w:spacing w:before="120" w:after="120"/>
      <w:ind w:left="1417"/>
      <w:jc w:val="both"/>
    </w:pPr>
    <w:rPr>
      <w:i/>
      <w:sz w:val="28"/>
    </w:rPr>
  </w:style>
  <w:style w:type="paragraph" w:customStyle="1" w:styleId="Point0">
    <w:name w:val="Point 0"/>
    <w:basedOn w:val="Normal"/>
    <w:pPr>
      <w:spacing w:before="120" w:after="120"/>
      <w:ind w:left="850" w:hanging="850"/>
      <w:jc w:val="both"/>
    </w:pPr>
    <w:rPr>
      <w:sz w:val="24"/>
    </w:rPr>
  </w:style>
  <w:style w:type="paragraph" w:customStyle="1" w:styleId="Point1">
    <w:name w:val="Point 1"/>
    <w:basedOn w:val="Normal"/>
    <w:pPr>
      <w:spacing w:before="120" w:after="120"/>
      <w:ind w:left="1417" w:hanging="567"/>
      <w:jc w:val="both"/>
    </w:pPr>
    <w:rPr>
      <w:sz w:val="24"/>
    </w:rPr>
  </w:style>
  <w:style w:type="paragraph" w:customStyle="1" w:styleId="Point2">
    <w:name w:val="Point 2"/>
    <w:basedOn w:val="Normal"/>
    <w:pPr>
      <w:spacing w:before="120" w:after="120"/>
      <w:ind w:left="1984" w:hanging="567"/>
      <w:jc w:val="both"/>
    </w:pPr>
    <w:rPr>
      <w:sz w:val="24"/>
    </w:rPr>
  </w:style>
  <w:style w:type="paragraph" w:customStyle="1" w:styleId="Point3">
    <w:name w:val="Point 3"/>
    <w:basedOn w:val="Normal"/>
    <w:pPr>
      <w:spacing w:before="120" w:after="120"/>
      <w:ind w:left="2551" w:hanging="567"/>
      <w:jc w:val="both"/>
    </w:pPr>
    <w:rPr>
      <w:sz w:val="24"/>
    </w:rPr>
  </w:style>
  <w:style w:type="paragraph" w:customStyle="1" w:styleId="Point4">
    <w:name w:val="Point 4"/>
    <w:basedOn w:val="Normal"/>
    <w:pPr>
      <w:spacing w:before="120" w:after="120"/>
      <w:ind w:left="3118" w:hanging="567"/>
      <w:jc w:val="both"/>
    </w:pPr>
    <w:rPr>
      <w:sz w:val="24"/>
    </w:rPr>
  </w:style>
  <w:style w:type="paragraph" w:customStyle="1" w:styleId="Tiret0">
    <w:name w:val="Tiret 0"/>
    <w:basedOn w:val="Point0"/>
    <w:pPr>
      <w:numPr>
        <w:numId w:val="2"/>
      </w:numPr>
    </w:pPr>
  </w:style>
  <w:style w:type="paragraph" w:customStyle="1" w:styleId="Tiret1">
    <w:name w:val="Tiret 1"/>
    <w:basedOn w:val="Point1"/>
    <w:pPr>
      <w:numPr>
        <w:numId w:val="3"/>
      </w:numPr>
    </w:pPr>
  </w:style>
  <w:style w:type="paragraph" w:customStyle="1" w:styleId="Tiret2">
    <w:name w:val="Tiret 2"/>
    <w:basedOn w:val="Point2"/>
    <w:pPr>
      <w:numPr>
        <w:numId w:val="4"/>
      </w:numPr>
    </w:pPr>
  </w:style>
  <w:style w:type="paragraph" w:customStyle="1" w:styleId="Tiret3">
    <w:name w:val="Tiret 3"/>
    <w:basedOn w:val="Point3"/>
    <w:pPr>
      <w:numPr>
        <w:numId w:val="5"/>
      </w:numPr>
    </w:pPr>
  </w:style>
  <w:style w:type="paragraph" w:customStyle="1" w:styleId="Tiret4">
    <w:name w:val="Tiret 4"/>
    <w:basedOn w:val="Point4"/>
    <w:pPr>
      <w:numPr>
        <w:numId w:val="6"/>
      </w:numPr>
    </w:pPr>
  </w:style>
  <w:style w:type="paragraph" w:customStyle="1" w:styleId="PointDouble0">
    <w:name w:val="PointDouble 0"/>
    <w:basedOn w:val="Normal"/>
    <w:pPr>
      <w:tabs>
        <w:tab w:val="left" w:pos="850"/>
      </w:tabs>
      <w:spacing w:before="120" w:after="120"/>
      <w:ind w:left="1417" w:hanging="1417"/>
      <w:jc w:val="both"/>
    </w:pPr>
    <w:rPr>
      <w:sz w:val="24"/>
    </w:rPr>
  </w:style>
  <w:style w:type="paragraph" w:customStyle="1" w:styleId="PointDouble1">
    <w:name w:val="PointDouble 1"/>
    <w:basedOn w:val="Normal"/>
    <w:pPr>
      <w:tabs>
        <w:tab w:val="left" w:pos="1417"/>
      </w:tabs>
      <w:spacing w:before="120" w:after="120"/>
      <w:ind w:left="1984" w:hanging="1134"/>
      <w:jc w:val="both"/>
    </w:pPr>
    <w:rPr>
      <w:sz w:val="24"/>
    </w:rPr>
  </w:style>
  <w:style w:type="paragraph" w:customStyle="1" w:styleId="PointDouble2">
    <w:name w:val="PointDouble 2"/>
    <w:basedOn w:val="Normal"/>
    <w:pPr>
      <w:tabs>
        <w:tab w:val="left" w:pos="1984"/>
      </w:tabs>
      <w:spacing w:before="120" w:after="120"/>
      <w:ind w:left="2551" w:hanging="1134"/>
      <w:jc w:val="both"/>
    </w:pPr>
    <w:rPr>
      <w:sz w:val="24"/>
    </w:rPr>
  </w:style>
  <w:style w:type="paragraph" w:customStyle="1" w:styleId="PointDouble3">
    <w:name w:val="PointDouble 3"/>
    <w:basedOn w:val="Normal"/>
    <w:pPr>
      <w:tabs>
        <w:tab w:val="left" w:pos="2551"/>
      </w:tabs>
      <w:spacing w:before="120" w:after="120"/>
      <w:ind w:left="3118" w:hanging="1134"/>
      <w:jc w:val="both"/>
    </w:pPr>
    <w:rPr>
      <w:sz w:val="24"/>
    </w:rPr>
  </w:style>
  <w:style w:type="paragraph" w:customStyle="1" w:styleId="PointDouble4">
    <w:name w:val="PointDouble 4"/>
    <w:basedOn w:val="Normal"/>
    <w:pPr>
      <w:tabs>
        <w:tab w:val="left" w:pos="3118"/>
      </w:tabs>
      <w:spacing w:before="120" w:after="120"/>
      <w:ind w:left="3685" w:hanging="1134"/>
      <w:jc w:val="both"/>
    </w:pPr>
    <w:rPr>
      <w:sz w:val="24"/>
    </w:rPr>
  </w:style>
  <w:style w:type="paragraph" w:customStyle="1" w:styleId="PointTriple0">
    <w:name w:val="PointTriple 0"/>
    <w:basedOn w:val="Normal"/>
    <w:pPr>
      <w:tabs>
        <w:tab w:val="left" w:pos="850"/>
        <w:tab w:val="left" w:pos="1417"/>
      </w:tabs>
      <w:spacing w:before="120" w:after="120"/>
      <w:ind w:left="1984" w:hanging="1984"/>
      <w:jc w:val="both"/>
    </w:pPr>
    <w:rPr>
      <w:sz w:val="24"/>
    </w:rPr>
  </w:style>
  <w:style w:type="paragraph" w:customStyle="1" w:styleId="PointTriple1">
    <w:name w:val="PointTriple 1"/>
    <w:basedOn w:val="Normal"/>
    <w:pPr>
      <w:tabs>
        <w:tab w:val="left" w:pos="1417"/>
        <w:tab w:val="left" w:pos="1984"/>
      </w:tabs>
      <w:spacing w:before="120" w:after="120"/>
      <w:ind w:left="2551" w:hanging="1701"/>
      <w:jc w:val="both"/>
    </w:pPr>
    <w:rPr>
      <w:sz w:val="24"/>
    </w:rPr>
  </w:style>
  <w:style w:type="paragraph" w:customStyle="1" w:styleId="PointTriple2">
    <w:name w:val="PointTriple 2"/>
    <w:basedOn w:val="Normal"/>
    <w:pPr>
      <w:tabs>
        <w:tab w:val="left" w:pos="1984"/>
        <w:tab w:val="left" w:pos="2551"/>
      </w:tabs>
      <w:spacing w:before="120" w:after="120"/>
      <w:ind w:left="3118" w:hanging="1701"/>
      <w:jc w:val="both"/>
    </w:pPr>
    <w:rPr>
      <w:sz w:val="24"/>
    </w:rPr>
  </w:style>
  <w:style w:type="paragraph" w:customStyle="1" w:styleId="PointTriple3">
    <w:name w:val="PointTriple 3"/>
    <w:basedOn w:val="Normal"/>
    <w:pPr>
      <w:tabs>
        <w:tab w:val="left" w:pos="2551"/>
        <w:tab w:val="left" w:pos="3118"/>
      </w:tabs>
      <w:spacing w:before="120" w:after="120"/>
      <w:ind w:left="3685" w:hanging="1701"/>
      <w:jc w:val="both"/>
    </w:pPr>
    <w:rPr>
      <w:sz w:val="24"/>
    </w:rPr>
  </w:style>
  <w:style w:type="paragraph" w:customStyle="1" w:styleId="PointTriple4">
    <w:name w:val="PointTriple 4"/>
    <w:basedOn w:val="Normal"/>
    <w:pPr>
      <w:tabs>
        <w:tab w:val="left" w:pos="3118"/>
        <w:tab w:val="left" w:pos="3685"/>
      </w:tabs>
      <w:spacing w:before="120" w:after="120"/>
      <w:ind w:left="4252" w:hanging="1701"/>
      <w:jc w:val="both"/>
    </w:pPr>
    <w:rPr>
      <w:sz w:val="24"/>
    </w:rPr>
  </w:style>
  <w:style w:type="paragraph" w:customStyle="1" w:styleId="NumPar1">
    <w:name w:val="NumPar 1"/>
    <w:basedOn w:val="Normal"/>
    <w:next w:val="Text1"/>
    <w:pPr>
      <w:numPr>
        <w:numId w:val="7"/>
      </w:numPr>
      <w:spacing w:before="120" w:after="120"/>
      <w:jc w:val="both"/>
    </w:pPr>
    <w:rPr>
      <w:sz w:val="24"/>
    </w:rPr>
  </w:style>
  <w:style w:type="paragraph" w:customStyle="1" w:styleId="NumPar2">
    <w:name w:val="NumPar 2"/>
    <w:basedOn w:val="Normal"/>
    <w:next w:val="Text1"/>
    <w:pPr>
      <w:numPr>
        <w:ilvl w:val="1"/>
        <w:numId w:val="7"/>
      </w:numPr>
      <w:spacing w:before="120" w:after="120"/>
      <w:jc w:val="both"/>
    </w:pPr>
    <w:rPr>
      <w:sz w:val="24"/>
    </w:rPr>
  </w:style>
  <w:style w:type="paragraph" w:customStyle="1" w:styleId="NumPar3">
    <w:name w:val="NumPar 3"/>
    <w:basedOn w:val="Normal"/>
    <w:next w:val="Text1"/>
    <w:pPr>
      <w:numPr>
        <w:ilvl w:val="2"/>
        <w:numId w:val="7"/>
      </w:numPr>
      <w:spacing w:before="120" w:after="120"/>
      <w:jc w:val="both"/>
    </w:pPr>
    <w:rPr>
      <w:sz w:val="24"/>
    </w:rPr>
  </w:style>
  <w:style w:type="paragraph" w:customStyle="1" w:styleId="NumPar4">
    <w:name w:val="NumPar 4"/>
    <w:basedOn w:val="Normal"/>
    <w:next w:val="Text1"/>
    <w:pPr>
      <w:numPr>
        <w:ilvl w:val="3"/>
        <w:numId w:val="7"/>
      </w:numPr>
      <w:spacing w:before="120" w:after="120"/>
      <w:jc w:val="both"/>
    </w:pPr>
    <w:rPr>
      <w:sz w:val="24"/>
    </w:rPr>
  </w:style>
  <w:style w:type="paragraph" w:customStyle="1" w:styleId="ManualNumPar1">
    <w:name w:val="Manual NumPar 1"/>
    <w:basedOn w:val="Normal"/>
    <w:next w:val="Text1"/>
    <w:pPr>
      <w:spacing w:before="120" w:after="120"/>
      <w:ind w:left="850" w:hanging="850"/>
      <w:jc w:val="both"/>
    </w:pPr>
    <w:rPr>
      <w:sz w:val="24"/>
    </w:rPr>
  </w:style>
  <w:style w:type="paragraph" w:customStyle="1" w:styleId="ManualNumPar2">
    <w:name w:val="Manual NumPar 2"/>
    <w:basedOn w:val="Normal"/>
    <w:next w:val="Text1"/>
    <w:pPr>
      <w:spacing w:before="120" w:after="120"/>
      <w:ind w:left="850" w:hanging="850"/>
      <w:jc w:val="both"/>
    </w:pPr>
    <w:rPr>
      <w:sz w:val="24"/>
    </w:rPr>
  </w:style>
  <w:style w:type="paragraph" w:customStyle="1" w:styleId="ManualNumPar3">
    <w:name w:val="Manual NumPar 3"/>
    <w:basedOn w:val="Normal"/>
    <w:next w:val="Text1"/>
    <w:pPr>
      <w:spacing w:before="120" w:after="120"/>
      <w:ind w:left="850" w:hanging="850"/>
      <w:jc w:val="both"/>
    </w:pPr>
    <w:rPr>
      <w:sz w:val="24"/>
    </w:rPr>
  </w:style>
  <w:style w:type="paragraph" w:customStyle="1" w:styleId="ManualNumPar4">
    <w:name w:val="Manual NumPar 4"/>
    <w:basedOn w:val="Normal"/>
    <w:next w:val="Text1"/>
    <w:pPr>
      <w:spacing w:before="120" w:after="120"/>
      <w:ind w:left="850" w:hanging="850"/>
      <w:jc w:val="both"/>
    </w:pPr>
    <w:rPr>
      <w:sz w:val="24"/>
    </w:rPr>
  </w:style>
  <w:style w:type="paragraph" w:customStyle="1" w:styleId="QuotedNumPar">
    <w:name w:val="Quoted NumPar"/>
    <w:basedOn w:val="Normal"/>
    <w:pPr>
      <w:spacing w:before="120" w:after="120"/>
      <w:ind w:left="1417" w:hanging="567"/>
      <w:jc w:val="both"/>
    </w:pPr>
    <w:rPr>
      <w:sz w:val="24"/>
    </w:rPr>
  </w:style>
  <w:style w:type="paragraph" w:customStyle="1" w:styleId="ManualHeading1">
    <w:name w:val="Manual Heading 1"/>
    <w:basedOn w:val="Normal"/>
    <w:next w:val="Text1"/>
    <w:pPr>
      <w:keepNext/>
      <w:tabs>
        <w:tab w:val="left" w:pos="850"/>
      </w:tabs>
      <w:spacing w:before="360" w:after="120"/>
      <w:ind w:left="850" w:hanging="850"/>
      <w:jc w:val="both"/>
      <w:outlineLvl w:val="0"/>
    </w:pPr>
    <w:rPr>
      <w:b/>
      <w:smallCaps/>
      <w:sz w:val="24"/>
    </w:rPr>
  </w:style>
  <w:style w:type="paragraph" w:customStyle="1" w:styleId="ManualHeading2">
    <w:name w:val="Manual Heading 2"/>
    <w:basedOn w:val="Normal"/>
    <w:next w:val="Text1"/>
    <w:pPr>
      <w:keepNext/>
      <w:tabs>
        <w:tab w:val="left" w:pos="850"/>
      </w:tabs>
      <w:spacing w:before="120" w:after="120"/>
      <w:ind w:left="850" w:hanging="850"/>
      <w:jc w:val="both"/>
      <w:outlineLvl w:val="1"/>
    </w:pPr>
    <w:rPr>
      <w:b/>
      <w:sz w:val="24"/>
    </w:rPr>
  </w:style>
  <w:style w:type="paragraph" w:customStyle="1" w:styleId="ManualHeading3">
    <w:name w:val="Manual Heading 3"/>
    <w:basedOn w:val="Normal"/>
    <w:next w:val="Text1"/>
    <w:pPr>
      <w:keepNext/>
      <w:tabs>
        <w:tab w:val="left" w:pos="850"/>
      </w:tabs>
      <w:spacing w:before="120" w:after="120"/>
      <w:ind w:left="850" w:hanging="850"/>
      <w:jc w:val="both"/>
      <w:outlineLvl w:val="2"/>
    </w:pPr>
    <w:rPr>
      <w:i/>
      <w:sz w:val="24"/>
    </w:rPr>
  </w:style>
  <w:style w:type="paragraph" w:customStyle="1" w:styleId="ManualHeading4">
    <w:name w:val="Manual Heading 4"/>
    <w:basedOn w:val="Normal"/>
    <w:next w:val="Text1"/>
    <w:pPr>
      <w:keepNext/>
      <w:tabs>
        <w:tab w:val="left" w:pos="850"/>
      </w:tabs>
      <w:spacing w:before="120" w:after="120"/>
      <w:ind w:left="850" w:hanging="850"/>
      <w:jc w:val="both"/>
      <w:outlineLvl w:val="3"/>
    </w:pPr>
    <w:rPr>
      <w:sz w:val="24"/>
    </w:rPr>
  </w:style>
  <w:style w:type="paragraph" w:customStyle="1" w:styleId="PartTitle">
    <w:name w:val="PartTitle"/>
    <w:basedOn w:val="Normal"/>
    <w:next w:val="Normal"/>
    <w:pPr>
      <w:keepNext/>
      <w:pageBreakBefore/>
      <w:spacing w:before="120" w:after="360"/>
      <w:jc w:val="center"/>
    </w:pPr>
    <w:rPr>
      <w:b/>
      <w:sz w:val="36"/>
    </w:rPr>
  </w:style>
  <w:style w:type="paragraph" w:customStyle="1" w:styleId="SectionTitle">
    <w:name w:val="SectionTitle"/>
    <w:basedOn w:val="Normal"/>
    <w:next w:val="Heading1"/>
    <w:pPr>
      <w:keepNext/>
      <w:spacing w:before="120" w:after="360"/>
      <w:jc w:val="center"/>
    </w:pPr>
    <w:rPr>
      <w:b/>
      <w:smallCaps/>
      <w:sz w:val="28"/>
    </w:rPr>
  </w:style>
  <w:style w:type="paragraph" w:customStyle="1" w:styleId="TableTitle">
    <w:name w:val="Table Title"/>
    <w:basedOn w:val="Normal"/>
    <w:next w:val="Normal"/>
    <w:pPr>
      <w:spacing w:before="120" w:after="120"/>
      <w:jc w:val="center"/>
    </w:pPr>
    <w:rPr>
      <w:b/>
      <w:sz w:val="24"/>
    </w:rPr>
  </w:style>
  <w:style w:type="character" w:customStyle="1" w:styleId="Marker1">
    <w:name w:val="Marker1"/>
    <w:basedOn w:val="DefaultParagraphFont"/>
    <w:rPr>
      <w:rFonts w:ascii="EC Square Sans Pro" w:hAnsi="EC Square Sans Pro"/>
      <w:color w:val="008000"/>
      <w:shd w:val="clear" w:color="auto" w:fill="auto"/>
      <w:lang w:val="en-GB"/>
    </w:rPr>
  </w:style>
  <w:style w:type="character" w:customStyle="1" w:styleId="Marker2">
    <w:name w:val="Marker2"/>
    <w:basedOn w:val="DefaultParagraphFont"/>
    <w:rPr>
      <w:rFonts w:ascii="EC Square Sans Pro" w:hAnsi="EC Square Sans Pro"/>
      <w:color w:val="FF0000"/>
      <w:shd w:val="clear" w:color="auto" w:fill="auto"/>
      <w:lang w:val="en-GB"/>
    </w:rPr>
  </w:style>
  <w:style w:type="paragraph" w:customStyle="1" w:styleId="Point0number">
    <w:name w:val="Point 0 (number)"/>
    <w:basedOn w:val="Normal"/>
    <w:pPr>
      <w:numPr>
        <w:numId w:val="1"/>
      </w:numPr>
      <w:spacing w:before="120" w:after="120"/>
      <w:jc w:val="both"/>
    </w:pPr>
    <w:rPr>
      <w:sz w:val="24"/>
    </w:rPr>
  </w:style>
  <w:style w:type="paragraph" w:customStyle="1" w:styleId="Point1number">
    <w:name w:val="Point 1 (number)"/>
    <w:basedOn w:val="Normal"/>
    <w:pPr>
      <w:numPr>
        <w:ilvl w:val="2"/>
        <w:numId w:val="1"/>
      </w:numPr>
      <w:spacing w:before="120" w:after="120"/>
      <w:jc w:val="both"/>
    </w:pPr>
    <w:rPr>
      <w:sz w:val="24"/>
    </w:rPr>
  </w:style>
  <w:style w:type="paragraph" w:customStyle="1" w:styleId="Point2number">
    <w:name w:val="Point 2 (number)"/>
    <w:basedOn w:val="Normal"/>
    <w:pPr>
      <w:numPr>
        <w:ilvl w:val="4"/>
        <w:numId w:val="1"/>
      </w:numPr>
      <w:spacing w:before="120" w:after="120"/>
      <w:jc w:val="both"/>
    </w:pPr>
    <w:rPr>
      <w:sz w:val="24"/>
    </w:rPr>
  </w:style>
  <w:style w:type="paragraph" w:customStyle="1" w:styleId="Point3number">
    <w:name w:val="Point 3 (number)"/>
    <w:basedOn w:val="Normal"/>
    <w:pPr>
      <w:numPr>
        <w:ilvl w:val="6"/>
        <w:numId w:val="1"/>
      </w:numPr>
      <w:spacing w:before="120" w:after="120"/>
      <w:jc w:val="both"/>
    </w:pPr>
    <w:rPr>
      <w:sz w:val="24"/>
    </w:rPr>
  </w:style>
  <w:style w:type="paragraph" w:customStyle="1" w:styleId="Point0letter">
    <w:name w:val="Point 0 (letter)"/>
    <w:basedOn w:val="Normal"/>
    <w:pPr>
      <w:numPr>
        <w:ilvl w:val="1"/>
        <w:numId w:val="1"/>
      </w:numPr>
      <w:spacing w:before="120" w:after="120"/>
      <w:jc w:val="both"/>
    </w:pPr>
    <w:rPr>
      <w:sz w:val="24"/>
    </w:rPr>
  </w:style>
  <w:style w:type="paragraph" w:customStyle="1" w:styleId="Point1letter">
    <w:name w:val="Point 1 (letter)"/>
    <w:basedOn w:val="Normal"/>
    <w:pPr>
      <w:numPr>
        <w:ilvl w:val="3"/>
        <w:numId w:val="1"/>
      </w:numPr>
      <w:spacing w:before="120" w:after="120"/>
      <w:jc w:val="both"/>
    </w:pPr>
    <w:rPr>
      <w:sz w:val="24"/>
    </w:rPr>
  </w:style>
  <w:style w:type="paragraph" w:customStyle="1" w:styleId="Point2letter">
    <w:name w:val="Point 2 (letter)"/>
    <w:basedOn w:val="Normal"/>
    <w:pPr>
      <w:numPr>
        <w:ilvl w:val="5"/>
        <w:numId w:val="1"/>
      </w:numPr>
      <w:spacing w:before="120" w:after="120"/>
      <w:jc w:val="both"/>
    </w:pPr>
    <w:rPr>
      <w:sz w:val="24"/>
    </w:rPr>
  </w:style>
  <w:style w:type="paragraph" w:customStyle="1" w:styleId="Point3letter">
    <w:name w:val="Point 3 (letter)"/>
    <w:basedOn w:val="Normal"/>
    <w:pPr>
      <w:numPr>
        <w:ilvl w:val="7"/>
        <w:numId w:val="1"/>
      </w:numPr>
      <w:spacing w:before="120" w:after="120"/>
      <w:jc w:val="both"/>
    </w:pPr>
    <w:rPr>
      <w:sz w:val="24"/>
    </w:rPr>
  </w:style>
  <w:style w:type="paragraph" w:customStyle="1" w:styleId="Point4letter">
    <w:name w:val="Point 4 (letter)"/>
    <w:basedOn w:val="Normal"/>
    <w:pPr>
      <w:numPr>
        <w:ilvl w:val="8"/>
        <w:numId w:val="1"/>
      </w:numPr>
      <w:spacing w:before="120" w:after="120"/>
      <w:jc w:val="both"/>
    </w:pPr>
    <w:rPr>
      <w:sz w:val="24"/>
    </w:rPr>
  </w:style>
  <w:style w:type="paragraph" w:customStyle="1" w:styleId="Langue">
    <w:name w:val="Langue"/>
    <w:basedOn w:val="Normal"/>
    <w:next w:val="Rfrenceinterne"/>
    <w:pPr>
      <w:framePr w:wrap="around" w:vAnchor="page" w:hAnchor="text" w:xAlign="center" w:y="14741"/>
      <w:spacing w:after="600"/>
      <w:jc w:val="center"/>
    </w:pPr>
    <w:rPr>
      <w:b/>
      <w:caps/>
      <w:sz w:val="24"/>
    </w:rPr>
  </w:style>
  <w:style w:type="paragraph" w:customStyle="1" w:styleId="Nomdelinstitution">
    <w:name w:val="Nom de l'institution"/>
    <w:basedOn w:val="Normal"/>
    <w:next w:val="Normal"/>
    <w:rPr>
      <w:rFonts w:cs="Arial"/>
      <w:sz w:val="24"/>
    </w:rPr>
  </w:style>
  <w:style w:type="paragraph" w:customStyle="1" w:styleId="Rfrenceinstitutionnelle">
    <w:name w:val="Référence institutionnelle"/>
    <w:basedOn w:val="Normal"/>
    <w:next w:val="Normal"/>
    <w:pPr>
      <w:spacing w:after="240"/>
      <w:ind w:left="5103"/>
    </w:pPr>
    <w:rPr>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rPr>
      <w:sz w:val="24"/>
    </w:rPr>
  </w:style>
  <w:style w:type="paragraph" w:customStyle="1" w:styleId="BOLDGREEN">
    <w:name w:val="BOLD GREEN"/>
    <w:basedOn w:val="BodyText1"/>
    <w:link w:val="BOLDGREENChar"/>
    <w:qFormat/>
    <w:rPr>
      <w:b/>
      <w:color w:val="08AA74" w:themeColor="accent3"/>
    </w:rPr>
  </w:style>
  <w:style w:type="paragraph" w:customStyle="1" w:styleId="ManualConsidrant">
    <w:name w:val="Manual Considérant"/>
    <w:basedOn w:val="Normal"/>
    <w:pPr>
      <w:spacing w:before="120" w:after="120"/>
      <w:ind w:left="709" w:hanging="709"/>
      <w:jc w:val="both"/>
    </w:pPr>
    <w:rPr>
      <w:sz w:val="24"/>
    </w:rPr>
  </w:style>
  <w:style w:type="paragraph" w:customStyle="1" w:styleId="Personnequisigne">
    <w:name w:val="Personne qui signe"/>
    <w:basedOn w:val="Normal"/>
    <w:next w:val="Normal"/>
    <w:pPr>
      <w:tabs>
        <w:tab w:val="left" w:pos="4252"/>
      </w:tabs>
    </w:pPr>
    <w:rPr>
      <w:i/>
      <w:sz w:val="24"/>
    </w:rPr>
  </w:style>
  <w:style w:type="paragraph" w:customStyle="1" w:styleId="Rfrenceinterinstitutionnelle">
    <w:name w:val="Référence interinstitutionnelle"/>
    <w:basedOn w:val="Normal"/>
    <w:next w:val="Statut"/>
    <w:pPr>
      <w:ind w:left="5103"/>
    </w:pPr>
    <w:rPr>
      <w:sz w:val="24"/>
    </w:rPr>
  </w:style>
  <w:style w:type="paragraph" w:customStyle="1" w:styleId="Rfrenceinterne">
    <w:name w:val="Référence interne"/>
    <w:basedOn w:val="Normal"/>
    <w:next w:val="Rfrenceinterinstitutionnelle"/>
    <w:pPr>
      <w:ind w:left="5103"/>
    </w:pPr>
    <w:rPr>
      <w:sz w:val="24"/>
    </w:rPr>
  </w:style>
  <w:style w:type="paragraph" w:customStyle="1" w:styleId="Statut">
    <w:name w:val="Statut"/>
    <w:basedOn w:val="Normal"/>
    <w:next w:val="Typedudocument"/>
    <w:pPr>
      <w:spacing w:after="240"/>
      <w:jc w:val="center"/>
    </w:pPr>
    <w:rPr>
      <w:sz w:val="24"/>
    </w:rPr>
  </w:style>
  <w:style w:type="paragraph" w:customStyle="1" w:styleId="Titrearticle">
    <w:name w:val="Titre article"/>
    <w:basedOn w:val="Normal"/>
    <w:next w:val="Normal"/>
    <w:pPr>
      <w:keepNext/>
      <w:spacing w:before="360" w:after="120"/>
      <w:jc w:val="center"/>
    </w:pPr>
    <w:rPr>
      <w:i/>
      <w:sz w:val="24"/>
    </w:rPr>
  </w:style>
  <w:style w:type="paragraph" w:customStyle="1" w:styleId="Typedudocument">
    <w:name w:val="Type du document"/>
    <w:basedOn w:val="Normal"/>
    <w:next w:val="Normal"/>
    <w:pPr>
      <w:spacing w:before="360" w:after="180"/>
      <w:jc w:val="center"/>
    </w:pPr>
    <w:rPr>
      <w:b/>
      <w:sz w:val="24"/>
    </w:rPr>
  </w:style>
  <w:style w:type="paragraph" w:customStyle="1" w:styleId="Objetexterne">
    <w:name w:val="Objet externe"/>
    <w:basedOn w:val="Normal"/>
    <w:next w:val="Normal"/>
    <w:pPr>
      <w:spacing w:before="120" w:after="120"/>
      <w:jc w:val="both"/>
    </w:pPr>
    <w:rPr>
      <w:i/>
      <w:caps/>
      <w:sz w:val="24"/>
    </w:rPr>
  </w:style>
  <w:style w:type="paragraph" w:customStyle="1" w:styleId="Supertitre">
    <w:name w:val="Supertitre"/>
    <w:basedOn w:val="Normal"/>
    <w:next w:val="Normal"/>
    <w:pPr>
      <w:spacing w:after="600"/>
      <w:jc w:val="center"/>
    </w:pPr>
    <w:rPr>
      <w:b/>
      <w:sz w:val="24"/>
    </w:rPr>
  </w:style>
  <w:style w:type="paragraph" w:customStyle="1" w:styleId="Languesfaisantfoi">
    <w:name w:val="Langues faisant foi"/>
    <w:basedOn w:val="Normal"/>
    <w:next w:val="Normal"/>
    <w:pPr>
      <w:spacing w:before="360"/>
      <w:jc w:val="center"/>
    </w:pPr>
    <w:rPr>
      <w:sz w:val="24"/>
    </w:rPr>
  </w:style>
  <w:style w:type="paragraph" w:customStyle="1" w:styleId="Rfrencecroise">
    <w:name w:val="Référence croisée"/>
    <w:basedOn w:val="Normal"/>
    <w:pPr>
      <w:jc w:val="center"/>
    </w:pPr>
    <w:rPr>
      <w:sz w:val="24"/>
    </w:rPr>
  </w:style>
  <w:style w:type="paragraph" w:customStyle="1" w:styleId="DatedadoptionPagedecouverture">
    <w:name w:val="Date d'adoption (Page de couverture)"/>
    <w:basedOn w:val="Normal"/>
    <w:next w:val="IntrtEEEPagedecouverture"/>
    <w:pPr>
      <w:spacing w:before="360"/>
      <w:jc w:val="center"/>
    </w:pPr>
    <w:rPr>
      <w:b/>
      <w:sz w:val="24"/>
    </w:rPr>
  </w:style>
  <w:style w:type="paragraph" w:customStyle="1" w:styleId="RfrenceinterinstitutionnellePagedecouverture">
    <w:name w:val="Référence interinstitutionnelle (Page de couverture)"/>
    <w:basedOn w:val="Rfrenceinterinstitutionnelle"/>
    <w:next w:val="Normal"/>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Normal"/>
  </w:style>
  <w:style w:type="paragraph" w:customStyle="1" w:styleId="Volume">
    <w:name w:val="Volume"/>
    <w:basedOn w:val="Normal"/>
    <w:next w:val="Normal"/>
    <w:pPr>
      <w:spacing w:after="240"/>
      <w:ind w:left="5103"/>
    </w:pPr>
    <w:rPr>
      <w:sz w:val="24"/>
    </w:rPr>
  </w:style>
  <w:style w:type="paragraph" w:customStyle="1" w:styleId="IntrtEEE">
    <w:name w:val="Intérêt EEE"/>
    <w:basedOn w:val="Languesfaisantfoi"/>
    <w:next w:val="Normal"/>
    <w:pPr>
      <w:spacing w:after="240"/>
    </w:pPr>
  </w:style>
  <w:style w:type="paragraph" w:customStyle="1" w:styleId="Typeacteprincipal">
    <w:name w:val="Type acte principal"/>
    <w:basedOn w:val="Normal"/>
    <w:next w:val="Objetacteprincipal"/>
    <w:pPr>
      <w:spacing w:after="240"/>
      <w:jc w:val="center"/>
    </w:pPr>
    <w:rPr>
      <w:b/>
      <w:sz w:val="24"/>
    </w:rPr>
  </w:style>
  <w:style w:type="paragraph" w:customStyle="1" w:styleId="Objetacteprincipal">
    <w:name w:val="Objet acte principal"/>
    <w:basedOn w:val="Normal"/>
    <w:next w:val="Titrearticle"/>
    <w:pPr>
      <w:spacing w:after="360"/>
      <w:jc w:val="center"/>
    </w:pPr>
    <w:rPr>
      <w:b/>
      <w:sz w:val="24"/>
    </w:rPr>
  </w:style>
  <w:style w:type="paragraph" w:customStyle="1" w:styleId="IntrtEEEPagedecouverture">
    <w:name w:val="Intérêt EEE (Page de couverture)"/>
    <w:basedOn w:val="IntrtEEE"/>
    <w:next w:val="Rfrencecrois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jc w:val="center"/>
    </w:pPr>
    <w:rPr>
      <w:sz w:val="24"/>
    </w:rPr>
  </w:style>
  <w:style w:type="paragraph" w:styleId="Caption">
    <w:name w:val="caption"/>
    <w:basedOn w:val="Normal"/>
    <w:next w:val="Normal"/>
    <w:unhideWhenUsed/>
    <w:qFormat/>
    <w:pPr>
      <w:spacing w:after="200"/>
      <w:jc w:val="both"/>
    </w:pPr>
    <w:rPr>
      <w:b/>
      <w:bCs/>
      <w:color w:val="65BBC8" w:themeColor="accent1"/>
      <w:sz w:val="18"/>
      <w:szCs w:val="18"/>
    </w:rPr>
  </w:style>
  <w:style w:type="paragraph" w:styleId="TableofFigures">
    <w:name w:val="table of figures"/>
    <w:basedOn w:val="Normal"/>
    <w:next w:val="Normal"/>
    <w:unhideWhenUsed/>
    <w:pPr>
      <w:spacing w:before="120"/>
      <w:jc w:val="both"/>
    </w:pPr>
    <w:rPr>
      <w:sz w:val="24"/>
    </w:rPr>
  </w:style>
  <w:style w:type="paragraph" w:styleId="ListNumber">
    <w:name w:val="List Number"/>
    <w:basedOn w:val="Normal"/>
    <w:unhideWhenUsed/>
    <w:pPr>
      <w:tabs>
        <w:tab w:val="num" w:pos="360"/>
      </w:tabs>
      <w:spacing w:before="120" w:after="120"/>
      <w:ind w:left="360" w:hanging="360"/>
      <w:contextualSpacing/>
      <w:jc w:val="both"/>
    </w:pPr>
    <w:rPr>
      <w:sz w:val="24"/>
    </w:rPr>
  </w:style>
  <w:style w:type="paragraph" w:styleId="ListNumber2">
    <w:name w:val="List Number 2"/>
    <w:basedOn w:val="Normal"/>
    <w:unhideWhenUsed/>
    <w:pPr>
      <w:tabs>
        <w:tab w:val="num" w:pos="643"/>
      </w:tabs>
      <w:spacing w:before="120" w:after="120"/>
      <w:ind w:left="643" w:hanging="360"/>
      <w:contextualSpacing/>
      <w:jc w:val="both"/>
    </w:pPr>
    <w:rPr>
      <w:sz w:val="24"/>
    </w:rPr>
  </w:style>
  <w:style w:type="paragraph" w:styleId="ListNumber3">
    <w:name w:val="List Number 3"/>
    <w:basedOn w:val="Normal"/>
    <w:unhideWhenUsed/>
    <w:pPr>
      <w:tabs>
        <w:tab w:val="num" w:pos="926"/>
      </w:tabs>
      <w:spacing w:before="120" w:after="120"/>
      <w:ind w:left="926" w:hanging="360"/>
      <w:contextualSpacing/>
      <w:jc w:val="both"/>
    </w:pPr>
    <w:rPr>
      <w:sz w:val="24"/>
    </w:rPr>
  </w:style>
  <w:style w:type="paragraph" w:styleId="ListNumber4">
    <w:name w:val="List Number 4"/>
    <w:basedOn w:val="Normal"/>
    <w:unhideWhenUsed/>
    <w:pPr>
      <w:tabs>
        <w:tab w:val="num" w:pos="1209"/>
      </w:tabs>
      <w:spacing w:before="120" w:after="120"/>
      <w:ind w:left="1209" w:hanging="360"/>
      <w:contextualSpacing/>
      <w:jc w:val="both"/>
    </w:pPr>
    <w:rPr>
      <w:sz w:val="24"/>
    </w:r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OGRAMME">
    <w:name w:val="PROGRAMME"/>
    <w:basedOn w:val="Normal"/>
    <w:link w:val="PROGRAMMEChar"/>
    <w:pPr>
      <w:ind w:right="-1"/>
      <w:outlineLvl w:val="2"/>
    </w:pPr>
    <w:rPr>
      <w:rFonts w:eastAsia="Calibri"/>
      <w:b/>
      <w:noProof/>
      <w:sz w:val="24"/>
      <w:szCs w:val="24"/>
      <w:lang w:eastAsia="zh-CN"/>
    </w:rPr>
  </w:style>
  <w:style w:type="paragraph" w:customStyle="1" w:styleId="HEADINGI">
    <w:name w:val="HEADING I"/>
    <w:basedOn w:val="Header"/>
    <w:link w:val="HEADINGIChar"/>
    <w:pPr>
      <w:outlineLvl w:val="0"/>
    </w:pPr>
    <w:rPr>
      <w:rFonts w:cs="Times New Roman"/>
      <w:color w:val="FBA900"/>
    </w:rPr>
  </w:style>
  <w:style w:type="character" w:customStyle="1" w:styleId="PROGRAMMEChar">
    <w:name w:val="PROGRAMME Char"/>
    <w:basedOn w:val="DefaultParagraphFont"/>
    <w:link w:val="PROGRAMME"/>
    <w:rPr>
      <w:rFonts w:ascii="EC Square Sans Pro" w:eastAsia="Calibri" w:hAnsi="EC Square Sans Pro" w:cs="Times New Roman"/>
      <w:b/>
      <w:noProof/>
      <w:sz w:val="24"/>
      <w:szCs w:val="24"/>
      <w:lang w:val="en-GB" w:eastAsia="zh-CN"/>
    </w:rPr>
  </w:style>
  <w:style w:type="character" w:customStyle="1" w:styleId="HEADINGIChar">
    <w:name w:val="HEADING I Char"/>
    <w:basedOn w:val="HeaderChar"/>
    <w:link w:val="HEADINGI"/>
    <w:rPr>
      <w:rFonts w:ascii="EC Square Sans Pro" w:hAnsi="EC Square Sans Pro" w:cs="Times New Roman"/>
      <w:color w:val="FBA900"/>
      <w:sz w:val="20"/>
      <w:lang w:val="en-GB"/>
    </w:rPr>
  </w:style>
  <w:style w:type="paragraph" w:customStyle="1" w:styleId="HEADINGII">
    <w:name w:val="HEADING II"/>
    <w:basedOn w:val="Header"/>
    <w:link w:val="HEADINGIIChar"/>
    <w:pPr>
      <w:outlineLvl w:val="0"/>
    </w:pPr>
    <w:rPr>
      <w:rFonts w:cs="Times New Roman"/>
      <w:color w:val="00AF62"/>
    </w:rPr>
  </w:style>
  <w:style w:type="paragraph" w:customStyle="1" w:styleId="HEADINGIII">
    <w:name w:val="HEADING III"/>
    <w:basedOn w:val="Header"/>
    <w:link w:val="HEADINGIIIChar"/>
    <w:pPr>
      <w:outlineLvl w:val="0"/>
    </w:pPr>
    <w:rPr>
      <w:rFonts w:cs="Times New Roman"/>
      <w:color w:val="C2D341"/>
    </w:rPr>
  </w:style>
  <w:style w:type="character" w:customStyle="1" w:styleId="HEADINGIIChar">
    <w:name w:val="HEADING II Char"/>
    <w:basedOn w:val="HeaderChar"/>
    <w:link w:val="HEADINGII"/>
    <w:rPr>
      <w:rFonts w:ascii="EC Square Sans Pro" w:hAnsi="EC Square Sans Pro" w:cs="Times New Roman"/>
      <w:color w:val="00AF62"/>
      <w:sz w:val="20"/>
      <w:lang w:val="en-GB"/>
    </w:rPr>
  </w:style>
  <w:style w:type="paragraph" w:customStyle="1" w:styleId="HEADINGIV">
    <w:name w:val="HEADING IV"/>
    <w:basedOn w:val="Header"/>
    <w:link w:val="HEADINGIVChar"/>
    <w:pPr>
      <w:outlineLvl w:val="0"/>
    </w:pPr>
    <w:rPr>
      <w:rFonts w:cs="Times New Roman"/>
      <w:color w:val="8F00B1"/>
    </w:rPr>
  </w:style>
  <w:style w:type="character" w:customStyle="1" w:styleId="HEADINGIIIChar">
    <w:name w:val="HEADING III Char"/>
    <w:basedOn w:val="HeaderChar"/>
    <w:link w:val="HEADINGIII"/>
    <w:rPr>
      <w:rFonts w:ascii="EC Square Sans Pro" w:hAnsi="EC Square Sans Pro" w:cs="Times New Roman"/>
      <w:color w:val="C2D341"/>
      <w:sz w:val="20"/>
      <w:lang w:val="en-GB"/>
    </w:rPr>
  </w:style>
  <w:style w:type="paragraph" w:customStyle="1" w:styleId="HEADINGV">
    <w:name w:val="HEADING V"/>
    <w:basedOn w:val="Header"/>
    <w:link w:val="HEADINGVChar"/>
    <w:pPr>
      <w:outlineLvl w:val="0"/>
    </w:pPr>
    <w:rPr>
      <w:rFonts w:cs="Times New Roman"/>
      <w:color w:val="0079BA"/>
    </w:rPr>
  </w:style>
  <w:style w:type="character" w:customStyle="1" w:styleId="HEADINGIVChar">
    <w:name w:val="HEADING IV Char"/>
    <w:basedOn w:val="HeaderChar"/>
    <w:link w:val="HEADINGIV"/>
    <w:rPr>
      <w:rFonts w:ascii="EC Square Sans Pro" w:hAnsi="EC Square Sans Pro" w:cs="Times New Roman"/>
      <w:color w:val="8F00B1"/>
      <w:sz w:val="20"/>
      <w:lang w:val="en-GB"/>
    </w:rPr>
  </w:style>
  <w:style w:type="paragraph" w:customStyle="1" w:styleId="HEADINGVI">
    <w:name w:val="HEADING VI"/>
    <w:basedOn w:val="Header"/>
    <w:link w:val="HEADINGVIChar"/>
    <w:pPr>
      <w:outlineLvl w:val="0"/>
    </w:pPr>
    <w:rPr>
      <w:rFonts w:cs="Times New Roman"/>
      <w:color w:val="EB5850"/>
    </w:rPr>
  </w:style>
  <w:style w:type="character" w:customStyle="1" w:styleId="HEADINGVChar">
    <w:name w:val="HEADING V Char"/>
    <w:basedOn w:val="HeaderChar"/>
    <w:link w:val="HEADINGV"/>
    <w:rPr>
      <w:rFonts w:ascii="EC Square Sans Pro" w:hAnsi="EC Square Sans Pro" w:cs="Times New Roman"/>
      <w:color w:val="0079BA"/>
      <w:sz w:val="20"/>
      <w:lang w:val="en-GB"/>
    </w:rPr>
  </w:style>
  <w:style w:type="paragraph" w:customStyle="1" w:styleId="OFFHEADING">
    <w:name w:val="OFF HEADING"/>
    <w:basedOn w:val="Header"/>
    <w:link w:val="OFFHEADINGChar"/>
    <w:pPr>
      <w:outlineLvl w:val="0"/>
    </w:pPr>
    <w:rPr>
      <w:rFonts w:cs="Times New Roman"/>
      <w:color w:val="4ABFDF"/>
    </w:rPr>
  </w:style>
  <w:style w:type="character" w:customStyle="1" w:styleId="HEADINGVIChar">
    <w:name w:val="HEADING VI Char"/>
    <w:basedOn w:val="HeaderChar"/>
    <w:link w:val="HEADINGVI"/>
    <w:rPr>
      <w:rFonts w:ascii="EC Square Sans Pro" w:hAnsi="EC Square Sans Pro" w:cs="Times New Roman"/>
      <w:color w:val="EB5850"/>
      <w:sz w:val="20"/>
      <w:lang w:val="en-GB"/>
    </w:rPr>
  </w:style>
  <w:style w:type="character" w:customStyle="1" w:styleId="OFFHEADINGChar">
    <w:name w:val="OFF HEADING Char"/>
    <w:basedOn w:val="HeaderChar"/>
    <w:link w:val="OFFHEADING"/>
    <w:rPr>
      <w:rFonts w:ascii="EC Square Sans Pro" w:hAnsi="EC Square Sans Pro" w:cs="Times New Roman"/>
      <w:color w:val="4ABFDF"/>
      <w:sz w:val="20"/>
      <w:lang w:val="en-GB"/>
    </w:rPr>
  </w:style>
  <w:style w:type="table" w:customStyle="1" w:styleId="LightShading1">
    <w:name w:val="Light Shading1"/>
    <w:basedOn w:val="TableNormal"/>
    <w:next w:val="LightShading"/>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rPr>
      <w:rFonts w:ascii="EC Square Sans Pro" w:hAnsi="EC Square Sans Pro"/>
      <w:i/>
      <w:iCs/>
      <w:color w:val="404040" w:themeColor="text1" w:themeTint="BF"/>
      <w:lang w:val="en-GB"/>
    </w:rPr>
  </w:style>
  <w:style w:type="character" w:styleId="SubtleReference">
    <w:name w:val="Subtle Reference"/>
    <w:basedOn w:val="DefaultParagraphFont"/>
    <w:uiPriority w:val="31"/>
    <w:qFormat/>
    <w:rPr>
      <w:rFonts w:ascii="EC Square Sans Pro" w:hAnsi="EC Square Sans Pro"/>
      <w:smallCaps/>
      <w:color w:val="5A5A5A" w:themeColor="text1" w:themeTint="A5"/>
      <w:lang w:val="en-GB"/>
    </w:rPr>
  </w:style>
  <w:style w:type="paragraph" w:customStyle="1" w:styleId="TITLE1Report">
    <w:name w:val="TITLE 1 / Report"/>
    <w:basedOn w:val="Normal"/>
    <w:link w:val="TITLE1ReportChar"/>
    <w:qFormat/>
    <w:pPr>
      <w:spacing w:before="120" w:after="120"/>
      <w:outlineLvl w:val="0"/>
    </w:pPr>
    <w:rPr>
      <w:color w:val="65BBC8" w:themeColor="accent1"/>
      <w:sz w:val="52"/>
    </w:rPr>
  </w:style>
  <w:style w:type="paragraph" w:customStyle="1" w:styleId="ExecutiveSummary">
    <w:name w:val="Executive Summary"/>
    <w:basedOn w:val="TITLE1Report"/>
    <w:link w:val="ExecutiveSummaryChar"/>
    <w:rPr>
      <w:color w:val="3FB296"/>
    </w:rPr>
  </w:style>
  <w:style w:type="character" w:customStyle="1" w:styleId="TITLE1ReportChar">
    <w:name w:val="TITLE 1 / Report Char"/>
    <w:basedOn w:val="DefaultParagraphFont"/>
    <w:link w:val="TITLE1Report"/>
    <w:rPr>
      <w:rFonts w:ascii="EC Square Sans Pro" w:hAnsi="EC Square Sans Pro" w:cs="Times New Roman"/>
      <w:color w:val="65BBC8" w:themeColor="accent1"/>
      <w:sz w:val="52"/>
      <w:lang w:val="en-GB"/>
    </w:rPr>
  </w:style>
  <w:style w:type="paragraph" w:customStyle="1" w:styleId="PageNumber1">
    <w:name w:val="Page Number1"/>
    <w:basedOn w:val="Footer"/>
    <w:qFormat/>
    <w:pPr>
      <w:jc w:val="center"/>
    </w:pPr>
    <w:rPr>
      <w:b/>
      <w:sz w:val="16"/>
    </w:rPr>
  </w:style>
  <w:style w:type="character" w:customStyle="1" w:styleId="ExecutiveSummaryChar">
    <w:name w:val="Executive Summary Char"/>
    <w:basedOn w:val="TITLE1ReportChar"/>
    <w:link w:val="ExecutiveSummary"/>
    <w:rPr>
      <w:rFonts w:ascii="EC Square Sans Pro" w:hAnsi="EC Square Sans Pro" w:cs="Times New Roman"/>
      <w:color w:val="3FB296"/>
      <w:sz w:val="52"/>
      <w:lang w:val="en-GB"/>
    </w:rPr>
  </w:style>
  <w:style w:type="paragraph" w:customStyle="1" w:styleId="Title2Executivesummary">
    <w:name w:val="Title 2 / Executive summary"/>
    <w:basedOn w:val="Normal"/>
    <w:link w:val="Title2ExecutivesummaryChar"/>
    <w:qFormat/>
    <w:pPr>
      <w:pBdr>
        <w:top w:val="single" w:sz="12" w:space="1" w:color="3FB296"/>
        <w:bottom w:val="single" w:sz="12" w:space="1" w:color="3FB296"/>
      </w:pBdr>
      <w:spacing w:before="240" w:after="240"/>
      <w:ind w:left="-6" w:right="1"/>
      <w:outlineLvl w:val="1"/>
    </w:pPr>
    <w:rPr>
      <w:rFonts w:eastAsia="EC Square Sans Pro"/>
      <w:b/>
      <w:color w:val="08AA74" w:themeColor="accent3"/>
      <w:sz w:val="28"/>
      <w:szCs w:val="21"/>
      <w:lang w:eastAsia="zh-CN"/>
    </w:rPr>
  </w:style>
  <w:style w:type="character" w:customStyle="1" w:styleId="pagenumberChar">
    <w:name w:val="page number Char"/>
    <w:basedOn w:val="FooterChar"/>
    <w:rPr>
      <w:rFonts w:ascii="EC Square Sans Pro" w:hAnsi="EC Square Sans Pro"/>
      <w:b/>
      <w:sz w:val="16"/>
      <w:lang w:val="en-GB"/>
    </w:rPr>
  </w:style>
  <w:style w:type="paragraph" w:customStyle="1" w:styleId="Frame">
    <w:name w:val="Frame"/>
    <w:basedOn w:val="Normal"/>
    <w:pPr>
      <w:pBdr>
        <w:top w:val="single" w:sz="12" w:space="1" w:color="3FB296"/>
        <w:left w:val="single" w:sz="12" w:space="4" w:color="3FB296"/>
        <w:bottom w:val="single" w:sz="12" w:space="1" w:color="3FB296"/>
        <w:right w:val="single" w:sz="12" w:space="4" w:color="3FB296"/>
      </w:pBdr>
      <w:jc w:val="both"/>
    </w:pPr>
    <w:rPr>
      <w:rFonts w:eastAsia="EC Square Sans Pro"/>
      <w:sz w:val="21"/>
      <w:szCs w:val="21"/>
      <w:lang w:eastAsia="zh-CN"/>
    </w:rPr>
  </w:style>
  <w:style w:type="character" w:customStyle="1" w:styleId="Title2ExecutivesummaryChar">
    <w:name w:val="Title 2 / Executive summary Char"/>
    <w:basedOn w:val="DefaultParagraphFont"/>
    <w:link w:val="Title2Executivesummary"/>
    <w:rPr>
      <w:rFonts w:ascii="EC Square Sans Pro" w:eastAsia="EC Square Sans Pro" w:hAnsi="EC Square Sans Pro" w:cs="Times New Roman"/>
      <w:b/>
      <w:color w:val="08AA74" w:themeColor="accent3"/>
      <w:sz w:val="28"/>
      <w:szCs w:val="21"/>
      <w:lang w:val="en-GB" w:eastAsia="zh-CN"/>
    </w:rPr>
  </w:style>
  <w:style w:type="character" w:customStyle="1" w:styleId="AnnualmgntandperformanceChar">
    <w:name w:val="Annual mgnt and performance Char"/>
    <w:basedOn w:val="TITLE1ReportChar"/>
    <w:link w:val="Annualmgntandperformance"/>
    <w:rPr>
      <w:rFonts w:ascii="EC Square Sans Pro" w:hAnsi="EC Square Sans Pro" w:cs="Times New Roman"/>
      <w:color w:val="65BBC8"/>
      <w:sz w:val="52"/>
      <w:lang w:val="en-GB" w:eastAsia="zh-CN"/>
    </w:rPr>
  </w:style>
  <w:style w:type="paragraph" w:customStyle="1" w:styleId="textchart">
    <w:name w:val="text chart"/>
    <w:basedOn w:val="Forewordbodytext"/>
    <w:link w:val="textchartChar"/>
    <w:qFormat/>
    <w:pPr>
      <w:jc w:val="left"/>
    </w:pPr>
    <w:rPr>
      <w:i/>
      <w:iCs/>
      <w:sz w:val="16"/>
      <w:szCs w:val="16"/>
    </w:rPr>
  </w:style>
  <w:style w:type="paragraph" w:customStyle="1" w:styleId="BOXE1GREEN">
    <w:name w:val="BOXE 1 / GREEN"/>
    <w:basedOn w:val="BOLDGREEN"/>
    <w:link w:val="BOXE1GREENChar"/>
    <w:qFormat/>
    <w:pPr>
      <w:pBdr>
        <w:top w:val="single" w:sz="12" w:space="1" w:color="08AA74" w:themeColor="accent3"/>
        <w:left w:val="single" w:sz="12" w:space="4" w:color="08AA74" w:themeColor="accent3"/>
        <w:bottom w:val="single" w:sz="12" w:space="1" w:color="08AA74" w:themeColor="accent3"/>
        <w:right w:val="single" w:sz="12" w:space="4" w:color="08AA74" w:themeColor="accent3"/>
      </w:pBdr>
    </w:pPr>
  </w:style>
  <w:style w:type="character" w:customStyle="1" w:styleId="textchartChar">
    <w:name w:val="text chart Char"/>
    <w:basedOn w:val="ForewordbodytextChar"/>
    <w:link w:val="textchart"/>
    <w:rPr>
      <w:rFonts w:ascii="EC Square Sans Pro" w:hAnsi="EC Square Sans Pro" w:cs="Times New Roman"/>
      <w:i/>
      <w:iCs/>
      <w:noProof/>
      <w:sz w:val="16"/>
      <w:szCs w:val="16"/>
      <w:lang w:val="en-GB" w:eastAsia="fr-BE"/>
    </w:rPr>
  </w:style>
  <w:style w:type="paragraph" w:customStyle="1" w:styleId="Annexetitle">
    <w:name w:val="Annexe title"/>
    <w:basedOn w:val="Annualmgntandperformance"/>
    <w:link w:val="AnnexetitleChar"/>
    <w:rPr>
      <w:color w:val="8033A3"/>
    </w:rPr>
  </w:style>
  <w:style w:type="paragraph" w:customStyle="1" w:styleId="titleheader">
    <w:name w:val="title header"/>
    <w:basedOn w:val="Header"/>
    <w:link w:val="titleheaderChar"/>
    <w:qFormat/>
    <w:rPr>
      <w:rFonts w:cstheme="minorHAnsi"/>
      <w:noProof/>
      <w:color w:val="3FB296"/>
      <w:lang w:eastAsia="fr-BE"/>
    </w:rPr>
  </w:style>
  <w:style w:type="character" w:customStyle="1" w:styleId="AnnexetitleChar">
    <w:name w:val="Annexe title Char"/>
    <w:basedOn w:val="AnnualmgntandperformanceChar"/>
    <w:link w:val="Annexetitle"/>
    <w:rPr>
      <w:rFonts w:ascii="EC Square Sans Pro" w:hAnsi="EC Square Sans Pro" w:cs="Times New Roman"/>
      <w:color w:val="8033A3"/>
      <w:sz w:val="52"/>
      <w:lang w:val="en-GB" w:eastAsia="zh-CN"/>
    </w:rPr>
  </w:style>
  <w:style w:type="paragraph" w:customStyle="1" w:styleId="Subtitleannexe">
    <w:name w:val="Subtitle annexe"/>
    <w:basedOn w:val="SubtitleAMPR"/>
    <w:link w:val="SubtitleannexeChar"/>
    <w:pPr>
      <w:pBdr>
        <w:top w:val="single" w:sz="12" w:space="1" w:color="8033A3"/>
        <w:bottom w:val="single" w:sz="12" w:space="1" w:color="8033A3"/>
      </w:pBdr>
    </w:pPr>
    <w:rPr>
      <w:color w:val="8033A3"/>
    </w:rPr>
  </w:style>
  <w:style w:type="character" w:customStyle="1" w:styleId="titleheaderChar">
    <w:name w:val="title header Char"/>
    <w:basedOn w:val="HeaderChar"/>
    <w:link w:val="titleheader"/>
    <w:rPr>
      <w:rFonts w:ascii="EC Square Sans Pro" w:hAnsi="EC Square Sans Pro" w:cstheme="minorHAnsi"/>
      <w:noProof/>
      <w:color w:val="3FB296"/>
      <w:sz w:val="20"/>
      <w:lang w:val="en-GB" w:eastAsia="fr-BE"/>
    </w:rPr>
  </w:style>
  <w:style w:type="paragraph" w:customStyle="1" w:styleId="Source">
    <w:name w:val="Source"/>
    <w:basedOn w:val="textchart"/>
    <w:link w:val="SourceChar"/>
    <w:qFormat/>
    <w:pPr>
      <w:spacing w:after="240"/>
      <w:contextualSpacing/>
    </w:pPr>
    <w:rPr>
      <w:rFonts w:eastAsia="Calibri"/>
      <w:color w:val="000000" w:themeColor="text1"/>
    </w:rPr>
  </w:style>
  <w:style w:type="character" w:customStyle="1" w:styleId="SubtitleannexeChar">
    <w:name w:val="Subtitle annexe Char"/>
    <w:basedOn w:val="SubtitleAMPRChar"/>
    <w:link w:val="Subtitleannexe"/>
    <w:rPr>
      <w:rFonts w:ascii="EC Square Sans Pro" w:eastAsia="EC Square Sans Pro" w:hAnsi="EC Square Sans Pro" w:cs="Times New Roman"/>
      <w:b/>
      <w:color w:val="8033A3"/>
      <w:sz w:val="28"/>
      <w:szCs w:val="21"/>
      <w:lang w:val="en-GB" w:eastAsia="zh-CN"/>
    </w:rPr>
  </w:style>
  <w:style w:type="paragraph" w:customStyle="1" w:styleId="tablesubtitle">
    <w:name w:val="table subtitle"/>
    <w:basedOn w:val="Normal"/>
    <w:link w:val="tablesubtitleChar"/>
    <w:qFormat/>
    <w:pPr>
      <w:autoSpaceDE w:val="0"/>
      <w:autoSpaceDN w:val="0"/>
      <w:adjustRightInd w:val="0"/>
      <w:jc w:val="center"/>
    </w:pPr>
    <w:rPr>
      <w:rFonts w:eastAsia="Calibri" w:cs="Arial"/>
      <w:b/>
      <w:bCs/>
      <w:noProof/>
      <w:color w:val="FFFFFF" w:themeColor="background1"/>
      <w:sz w:val="18"/>
      <w:szCs w:val="18"/>
      <w:lang w:eastAsia="zh-CN"/>
    </w:rPr>
  </w:style>
  <w:style w:type="character" w:customStyle="1" w:styleId="SourceChar">
    <w:name w:val="Source Char"/>
    <w:basedOn w:val="textchartChar"/>
    <w:link w:val="Source"/>
    <w:rPr>
      <w:rFonts w:ascii="EC Square Sans Pro" w:eastAsia="Calibri" w:hAnsi="EC Square Sans Pro" w:cs="Times New Roman"/>
      <w:i/>
      <w:iCs/>
      <w:noProof/>
      <w:color w:val="000000" w:themeColor="text1"/>
      <w:sz w:val="16"/>
      <w:szCs w:val="16"/>
      <w:lang w:val="en-GB" w:eastAsia="fr-BE"/>
    </w:rPr>
  </w:style>
  <w:style w:type="paragraph" w:customStyle="1" w:styleId="Bulletsannexes">
    <w:name w:val="Bullets annexes"/>
    <w:basedOn w:val="ListParagraph"/>
    <w:link w:val="BulletsannexesChar"/>
    <w:qFormat/>
    <w:pPr>
      <w:numPr>
        <w:numId w:val="8"/>
      </w:numPr>
      <w:autoSpaceDE w:val="0"/>
      <w:autoSpaceDN w:val="0"/>
      <w:adjustRightInd w:val="0"/>
      <w:jc w:val="both"/>
    </w:pPr>
    <w:rPr>
      <w:rFonts w:cs="Arial"/>
      <w:iCs/>
      <w:color w:val="000000"/>
    </w:rPr>
  </w:style>
  <w:style w:type="character" w:customStyle="1" w:styleId="BOLDGREENChar">
    <w:name w:val="BOLD GREEN Char"/>
    <w:basedOn w:val="BodyText1Char"/>
    <w:link w:val="BOLDGREEN"/>
    <w:rPr>
      <w:rFonts w:ascii="EC Square Sans Pro" w:hAnsi="EC Square Sans Pro" w:cs="Times New Roman"/>
      <w:b/>
      <w:noProof/>
      <w:color w:val="08AA74" w:themeColor="accent3"/>
      <w:sz w:val="20"/>
      <w:lang w:val="en-GB" w:eastAsia="fr-BE"/>
    </w:rPr>
  </w:style>
  <w:style w:type="character" w:customStyle="1" w:styleId="tablesubtitleChar">
    <w:name w:val="table subtitle Char"/>
    <w:basedOn w:val="DefaultParagraphFont"/>
    <w:link w:val="tablesubtitle"/>
    <w:rPr>
      <w:rFonts w:ascii="EC Square Sans Pro" w:eastAsia="Calibri" w:hAnsi="EC Square Sans Pro" w:cs="Arial"/>
      <w:b/>
      <w:bCs/>
      <w:noProof/>
      <w:color w:val="FFFFFF" w:themeColor="background1"/>
      <w:sz w:val="18"/>
      <w:szCs w:val="18"/>
      <w:lang w:val="en-GB" w:eastAsia="zh-CN"/>
    </w:rPr>
  </w:style>
  <w:style w:type="paragraph" w:customStyle="1" w:styleId="subtitle3purple">
    <w:name w:val="subtitle 3 purple"/>
    <w:basedOn w:val="TITLE3Executivesummary"/>
    <w:link w:val="subtitle3purpleChar"/>
    <w:rPr>
      <w:color w:val="8033A3"/>
    </w:rPr>
  </w:style>
  <w:style w:type="character" w:customStyle="1" w:styleId="BulletsannexesChar">
    <w:name w:val="Bullets annexes Char"/>
    <w:basedOn w:val="ListParagraphChar"/>
    <w:link w:val="Bulletsannexes"/>
    <w:rPr>
      <w:rFonts w:ascii="EC Square Sans Pro" w:eastAsia="Calibri" w:hAnsi="EC Square Sans Pro" w:cs="Arial"/>
      <w:iCs/>
      <w:color w:val="000000"/>
      <w:sz w:val="20"/>
      <w:szCs w:val="20"/>
      <w:lang w:val="en-GB" w:eastAsia="zh-CN"/>
    </w:rPr>
  </w:style>
  <w:style w:type="paragraph" w:customStyle="1" w:styleId="Title4Executivesummary">
    <w:name w:val="Title 4 / Executive summary"/>
    <w:basedOn w:val="BodyText1"/>
    <w:link w:val="Title4ExecutivesummaryChar"/>
    <w:qFormat/>
    <w:pPr>
      <w:numPr>
        <w:ilvl w:val="1"/>
        <w:numId w:val="19"/>
      </w:numPr>
      <w:spacing w:line="360" w:lineRule="auto"/>
      <w:jc w:val="left"/>
    </w:pPr>
    <w:rPr>
      <w:color w:val="08AA74" w:themeColor="accent3"/>
      <w:sz w:val="18"/>
      <w:szCs w:val="28"/>
      <w:lang w:eastAsia="zh-CN"/>
    </w:rPr>
  </w:style>
  <w:style w:type="character" w:customStyle="1" w:styleId="subtitle3purpleChar">
    <w:name w:val="subtitle 3 purple Char"/>
    <w:basedOn w:val="TITLE3ExecutivesummaryChar"/>
    <w:link w:val="subtitle3purple"/>
    <w:rPr>
      <w:rFonts w:ascii="EC Square Sans Pro" w:hAnsi="EC Square Sans Pro" w:cs="Times New Roman"/>
      <w:b/>
      <w:color w:val="8033A3"/>
      <w:sz w:val="24"/>
      <w:lang w:val="en-GB" w:eastAsia="zh-CN"/>
    </w:rPr>
  </w:style>
  <w:style w:type="paragraph" w:customStyle="1" w:styleId="Tablefootnote">
    <w:name w:val="Table footnote"/>
    <w:basedOn w:val="textchart"/>
    <w:link w:val="TablefootnoteChar"/>
    <w:qFormat/>
  </w:style>
  <w:style w:type="character" w:customStyle="1" w:styleId="Title4ExecutivesummaryChar">
    <w:name w:val="Title 4 / Executive summary Char"/>
    <w:basedOn w:val="ForewordbodytextChar"/>
    <w:link w:val="Title4Executivesummary"/>
    <w:rPr>
      <w:rFonts w:ascii="EC Square Sans Pro" w:hAnsi="EC Square Sans Pro" w:cs="Times New Roman"/>
      <w:noProof/>
      <w:color w:val="08AA74" w:themeColor="accent3"/>
      <w:sz w:val="18"/>
      <w:szCs w:val="28"/>
      <w:lang w:val="en-GB" w:eastAsia="zh-CN"/>
    </w:rPr>
  </w:style>
  <w:style w:type="paragraph" w:customStyle="1" w:styleId="BOXE2GREEN">
    <w:name w:val="BOXE 2 / GREEN"/>
    <w:basedOn w:val="BodyText10"/>
    <w:link w:val="BOXE2GREENChar"/>
    <w:qFormat/>
    <w:pPr>
      <w:shd w:val="clear" w:color="auto" w:fill="D7F1EA" w:themeFill="accent4" w:themeFillTint="33"/>
    </w:pPr>
  </w:style>
  <w:style w:type="character" w:customStyle="1" w:styleId="TablefootnoteChar">
    <w:name w:val="Table footnote Char"/>
    <w:basedOn w:val="textchartChar"/>
    <w:link w:val="Tablefootnote"/>
    <w:rPr>
      <w:rFonts w:ascii="EC Square Sans Pro" w:hAnsi="EC Square Sans Pro" w:cs="Times New Roman"/>
      <w:i/>
      <w:iCs/>
      <w:noProof/>
      <w:sz w:val="16"/>
      <w:szCs w:val="16"/>
      <w:lang w:val="en-GB" w:eastAsia="fr-BE"/>
    </w:rPr>
  </w:style>
  <w:style w:type="paragraph" w:styleId="TOC2">
    <w:name w:val="toc 2"/>
    <w:basedOn w:val="Normal"/>
    <w:next w:val="Normal"/>
    <w:autoRedefine/>
    <w:uiPriority w:val="39"/>
    <w:unhideWhenUsed/>
    <w:qFormat/>
    <w:pPr>
      <w:tabs>
        <w:tab w:val="right" w:leader="dot" w:pos="9062"/>
      </w:tabs>
      <w:ind w:left="220"/>
    </w:pPr>
    <w:rPr>
      <w:rFonts w:cstheme="minorHAnsi"/>
      <w:smallCaps/>
      <w:szCs w:val="20"/>
    </w:rPr>
  </w:style>
  <w:style w:type="paragraph" w:styleId="TOC3">
    <w:name w:val="toc 3"/>
    <w:basedOn w:val="Normal"/>
    <w:next w:val="Normal"/>
    <w:autoRedefine/>
    <w:uiPriority w:val="39"/>
    <w:unhideWhenUsed/>
    <w:qFormat/>
    <w:pPr>
      <w:ind w:left="440"/>
    </w:pPr>
    <w:rPr>
      <w:rFonts w:cstheme="minorHAnsi"/>
      <w:i/>
      <w:iCs/>
      <w:szCs w:val="20"/>
    </w:rPr>
  </w:style>
  <w:style w:type="paragraph" w:styleId="TOC4">
    <w:name w:val="toc 4"/>
    <w:basedOn w:val="Normal"/>
    <w:next w:val="Normal"/>
    <w:autoRedefine/>
    <w:unhideWhenUsed/>
    <w:pPr>
      <w:ind w:left="660"/>
    </w:pPr>
    <w:rPr>
      <w:rFonts w:cstheme="minorHAnsi"/>
      <w:sz w:val="18"/>
      <w:szCs w:val="18"/>
    </w:rPr>
  </w:style>
  <w:style w:type="paragraph" w:styleId="TOC5">
    <w:name w:val="toc 5"/>
    <w:basedOn w:val="Normal"/>
    <w:next w:val="Normal"/>
    <w:autoRedefine/>
    <w:unhideWhenUsed/>
    <w:pPr>
      <w:ind w:left="880"/>
    </w:pPr>
    <w:rPr>
      <w:rFonts w:cstheme="minorHAnsi"/>
      <w:sz w:val="18"/>
      <w:szCs w:val="18"/>
    </w:rPr>
  </w:style>
  <w:style w:type="paragraph" w:styleId="TOC6">
    <w:name w:val="toc 6"/>
    <w:basedOn w:val="Normal"/>
    <w:next w:val="Normal"/>
    <w:autoRedefine/>
    <w:unhideWhenUsed/>
    <w:pPr>
      <w:ind w:left="1100"/>
    </w:pPr>
    <w:rPr>
      <w:rFonts w:cstheme="minorHAnsi"/>
      <w:sz w:val="18"/>
      <w:szCs w:val="18"/>
    </w:rPr>
  </w:style>
  <w:style w:type="paragraph" w:styleId="TOC7">
    <w:name w:val="toc 7"/>
    <w:basedOn w:val="Normal"/>
    <w:next w:val="Normal"/>
    <w:autoRedefine/>
    <w:unhideWhenUsed/>
    <w:pPr>
      <w:ind w:left="1320"/>
    </w:pPr>
    <w:rPr>
      <w:rFonts w:cstheme="minorHAnsi"/>
      <w:sz w:val="18"/>
      <w:szCs w:val="18"/>
    </w:rPr>
  </w:style>
  <w:style w:type="paragraph" w:styleId="TOC8">
    <w:name w:val="toc 8"/>
    <w:basedOn w:val="Normal"/>
    <w:next w:val="Normal"/>
    <w:autoRedefine/>
    <w:unhideWhenUsed/>
    <w:pPr>
      <w:ind w:left="1540"/>
    </w:pPr>
    <w:rPr>
      <w:rFonts w:cstheme="minorHAnsi"/>
      <w:sz w:val="18"/>
      <w:szCs w:val="18"/>
    </w:rPr>
  </w:style>
  <w:style w:type="paragraph" w:styleId="TOC9">
    <w:name w:val="toc 9"/>
    <w:basedOn w:val="Normal"/>
    <w:next w:val="Normal"/>
    <w:autoRedefine/>
    <w:unhideWhenUsed/>
    <w:pPr>
      <w:ind w:left="1760"/>
    </w:pPr>
    <w:rPr>
      <w:rFonts w:cstheme="minorHAnsi"/>
      <w:sz w:val="18"/>
      <w:szCs w:val="18"/>
    </w:rPr>
  </w:style>
  <w:style w:type="paragraph" w:customStyle="1" w:styleId="Endnote">
    <w:name w:val="Endnote"/>
    <w:basedOn w:val="EndnoteText"/>
    <w:link w:val="EndnoteChar"/>
    <w:qFormat/>
    <w:pPr>
      <w:spacing w:before="120" w:after="120"/>
    </w:pPr>
  </w:style>
  <w:style w:type="character" w:customStyle="1" w:styleId="EndnoteChar">
    <w:name w:val="Endnote Char"/>
    <w:basedOn w:val="EndnoteTextChar"/>
    <w:link w:val="Endnote"/>
    <w:rPr>
      <w:rFonts w:ascii="EC Square Sans Pro" w:eastAsia="Calibri" w:hAnsi="EC Square Sans Pro"/>
      <w:sz w:val="20"/>
      <w:szCs w:val="20"/>
      <w:lang w:val="en-GB"/>
    </w:rPr>
  </w:style>
  <w:style w:type="paragraph" w:customStyle="1" w:styleId="TitleforSectionpagebreak">
    <w:name w:val="Title for Section / page break"/>
    <w:basedOn w:val="Normal"/>
    <w:link w:val="TitleforSectionpagebreakChar"/>
    <w:qFormat/>
    <w:rPr>
      <w:color w:val="1F4EA2" w:themeColor="background2"/>
      <w:sz w:val="60"/>
      <w:szCs w:val="60"/>
    </w:rPr>
  </w:style>
  <w:style w:type="paragraph" w:customStyle="1" w:styleId="BodyText10">
    <w:name w:val="Body Text1"/>
    <w:basedOn w:val="Forewordbodytext"/>
    <w:next w:val="BodyText"/>
    <w:qFormat/>
    <w:rPr>
      <w:color w:val="000000" w:themeColor="text1"/>
      <w:sz w:val="20"/>
    </w:rPr>
  </w:style>
  <w:style w:type="character" w:customStyle="1" w:styleId="TitleforSectionpagebreakChar">
    <w:name w:val="Title for Section / page break Char"/>
    <w:basedOn w:val="DefaultParagraphFont"/>
    <w:link w:val="TitleforSectionpagebreak"/>
    <w:rPr>
      <w:rFonts w:ascii="EC Square Sans Pro" w:hAnsi="EC Square Sans Pro" w:cs="Times New Roman"/>
      <w:color w:val="1F4EA2" w:themeColor="background2"/>
      <w:sz w:val="60"/>
      <w:szCs w:val="60"/>
      <w:lang w:val="en-GB"/>
    </w:rPr>
  </w:style>
  <w:style w:type="character" w:customStyle="1" w:styleId="BOXE1GREENChar">
    <w:name w:val="BOXE 1 / GREEN Char"/>
    <w:basedOn w:val="BOLDGREENChar"/>
    <w:link w:val="BOXE1GREEN"/>
    <w:rPr>
      <w:rFonts w:ascii="EC Square Sans Pro" w:hAnsi="EC Square Sans Pro" w:cs="Times New Roman"/>
      <w:b/>
      <w:noProof/>
      <w:color w:val="08AA74" w:themeColor="accent3"/>
      <w:sz w:val="20"/>
      <w:lang w:val="en-GB" w:eastAsia="fr-BE"/>
    </w:rPr>
  </w:style>
  <w:style w:type="character" w:customStyle="1" w:styleId="BodytextChar">
    <w:name w:val="Body text Char"/>
    <w:basedOn w:val="ForewordbodytextChar"/>
    <w:rPr>
      <w:rFonts w:ascii="EC Square Sans Pro" w:hAnsi="EC Square Sans Pro" w:cs="Times New Roman"/>
      <w:noProof/>
      <w:color w:val="000000" w:themeColor="text1"/>
      <w:sz w:val="20"/>
      <w:lang w:val="en-GB" w:eastAsia="fr-BE"/>
    </w:rPr>
  </w:style>
  <w:style w:type="paragraph" w:customStyle="1" w:styleId="BOXE3GREEN">
    <w:name w:val="BOXE 3 / GREEN"/>
    <w:basedOn w:val="BodyText10"/>
    <w:link w:val="BOXE3GREENChar"/>
    <w:qFormat/>
    <w:pPr>
      <w:pBdr>
        <w:top w:val="dashSmallGap" w:sz="12" w:space="1" w:color="08AA74" w:themeColor="accent3"/>
        <w:left w:val="dashSmallGap" w:sz="12" w:space="4" w:color="08AA74" w:themeColor="accent3"/>
        <w:bottom w:val="dashSmallGap" w:sz="12" w:space="1" w:color="08AA74" w:themeColor="accent3"/>
        <w:right w:val="dashSmallGap" w:sz="12" w:space="4" w:color="08AA74" w:themeColor="accent3"/>
      </w:pBdr>
    </w:pPr>
  </w:style>
  <w:style w:type="character" w:customStyle="1" w:styleId="BOXE2GREENChar">
    <w:name w:val="BOXE 2 / GREEN Char"/>
    <w:basedOn w:val="BodytextChar"/>
    <w:link w:val="BOXE2GREEN"/>
    <w:rPr>
      <w:rFonts w:ascii="EC Square Sans Pro" w:hAnsi="EC Square Sans Pro" w:cs="Times New Roman"/>
      <w:noProof/>
      <w:color w:val="000000" w:themeColor="text1"/>
      <w:sz w:val="20"/>
      <w:shd w:val="clear" w:color="auto" w:fill="D7F1EA" w:themeFill="accent4" w:themeFillTint="33"/>
      <w:lang w:val="en-GB" w:eastAsia="fr-BE"/>
    </w:rPr>
  </w:style>
  <w:style w:type="paragraph" w:customStyle="1" w:styleId="Greenbolded">
    <w:name w:val="Green bolded"/>
    <w:basedOn w:val="BodyText10"/>
    <w:link w:val="GreenboldedChar"/>
    <w:qFormat/>
    <w:rPr>
      <w:b/>
      <w:color w:val="08AA74" w:themeColor="accent3"/>
    </w:rPr>
  </w:style>
  <w:style w:type="character" w:customStyle="1" w:styleId="BOXE3GREENChar">
    <w:name w:val="BOXE 3 / GREEN Char"/>
    <w:basedOn w:val="BodytextChar"/>
    <w:link w:val="BOXE3GREEN"/>
    <w:rPr>
      <w:rFonts w:ascii="EC Square Sans Pro" w:hAnsi="EC Square Sans Pro" w:cs="Times New Roman"/>
      <w:noProof/>
      <w:color w:val="000000" w:themeColor="text1"/>
      <w:sz w:val="20"/>
      <w:lang w:val="en-GB" w:eastAsia="fr-BE"/>
    </w:rPr>
  </w:style>
  <w:style w:type="table" w:customStyle="1" w:styleId="BOXBullets">
    <w:name w:val="BOX Bullets"/>
    <w:basedOn w:val="TableNormal"/>
    <w:uiPriority w:val="99"/>
    <w:rPr>
      <w:sz w:val="20"/>
    </w:rPr>
    <w:tblPr/>
    <w:tcPr>
      <w:vAlign w:val="center"/>
    </w:tcPr>
  </w:style>
  <w:style w:type="character" w:customStyle="1" w:styleId="GreenboldedChar">
    <w:name w:val="Green bolded Char"/>
    <w:basedOn w:val="BodytextChar"/>
    <w:link w:val="Greenbolded"/>
    <w:rPr>
      <w:rFonts w:ascii="EC Square Sans Pro" w:hAnsi="EC Square Sans Pro" w:cs="Times New Roman"/>
      <w:b/>
      <w:noProof/>
      <w:color w:val="08AA74" w:themeColor="accent3"/>
      <w:sz w:val="20"/>
      <w:lang w:val="en-GB" w:eastAsia="fr-BE"/>
    </w:rPr>
  </w:style>
  <w:style w:type="table" w:customStyle="1" w:styleId="GridTable6Colorful-Accent41">
    <w:name w:val="Grid Table 6 Colorful - Accent 41"/>
    <w:basedOn w:val="TableNormal"/>
    <w:uiPriority w:val="51"/>
    <w:rPr>
      <w:color w:val="2F856F" w:themeColor="accent4" w:themeShade="BF"/>
    </w:rPr>
    <w:tblPr>
      <w:tblStyleRowBandSize w:val="1"/>
      <w:tblStyleColBandSize w:val="1"/>
      <w:tblBorders>
        <w:top w:val="single" w:sz="4" w:space="0" w:color="87D4C1" w:themeColor="accent4" w:themeTint="99"/>
        <w:left w:val="single" w:sz="4" w:space="0" w:color="87D4C1" w:themeColor="accent4" w:themeTint="99"/>
        <w:bottom w:val="single" w:sz="4" w:space="0" w:color="87D4C1" w:themeColor="accent4" w:themeTint="99"/>
        <w:right w:val="single" w:sz="4" w:space="0" w:color="87D4C1" w:themeColor="accent4" w:themeTint="99"/>
        <w:insideH w:val="single" w:sz="4" w:space="0" w:color="87D4C1" w:themeColor="accent4" w:themeTint="99"/>
        <w:insideV w:val="single" w:sz="4" w:space="0" w:color="87D4C1" w:themeColor="accent4" w:themeTint="99"/>
      </w:tblBorders>
    </w:tblPr>
    <w:tblStylePr w:type="firstRow">
      <w:rPr>
        <w:b/>
        <w:bCs/>
      </w:rPr>
      <w:tblPr/>
      <w:tcPr>
        <w:tcBorders>
          <w:bottom w:val="single" w:sz="12" w:space="0" w:color="87D4C1" w:themeColor="accent4" w:themeTint="99"/>
        </w:tcBorders>
      </w:tcPr>
    </w:tblStylePr>
    <w:tblStylePr w:type="lastRow">
      <w:rPr>
        <w:b/>
        <w:bCs/>
      </w:rPr>
      <w:tblPr/>
      <w:tcPr>
        <w:tcBorders>
          <w:top w:val="double" w:sz="4" w:space="0" w:color="87D4C1" w:themeColor="accent4" w:themeTint="99"/>
        </w:tcBorders>
      </w:tcPr>
    </w:tblStylePr>
    <w:tblStylePr w:type="firstCol">
      <w:rPr>
        <w:b/>
        <w:bCs/>
      </w:rPr>
    </w:tblStylePr>
    <w:tblStylePr w:type="lastCol">
      <w:rPr>
        <w:b/>
        <w:bCs/>
      </w:rPr>
    </w:tblStylePr>
    <w:tblStylePr w:type="band1Vert">
      <w:tblPr/>
      <w:tcPr>
        <w:shd w:val="clear" w:color="auto" w:fill="D7F1EA" w:themeFill="accent4" w:themeFillTint="33"/>
      </w:tcPr>
    </w:tblStylePr>
    <w:tblStylePr w:type="band1Horz">
      <w:tblPr/>
      <w:tcPr>
        <w:shd w:val="clear" w:color="auto" w:fill="D7F1EA" w:themeFill="accent4" w:themeFillTint="33"/>
      </w:tcPr>
    </w:tblStylePr>
  </w:style>
  <w:style w:type="table" w:customStyle="1" w:styleId="Tablegreen">
    <w:name w:val="Table green"/>
    <w:basedOn w:val="TableNormal"/>
    <w:uiPriority w:val="99"/>
    <w:tblPr/>
  </w:style>
  <w:style w:type="table" w:customStyle="1" w:styleId="GridTable4-Accent41">
    <w:name w:val="Grid Table 4 - Accent 41"/>
    <w:basedOn w:val="TableNormal"/>
    <w:uiPriority w:val="49"/>
    <w:pPr>
      <w:jc w:val="center"/>
    </w:pPr>
    <w:rPr>
      <w:sz w:val="20"/>
    </w:rPr>
    <w:tblPr>
      <w:tblStyleRowBandSize w:val="1"/>
      <w:tblStyleColBandSize w:val="1"/>
      <w:tblBorders>
        <w:top w:val="single" w:sz="4" w:space="0" w:color="87D4C1" w:themeColor="accent4" w:themeTint="99"/>
        <w:left w:val="single" w:sz="4" w:space="0" w:color="87D4C1" w:themeColor="accent4" w:themeTint="99"/>
        <w:bottom w:val="single" w:sz="4" w:space="0" w:color="87D4C1" w:themeColor="accent4" w:themeTint="99"/>
        <w:right w:val="single" w:sz="4" w:space="0" w:color="87D4C1" w:themeColor="accent4" w:themeTint="99"/>
        <w:insideH w:val="single" w:sz="4" w:space="0" w:color="87D4C1" w:themeColor="accent4" w:themeTint="99"/>
        <w:insideV w:val="single" w:sz="4" w:space="0" w:color="87D4C1" w:themeColor="accent4" w:themeTint="99"/>
      </w:tblBorders>
    </w:tblPr>
    <w:tcPr>
      <w:vAlign w:val="center"/>
    </w:tcPr>
    <w:tblStylePr w:type="firstRow">
      <w:rPr>
        <w:b/>
        <w:bCs/>
        <w:color w:val="FFFFFF" w:themeColor="background1"/>
      </w:rPr>
      <w:tblPr/>
      <w:tcPr>
        <w:tcBorders>
          <w:top w:val="single" w:sz="4" w:space="0" w:color="3FB296" w:themeColor="accent4"/>
          <w:left w:val="single" w:sz="4" w:space="0" w:color="3FB296" w:themeColor="accent4"/>
          <w:bottom w:val="single" w:sz="4" w:space="0" w:color="3FB296" w:themeColor="accent4"/>
          <w:right w:val="single" w:sz="4" w:space="0" w:color="3FB296" w:themeColor="accent4"/>
          <w:insideH w:val="nil"/>
          <w:insideV w:val="nil"/>
        </w:tcBorders>
        <w:shd w:val="clear" w:color="auto" w:fill="3FB296" w:themeFill="accent4"/>
      </w:tcPr>
    </w:tblStylePr>
    <w:tblStylePr w:type="lastRow">
      <w:rPr>
        <w:b/>
        <w:bCs/>
      </w:rPr>
      <w:tblPr/>
      <w:tcPr>
        <w:tcBorders>
          <w:top w:val="double" w:sz="4" w:space="0" w:color="3FB296" w:themeColor="accent4"/>
        </w:tcBorders>
      </w:tcPr>
    </w:tblStylePr>
    <w:tblStylePr w:type="firstCol">
      <w:rPr>
        <w:b/>
        <w:bCs/>
      </w:rPr>
    </w:tblStylePr>
    <w:tblStylePr w:type="lastCol">
      <w:rPr>
        <w:b/>
        <w:bCs/>
      </w:rPr>
    </w:tblStylePr>
    <w:tblStylePr w:type="band1Vert">
      <w:tblPr/>
      <w:tcPr>
        <w:shd w:val="clear" w:color="auto" w:fill="D7F1EA" w:themeFill="accent4" w:themeFillTint="33"/>
      </w:tcPr>
    </w:tblStylePr>
    <w:tblStylePr w:type="band1Horz">
      <w:tblPr/>
      <w:tcPr>
        <w:shd w:val="clear" w:color="auto" w:fill="D7F1EA" w:themeFill="accent4" w:themeFillTint="33"/>
      </w:tcPr>
    </w:tblStylePr>
  </w:style>
  <w:style w:type="paragraph" w:customStyle="1" w:styleId="AMPRPageNumber">
    <w:name w:val="AMPR Page Number"/>
    <w:basedOn w:val="Normal"/>
    <w:link w:val="AMPRPageNumberChar"/>
    <w:qFormat/>
    <w:pPr>
      <w:pBdr>
        <w:top w:val="single" w:sz="4" w:space="1" w:color="0070C0"/>
      </w:pBdr>
      <w:spacing w:after="100"/>
      <w:jc w:val="center"/>
    </w:pPr>
    <w:rPr>
      <w:rFonts w:eastAsia="Times New Roman"/>
      <w:color w:val="0070C0"/>
      <w:sz w:val="32"/>
      <w:szCs w:val="24"/>
      <w:lang w:eastAsia="en-GB"/>
    </w:rPr>
  </w:style>
  <w:style w:type="character" w:customStyle="1" w:styleId="AMPRPageNumberChar">
    <w:name w:val="AMPR Page Number Char"/>
    <w:basedOn w:val="DefaultParagraphFont"/>
    <w:link w:val="AMPRPageNumber"/>
    <w:rPr>
      <w:rFonts w:ascii="EC Square Sans Pro" w:eastAsia="Times New Roman" w:hAnsi="EC Square Sans Pro" w:cs="Times New Roman"/>
      <w:color w:val="0070C0"/>
      <w:sz w:val="32"/>
      <w:szCs w:val="24"/>
      <w:lang w:val="en-GB" w:eastAsia="en-GB"/>
    </w:rPr>
  </w:style>
  <w:style w:type="table" w:customStyle="1" w:styleId="GridTable4-Accent11">
    <w:name w:val="Grid Table 4 - Accent 11"/>
    <w:basedOn w:val="TableNormal"/>
    <w:uiPriority w:val="49"/>
    <w:tblPr>
      <w:tblStyleRowBandSize w:val="1"/>
      <w:tblStyleColBandSize w:val="1"/>
      <w:tblBorders>
        <w:top w:val="single" w:sz="4" w:space="0" w:color="A2D6DE" w:themeColor="accent1" w:themeTint="99"/>
        <w:left w:val="single" w:sz="4" w:space="0" w:color="A2D6DE" w:themeColor="accent1" w:themeTint="99"/>
        <w:bottom w:val="single" w:sz="4" w:space="0" w:color="A2D6DE" w:themeColor="accent1" w:themeTint="99"/>
        <w:right w:val="single" w:sz="4" w:space="0" w:color="A2D6DE" w:themeColor="accent1" w:themeTint="99"/>
        <w:insideH w:val="single" w:sz="4" w:space="0" w:color="A2D6DE" w:themeColor="accent1" w:themeTint="99"/>
        <w:insideV w:val="single" w:sz="4" w:space="0" w:color="A2D6DE" w:themeColor="accent1" w:themeTint="99"/>
      </w:tblBorders>
    </w:tblPr>
    <w:tblStylePr w:type="firstRow">
      <w:rPr>
        <w:b/>
        <w:bCs/>
        <w:color w:val="FFFFFF" w:themeColor="background1"/>
      </w:rPr>
      <w:tblPr/>
      <w:tcPr>
        <w:tcBorders>
          <w:top w:val="single" w:sz="4" w:space="0" w:color="65BBC8" w:themeColor="accent1"/>
          <w:left w:val="single" w:sz="4" w:space="0" w:color="65BBC8" w:themeColor="accent1"/>
          <w:bottom w:val="single" w:sz="4" w:space="0" w:color="65BBC8" w:themeColor="accent1"/>
          <w:right w:val="single" w:sz="4" w:space="0" w:color="65BBC8" w:themeColor="accent1"/>
          <w:insideH w:val="nil"/>
          <w:insideV w:val="nil"/>
        </w:tcBorders>
        <w:shd w:val="clear" w:color="auto" w:fill="65BBC8" w:themeFill="accent1"/>
      </w:tcPr>
    </w:tblStylePr>
    <w:tblStylePr w:type="lastRow">
      <w:rPr>
        <w:b/>
        <w:bCs/>
      </w:rPr>
      <w:tblPr/>
      <w:tcPr>
        <w:tcBorders>
          <w:top w:val="double" w:sz="4" w:space="0" w:color="65BBC8" w:themeColor="accent1"/>
        </w:tcBorders>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ListTable6Colorful-Accent11">
    <w:name w:val="List Table 6 Colorful - Accent 11"/>
    <w:basedOn w:val="TableNormal"/>
    <w:uiPriority w:val="51"/>
    <w:rPr>
      <w:color w:val="3B97A5" w:themeColor="accent1" w:themeShade="BF"/>
    </w:rPr>
    <w:tblPr>
      <w:tblStyleRowBandSize w:val="1"/>
      <w:tblStyleColBandSize w:val="1"/>
      <w:tblBorders>
        <w:top w:val="single" w:sz="4" w:space="0" w:color="65BBC8" w:themeColor="accent1"/>
        <w:bottom w:val="single" w:sz="4" w:space="0" w:color="65BBC8" w:themeColor="accent1"/>
      </w:tblBorders>
    </w:tblPr>
    <w:tblStylePr w:type="firstRow">
      <w:rPr>
        <w:b/>
        <w:bCs/>
      </w:rPr>
      <w:tblPr/>
      <w:tcPr>
        <w:tcBorders>
          <w:bottom w:val="single" w:sz="4" w:space="0" w:color="65BBC8" w:themeColor="accent1"/>
        </w:tcBorders>
      </w:tcPr>
    </w:tblStylePr>
    <w:tblStylePr w:type="lastRow">
      <w:rPr>
        <w:b/>
        <w:bCs/>
      </w:rPr>
      <w:tblPr/>
      <w:tcPr>
        <w:tcBorders>
          <w:top w:val="double" w:sz="4" w:space="0" w:color="65BBC8" w:themeColor="accent1"/>
        </w:tcBorders>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ListTable2-Accent11">
    <w:name w:val="List Table 2 - Accent 11"/>
    <w:basedOn w:val="TableNormal"/>
    <w:uiPriority w:val="47"/>
    <w:tblPr>
      <w:tblStyleRowBandSize w:val="1"/>
      <w:tblStyleColBandSize w:val="1"/>
      <w:tblBorders>
        <w:top w:val="single" w:sz="4" w:space="0" w:color="A2D6DE" w:themeColor="accent1" w:themeTint="99"/>
        <w:bottom w:val="single" w:sz="4" w:space="0" w:color="A2D6DE" w:themeColor="accent1" w:themeTint="99"/>
        <w:insideH w:val="single" w:sz="4" w:space="0" w:color="A2D6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GridTable6Colorful-Accent51">
    <w:name w:val="Grid Table 6 Colorful - Accent 51"/>
    <w:basedOn w:val="TableNormal"/>
    <w:uiPriority w:val="51"/>
    <w:rPr>
      <w:color w:val="B76818" w:themeColor="accent5" w:themeShade="BF"/>
      <w:lang w:val="en-GB"/>
    </w:rPr>
    <w:tblPr>
      <w:tblStyleRowBandSize w:val="1"/>
      <w:tblStyleColBandSize w:val="1"/>
      <w:tblBorders>
        <w:top w:val="single" w:sz="4" w:space="0" w:color="EEB983" w:themeColor="accent5" w:themeTint="99"/>
        <w:left w:val="single" w:sz="4" w:space="0" w:color="EEB983" w:themeColor="accent5" w:themeTint="99"/>
        <w:bottom w:val="single" w:sz="4" w:space="0" w:color="EEB983" w:themeColor="accent5" w:themeTint="99"/>
        <w:right w:val="single" w:sz="4" w:space="0" w:color="EEB983" w:themeColor="accent5" w:themeTint="99"/>
        <w:insideH w:val="single" w:sz="4" w:space="0" w:color="EEB983" w:themeColor="accent5" w:themeTint="99"/>
        <w:insideV w:val="single" w:sz="4" w:space="0" w:color="EEB983" w:themeColor="accent5" w:themeTint="99"/>
      </w:tblBorders>
    </w:tblPr>
    <w:tblStylePr w:type="firstRow">
      <w:rPr>
        <w:b/>
        <w:bCs/>
      </w:rPr>
      <w:tblPr/>
      <w:tcPr>
        <w:tcBorders>
          <w:bottom w:val="single" w:sz="12" w:space="0" w:color="EEB983" w:themeColor="accent5" w:themeTint="99"/>
        </w:tcBorders>
      </w:tcPr>
    </w:tblStylePr>
    <w:tblStylePr w:type="lastRow">
      <w:rPr>
        <w:b/>
        <w:bCs/>
      </w:rPr>
      <w:tblPr/>
      <w:tcPr>
        <w:tcBorders>
          <w:top w:val="double" w:sz="4" w:space="0" w:color="EEB983" w:themeColor="accent5" w:themeTint="99"/>
        </w:tcBorders>
      </w:tcPr>
    </w:tblStylePr>
    <w:tblStylePr w:type="firstCol">
      <w:rPr>
        <w:b/>
        <w:bCs/>
      </w:rPr>
    </w:tblStylePr>
    <w:tblStylePr w:type="lastCol">
      <w:rPr>
        <w:b/>
        <w:bCs/>
      </w:rPr>
    </w:tblStylePr>
    <w:tblStylePr w:type="band1Vert">
      <w:tblPr/>
      <w:tcPr>
        <w:shd w:val="clear" w:color="auto" w:fill="F9E7D5" w:themeFill="accent5" w:themeFillTint="33"/>
      </w:tcPr>
    </w:tblStylePr>
    <w:tblStylePr w:type="band1Horz">
      <w:tblPr/>
      <w:tcPr>
        <w:shd w:val="clear" w:color="auto" w:fill="F9E7D5" w:themeFill="accent5" w:themeFillTint="33"/>
      </w:tcPr>
    </w:tblStylePr>
  </w:style>
  <w:style w:type="table" w:customStyle="1" w:styleId="GridTable2-Accent11">
    <w:name w:val="Grid Table 2 - Accent 11"/>
    <w:basedOn w:val="TableNormal"/>
    <w:uiPriority w:val="47"/>
    <w:tblPr>
      <w:tblStyleRowBandSize w:val="1"/>
      <w:tblStyleColBandSize w:val="1"/>
      <w:tblBorders>
        <w:top w:val="single" w:sz="2" w:space="0" w:color="A2D6DE" w:themeColor="accent1" w:themeTint="99"/>
        <w:bottom w:val="single" w:sz="2" w:space="0" w:color="A2D6DE" w:themeColor="accent1" w:themeTint="99"/>
        <w:insideH w:val="single" w:sz="2" w:space="0" w:color="A2D6DE" w:themeColor="accent1" w:themeTint="99"/>
        <w:insideV w:val="single" w:sz="2" w:space="0" w:color="A2D6DE" w:themeColor="accent1" w:themeTint="99"/>
      </w:tblBorders>
    </w:tblPr>
    <w:tcPr>
      <w:vAlign w:val="center"/>
    </w:tcPr>
    <w:tblStylePr w:type="firstRow">
      <w:rPr>
        <w:b/>
        <w:bCs/>
      </w:rPr>
      <w:tblPr/>
      <w:tcPr>
        <w:tcBorders>
          <w:top w:val="nil"/>
          <w:bottom w:val="single" w:sz="12" w:space="0" w:color="A2D6DE" w:themeColor="accent1" w:themeTint="99"/>
          <w:insideH w:val="nil"/>
          <w:insideV w:val="nil"/>
        </w:tcBorders>
        <w:shd w:val="clear" w:color="auto" w:fill="FFFFFF" w:themeFill="background1"/>
      </w:tcPr>
    </w:tblStylePr>
    <w:tblStylePr w:type="lastRow">
      <w:rPr>
        <w:b/>
        <w:bCs/>
      </w:rPr>
      <w:tblPr/>
      <w:tcPr>
        <w:tcBorders>
          <w:top w:val="double" w:sz="2" w:space="0" w:color="A2D6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paragraph" w:styleId="CommentText">
    <w:name w:val="annotation text"/>
    <w:basedOn w:val="Normal"/>
    <w:link w:val="CommentTextChar"/>
    <w:uiPriority w:val="99"/>
    <w:unhideWhenUsed/>
    <w:qFormat/>
    <w:rPr>
      <w:szCs w:val="20"/>
    </w:rPr>
  </w:style>
  <w:style w:type="character" w:customStyle="1" w:styleId="CommentTextChar">
    <w:name w:val="Comment Text Char"/>
    <w:basedOn w:val="DefaultParagraphFont"/>
    <w:link w:val="CommentText"/>
    <w:uiPriority w:val="99"/>
    <w:rPr>
      <w:rFonts w:ascii="EC Square Sans Pro" w:hAnsi="EC Square Sans Pro" w:cs="Times New Roman"/>
      <w:sz w:val="20"/>
      <w:szCs w:val="20"/>
      <w:lang w:val="en-GB"/>
    </w:rPr>
  </w:style>
  <w:style w:type="paragraph" w:customStyle="1" w:styleId="Paragraph">
    <w:name w:val="Paragraph"/>
    <w:basedOn w:val="Normal"/>
    <w:link w:val="ParagraphChar"/>
    <w:qFormat/>
    <w:pPr>
      <w:spacing w:after="120"/>
      <w:jc w:val="both"/>
    </w:pPr>
    <w:rPr>
      <w:rFonts w:eastAsia="Times New Roman"/>
      <w:sz w:val="24"/>
      <w:szCs w:val="24"/>
    </w:rPr>
  </w:style>
  <w:style w:type="character" w:customStyle="1" w:styleId="ParagraphChar">
    <w:name w:val="Paragraph Char"/>
    <w:basedOn w:val="DefaultParagraphFont"/>
    <w:link w:val="Paragraph"/>
    <w:rPr>
      <w:rFonts w:ascii="EC Square Sans Pro" w:eastAsia="Times New Roman" w:hAnsi="EC Square Sans Pro" w:cs="Times New Roman"/>
      <w:sz w:val="24"/>
      <w:szCs w:val="24"/>
      <w:lang w:val="en-GB"/>
    </w:rPr>
  </w:style>
  <w:style w:type="paragraph" w:customStyle="1" w:styleId="Subtitleblue">
    <w:name w:val="Subtitle blue"/>
    <w:basedOn w:val="Normal"/>
    <w:link w:val="SubtitleblueChar"/>
    <w:qFormat/>
    <w:rPr>
      <w:b/>
      <w:i/>
      <w:color w:val="65BBC8"/>
      <w:lang w:eastAsia="zh-CN"/>
    </w:rPr>
  </w:style>
  <w:style w:type="character" w:customStyle="1" w:styleId="SubtitleblueChar">
    <w:name w:val="Subtitle blue Char"/>
    <w:basedOn w:val="DefaultParagraphFont"/>
    <w:link w:val="Subtitleblue"/>
    <w:rPr>
      <w:rFonts w:ascii="EC Square Sans Pro" w:hAnsi="EC Square Sans Pro" w:cs="Times New Roman"/>
      <w:b/>
      <w:i/>
      <w:color w:val="65BBC8"/>
      <w:sz w:val="20"/>
      <w:lang w:val="en-GB" w:eastAsia="zh-CN"/>
    </w:rPr>
  </w:style>
  <w:style w:type="paragraph" w:customStyle="1" w:styleId="BOX1BLUE">
    <w:name w:val="BOX 1 / BLUE"/>
    <w:basedOn w:val="BOXE1GREEN"/>
    <w:link w:val="BOX1BLUEChar"/>
    <w:qFormat/>
    <w:pPr>
      <w:pBdr>
        <w:top w:val="single" w:sz="12" w:space="1" w:color="65BBC8" w:themeColor="accent1"/>
        <w:left w:val="single" w:sz="12" w:space="4" w:color="65BBC8" w:themeColor="accent1"/>
        <w:bottom w:val="single" w:sz="12" w:space="1" w:color="65BBC8" w:themeColor="accent1"/>
        <w:right w:val="single" w:sz="12" w:space="4" w:color="65BBC8" w:themeColor="accent1"/>
      </w:pBdr>
    </w:pPr>
    <w:rPr>
      <w:color w:val="65BBC8" w:themeColor="accent1"/>
    </w:rPr>
  </w:style>
  <w:style w:type="paragraph" w:customStyle="1" w:styleId="Subtitle3blue">
    <w:name w:val="Subtitle 3 blue"/>
    <w:basedOn w:val="Normal"/>
    <w:link w:val="Subtitle3blueChar"/>
    <w:qFormat/>
    <w:rPr>
      <w:b/>
      <w:color w:val="65BBC8"/>
      <w:lang w:eastAsia="zh-CN"/>
    </w:rPr>
  </w:style>
  <w:style w:type="character" w:customStyle="1" w:styleId="BOX1BLUEChar">
    <w:name w:val="BOX 1 / BLUE Char"/>
    <w:basedOn w:val="BOXE1GREENChar"/>
    <w:link w:val="BOX1BLUE"/>
    <w:rPr>
      <w:rFonts w:ascii="EC Square Sans Pro" w:hAnsi="EC Square Sans Pro" w:cs="Times New Roman"/>
      <w:b/>
      <w:noProof/>
      <w:color w:val="65BBC8" w:themeColor="accent1"/>
      <w:sz w:val="20"/>
      <w:lang w:val="en-GB" w:eastAsia="fr-BE"/>
    </w:rPr>
  </w:style>
  <w:style w:type="paragraph" w:styleId="BodyText">
    <w:name w:val="Body Text"/>
    <w:basedOn w:val="Normal"/>
    <w:link w:val="BodyTextChar0"/>
    <w:unhideWhenUsed/>
    <w:qFormat/>
    <w:pPr>
      <w:spacing w:after="120"/>
    </w:pPr>
  </w:style>
  <w:style w:type="character" w:customStyle="1" w:styleId="BodyTextChar0">
    <w:name w:val="Body Text Char"/>
    <w:basedOn w:val="DefaultParagraphFont"/>
    <w:link w:val="BodyText"/>
    <w:rPr>
      <w:rFonts w:ascii="EC Square Sans Pro" w:hAnsi="EC Square Sans Pro" w:cs="Times New Roman"/>
      <w:sz w:val="20"/>
      <w:lang w:val="en-GB"/>
    </w:rPr>
  </w:style>
  <w:style w:type="character" w:customStyle="1" w:styleId="Subtitle3blueChar">
    <w:name w:val="Subtitle 3 blue Char"/>
    <w:basedOn w:val="DefaultParagraphFont"/>
    <w:link w:val="Subtitle3blue"/>
    <w:rPr>
      <w:rFonts w:ascii="EC Square Sans Pro" w:hAnsi="EC Square Sans Pro" w:cs="Times New Roman"/>
      <w:b/>
      <w:color w:val="65BBC8"/>
      <w:sz w:val="20"/>
      <w:lang w:val="en-GB" w:eastAsia="zh-CN"/>
    </w:rPr>
  </w:style>
  <w:style w:type="paragraph" w:customStyle="1" w:styleId="TITLE3Blue">
    <w:name w:val="TITLE 3 Blue"/>
    <w:basedOn w:val="Normal"/>
    <w:link w:val="TITLE3BlueChar"/>
    <w:pPr>
      <w:ind w:left="644" w:hanging="360"/>
    </w:pPr>
    <w:rPr>
      <w:color w:val="65BBC8" w:themeColor="accent1"/>
      <w:lang w:eastAsia="zh-CN"/>
    </w:rPr>
  </w:style>
  <w:style w:type="paragraph" w:customStyle="1" w:styleId="TITLE1EXECUTIVESUMMARY">
    <w:name w:val="TITLE 1 / EXECUTIVE SUMMARY"/>
    <w:basedOn w:val="TITLE1Report"/>
    <w:link w:val="TITLE1EXECUTIVESUMMARYChar"/>
    <w:qFormat/>
    <w:rPr>
      <w:color w:val="08AA74" w:themeColor="accent3"/>
    </w:rPr>
  </w:style>
  <w:style w:type="character" w:customStyle="1" w:styleId="TITLE3BlueChar">
    <w:name w:val="TITLE 3 Blue Char"/>
    <w:basedOn w:val="TITLE3ExecutivesummaryChar"/>
    <w:link w:val="TITLE3Blue"/>
    <w:rPr>
      <w:rFonts w:ascii="EC Square Sans Pro" w:hAnsi="EC Square Sans Pro" w:cs="Times New Roman"/>
      <w:b w:val="0"/>
      <w:color w:val="65BBC8" w:themeColor="accent1"/>
      <w:sz w:val="20"/>
      <w:lang w:val="en-GB" w:eastAsia="zh-CN"/>
    </w:rPr>
  </w:style>
  <w:style w:type="paragraph" w:customStyle="1" w:styleId="Title2Report">
    <w:name w:val="Title 2 / Report"/>
    <w:basedOn w:val="Normal"/>
    <w:link w:val="Title2ReportChar"/>
    <w:qFormat/>
    <w:pPr>
      <w:pBdr>
        <w:top w:val="single" w:sz="12" w:space="1" w:color="65BBC8"/>
        <w:bottom w:val="single" w:sz="12" w:space="1" w:color="65BBC8"/>
      </w:pBdr>
      <w:spacing w:before="240" w:after="240" w:line="276" w:lineRule="auto"/>
      <w:ind w:left="-6" w:right="1"/>
      <w:outlineLvl w:val="1"/>
    </w:pPr>
    <w:rPr>
      <w:rFonts w:eastAsia="EC Square Sans Pro"/>
      <w:b/>
      <w:color w:val="65BBC8"/>
      <w:sz w:val="28"/>
      <w:szCs w:val="21"/>
      <w:lang w:eastAsia="zh-CN"/>
    </w:rPr>
  </w:style>
  <w:style w:type="character" w:customStyle="1" w:styleId="TITLE1EXECUTIVESUMMARYChar">
    <w:name w:val="TITLE 1 / EXECUTIVE SUMMARY Char"/>
    <w:basedOn w:val="TITLE1ReportChar"/>
    <w:link w:val="TITLE1EXECUTIVESUMMARY"/>
    <w:rPr>
      <w:rFonts w:ascii="EC Square Sans Pro" w:hAnsi="EC Square Sans Pro" w:cs="Times New Roman"/>
      <w:color w:val="08AA74" w:themeColor="accent3"/>
      <w:sz w:val="52"/>
      <w:lang w:val="en-GB"/>
    </w:rPr>
  </w:style>
  <w:style w:type="paragraph" w:customStyle="1" w:styleId="Title3Report">
    <w:name w:val="Title 3 / Report"/>
    <w:basedOn w:val="TITLE3Executivesummary"/>
    <w:link w:val="Title3ReportChar"/>
    <w:qFormat/>
    <w:pPr>
      <w:numPr>
        <w:numId w:val="0"/>
      </w:numPr>
      <w:ind w:left="142"/>
    </w:pPr>
    <w:rPr>
      <w:color w:val="65BBC8" w:themeColor="accent1"/>
    </w:rPr>
  </w:style>
  <w:style w:type="character" w:customStyle="1" w:styleId="Title2ReportChar">
    <w:name w:val="Title 2 / Report Char"/>
    <w:basedOn w:val="Title2ExecutivesummaryChar"/>
    <w:link w:val="Title2Report"/>
    <w:rPr>
      <w:rFonts w:ascii="EC Square Sans Pro" w:eastAsia="EC Square Sans Pro" w:hAnsi="EC Square Sans Pro" w:cs="Times New Roman"/>
      <w:b/>
      <w:color w:val="65BBC8"/>
      <w:sz w:val="28"/>
      <w:szCs w:val="21"/>
      <w:lang w:val="en-GB" w:eastAsia="zh-CN"/>
    </w:rPr>
  </w:style>
  <w:style w:type="paragraph" w:customStyle="1" w:styleId="QuoteReport">
    <w:name w:val="Quote Report"/>
    <w:basedOn w:val="QuotedText"/>
    <w:link w:val="QuoteReportChar"/>
    <w:qFormat/>
    <w:pPr>
      <w:ind w:left="41"/>
      <w:jc w:val="center"/>
    </w:pPr>
    <w:rPr>
      <w:rFonts w:eastAsia="Calibri"/>
      <w:color w:val="65BBC8" w:themeColor="accent1"/>
      <w:lang w:eastAsia="zh-CN"/>
    </w:rPr>
  </w:style>
  <w:style w:type="character" w:customStyle="1" w:styleId="Title3ReportChar">
    <w:name w:val="Title 3 / Report Char"/>
    <w:basedOn w:val="TITLE3ExecutivesummaryChar"/>
    <w:link w:val="Title3Report"/>
    <w:rPr>
      <w:rFonts w:ascii="EC Square Sans Pro" w:hAnsi="EC Square Sans Pro" w:cs="Times New Roman"/>
      <w:b/>
      <w:color w:val="65BBC8" w:themeColor="accent1"/>
      <w:sz w:val="24"/>
      <w:lang w:val="en-GB" w:eastAsia="zh-CN"/>
    </w:rPr>
  </w:style>
  <w:style w:type="paragraph" w:customStyle="1" w:styleId="Title1Corporate">
    <w:name w:val="Title 1 / Corporate"/>
    <w:basedOn w:val="TITLE1Report"/>
    <w:link w:val="Title1CorporateChar"/>
    <w:qFormat/>
    <w:rPr>
      <w:color w:val="1F4EA2" w:themeColor="background2"/>
    </w:rPr>
  </w:style>
  <w:style w:type="character" w:customStyle="1" w:styleId="QuotedTextChar">
    <w:name w:val="Quoted Text Char"/>
    <w:basedOn w:val="DefaultParagraphFont"/>
    <w:link w:val="QuotedText"/>
    <w:rPr>
      <w:rFonts w:ascii="EC Square Sans Pro" w:hAnsi="EC Square Sans Pro" w:cs="Times New Roman"/>
      <w:i/>
      <w:sz w:val="28"/>
      <w:lang w:val="en-GB"/>
    </w:rPr>
  </w:style>
  <w:style w:type="character" w:customStyle="1" w:styleId="QuoteReportChar">
    <w:name w:val="Quote Report Char"/>
    <w:basedOn w:val="QuotedTextChar"/>
    <w:link w:val="QuoteReport"/>
    <w:rPr>
      <w:rFonts w:ascii="EC Square Sans Pro" w:eastAsia="Calibri" w:hAnsi="EC Square Sans Pro" w:cs="Times New Roman"/>
      <w:i/>
      <w:color w:val="65BBC8" w:themeColor="accent1"/>
      <w:sz w:val="28"/>
      <w:lang w:val="en-GB" w:eastAsia="zh-CN"/>
    </w:rPr>
  </w:style>
  <w:style w:type="paragraph" w:customStyle="1" w:styleId="Datagraphs">
    <w:name w:val="Data graphs"/>
    <w:basedOn w:val="Forewordbodytext"/>
    <w:link w:val="DatagraphsChar"/>
    <w:qFormat/>
  </w:style>
  <w:style w:type="character" w:customStyle="1" w:styleId="Title1CorporateChar">
    <w:name w:val="Title 1 / Corporate Char"/>
    <w:basedOn w:val="TITLE1ReportChar"/>
    <w:link w:val="Title1Corporate"/>
    <w:rPr>
      <w:rFonts w:ascii="EC Square Sans Pro" w:hAnsi="EC Square Sans Pro" w:cs="Times New Roman"/>
      <w:color w:val="1F4EA2" w:themeColor="background2"/>
      <w:sz w:val="52"/>
      <w:lang w:val="en-GB"/>
    </w:rPr>
  </w:style>
  <w:style w:type="paragraph" w:customStyle="1" w:styleId="BOX3Blue">
    <w:name w:val="BOX 3 / Blue"/>
    <w:basedOn w:val="BOXE3GREEN"/>
    <w:link w:val="BOX3BlueChar"/>
    <w:qFormat/>
    <w:pPr>
      <w:pBdr>
        <w:top w:val="dashSmallGap" w:sz="12" w:space="1" w:color="65BBC8" w:themeColor="accent1"/>
        <w:left w:val="dashSmallGap" w:sz="12" w:space="4" w:color="65BBC8" w:themeColor="accent1"/>
        <w:bottom w:val="dashSmallGap" w:sz="12" w:space="1" w:color="65BBC8" w:themeColor="accent1"/>
        <w:right w:val="dashSmallGap" w:sz="12" w:space="4" w:color="65BBC8" w:themeColor="accent1"/>
      </w:pBdr>
    </w:pPr>
    <w:rPr>
      <w:b/>
      <w:color w:val="65BBC8"/>
    </w:rPr>
  </w:style>
  <w:style w:type="character" w:customStyle="1" w:styleId="DatagraphsChar">
    <w:name w:val="Data graphs Char"/>
    <w:basedOn w:val="ForewordbodytextChar"/>
    <w:link w:val="Datagraphs"/>
    <w:rPr>
      <w:rFonts w:ascii="EC Square Sans Pro" w:hAnsi="EC Square Sans Pro" w:cs="Times New Roman"/>
      <w:noProof/>
      <w:sz w:val="18"/>
      <w:lang w:val="en-GB" w:eastAsia="fr-BE"/>
    </w:rPr>
  </w:style>
  <w:style w:type="paragraph" w:customStyle="1" w:styleId="BOX2Blue">
    <w:name w:val="BOX 2 /Blue"/>
    <w:basedOn w:val="BOXE2GREEN"/>
    <w:link w:val="BOX2BlueChar"/>
    <w:qFormat/>
    <w:pPr>
      <w:shd w:val="clear" w:color="auto" w:fill="FBEFD5"/>
    </w:pPr>
  </w:style>
  <w:style w:type="character" w:customStyle="1" w:styleId="BOX3BlueChar">
    <w:name w:val="BOX 3 / Blue Char"/>
    <w:basedOn w:val="BOXE3GREENChar"/>
    <w:link w:val="BOX3Blue"/>
    <w:rPr>
      <w:rFonts w:ascii="EC Square Sans Pro" w:hAnsi="EC Square Sans Pro" w:cs="Times New Roman"/>
      <w:b/>
      <w:noProof/>
      <w:color w:val="65BBC8"/>
      <w:sz w:val="20"/>
      <w:lang w:val="en-GB" w:eastAsia="fr-BE"/>
    </w:rPr>
  </w:style>
  <w:style w:type="paragraph" w:customStyle="1" w:styleId="Title4Blue">
    <w:name w:val="Title 4 / Blue"/>
    <w:basedOn w:val="Title4Executivesummary"/>
    <w:link w:val="Title4BlueChar"/>
    <w:qFormat/>
    <w:pPr>
      <w:numPr>
        <w:ilvl w:val="0"/>
        <w:numId w:val="0"/>
      </w:numPr>
      <w:ind w:left="1440" w:hanging="360"/>
    </w:pPr>
    <w:rPr>
      <w:color w:val="65BBC8" w:themeColor="accent1"/>
    </w:rPr>
  </w:style>
  <w:style w:type="character" w:customStyle="1" w:styleId="BOX2BlueChar">
    <w:name w:val="BOX 2 /Blue Char"/>
    <w:basedOn w:val="BOXE2GREENChar"/>
    <w:link w:val="BOX2Blue"/>
    <w:rPr>
      <w:rFonts w:ascii="EC Square Sans Pro" w:hAnsi="EC Square Sans Pro" w:cs="Times New Roman"/>
      <w:noProof/>
      <w:color w:val="000000" w:themeColor="text1"/>
      <w:sz w:val="20"/>
      <w:shd w:val="clear" w:color="auto" w:fill="FBEFD5"/>
      <w:lang w:val="en-GB" w:eastAsia="fr-BE"/>
    </w:rPr>
  </w:style>
  <w:style w:type="character" w:customStyle="1" w:styleId="Title4BlueChar">
    <w:name w:val="Title 4 / Blue Char"/>
    <w:basedOn w:val="Title4ExecutivesummaryChar"/>
    <w:link w:val="Title4Blue"/>
    <w:rPr>
      <w:rFonts w:ascii="EC Square Sans Pro" w:hAnsi="EC Square Sans Pro" w:cs="Times New Roman"/>
      <w:noProof/>
      <w:color w:val="65BBC8" w:themeColor="accent1"/>
      <w:sz w:val="18"/>
      <w:szCs w:val="28"/>
      <w:lang w:val="en-GB" w:eastAsia="zh-CN"/>
    </w:rPr>
  </w:style>
  <w:style w:type="paragraph" w:customStyle="1" w:styleId="Title1Annexes">
    <w:name w:val="Title 1 / Annexes"/>
    <w:basedOn w:val="Annexetitle"/>
    <w:link w:val="Title1AnnexesChar"/>
    <w:qFormat/>
    <w:pPr>
      <w:keepNext/>
      <w:keepLines/>
      <w:pageBreakBefore/>
    </w:pPr>
    <w:rPr>
      <w:color w:val="E48C32" w:themeColor="accent5"/>
    </w:rPr>
  </w:style>
  <w:style w:type="paragraph" w:customStyle="1" w:styleId="Title1Endnotes">
    <w:name w:val="Title 1 / Endnotes"/>
    <w:basedOn w:val="Annexetitle"/>
    <w:link w:val="Title1EndnotesChar"/>
    <w:qFormat/>
    <w:rPr>
      <w:color w:val="EFC465" w:themeColor="accent6"/>
    </w:rPr>
  </w:style>
  <w:style w:type="character" w:customStyle="1" w:styleId="Title1AnnexesChar">
    <w:name w:val="Title 1 / Annexes Char"/>
    <w:basedOn w:val="AnnexetitleChar"/>
    <w:link w:val="Title1Annexes"/>
    <w:rPr>
      <w:rFonts w:ascii="EC Square Sans Pro" w:hAnsi="EC Square Sans Pro" w:cs="Times New Roman"/>
      <w:color w:val="E48C32" w:themeColor="accent5"/>
      <w:sz w:val="52"/>
      <w:lang w:val="en-GB" w:eastAsia="zh-CN"/>
    </w:rPr>
  </w:style>
  <w:style w:type="paragraph" w:customStyle="1" w:styleId="Title2Annexes">
    <w:name w:val="Title 2 / Annexes"/>
    <w:basedOn w:val="Subtitleannexe"/>
    <w:link w:val="Title2AnnexesChar"/>
    <w:qFormat/>
    <w:pPr>
      <w:keepNext/>
      <w:keepLines/>
      <w:pBdr>
        <w:top w:val="single" w:sz="12" w:space="1" w:color="E48C32"/>
        <w:bottom w:val="single" w:sz="12" w:space="1" w:color="E48C32"/>
      </w:pBdr>
      <w:ind w:right="0"/>
    </w:pPr>
    <w:rPr>
      <w:color w:val="E48C32" w:themeColor="accent5"/>
    </w:rPr>
  </w:style>
  <w:style w:type="character" w:customStyle="1" w:styleId="Title1EndnotesChar">
    <w:name w:val="Title 1 / Endnotes Char"/>
    <w:basedOn w:val="AnnexetitleChar"/>
    <w:link w:val="Title1Endnotes"/>
    <w:rPr>
      <w:rFonts w:ascii="EC Square Sans Pro" w:hAnsi="EC Square Sans Pro" w:cs="Times New Roman"/>
      <w:color w:val="EFC465" w:themeColor="accent6"/>
      <w:sz w:val="52"/>
      <w:lang w:val="en-GB" w:eastAsia="zh-CN"/>
    </w:rPr>
  </w:style>
  <w:style w:type="paragraph" w:customStyle="1" w:styleId="Title3Annexes">
    <w:name w:val="Title 3 / Annexes"/>
    <w:basedOn w:val="Title3Report"/>
    <w:link w:val="Title3AnnexesChar"/>
    <w:qFormat/>
    <w:pPr>
      <w:numPr>
        <w:numId w:val="18"/>
      </w:numPr>
    </w:pPr>
    <w:rPr>
      <w:color w:val="E48C32" w:themeColor="accent5"/>
    </w:rPr>
  </w:style>
  <w:style w:type="character" w:customStyle="1" w:styleId="Title2AnnexesChar">
    <w:name w:val="Title 2 / Annexes Char"/>
    <w:basedOn w:val="SubtitleannexeChar"/>
    <w:link w:val="Title2Annexes"/>
    <w:rPr>
      <w:rFonts w:ascii="EC Square Sans Pro" w:eastAsia="EC Square Sans Pro" w:hAnsi="EC Square Sans Pro" w:cs="Times New Roman"/>
      <w:b/>
      <w:color w:val="E48C32" w:themeColor="accent5"/>
      <w:sz w:val="28"/>
      <w:szCs w:val="21"/>
      <w:lang w:val="en-GB" w:eastAsia="zh-CN"/>
    </w:rPr>
  </w:style>
  <w:style w:type="paragraph" w:customStyle="1" w:styleId="Title4annexes">
    <w:name w:val="Title 4 / annexes"/>
    <w:basedOn w:val="Title3Annexes"/>
    <w:link w:val="Title4annexesChar"/>
    <w:qFormat/>
    <w:pPr>
      <w:numPr>
        <w:ilvl w:val="1"/>
      </w:numPr>
    </w:pPr>
    <w:rPr>
      <w:b w:val="0"/>
    </w:rPr>
  </w:style>
  <w:style w:type="character" w:customStyle="1" w:styleId="Title3AnnexesChar">
    <w:name w:val="Title 3 / Annexes Char"/>
    <w:basedOn w:val="Title3ReportChar"/>
    <w:link w:val="Title3Annexes"/>
    <w:rPr>
      <w:rFonts w:ascii="EC Square Sans Pro" w:hAnsi="EC Square Sans Pro" w:cs="Times New Roman"/>
      <w:b/>
      <w:color w:val="E48C32" w:themeColor="accent5"/>
      <w:sz w:val="24"/>
      <w:lang w:val="en-GB" w:eastAsia="zh-CN"/>
    </w:rPr>
  </w:style>
  <w:style w:type="paragraph" w:customStyle="1" w:styleId="AARText">
    <w:name w:val="AAR Text"/>
    <w:basedOn w:val="Normal"/>
    <w:link w:val="AARTextChar"/>
    <w:qFormat/>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Title4annexesChar">
    <w:name w:val="Title 4 / annexes Char"/>
    <w:basedOn w:val="Title3AnnexesChar"/>
    <w:link w:val="Title4annexes"/>
    <w:rPr>
      <w:rFonts w:ascii="EC Square Sans Pro" w:hAnsi="EC Square Sans Pro" w:cs="Times New Roman"/>
      <w:b w:val="0"/>
      <w:color w:val="E48C32" w:themeColor="accent5"/>
      <w:sz w:val="24"/>
      <w:lang w:val="en-GB" w:eastAsia="zh-CN"/>
    </w:rPr>
  </w:style>
  <w:style w:type="character" w:customStyle="1" w:styleId="AARTextChar">
    <w:name w:val="AAR Text Char"/>
    <w:link w:val="AARText"/>
    <w:rPr>
      <w:rFonts w:ascii="EC Square Sans Pro" w:eastAsia="Times New Roman" w:hAnsi="EC Square Sans Pro" w:cs="Times New Roman"/>
      <w:color w:val="7F7F7F" w:themeColor="text1" w:themeTint="80"/>
      <w:sz w:val="19"/>
      <w:szCs w:val="24"/>
      <w:lang w:val="en-GB" w:eastAsia="en-GB"/>
    </w:rPr>
  </w:style>
  <w:style w:type="paragraph" w:customStyle="1" w:styleId="1AMPRText">
    <w:name w:val="1 AMPR Text"/>
    <w:basedOn w:val="Normal"/>
    <w:link w:val="1AMPRTextChar"/>
    <w:qFormat/>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1AMPRTextChar">
    <w:name w:val="1 AMPR Text Char"/>
    <w:link w:val="1AMPRText"/>
    <w:rPr>
      <w:rFonts w:ascii="EC Square Sans Pro" w:eastAsia="Times New Roman" w:hAnsi="EC Square Sans Pro" w:cs="Times New Roman"/>
      <w:color w:val="7F7F7F" w:themeColor="text1" w:themeTint="80"/>
      <w:sz w:val="19"/>
      <w:szCs w:val="24"/>
      <w:lang w:val="en-GB" w:eastAsia="en-GB"/>
    </w:rPr>
  </w:style>
  <w:style w:type="paragraph" w:customStyle="1" w:styleId="tabletext">
    <w:name w:val="table text"/>
    <w:basedOn w:val="Normal"/>
    <w:link w:val="tabletextChar"/>
    <w:qFormat/>
    <w:pPr>
      <w:widowControl w:val="0"/>
      <w:autoSpaceDE w:val="0"/>
      <w:autoSpaceDN w:val="0"/>
      <w:adjustRightInd w:val="0"/>
      <w:jc w:val="center"/>
    </w:pPr>
    <w:rPr>
      <w:rFonts w:eastAsia="Calibri" w:cs="Arial"/>
      <w:color w:val="000000" w:themeColor="text1"/>
      <w:sz w:val="17"/>
      <w:szCs w:val="24"/>
      <w:u w:val="single"/>
      <w:lang w:eastAsia="en-GB"/>
    </w:rPr>
  </w:style>
  <w:style w:type="paragraph" w:customStyle="1" w:styleId="tabletext2">
    <w:name w:val="table text 2"/>
    <w:basedOn w:val="Normal"/>
    <w:link w:val="tabletext2Char"/>
    <w:qFormat/>
    <w:pPr>
      <w:widowControl w:val="0"/>
      <w:autoSpaceDE w:val="0"/>
      <w:autoSpaceDN w:val="0"/>
      <w:adjustRightInd w:val="0"/>
    </w:pPr>
    <w:rPr>
      <w:rFonts w:eastAsia="Times New Roman" w:cs="Arial"/>
      <w:b/>
      <w:color w:val="FFFFFF" w:themeColor="background1"/>
      <w:sz w:val="18"/>
      <w:szCs w:val="18"/>
      <w:lang w:eastAsia="zh-CN"/>
    </w:rPr>
  </w:style>
  <w:style w:type="character" w:customStyle="1" w:styleId="tabletextChar">
    <w:name w:val="table text Char"/>
    <w:basedOn w:val="DefaultParagraphFont"/>
    <w:link w:val="tabletext"/>
    <w:rPr>
      <w:rFonts w:ascii="EC Square Sans Pro" w:eastAsia="Calibri" w:hAnsi="EC Square Sans Pro" w:cs="Arial"/>
      <w:color w:val="000000" w:themeColor="text1"/>
      <w:sz w:val="17"/>
      <w:szCs w:val="24"/>
      <w:u w:val="single"/>
      <w:lang w:val="en-GB" w:eastAsia="en-GB"/>
    </w:rPr>
  </w:style>
  <w:style w:type="paragraph" w:customStyle="1" w:styleId="BulletsletteringAnnexes">
    <w:name w:val="Bullets lettering Annexes"/>
    <w:basedOn w:val="Normal"/>
    <w:link w:val="BulletsletteringAnnexesChar"/>
    <w:qFormat/>
    <w:pPr>
      <w:numPr>
        <w:numId w:val="11"/>
      </w:numPr>
      <w:spacing w:line="26" w:lineRule="atLeast"/>
      <w:contextualSpacing/>
      <w:jc w:val="both"/>
    </w:pPr>
    <w:rPr>
      <w:rFonts w:eastAsia="Times New Roman" w:cs="Arial"/>
      <w:szCs w:val="20"/>
      <w:lang w:eastAsia="en-GB"/>
    </w:rPr>
  </w:style>
  <w:style w:type="character" w:customStyle="1" w:styleId="tabletext2Char">
    <w:name w:val="table text 2 Char"/>
    <w:basedOn w:val="DefaultParagraphFont"/>
    <w:link w:val="tabletext2"/>
    <w:rPr>
      <w:rFonts w:ascii="EC Square Sans Pro" w:eastAsia="Times New Roman" w:hAnsi="EC Square Sans Pro" w:cs="Arial"/>
      <w:b/>
      <w:color w:val="FFFFFF" w:themeColor="background1"/>
      <w:sz w:val="18"/>
      <w:szCs w:val="18"/>
      <w:lang w:val="en-GB" w:eastAsia="zh-CN"/>
    </w:rPr>
  </w:style>
  <w:style w:type="paragraph" w:customStyle="1" w:styleId="endnotestext">
    <w:name w:val="endnotes text"/>
    <w:basedOn w:val="BodyText10"/>
    <w:link w:val="endnotestextChar"/>
    <w:qFormat/>
  </w:style>
  <w:style w:type="character" w:customStyle="1" w:styleId="BulletsletteringAnnexesChar">
    <w:name w:val="Bullets lettering Annexes Char"/>
    <w:basedOn w:val="DefaultParagraphFont"/>
    <w:link w:val="BulletsletteringAnnexes"/>
    <w:rPr>
      <w:rFonts w:ascii="EC Square Sans Pro" w:eastAsia="Times New Roman" w:hAnsi="EC Square Sans Pro" w:cs="Arial"/>
      <w:sz w:val="20"/>
      <w:szCs w:val="20"/>
      <w:lang w:val="en-GB" w:eastAsia="en-GB"/>
    </w:rPr>
  </w:style>
  <w:style w:type="paragraph" w:styleId="TOC1">
    <w:name w:val="toc 1"/>
    <w:basedOn w:val="Normal"/>
    <w:next w:val="Normal"/>
    <w:autoRedefine/>
    <w:uiPriority w:val="39"/>
    <w:unhideWhenUsed/>
    <w:qFormat/>
    <w:pPr>
      <w:tabs>
        <w:tab w:val="right" w:leader="dot" w:pos="9060"/>
      </w:tabs>
      <w:spacing w:before="120" w:after="100"/>
    </w:pPr>
  </w:style>
  <w:style w:type="character" w:customStyle="1" w:styleId="endnotestextChar">
    <w:name w:val="endnotes text Char"/>
    <w:basedOn w:val="BodytextChar"/>
    <w:link w:val="endnotestext"/>
    <w:rPr>
      <w:rFonts w:ascii="EC Square Sans Pro" w:hAnsi="EC Square Sans Pro" w:cs="Times New Roman"/>
      <w:noProof/>
      <w:color w:val="000000" w:themeColor="text1"/>
      <w:sz w:val="20"/>
      <w:lang w:val="en-GB" w:eastAsia="fr-BE"/>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lang w:val="en-GB"/>
    </w:rPr>
  </w:style>
  <w:style w:type="paragraph" w:customStyle="1" w:styleId="BOX1ORANGE">
    <w:name w:val="BOX 1/ ORANGE"/>
    <w:basedOn w:val="BOXE1GREEN"/>
    <w:link w:val="BOX1ORANGEChar"/>
    <w:qFormat/>
    <w:pPr>
      <w:pBdr>
        <w:top w:val="single" w:sz="12" w:space="1" w:color="E48C32" w:themeColor="accent5"/>
        <w:left w:val="single" w:sz="12" w:space="4" w:color="E48C32" w:themeColor="accent5"/>
        <w:bottom w:val="single" w:sz="12" w:space="1" w:color="E48C32" w:themeColor="accent5"/>
        <w:right w:val="single" w:sz="12" w:space="4" w:color="E48C32" w:themeColor="accent5"/>
      </w:pBdr>
    </w:pPr>
    <w:rPr>
      <w:color w:val="E48C32" w:themeColor="accent5"/>
    </w:rPr>
  </w:style>
  <w:style w:type="paragraph" w:customStyle="1" w:styleId="BOX3Orange">
    <w:name w:val="BOX 3 / Orange"/>
    <w:basedOn w:val="BOX3Blue"/>
    <w:link w:val="BOX3OrangeChar"/>
    <w:qFormat/>
    <w:pPr>
      <w:pBdr>
        <w:top w:val="dashSmallGap" w:sz="12" w:space="1" w:color="E48C32" w:themeColor="accent5"/>
        <w:left w:val="dashSmallGap" w:sz="12" w:space="4" w:color="E48C32" w:themeColor="accent5"/>
        <w:bottom w:val="dashSmallGap" w:sz="12" w:space="1" w:color="E48C32" w:themeColor="accent5"/>
        <w:right w:val="dashSmallGap" w:sz="12" w:space="4" w:color="E48C32" w:themeColor="accent5"/>
      </w:pBdr>
    </w:pPr>
    <w:rPr>
      <w:color w:val="E48C32" w:themeColor="accent5"/>
    </w:rPr>
  </w:style>
  <w:style w:type="character" w:customStyle="1" w:styleId="BOX1ORANGEChar">
    <w:name w:val="BOX 1/ ORANGE Char"/>
    <w:basedOn w:val="BOXE1GREENChar"/>
    <w:link w:val="BOX1ORANGE"/>
    <w:rPr>
      <w:rFonts w:ascii="EC Square Sans Pro" w:hAnsi="EC Square Sans Pro" w:cs="Times New Roman"/>
      <w:b/>
      <w:noProof/>
      <w:color w:val="E48C32" w:themeColor="accent5"/>
      <w:sz w:val="20"/>
      <w:lang w:val="en-GB" w:eastAsia="fr-BE"/>
    </w:rPr>
  </w:style>
  <w:style w:type="paragraph" w:customStyle="1" w:styleId="Box2Orange">
    <w:name w:val="Box 2 / Orange"/>
    <w:basedOn w:val="BodyText10"/>
    <w:link w:val="Box2OrangeChar"/>
    <w:qFormat/>
    <w:rPr>
      <w:shd w:val="clear" w:color="auto" w:fill="F4D0AC" w:themeFill="accent5" w:themeFillTint="66"/>
    </w:rPr>
  </w:style>
  <w:style w:type="character" w:customStyle="1" w:styleId="BOX3OrangeChar">
    <w:name w:val="BOX 3 / Orange Char"/>
    <w:basedOn w:val="BOX3BlueChar"/>
    <w:link w:val="BOX3Orange"/>
    <w:rPr>
      <w:rFonts w:ascii="EC Square Sans Pro" w:hAnsi="EC Square Sans Pro" w:cs="Times New Roman"/>
      <w:b/>
      <w:noProof/>
      <w:color w:val="E48C32" w:themeColor="accent5"/>
      <w:sz w:val="20"/>
      <w:lang w:val="en-GB" w:eastAsia="fr-BE"/>
    </w:rPr>
  </w:style>
  <w:style w:type="character" w:customStyle="1" w:styleId="Box2OrangeChar">
    <w:name w:val="Box 2 / Orange Char"/>
    <w:basedOn w:val="BodytextChar"/>
    <w:link w:val="Box2Orange"/>
    <w:rPr>
      <w:rFonts w:ascii="EC Square Sans Pro" w:hAnsi="EC Square Sans Pro" w:cs="Times New Roman"/>
      <w:noProof/>
      <w:color w:val="000000" w:themeColor="text1"/>
      <w:sz w:val="20"/>
      <w:lang w:val="en-GB" w:eastAsia="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b/>
      <w:sz w:val="32"/>
    </w:rPr>
  </w:style>
  <w:style w:type="character" w:customStyle="1" w:styleId="FooterSensitivityChar">
    <w:name w:val="Footer Sensitivity Char"/>
    <w:basedOn w:val="PagedecouvertureChar"/>
    <w:link w:val="FooterSensitivity"/>
    <w:rPr>
      <w:rFonts w:ascii="Times New Roman" w:hAnsi="Times New Roman" w:cs="Times New Roman"/>
      <w:b/>
      <w:sz w:val="32"/>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lang w:val="en-GB"/>
    </w:rPr>
  </w:style>
  <w:style w:type="character" w:customStyle="1" w:styleId="A4">
    <w:name w:val="A4"/>
    <w:uiPriority w:val="99"/>
    <w:rPr>
      <w:rFonts w:ascii="EC Square Sans Pro" w:hAnsi="EC Square Sans Pro" w:cs="EC Square Sans Pro"/>
      <w:b/>
      <w:bCs/>
      <w:color w:val="000000"/>
      <w:sz w:val="72"/>
      <w:szCs w:val="72"/>
      <w:lang w:val="en-GB"/>
    </w:r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color w:val="7F7F7F" w:themeColor="text1" w:themeTint="80"/>
      <w:sz w:val="19"/>
      <w:szCs w:val="24"/>
      <w:lang w:val="en-GB" w:eastAsia="en-GB"/>
    </w:rPr>
  </w:style>
  <w:style w:type="paragraph" w:customStyle="1" w:styleId="AMPRH2">
    <w:name w:val="AMPR H2"/>
    <w:basedOn w:val="Normal"/>
    <w:next w:val="Normal"/>
    <w:qFormat/>
    <w:pPr>
      <w:tabs>
        <w:tab w:val="left" w:pos="907"/>
      </w:tabs>
      <w:spacing w:before="600" w:after="360"/>
    </w:pPr>
    <w:rPr>
      <w:rFonts w:eastAsia="Times New Roman"/>
      <w:b/>
      <w:color w:val="0070C0"/>
      <w:sz w:val="28"/>
      <w:szCs w:val="24"/>
      <w:lang w:eastAsia="en-GB"/>
    </w:rPr>
  </w:style>
  <w:style w:type="paragraph" w:customStyle="1" w:styleId="AMPRTabletext">
    <w:name w:val="AMPR Table text"/>
    <w:basedOn w:val="AMPRText"/>
    <w:link w:val="AMPRTabletextChar"/>
    <w:qFormat/>
    <w:pPr>
      <w:spacing w:after="0" w:line="240" w:lineRule="auto"/>
    </w:pPr>
    <w:rPr>
      <w:sz w:val="17"/>
    </w:rPr>
  </w:style>
  <w:style w:type="character" w:customStyle="1" w:styleId="AMPRTabletextChar">
    <w:name w:val="AMPR Table text Char"/>
    <w:basedOn w:val="AMPRTextChar"/>
    <w:link w:val="AMPRTabletext"/>
    <w:rPr>
      <w:rFonts w:ascii="EC Square Sans Pro" w:eastAsia="Times New Roman" w:hAnsi="EC Square Sans Pro" w:cs="Times New Roman"/>
      <w:color w:val="7F7F7F" w:themeColor="text1" w:themeTint="80"/>
      <w:sz w:val="17"/>
      <w:szCs w:val="24"/>
      <w:lang w:val="en-GB" w:eastAsia="en-GB"/>
    </w:rPr>
  </w:style>
  <w:style w:type="character" w:styleId="FollowedHyperlink">
    <w:name w:val="FollowedHyperlink"/>
    <w:basedOn w:val="DefaultParagraphFont"/>
    <w:unhideWhenUsed/>
    <w:rPr>
      <w:rFonts w:ascii="EC Square Sans Pro" w:hAnsi="EC Square Sans Pro"/>
      <w:color w:val="F79646" w:themeColor="followedHyperlink"/>
      <w:u w:val="single"/>
      <w:lang w:val="en-GB"/>
    </w:rPr>
  </w:style>
  <w:style w:type="paragraph" w:styleId="Bibliography">
    <w:name w:val="Bibliography"/>
    <w:basedOn w:val="Normal"/>
    <w:next w:val="Normal"/>
    <w:uiPriority w:val="37"/>
    <w:semiHidden/>
    <w:unhideWhenUsed/>
  </w:style>
  <w:style w:type="paragraph" w:styleId="BlockText">
    <w:name w:val="Block Text"/>
    <w:basedOn w:val="Normal"/>
    <w:unhideWhenUsed/>
    <w:pPr>
      <w:pBdr>
        <w:top w:val="single" w:sz="2" w:space="10" w:color="65BBC8" w:themeColor="accent1" w:shadow="1" w:frame="1"/>
        <w:left w:val="single" w:sz="2" w:space="10" w:color="65BBC8" w:themeColor="accent1" w:shadow="1" w:frame="1"/>
        <w:bottom w:val="single" w:sz="2" w:space="10" w:color="65BBC8" w:themeColor="accent1" w:shadow="1" w:frame="1"/>
        <w:right w:val="single" w:sz="2" w:space="10" w:color="65BBC8" w:themeColor="accent1" w:shadow="1" w:frame="1"/>
      </w:pBdr>
      <w:ind w:left="1152" w:right="1152"/>
    </w:pPr>
    <w:rPr>
      <w:rFonts w:eastAsiaTheme="minorEastAsia" w:cstheme="minorBidi"/>
      <w:i/>
      <w:iCs/>
      <w:color w:val="65BBC8" w:themeColor="accent1"/>
    </w:rPr>
  </w:style>
  <w:style w:type="paragraph" w:styleId="BodyText2">
    <w:name w:val="Body Text 2"/>
    <w:basedOn w:val="Normal"/>
    <w:link w:val="BodyText2Char"/>
    <w:unhideWhenUsed/>
    <w:pPr>
      <w:spacing w:after="120" w:line="480" w:lineRule="auto"/>
    </w:pPr>
  </w:style>
  <w:style w:type="character" w:customStyle="1" w:styleId="BodyText2Char">
    <w:name w:val="Body Text 2 Char"/>
    <w:basedOn w:val="DefaultParagraphFont"/>
    <w:link w:val="BodyText2"/>
    <w:rPr>
      <w:rFonts w:ascii="EC Square Sans Pro" w:hAnsi="EC Square Sans Pro" w:cs="Times New Roman"/>
      <w:sz w:val="20"/>
      <w:lang w:val="en-GB"/>
    </w:rPr>
  </w:style>
  <w:style w:type="paragraph" w:styleId="BodyText3">
    <w:name w:val="Body Text 3"/>
    <w:basedOn w:val="Normal"/>
    <w:link w:val="BodyText3Char"/>
    <w:unhideWhenUsed/>
    <w:pPr>
      <w:spacing w:after="120"/>
    </w:pPr>
    <w:rPr>
      <w:sz w:val="16"/>
      <w:szCs w:val="16"/>
    </w:rPr>
  </w:style>
  <w:style w:type="character" w:customStyle="1" w:styleId="BodyText3Char">
    <w:name w:val="Body Text 3 Char"/>
    <w:basedOn w:val="DefaultParagraphFont"/>
    <w:link w:val="BodyText3"/>
    <w:rPr>
      <w:rFonts w:ascii="EC Square Sans Pro" w:hAnsi="EC Square Sans Pro" w:cs="Times New Roman"/>
      <w:sz w:val="16"/>
      <w:szCs w:val="16"/>
      <w:lang w:val="en-GB"/>
    </w:rPr>
  </w:style>
  <w:style w:type="paragraph" w:styleId="BodyTextFirstIndent">
    <w:name w:val="Body Text First Indent"/>
    <w:basedOn w:val="BodyText"/>
    <w:link w:val="BodyTextFirstIndentChar"/>
    <w:unhideWhenUsed/>
    <w:pPr>
      <w:spacing w:after="0"/>
      <w:ind w:firstLine="360"/>
    </w:pPr>
  </w:style>
  <w:style w:type="character" w:customStyle="1" w:styleId="BodyTextFirstIndentChar">
    <w:name w:val="Body Text First Indent Char"/>
    <w:basedOn w:val="BodyTextChar0"/>
    <w:link w:val="BodyTextFirstIndent"/>
    <w:rPr>
      <w:rFonts w:ascii="EC Square Sans Pro" w:hAnsi="EC Square Sans Pro" w:cs="Times New Roman"/>
      <w:sz w:val="20"/>
      <w:lang w:val="en-GB"/>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basedOn w:val="DefaultParagraphFont"/>
    <w:link w:val="BodyTextIndent"/>
    <w:rPr>
      <w:rFonts w:ascii="EC Square Sans Pro" w:hAnsi="EC Square Sans Pro" w:cs="Times New Roman"/>
      <w:sz w:val="20"/>
      <w:lang w:val="en-GB"/>
    </w:rPr>
  </w:style>
  <w:style w:type="paragraph" w:styleId="BodyTextFirstIndent2">
    <w:name w:val="Body Text First Indent 2"/>
    <w:basedOn w:val="BodyTextIndent"/>
    <w:link w:val="BodyTextFirstIndent2Char"/>
    <w:unhideWhenUsed/>
    <w:pPr>
      <w:spacing w:after="0"/>
      <w:ind w:left="360" w:firstLine="360"/>
    </w:pPr>
  </w:style>
  <w:style w:type="character" w:customStyle="1" w:styleId="BodyTextFirstIndent2Char">
    <w:name w:val="Body Text First Indent 2 Char"/>
    <w:basedOn w:val="BodyTextIndentChar"/>
    <w:link w:val="BodyTextFirstIndent2"/>
    <w:rPr>
      <w:rFonts w:ascii="EC Square Sans Pro" w:hAnsi="EC Square Sans Pro" w:cs="Times New Roman"/>
      <w:sz w:val="20"/>
      <w:lang w:val="en-GB"/>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rFonts w:ascii="EC Square Sans Pro" w:hAnsi="EC Square Sans Pro" w:cs="Times New Roman"/>
      <w:sz w:val="20"/>
      <w:lang w:val="en-GB"/>
    </w:rPr>
  </w:style>
  <w:style w:type="paragraph" w:styleId="BodyTextIndent3">
    <w:name w:val="Body Text Indent 3"/>
    <w:basedOn w:val="Normal"/>
    <w:link w:val="BodyTextIndent3Char"/>
    <w:unhideWhenUsed/>
    <w:pPr>
      <w:spacing w:after="120"/>
      <w:ind w:left="283"/>
    </w:pPr>
    <w:rPr>
      <w:sz w:val="16"/>
      <w:szCs w:val="16"/>
    </w:rPr>
  </w:style>
  <w:style w:type="character" w:customStyle="1" w:styleId="BodyTextIndent3Char">
    <w:name w:val="Body Text Indent 3 Char"/>
    <w:basedOn w:val="DefaultParagraphFont"/>
    <w:link w:val="BodyTextIndent3"/>
    <w:rPr>
      <w:rFonts w:ascii="EC Square Sans Pro" w:hAnsi="EC Square Sans Pro" w:cs="Times New Roman"/>
      <w:sz w:val="16"/>
      <w:szCs w:val="16"/>
      <w:lang w:val="en-GB"/>
    </w:rPr>
  </w:style>
  <w:style w:type="character" w:styleId="BookTitle">
    <w:name w:val="Book Title"/>
    <w:basedOn w:val="DefaultParagraphFont"/>
    <w:uiPriority w:val="33"/>
    <w:rPr>
      <w:rFonts w:ascii="EC Square Sans Pro" w:hAnsi="EC Square Sans Pro"/>
      <w:b/>
      <w:bCs/>
      <w:smallCaps/>
      <w:spacing w:val="5"/>
      <w:lang w:val="en-GB"/>
    </w:rPr>
  </w:style>
  <w:style w:type="paragraph" w:styleId="Closing">
    <w:name w:val="Closing"/>
    <w:basedOn w:val="Normal"/>
    <w:link w:val="ClosingChar"/>
    <w:unhideWhenUsed/>
    <w:pPr>
      <w:ind w:left="4252"/>
    </w:pPr>
  </w:style>
  <w:style w:type="character" w:customStyle="1" w:styleId="ClosingChar">
    <w:name w:val="Closing Char"/>
    <w:basedOn w:val="DefaultParagraphFont"/>
    <w:link w:val="Closing"/>
    <w:rPr>
      <w:rFonts w:ascii="EC Square Sans Pro" w:hAnsi="EC Square Sans Pro" w:cs="Times New Roman"/>
      <w:sz w:val="20"/>
      <w:lang w:val="en-GB"/>
    </w:rPr>
  </w:style>
  <w:style w:type="paragraph" w:styleId="Date">
    <w:name w:val="Date"/>
    <w:basedOn w:val="Normal"/>
    <w:next w:val="Normal"/>
    <w:link w:val="DateChar"/>
    <w:unhideWhenUsed/>
  </w:style>
  <w:style w:type="character" w:customStyle="1" w:styleId="DateChar">
    <w:name w:val="Date Char"/>
    <w:basedOn w:val="DefaultParagraphFont"/>
    <w:link w:val="Date"/>
    <w:rPr>
      <w:rFonts w:ascii="EC Square Sans Pro" w:hAnsi="EC Square Sans Pro" w:cs="Times New Roman"/>
      <w:sz w:val="20"/>
      <w:lang w:val="en-GB"/>
    </w:rPr>
  </w:style>
  <w:style w:type="paragraph" w:styleId="DocumentMap">
    <w:name w:val="Document Map"/>
    <w:basedOn w:val="Normal"/>
    <w:link w:val="DocumentMapChar"/>
    <w:unhideWhenUsed/>
    <w:rPr>
      <w:rFonts w:cs="Tahoma"/>
      <w:sz w:val="16"/>
      <w:szCs w:val="16"/>
    </w:rPr>
  </w:style>
  <w:style w:type="character" w:customStyle="1" w:styleId="DocumentMapChar">
    <w:name w:val="Document Map Char"/>
    <w:basedOn w:val="DefaultParagraphFont"/>
    <w:link w:val="DocumentMap"/>
    <w:rPr>
      <w:rFonts w:ascii="EC Square Sans Pro" w:hAnsi="EC Square Sans Pro" w:cs="Tahoma"/>
      <w:sz w:val="16"/>
      <w:szCs w:val="16"/>
      <w:lang w:val="en-GB"/>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rPr>
      <w:rFonts w:ascii="EC Square Sans Pro" w:hAnsi="EC Square Sans Pro" w:cs="Times New Roman"/>
      <w:sz w:val="20"/>
      <w:lang w:val="en-GB"/>
    </w:rPr>
  </w:style>
  <w:style w:type="paragraph" w:styleId="EnvelopeAddress">
    <w:name w:val="envelope address"/>
    <w:basedOn w:val="Normal"/>
    <w:unhideWhenUsed/>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nhideWhenUsed/>
    <w:rPr>
      <w:rFonts w:eastAsiaTheme="majorEastAsia" w:cstheme="majorBidi"/>
      <w:szCs w:val="20"/>
    </w:rPr>
  </w:style>
  <w:style w:type="character" w:customStyle="1" w:styleId="Heading5Char">
    <w:name w:val="Heading 5 Char"/>
    <w:basedOn w:val="DefaultParagraphFont"/>
    <w:link w:val="Heading5"/>
    <w:rPr>
      <w:rFonts w:ascii="EC Square Sans Pro" w:eastAsiaTheme="majorEastAsia" w:hAnsi="EC Square Sans Pro" w:cstheme="majorBidi"/>
      <w:color w:val="27646E" w:themeColor="accent1" w:themeShade="7F"/>
      <w:sz w:val="20"/>
      <w:lang w:val="en-GB"/>
    </w:rPr>
  </w:style>
  <w:style w:type="character" w:customStyle="1" w:styleId="Heading6Char">
    <w:name w:val="Heading 6 Char"/>
    <w:basedOn w:val="DefaultParagraphFont"/>
    <w:link w:val="Heading6"/>
    <w:rPr>
      <w:rFonts w:ascii="EC Square Sans Pro" w:eastAsiaTheme="majorEastAsia" w:hAnsi="EC Square Sans Pro" w:cstheme="majorBidi"/>
      <w:i/>
      <w:iCs/>
      <w:color w:val="27646E" w:themeColor="accent1" w:themeShade="7F"/>
      <w:sz w:val="20"/>
      <w:lang w:val="en-GB"/>
    </w:rPr>
  </w:style>
  <w:style w:type="character" w:customStyle="1" w:styleId="Heading7Char">
    <w:name w:val="Heading 7 Char"/>
    <w:basedOn w:val="DefaultParagraphFont"/>
    <w:link w:val="Heading7"/>
    <w:rPr>
      <w:rFonts w:ascii="EC Square Sans Pro" w:eastAsiaTheme="majorEastAsia" w:hAnsi="EC Square Sans Pro" w:cstheme="majorBidi"/>
      <w:i/>
      <w:iCs/>
      <w:color w:val="404040" w:themeColor="text1" w:themeTint="BF"/>
      <w:sz w:val="20"/>
      <w:lang w:val="en-GB"/>
    </w:rPr>
  </w:style>
  <w:style w:type="character" w:customStyle="1" w:styleId="Heading8Char">
    <w:name w:val="Heading 8 Char"/>
    <w:basedOn w:val="DefaultParagraphFont"/>
    <w:link w:val="Heading8"/>
    <w:rPr>
      <w:rFonts w:ascii="EC Square Sans Pro" w:eastAsiaTheme="majorEastAsia" w:hAnsi="EC Square Sans Pro" w:cstheme="majorBidi"/>
      <w:color w:val="404040" w:themeColor="text1" w:themeTint="BF"/>
      <w:sz w:val="20"/>
      <w:szCs w:val="20"/>
      <w:lang w:val="en-GB"/>
    </w:rPr>
  </w:style>
  <w:style w:type="character" w:customStyle="1" w:styleId="Heading9Char">
    <w:name w:val="Heading 9 Char"/>
    <w:basedOn w:val="DefaultParagraphFont"/>
    <w:link w:val="Heading9"/>
    <w:rPr>
      <w:rFonts w:ascii="EC Square Sans Pro" w:eastAsiaTheme="majorEastAsia" w:hAnsi="EC Square Sans Pro" w:cstheme="majorBidi"/>
      <w:i/>
      <w:iCs/>
      <w:color w:val="404040" w:themeColor="text1" w:themeTint="BF"/>
      <w:sz w:val="20"/>
      <w:szCs w:val="20"/>
      <w:lang w:val="en-GB"/>
    </w:rPr>
  </w:style>
  <w:style w:type="character" w:styleId="HTMLAcronym">
    <w:name w:val="HTML Acronym"/>
    <w:basedOn w:val="DefaultParagraphFont"/>
    <w:uiPriority w:val="99"/>
    <w:semiHidden/>
    <w:unhideWhenUsed/>
    <w:rPr>
      <w:rFonts w:ascii="EC Square Sans Pro" w:hAnsi="EC Square Sans Pro"/>
      <w:lang w:val="en-GB"/>
    </w:rPr>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rFonts w:ascii="EC Square Sans Pro" w:hAnsi="EC Square Sans Pro" w:cs="Times New Roman"/>
      <w:i/>
      <w:iCs/>
      <w:sz w:val="20"/>
      <w:lang w:val="en-GB"/>
    </w:rPr>
  </w:style>
  <w:style w:type="character" w:styleId="HTMLCite">
    <w:name w:val="HTML Cite"/>
    <w:basedOn w:val="DefaultParagraphFont"/>
    <w:uiPriority w:val="99"/>
    <w:unhideWhenUsed/>
    <w:rPr>
      <w:rFonts w:ascii="EC Square Sans Pro" w:hAnsi="EC Square Sans Pro"/>
      <w:i/>
      <w:iCs/>
      <w:lang w:val="en-GB"/>
    </w:rPr>
  </w:style>
  <w:style w:type="character" w:styleId="HTMLCode">
    <w:name w:val="HTML Code"/>
    <w:basedOn w:val="DefaultParagraphFont"/>
    <w:uiPriority w:val="99"/>
    <w:semiHidden/>
    <w:unhideWhenUsed/>
    <w:rPr>
      <w:rFonts w:ascii="EC Square Sans Pro" w:hAnsi="EC Square Sans Pro" w:cs="Consolas"/>
      <w:sz w:val="20"/>
      <w:szCs w:val="20"/>
      <w:lang w:val="en-GB"/>
    </w:rPr>
  </w:style>
  <w:style w:type="character" w:styleId="HTMLDefinition">
    <w:name w:val="HTML Definition"/>
    <w:basedOn w:val="DefaultParagraphFont"/>
    <w:uiPriority w:val="99"/>
    <w:semiHidden/>
    <w:unhideWhenUsed/>
    <w:rPr>
      <w:rFonts w:ascii="EC Square Sans Pro" w:hAnsi="EC Square Sans Pro"/>
      <w:i/>
      <w:iCs/>
      <w:lang w:val="en-GB"/>
    </w:rPr>
  </w:style>
  <w:style w:type="character" w:styleId="HTMLKeyboard">
    <w:name w:val="HTML Keyboard"/>
    <w:basedOn w:val="DefaultParagraphFont"/>
    <w:uiPriority w:val="99"/>
    <w:semiHidden/>
    <w:unhideWhenUsed/>
    <w:rPr>
      <w:rFonts w:ascii="EC Square Sans Pro" w:hAnsi="EC Square Sans Pro" w:cs="Consolas"/>
      <w:sz w:val="20"/>
      <w:szCs w:val="20"/>
      <w:lang w:val="en-GB"/>
    </w:rPr>
  </w:style>
  <w:style w:type="paragraph" w:styleId="HTMLPreformatted">
    <w:name w:val="HTML Preformatted"/>
    <w:basedOn w:val="Normal"/>
    <w:link w:val="HTMLPreformattedChar"/>
    <w:uiPriority w:val="99"/>
    <w:semiHidden/>
    <w:unhideWhenUsed/>
    <w:rPr>
      <w:rFonts w:cs="Consolas"/>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sz w:val="20"/>
      <w:szCs w:val="20"/>
      <w:lang w:val="en-GB"/>
    </w:rPr>
  </w:style>
  <w:style w:type="character" w:styleId="HTMLSample">
    <w:name w:val="HTML Sample"/>
    <w:basedOn w:val="DefaultParagraphFont"/>
    <w:uiPriority w:val="99"/>
    <w:semiHidden/>
    <w:unhideWhenUsed/>
    <w:rPr>
      <w:rFonts w:ascii="EC Square Sans Pro" w:hAnsi="EC Square Sans Pro" w:cs="Consolas"/>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sz w:val="20"/>
      <w:szCs w:val="20"/>
      <w:lang w:val="en-GB"/>
    </w:rPr>
  </w:style>
  <w:style w:type="character" w:styleId="HTMLVariable">
    <w:name w:val="HTML Variable"/>
    <w:basedOn w:val="DefaultParagraphFont"/>
    <w:uiPriority w:val="99"/>
    <w:semiHidden/>
    <w:unhideWhenUsed/>
    <w:rPr>
      <w:rFonts w:ascii="EC Square Sans Pro" w:hAnsi="EC Square Sans Pro"/>
      <w:i/>
      <w:iCs/>
      <w:lang w:val="en-GB"/>
    </w:rPr>
  </w:style>
  <w:style w:type="paragraph" w:styleId="Index1">
    <w:name w:val="index 1"/>
    <w:basedOn w:val="Normal"/>
    <w:next w:val="Normal"/>
    <w:autoRedefine/>
    <w:unhideWhenUsed/>
    <w:pPr>
      <w:ind w:left="200" w:hanging="200"/>
    </w:pPr>
  </w:style>
  <w:style w:type="paragraph" w:styleId="Index2">
    <w:name w:val="index 2"/>
    <w:basedOn w:val="Normal"/>
    <w:next w:val="Normal"/>
    <w:autoRedefine/>
    <w:unhideWhenUsed/>
    <w:pPr>
      <w:ind w:left="400" w:hanging="200"/>
    </w:pPr>
  </w:style>
  <w:style w:type="paragraph" w:styleId="Index3">
    <w:name w:val="index 3"/>
    <w:basedOn w:val="Normal"/>
    <w:next w:val="Normal"/>
    <w:autoRedefine/>
    <w:unhideWhenUsed/>
    <w:pPr>
      <w:ind w:left="600" w:hanging="200"/>
    </w:pPr>
  </w:style>
  <w:style w:type="paragraph" w:styleId="Index4">
    <w:name w:val="index 4"/>
    <w:basedOn w:val="Normal"/>
    <w:next w:val="Normal"/>
    <w:autoRedefine/>
    <w:unhideWhenUsed/>
    <w:pPr>
      <w:ind w:left="800" w:hanging="200"/>
    </w:pPr>
  </w:style>
  <w:style w:type="paragraph" w:styleId="Index5">
    <w:name w:val="index 5"/>
    <w:basedOn w:val="Normal"/>
    <w:next w:val="Normal"/>
    <w:autoRedefine/>
    <w:unhideWhenUsed/>
    <w:pPr>
      <w:ind w:left="1000" w:hanging="200"/>
    </w:pPr>
  </w:style>
  <w:style w:type="paragraph" w:styleId="Index6">
    <w:name w:val="index 6"/>
    <w:basedOn w:val="Normal"/>
    <w:next w:val="Normal"/>
    <w:autoRedefine/>
    <w:unhideWhenUsed/>
    <w:pPr>
      <w:ind w:left="1200" w:hanging="200"/>
    </w:pPr>
  </w:style>
  <w:style w:type="paragraph" w:styleId="Index7">
    <w:name w:val="index 7"/>
    <w:basedOn w:val="Normal"/>
    <w:next w:val="Normal"/>
    <w:autoRedefine/>
    <w:unhideWhenUsed/>
    <w:pPr>
      <w:ind w:left="1400" w:hanging="200"/>
    </w:pPr>
  </w:style>
  <w:style w:type="paragraph" w:styleId="Index8">
    <w:name w:val="index 8"/>
    <w:basedOn w:val="Normal"/>
    <w:next w:val="Normal"/>
    <w:autoRedefine/>
    <w:unhideWhenUsed/>
    <w:pPr>
      <w:ind w:left="1600" w:hanging="200"/>
    </w:pPr>
  </w:style>
  <w:style w:type="paragraph" w:styleId="Index9">
    <w:name w:val="index 9"/>
    <w:basedOn w:val="Normal"/>
    <w:next w:val="Normal"/>
    <w:autoRedefine/>
    <w:unhideWhenUsed/>
    <w:pPr>
      <w:ind w:left="1800" w:hanging="200"/>
    </w:pPr>
  </w:style>
  <w:style w:type="paragraph" w:styleId="IndexHeading">
    <w:name w:val="index heading"/>
    <w:basedOn w:val="Normal"/>
    <w:next w:val="Index1"/>
    <w:unhideWhenUsed/>
    <w:rPr>
      <w:rFonts w:eastAsiaTheme="majorEastAsia" w:cstheme="majorBidi"/>
      <w:b/>
      <w:bCs/>
    </w:rPr>
  </w:style>
  <w:style w:type="character" w:styleId="IntenseEmphasis">
    <w:name w:val="Intense Emphasis"/>
    <w:basedOn w:val="DefaultParagraphFont"/>
    <w:uiPriority w:val="21"/>
    <w:rPr>
      <w:rFonts w:ascii="EC Square Sans Pro" w:hAnsi="EC Square Sans Pro"/>
      <w:b/>
      <w:bCs/>
      <w:i/>
      <w:iCs/>
      <w:color w:val="65BBC8" w:themeColor="accent1"/>
      <w:lang w:val="en-GB"/>
    </w:rPr>
  </w:style>
  <w:style w:type="paragraph" w:styleId="IntenseQuote">
    <w:name w:val="Intense Quote"/>
    <w:basedOn w:val="Normal"/>
    <w:next w:val="Normal"/>
    <w:link w:val="IntenseQuoteChar"/>
    <w:uiPriority w:val="30"/>
    <w:pPr>
      <w:pBdr>
        <w:bottom w:val="single" w:sz="4" w:space="4" w:color="65BBC8" w:themeColor="accent1"/>
      </w:pBdr>
      <w:spacing w:before="200" w:after="280"/>
      <w:ind w:left="936" w:right="936"/>
    </w:pPr>
    <w:rPr>
      <w:b/>
      <w:bCs/>
      <w:i/>
      <w:iCs/>
      <w:color w:val="65BBC8" w:themeColor="accent1"/>
    </w:rPr>
  </w:style>
  <w:style w:type="character" w:customStyle="1" w:styleId="IntenseQuoteChar">
    <w:name w:val="Intense Quote Char"/>
    <w:basedOn w:val="DefaultParagraphFont"/>
    <w:link w:val="IntenseQuote"/>
    <w:uiPriority w:val="30"/>
    <w:rPr>
      <w:rFonts w:ascii="EC Square Sans Pro" w:hAnsi="EC Square Sans Pro" w:cs="Times New Roman"/>
      <w:b/>
      <w:bCs/>
      <w:i/>
      <w:iCs/>
      <w:color w:val="65BBC8" w:themeColor="accent1"/>
      <w:sz w:val="20"/>
      <w:lang w:val="en-GB"/>
    </w:rPr>
  </w:style>
  <w:style w:type="character" w:styleId="IntenseReference">
    <w:name w:val="Intense Reference"/>
    <w:basedOn w:val="DefaultParagraphFont"/>
    <w:uiPriority w:val="32"/>
    <w:rPr>
      <w:rFonts w:ascii="EC Square Sans Pro" w:hAnsi="EC Square Sans Pro"/>
      <w:b/>
      <w:bCs/>
      <w:smallCaps/>
      <w:color w:val="82D2E8" w:themeColor="accent2"/>
      <w:spacing w:val="5"/>
      <w:u w:val="single"/>
      <w:lang w:val="en-GB"/>
    </w:rPr>
  </w:style>
  <w:style w:type="character" w:styleId="LineNumber">
    <w:name w:val="line number"/>
    <w:basedOn w:val="DefaultParagraphFont"/>
    <w:uiPriority w:val="99"/>
    <w:semiHidden/>
    <w:unhideWhenUsed/>
    <w:rPr>
      <w:rFonts w:ascii="EC Square Sans Pro" w:hAnsi="EC Square Sans Pro"/>
      <w:lang w:val="en-GB"/>
    </w:rPr>
  </w:style>
  <w:style w:type="paragraph" w:styleId="List">
    <w:name w:val="List"/>
    <w:basedOn w:val="Normal"/>
    <w:unhideWhenUsed/>
    <w:pPr>
      <w:ind w:left="283" w:hanging="283"/>
      <w:contextualSpacing/>
    </w:pPr>
  </w:style>
  <w:style w:type="paragraph" w:styleId="List2">
    <w:name w:val="List 2"/>
    <w:basedOn w:val="Normal"/>
    <w:unhideWhenUsed/>
    <w:pPr>
      <w:ind w:left="566" w:hanging="283"/>
      <w:contextualSpacing/>
    </w:pPr>
  </w:style>
  <w:style w:type="paragraph" w:styleId="List3">
    <w:name w:val="List 3"/>
    <w:basedOn w:val="Normal"/>
    <w:unhideWhenUsed/>
    <w:pPr>
      <w:ind w:left="849" w:hanging="283"/>
      <w:contextualSpacing/>
    </w:pPr>
  </w:style>
  <w:style w:type="paragraph" w:styleId="List4">
    <w:name w:val="List 4"/>
    <w:basedOn w:val="Normal"/>
    <w:unhideWhenUsed/>
    <w:pPr>
      <w:ind w:left="1132" w:hanging="283"/>
      <w:contextualSpacing/>
    </w:pPr>
  </w:style>
  <w:style w:type="paragraph" w:styleId="List5">
    <w:name w:val="List 5"/>
    <w:basedOn w:val="Normal"/>
    <w:unhideWhenUsed/>
    <w:pPr>
      <w:ind w:left="1415" w:hanging="283"/>
      <w:contextualSpacing/>
    </w:pPr>
  </w:style>
  <w:style w:type="paragraph" w:styleId="ListBullet5">
    <w:name w:val="List Bullet 5"/>
    <w:basedOn w:val="Normal"/>
    <w:unhideWhenUsed/>
    <w:pPr>
      <w:numPr>
        <w:numId w:val="12"/>
      </w:numPr>
      <w:contextualSpacing/>
    </w:pPr>
  </w:style>
  <w:style w:type="paragraph" w:styleId="ListContinue">
    <w:name w:val="List Continue"/>
    <w:basedOn w:val="Normal"/>
    <w:unhideWhenUsed/>
    <w:pPr>
      <w:spacing w:after="120"/>
      <w:ind w:left="283"/>
      <w:contextualSpacing/>
    </w:pPr>
  </w:style>
  <w:style w:type="paragraph" w:styleId="ListContinue2">
    <w:name w:val="List Continue 2"/>
    <w:basedOn w:val="Normal"/>
    <w:unhideWhenUsed/>
    <w:pPr>
      <w:spacing w:after="120"/>
      <w:ind w:left="566"/>
      <w:contextualSpacing/>
    </w:pPr>
  </w:style>
  <w:style w:type="paragraph" w:styleId="ListContinue3">
    <w:name w:val="List Continue 3"/>
    <w:basedOn w:val="Normal"/>
    <w:unhideWhenUsed/>
    <w:pPr>
      <w:spacing w:after="120"/>
      <w:ind w:left="849"/>
      <w:contextualSpacing/>
    </w:pPr>
  </w:style>
  <w:style w:type="paragraph" w:styleId="ListContinue4">
    <w:name w:val="List Continue 4"/>
    <w:basedOn w:val="Normal"/>
    <w:unhideWhenUsed/>
    <w:pPr>
      <w:spacing w:after="120"/>
      <w:ind w:left="1132"/>
      <w:contextualSpacing/>
    </w:pPr>
  </w:style>
  <w:style w:type="paragraph" w:styleId="ListContinue5">
    <w:name w:val="List Continue 5"/>
    <w:basedOn w:val="Normal"/>
    <w:unhideWhenUsed/>
    <w:pPr>
      <w:spacing w:after="120"/>
      <w:ind w:left="1415"/>
      <w:contextualSpacing/>
    </w:pPr>
  </w:style>
  <w:style w:type="paragraph" w:styleId="ListNumber5">
    <w:name w:val="List Number 5"/>
    <w:basedOn w:val="Normal"/>
    <w:unhideWhenUsed/>
    <w:pPr>
      <w:numPr>
        <w:numId w:val="13"/>
      </w:numPr>
      <w:contextualSpacing/>
    </w:pPr>
  </w:style>
  <w:style w:type="paragraph" w:styleId="MacroText">
    <w:name w:val="macro"/>
    <w:link w:val="MacroTextChar"/>
    <w:unhideWhenUsed/>
    <w:pPr>
      <w:tabs>
        <w:tab w:val="left" w:pos="480"/>
        <w:tab w:val="left" w:pos="960"/>
        <w:tab w:val="left" w:pos="1440"/>
        <w:tab w:val="left" w:pos="1920"/>
        <w:tab w:val="left" w:pos="2400"/>
        <w:tab w:val="left" w:pos="2880"/>
        <w:tab w:val="left" w:pos="3360"/>
        <w:tab w:val="left" w:pos="3840"/>
        <w:tab w:val="left" w:pos="4320"/>
      </w:tabs>
    </w:pPr>
    <w:rPr>
      <w:rFonts w:ascii="EC Square Sans Pro" w:hAnsi="EC Square Sans Pro" w:cs="Consolas"/>
      <w:sz w:val="20"/>
      <w:szCs w:val="20"/>
      <w:lang w:val="en-GB"/>
    </w:rPr>
  </w:style>
  <w:style w:type="character" w:customStyle="1" w:styleId="MacroTextChar">
    <w:name w:val="Macro Text Char"/>
    <w:basedOn w:val="DefaultParagraphFont"/>
    <w:link w:val="MacroText"/>
    <w:rPr>
      <w:rFonts w:ascii="EC Square Sans Pro" w:hAnsi="EC Square Sans Pro" w:cs="Consolas"/>
      <w:sz w:val="20"/>
      <w:szCs w:val="20"/>
      <w:lang w:val="en-GB"/>
    </w:rPr>
  </w:style>
  <w:style w:type="paragraph" w:styleId="MessageHeader">
    <w:name w:val="Message Header"/>
    <w:basedOn w:val="Normal"/>
    <w:link w:val="MessageHeaderChar"/>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rPr>
      <w:rFonts w:ascii="EC Square Sans Pro" w:eastAsiaTheme="majorEastAsia" w:hAnsi="EC Square Sans Pro" w:cstheme="majorBidi"/>
      <w:sz w:val="24"/>
      <w:szCs w:val="24"/>
      <w:shd w:val="pct20" w:color="auto" w:fill="auto"/>
      <w:lang w:val="en-GB"/>
    </w:rPr>
  </w:style>
  <w:style w:type="paragraph" w:styleId="NoSpacing">
    <w:name w:val="No Spacing"/>
    <w:link w:val="NoSpacingChar"/>
    <w:uiPriority w:val="1"/>
    <w:qFormat/>
    <w:rPr>
      <w:rFonts w:ascii="EC Square Sans Pro" w:hAnsi="EC Square Sans Pro" w:cs="Times New Roman"/>
      <w:sz w:val="20"/>
      <w:lang w:val="en-GB"/>
    </w:rPr>
  </w:style>
  <w:style w:type="paragraph" w:styleId="NormalIndent">
    <w:name w:val="Normal Indent"/>
    <w:basedOn w:val="Normal"/>
    <w:unhideWhenUsed/>
    <w:pPr>
      <w:ind w:left="720"/>
    </w:pPr>
  </w:style>
  <w:style w:type="paragraph" w:styleId="NoteHeading">
    <w:name w:val="Note Heading"/>
    <w:basedOn w:val="Normal"/>
    <w:next w:val="Normal"/>
    <w:link w:val="NoteHeadingChar"/>
    <w:unhideWhenUsed/>
  </w:style>
  <w:style w:type="character" w:customStyle="1" w:styleId="NoteHeadingChar">
    <w:name w:val="Note Heading Char"/>
    <w:basedOn w:val="DefaultParagraphFont"/>
    <w:link w:val="NoteHeading"/>
    <w:rPr>
      <w:rFonts w:ascii="EC Square Sans Pro" w:hAnsi="EC Square Sans Pro" w:cs="Times New Roman"/>
      <w:sz w:val="20"/>
      <w:lang w:val="en-GB"/>
    </w:rPr>
  </w:style>
  <w:style w:type="character" w:styleId="PageNumber">
    <w:name w:val="page number"/>
    <w:basedOn w:val="DefaultParagraphFont"/>
    <w:unhideWhenUsed/>
    <w:rPr>
      <w:rFonts w:ascii="EC Square Sans Pro" w:hAnsi="EC Square Sans Pro"/>
      <w:lang w:val="en-GB"/>
    </w:rPr>
  </w:style>
  <w:style w:type="character" w:styleId="PlaceholderText">
    <w:name w:val="Placeholder Text"/>
    <w:basedOn w:val="DefaultParagraphFont"/>
    <w:uiPriority w:val="99"/>
    <w:semiHidden/>
    <w:rPr>
      <w:rFonts w:ascii="EC Square Sans Pro" w:hAnsi="EC Square Sans Pro"/>
      <w:color w:val="808080"/>
      <w:lang w:val="en-GB"/>
    </w:rPr>
  </w:style>
  <w:style w:type="paragraph" w:styleId="PlainText">
    <w:name w:val="Plain Text"/>
    <w:basedOn w:val="Normal"/>
    <w:link w:val="PlainTextChar"/>
    <w:uiPriority w:val="99"/>
    <w:unhideWhenUsed/>
    <w:rPr>
      <w:rFonts w:cs="Consolas"/>
      <w:sz w:val="21"/>
      <w:szCs w:val="21"/>
    </w:rPr>
  </w:style>
  <w:style w:type="character" w:customStyle="1" w:styleId="PlainTextChar">
    <w:name w:val="Plain Text Char"/>
    <w:basedOn w:val="DefaultParagraphFont"/>
    <w:link w:val="PlainText"/>
    <w:uiPriority w:val="99"/>
    <w:rPr>
      <w:rFonts w:ascii="EC Square Sans Pro" w:hAnsi="EC Square Sans Pro" w:cs="Consolas"/>
      <w:sz w:val="21"/>
      <w:szCs w:val="21"/>
      <w:lang w:val="en-GB"/>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EC Square Sans Pro" w:hAnsi="EC Square Sans Pro" w:cs="Times New Roman"/>
      <w:i/>
      <w:iCs/>
      <w:color w:val="000000" w:themeColor="text1"/>
      <w:sz w:val="20"/>
      <w:lang w:val="en-GB"/>
    </w:rPr>
  </w:style>
  <w:style w:type="paragraph" w:styleId="Salutation">
    <w:name w:val="Salutation"/>
    <w:basedOn w:val="Normal"/>
    <w:next w:val="Normal"/>
    <w:link w:val="SalutationChar"/>
    <w:unhideWhenUsed/>
  </w:style>
  <w:style w:type="character" w:customStyle="1" w:styleId="SalutationChar">
    <w:name w:val="Salutation Char"/>
    <w:basedOn w:val="DefaultParagraphFont"/>
    <w:link w:val="Salutation"/>
    <w:rPr>
      <w:rFonts w:ascii="EC Square Sans Pro" w:hAnsi="EC Square Sans Pro" w:cs="Times New Roman"/>
      <w:sz w:val="20"/>
      <w:lang w:val="en-GB"/>
    </w:rPr>
  </w:style>
  <w:style w:type="paragraph" w:styleId="Signature">
    <w:name w:val="Signature"/>
    <w:basedOn w:val="Normal"/>
    <w:link w:val="SignatureChar"/>
    <w:uiPriority w:val="99"/>
    <w:unhideWhenUsed/>
    <w:pPr>
      <w:ind w:left="4252"/>
    </w:pPr>
  </w:style>
  <w:style w:type="character" w:customStyle="1" w:styleId="SignatureChar">
    <w:name w:val="Signature Char"/>
    <w:basedOn w:val="DefaultParagraphFont"/>
    <w:link w:val="Signature"/>
    <w:uiPriority w:val="99"/>
    <w:rPr>
      <w:rFonts w:ascii="EC Square Sans Pro" w:hAnsi="EC Square Sans Pro" w:cs="Times New Roman"/>
      <w:sz w:val="20"/>
      <w:lang w:val="en-GB"/>
    </w:rPr>
  </w:style>
  <w:style w:type="paragraph" w:styleId="Subtitle">
    <w:name w:val="Subtitle"/>
    <w:basedOn w:val="Normal"/>
    <w:next w:val="Normal"/>
    <w:link w:val="SubtitleChar"/>
    <w:qFormat/>
    <w:pPr>
      <w:numPr>
        <w:ilvl w:val="1"/>
      </w:numPr>
    </w:pPr>
    <w:rPr>
      <w:rFonts w:eastAsiaTheme="majorEastAsia" w:cstheme="majorBidi"/>
      <w:i/>
      <w:iCs/>
      <w:color w:val="65BBC8" w:themeColor="accent1"/>
      <w:spacing w:val="15"/>
      <w:sz w:val="24"/>
      <w:szCs w:val="24"/>
    </w:rPr>
  </w:style>
  <w:style w:type="character" w:customStyle="1" w:styleId="SubtitleChar">
    <w:name w:val="Subtitle Char"/>
    <w:basedOn w:val="DefaultParagraphFont"/>
    <w:link w:val="Subtitle"/>
    <w:rPr>
      <w:rFonts w:ascii="EC Square Sans Pro" w:eastAsiaTheme="majorEastAsia" w:hAnsi="EC Square Sans Pro" w:cstheme="majorBidi"/>
      <w:i/>
      <w:iCs/>
      <w:color w:val="65BBC8" w:themeColor="accent1"/>
      <w:spacing w:val="15"/>
      <w:sz w:val="24"/>
      <w:szCs w:val="24"/>
      <w:lang w:val="en-GB"/>
    </w:rPr>
  </w:style>
  <w:style w:type="paragraph" w:styleId="TableofAuthorities">
    <w:name w:val="table of authorities"/>
    <w:basedOn w:val="Normal"/>
    <w:next w:val="Normal"/>
    <w:unhideWhenUsed/>
    <w:pPr>
      <w:ind w:left="200" w:hanging="200"/>
    </w:pPr>
  </w:style>
  <w:style w:type="paragraph" w:styleId="TOAHeading">
    <w:name w:val="toa heading"/>
    <w:basedOn w:val="Normal"/>
    <w:next w:val="Normal"/>
    <w:unhideWhenUsed/>
    <w:pPr>
      <w:spacing w:before="120"/>
    </w:pPr>
    <w:rPr>
      <w:rFonts w:eastAsiaTheme="majorEastAsia" w:cstheme="majorBidi"/>
      <w:b/>
      <w:bCs/>
      <w:sz w:val="24"/>
      <w:szCs w:val="24"/>
    </w:rPr>
  </w:style>
  <w:style w:type="paragraph" w:customStyle="1" w:styleId="BodyText1">
    <w:name w:val="Body Text 1"/>
    <w:basedOn w:val="Forewordbodytext"/>
    <w:next w:val="BodyText"/>
    <w:link w:val="BodyText1Char"/>
    <w:qFormat/>
    <w:rPr>
      <w:color w:val="000000" w:themeColor="text1"/>
      <w:sz w:val="20"/>
    </w:rPr>
  </w:style>
  <w:style w:type="character" w:customStyle="1" w:styleId="BodyText1Char">
    <w:name w:val="Body Text 1 Char"/>
    <w:basedOn w:val="ForewordbodytextChar"/>
    <w:link w:val="BodyText1"/>
    <w:rPr>
      <w:rFonts w:ascii="EC Square Sans Pro" w:hAnsi="EC Square Sans Pro" w:cs="Times New Roman"/>
      <w:noProof/>
      <w:color w:val="000000" w:themeColor="text1"/>
      <w:sz w:val="20"/>
      <w:lang w:val="en-GB" w:eastAsia="fr-BE"/>
    </w:rPr>
  </w:style>
  <w:style w:type="paragraph" w:customStyle="1" w:styleId="BodyText1spaceafter">
    <w:name w:val="Body Text 1 (space after)"/>
    <w:basedOn w:val="BodyText1"/>
    <w:next w:val="BodyText1"/>
    <w:pPr>
      <w:spacing w:after="240"/>
    </w:pPr>
    <w:rPr>
      <w:rFonts w:eastAsia="Calibri"/>
    </w:rPr>
  </w:style>
  <w:style w:type="paragraph" w:customStyle="1" w:styleId="BodyText1spacebeforeandafter">
    <w:name w:val="Body Text 1 (space before and after)"/>
    <w:basedOn w:val="BodyText1"/>
    <w:pPr>
      <w:spacing w:before="240" w:after="240"/>
    </w:pPr>
    <w:rPr>
      <w:rFonts w:eastAsia="Calibri"/>
    </w:rPr>
  </w:style>
  <w:style w:type="paragraph" w:customStyle="1" w:styleId="BodyText1spacebefore">
    <w:name w:val="Body Text 1 (space before)"/>
    <w:basedOn w:val="BodyText1"/>
    <w:pPr>
      <w:spacing w:before="240"/>
    </w:pPr>
    <w:rPr>
      <w:rFonts w:eastAsia="Calibri"/>
    </w:rPr>
  </w:style>
  <w:style w:type="character" w:customStyle="1" w:styleId="BOLDBLUECorporate">
    <w:name w:val="BOLD BLUE / Corporate"/>
    <w:rPr>
      <w:rFonts w:ascii="EC Square Sans Pro" w:hAnsi="EC Square Sans Pro"/>
      <w:b/>
      <w:color w:val="1F4EA2"/>
      <w:lang w:val="en-GB" w:eastAsia="fr-BE"/>
    </w:rPr>
  </w:style>
  <w:style w:type="character" w:customStyle="1" w:styleId="BOLDGREENExecutiveSummary">
    <w:name w:val="BOLD GREEN / Executive Summary"/>
    <w:rPr>
      <w:rFonts w:ascii="EC Square Sans Pro" w:eastAsia="Calibri" w:hAnsi="EC Square Sans Pro"/>
      <w:b/>
      <w:color w:val="08AA74"/>
      <w:lang w:val="en-GB" w:eastAsia="fr-BE"/>
    </w:rPr>
  </w:style>
  <w:style w:type="character" w:customStyle="1" w:styleId="BOLDLIGHTBLUEReport">
    <w:name w:val="BOLD LIGHT BLUE / Report"/>
    <w:basedOn w:val="DefaultParagraphFont"/>
    <w:rPr>
      <w:rFonts w:ascii="EC Square Sans Pro" w:eastAsia="Times New Roman" w:hAnsi="EC Square Sans Pro"/>
      <w:b/>
      <w:noProof/>
      <w:color w:val="65BBC8"/>
      <w:szCs w:val="20"/>
      <w:lang w:val="en-GB" w:eastAsia="en-GB"/>
    </w:rPr>
  </w:style>
  <w:style w:type="character" w:customStyle="1" w:styleId="BOLDUnderlinedLIGHTBLUEReport">
    <w:name w:val="BOLD Underlined  LIGHT BLUE / Report"/>
    <w:basedOn w:val="BOLDLIGHTBLUEReport"/>
    <w:uiPriority w:val="1"/>
    <w:rPr>
      <w:rFonts w:ascii="EC Square Sans Pro" w:eastAsia="Times New Roman" w:hAnsi="EC Square Sans Pro"/>
      <w:b/>
      <w:noProof/>
      <w:color w:val="65BBC8"/>
      <w:szCs w:val="20"/>
      <w:u w:val="single"/>
      <w:lang w:val="en-GB" w:eastAsia="en-GB"/>
    </w:rPr>
  </w:style>
  <w:style w:type="paragraph" w:customStyle="1" w:styleId="Box2BulletsBlueReport">
    <w:name w:val="Box 2 Bullets Blue / Report"/>
    <w:basedOn w:val="BOX2Blue"/>
    <w:pPr>
      <w:numPr>
        <w:numId w:val="14"/>
      </w:numPr>
    </w:pPr>
  </w:style>
  <w:style w:type="paragraph" w:customStyle="1" w:styleId="bulletsblue-spaceafter">
    <w:name w:val="bullets blue - (space after)"/>
    <w:basedOn w:val="bulletsblue"/>
    <w:pPr>
      <w:numPr>
        <w:numId w:val="0"/>
      </w:numPr>
      <w:spacing w:after="120"/>
    </w:pPr>
  </w:style>
  <w:style w:type="paragraph" w:customStyle="1" w:styleId="bulletsblue-consecutive">
    <w:name w:val="bullets blue - consecutive"/>
    <w:basedOn w:val="bulletsblue"/>
    <w:pPr>
      <w:numPr>
        <w:numId w:val="0"/>
      </w:numPr>
      <w:ind w:left="709"/>
    </w:pPr>
  </w:style>
  <w:style w:type="paragraph" w:customStyle="1" w:styleId="bulletsblue-consecutivespaceafter">
    <w:name w:val="bullets blue - consecutive (space after)"/>
    <w:basedOn w:val="bulletsblue-consecutive"/>
    <w:pPr>
      <w:spacing w:after="120"/>
    </w:pPr>
  </w:style>
  <w:style w:type="paragraph" w:customStyle="1" w:styleId="Title1Corporate-NoTOC">
    <w:name w:val="Title 1 / Corporate - No TOC"/>
    <w:basedOn w:val="Title1Corporate"/>
    <w:next w:val="BodyText1spaceafter"/>
    <w:pPr>
      <w:outlineLvl w:val="9"/>
    </w:pPr>
  </w:style>
  <w:style w:type="paragraph" w:customStyle="1" w:styleId="Title3Report-Numbered">
    <w:name w:val="Title 3 / Report - Numbered"/>
    <w:basedOn w:val="Title3Report"/>
    <w:next w:val="BodyText1spaceafter"/>
    <w:pPr>
      <w:numPr>
        <w:numId w:val="17"/>
      </w:numPr>
      <w:spacing w:line="276" w:lineRule="auto"/>
    </w:pPr>
  </w:style>
  <w:style w:type="character" w:customStyle="1" w:styleId="BOLDORANGEAnnexes">
    <w:name w:val="BOLD ORANGE / Annexes"/>
    <w:uiPriority w:val="1"/>
    <w:rPr>
      <w:b/>
      <w:color w:val="E48C32"/>
    </w:rPr>
  </w:style>
  <w:style w:type="character" w:customStyle="1" w:styleId="BOLDYELLOWEndnotes">
    <w:name w:val="BOLD YELLOW / Endnotes"/>
    <w:uiPriority w:val="1"/>
    <w:rPr>
      <w:b/>
      <w:color w:val="EFC465"/>
    </w:rPr>
  </w:style>
  <w:style w:type="paragraph" w:customStyle="1" w:styleId="bulletsorange">
    <w:name w:val="bullets orange"/>
    <w:basedOn w:val="bulletsblue"/>
    <w:pPr>
      <w:spacing w:after="240"/>
      <w:ind w:left="714" w:hanging="357"/>
      <w:contextualSpacing/>
    </w:pPr>
  </w:style>
  <w:style w:type="character" w:customStyle="1" w:styleId="BOLDITALICORANGEAnnexes">
    <w:name w:val="BOLD ITALIC ORANGE / Annexes"/>
    <w:basedOn w:val="BOLDORANGEAnnexes"/>
    <w:uiPriority w:val="1"/>
    <w:rPr>
      <w:b/>
      <w:i/>
      <w:color w:val="E48C32"/>
    </w:rPr>
  </w:style>
  <w:style w:type="character" w:customStyle="1" w:styleId="fnRef">
    <w:name w:val="fnRef"/>
    <w:uiPriority w:val="1"/>
    <w:rPr>
      <w:rFonts w:ascii="EC Square Sans Pro" w:hAnsi="EC Square Sans Pro"/>
      <w:b w:val="0"/>
      <w:i w:val="0"/>
      <w:bdr w:val="none" w:sz="0" w:space="0" w:color="auto"/>
      <w:shd w:val="clear" w:color="auto" w:fill="auto"/>
      <w:vertAlign w:val="baseline"/>
    </w:rPr>
  </w:style>
  <w:style w:type="character" w:customStyle="1" w:styleId="fnRefNo">
    <w:name w:val="fnRefNo"/>
    <w:uiPriority w:val="1"/>
    <w:qFormat/>
    <w:rPr>
      <w:rFonts w:ascii="EC Square Sans Pro" w:hAnsi="EC Square Sans Pro"/>
      <w:b w:val="0"/>
      <w:i w:val="0"/>
      <w:bdr w:val="none" w:sz="0" w:space="0" w:color="auto"/>
      <w:shd w:val="clear" w:color="auto" w:fill="auto"/>
      <w:vertAlign w:val="superscript"/>
    </w:rPr>
  </w:style>
  <w:style w:type="paragraph" w:customStyle="1" w:styleId="PSNormal">
    <w:name w:val="PS_Normal"/>
    <w:basedOn w:val="Normal"/>
    <w:pPr>
      <w:spacing w:after="100"/>
      <w:jc w:val="both"/>
    </w:pPr>
    <w:rPr>
      <w:rFonts w:eastAsia="Times New Roman"/>
      <w:color w:val="7F7F7F" w:themeColor="text1" w:themeTint="80"/>
      <w:sz w:val="18"/>
      <w:szCs w:val="20"/>
      <w:lang w:eastAsia="en-GB"/>
    </w:rPr>
  </w:style>
  <w:style w:type="paragraph" w:customStyle="1" w:styleId="Default">
    <w:name w:val="Default"/>
    <w:pPr>
      <w:autoSpaceDE w:val="0"/>
      <w:autoSpaceDN w:val="0"/>
      <w:adjustRightInd w:val="0"/>
    </w:pPr>
    <w:rPr>
      <w:rFonts w:ascii="Calibri" w:eastAsia="Calibri" w:hAnsi="Calibri" w:cs="Calibri"/>
      <w:color w:val="000000"/>
      <w:sz w:val="24"/>
      <w:szCs w:val="24"/>
      <w:lang w:val="bg-BG"/>
    </w:rPr>
  </w:style>
  <w:style w:type="character" w:customStyle="1" w:styleId="A2">
    <w:name w:val="A2"/>
    <w:uiPriority w:val="99"/>
    <w:rPr>
      <w:rFonts w:cs="EC Square Sans Pro"/>
      <w:color w:val="000000"/>
      <w:sz w:val="20"/>
      <w:szCs w:val="20"/>
    </w:rPr>
  </w:style>
  <w:style w:type="numbering" w:customStyle="1" w:styleId="Bullets">
    <w:name w:val="Bullets"/>
    <w:aliases w:val="NumbLstBTBullet,NumbLstBullet"/>
    <w:pPr>
      <w:numPr>
        <w:numId w:val="22"/>
      </w:numPr>
    </w:pPr>
  </w:style>
  <w:style w:type="paragraph" w:customStyle="1" w:styleId="Bullet2">
    <w:name w:val="Bullet 2"/>
    <w:aliases w:val="Bullet2,BTBullet2"/>
    <w:basedOn w:val="Normal"/>
    <w:qFormat/>
    <w:pPr>
      <w:tabs>
        <w:tab w:val="num" w:pos="1021"/>
      </w:tabs>
      <w:spacing w:before="120" w:after="120"/>
      <w:ind w:left="1021" w:hanging="341"/>
      <w:contextualSpacing/>
      <w:jc w:val="both"/>
    </w:pPr>
    <w:rPr>
      <w:rFonts w:eastAsia="Calibri"/>
      <w:color w:val="000000"/>
      <w:sz w:val="18"/>
    </w:rPr>
  </w:style>
  <w:style w:type="paragraph" w:customStyle="1" w:styleId="Bullet3">
    <w:name w:val="Bullet 3"/>
    <w:aliases w:val="Bullet3,BTBullet3"/>
    <w:basedOn w:val="Bullet2"/>
    <w:qFormat/>
    <w:pPr>
      <w:tabs>
        <w:tab w:val="clear" w:pos="1021"/>
        <w:tab w:val="num" w:pos="1361"/>
      </w:tabs>
      <w:ind w:left="1361" w:hanging="340"/>
    </w:pPr>
  </w:style>
  <w:style w:type="paragraph" w:customStyle="1" w:styleId="AARHintboxtitle">
    <w:name w:val="AAR Hintbox title"/>
    <w:basedOn w:val="Normal"/>
    <w:next w:val="Normal"/>
    <w:qFormat/>
    <w:pPr>
      <w:keepNext/>
      <w:numPr>
        <w:numId w:val="23"/>
      </w:numPr>
      <w:spacing w:before="120" w:after="100"/>
      <w:jc w:val="both"/>
    </w:pPr>
    <w:rPr>
      <w:rFonts w:eastAsia="Calibri"/>
      <w:b/>
      <w:bCs/>
      <w:i/>
      <w:color w:val="00B050"/>
      <w:sz w:val="22"/>
      <w:u w:val="single"/>
    </w:rPr>
  </w:style>
  <w:style w:type="character" w:customStyle="1" w:styleId="Corpsdutexte27">
    <w:name w:val="Corps du texte27"/>
    <w:uiPriority w:val="99"/>
    <w:rPr>
      <w:rFonts w:ascii="Arial" w:hAnsi="Arial" w:cs="Arial"/>
      <w:color w:val="1A171C"/>
      <w:sz w:val="21"/>
      <w:szCs w:val="21"/>
      <w:u w:val="none"/>
    </w:rPr>
  </w:style>
  <w:style w:type="paragraph" w:customStyle="1" w:styleId="FooterLandscape">
    <w:name w:val="FooterLandscape"/>
    <w:basedOn w:val="Normal"/>
    <w:pPr>
      <w:tabs>
        <w:tab w:val="center" w:pos="7285"/>
        <w:tab w:val="center" w:pos="10913"/>
        <w:tab w:val="right" w:pos="15137"/>
      </w:tabs>
      <w:spacing w:before="360"/>
      <w:ind w:left="-567" w:right="-567"/>
    </w:pPr>
    <w:rPr>
      <w:rFonts w:ascii="Times New Roman" w:hAnsi="Times New Roman"/>
      <w:sz w:val="24"/>
    </w:rPr>
  </w:style>
  <w:style w:type="paragraph" w:customStyle="1" w:styleId="ChapterTitle">
    <w:name w:val="ChapterTitle"/>
    <w:basedOn w:val="Normal"/>
    <w:next w:val="Normal"/>
    <w:pPr>
      <w:keepNext/>
      <w:spacing w:before="120" w:after="360"/>
      <w:jc w:val="center"/>
    </w:pPr>
    <w:rPr>
      <w:rFonts w:eastAsia="SimSun"/>
      <w:b/>
      <w:color w:val="7F7F7F" w:themeColor="text1" w:themeTint="80"/>
      <w:sz w:val="32"/>
      <w:szCs w:val="24"/>
    </w:rPr>
  </w:style>
  <w:style w:type="paragraph" w:customStyle="1" w:styleId="TOCHeading1">
    <w:name w:val="TOC Heading1"/>
    <w:basedOn w:val="Normal"/>
    <w:next w:val="Normal"/>
    <w:uiPriority w:val="39"/>
    <w:qFormat/>
    <w:pPr>
      <w:numPr>
        <w:numId w:val="33"/>
      </w:numPr>
      <w:spacing w:before="120" w:after="240"/>
      <w:jc w:val="center"/>
    </w:pPr>
    <w:rPr>
      <w:rFonts w:eastAsia="SimSun"/>
      <w:b/>
      <w:color w:val="7F7F7F" w:themeColor="text1" w:themeTint="80"/>
      <w:sz w:val="28"/>
      <w:szCs w:val="24"/>
    </w:rPr>
  </w:style>
  <w:style w:type="paragraph" w:customStyle="1" w:styleId="Bullet0">
    <w:name w:val="Bullet 0"/>
    <w:basedOn w:val="Normal"/>
    <w:pPr>
      <w:tabs>
        <w:tab w:val="num" w:pos="850"/>
      </w:tabs>
      <w:spacing w:before="120" w:after="120"/>
      <w:ind w:left="850" w:hanging="850"/>
      <w:jc w:val="both"/>
    </w:pPr>
    <w:rPr>
      <w:rFonts w:eastAsia="SimSun"/>
      <w:color w:val="7F7F7F" w:themeColor="text1" w:themeTint="80"/>
      <w:sz w:val="18"/>
      <w:szCs w:val="24"/>
    </w:rPr>
  </w:style>
  <w:style w:type="paragraph" w:customStyle="1" w:styleId="Bullet4">
    <w:name w:val="Bullet 4"/>
    <w:basedOn w:val="Normal"/>
    <w:pPr>
      <w:tabs>
        <w:tab w:val="num" w:pos="2551"/>
        <w:tab w:val="num" w:pos="3118"/>
      </w:tabs>
      <w:spacing w:before="120" w:after="120"/>
      <w:ind w:left="3118" w:hanging="567"/>
      <w:jc w:val="both"/>
    </w:pPr>
    <w:rPr>
      <w:rFonts w:eastAsia="SimSun"/>
      <w:color w:val="7F7F7F" w:themeColor="text1" w:themeTint="80"/>
      <w:sz w:val="18"/>
      <w:szCs w:val="24"/>
    </w:rPr>
  </w:style>
  <w:style w:type="paragraph" w:customStyle="1" w:styleId="Annexetitreexpos">
    <w:name w:val="Annexe titre (exposé)"/>
    <w:basedOn w:val="Normal"/>
    <w:next w:val="Normal"/>
    <w:pPr>
      <w:spacing w:before="120" w:after="120"/>
      <w:jc w:val="center"/>
    </w:pPr>
    <w:rPr>
      <w:rFonts w:eastAsia="SimSun"/>
      <w:b/>
      <w:color w:val="7F7F7F" w:themeColor="text1" w:themeTint="80"/>
      <w:sz w:val="18"/>
      <w:szCs w:val="24"/>
      <w:u w:val="single"/>
    </w:rPr>
  </w:style>
  <w:style w:type="paragraph" w:customStyle="1" w:styleId="Annexetitre">
    <w:name w:val="Annexe titre"/>
    <w:basedOn w:val="Normal"/>
    <w:next w:val="Normal"/>
    <w:autoRedefine/>
    <w:pPr>
      <w:tabs>
        <w:tab w:val="num" w:pos="1134"/>
      </w:tabs>
      <w:spacing w:before="120" w:after="120"/>
      <w:ind w:left="360"/>
      <w:jc w:val="both"/>
      <w:outlineLvl w:val="0"/>
    </w:pPr>
    <w:rPr>
      <w:rFonts w:eastAsia="SimSun"/>
      <w:b/>
      <w:color w:val="7F7F7F" w:themeColor="text1" w:themeTint="80"/>
      <w:sz w:val="18"/>
      <w:szCs w:val="24"/>
      <w:u w:val="single"/>
    </w:rPr>
  </w:style>
  <w:style w:type="paragraph" w:customStyle="1" w:styleId="Annexetitrefichefinancire">
    <w:name w:val="Annexe titre (fiche financière)"/>
    <w:basedOn w:val="Normal"/>
    <w:next w:val="Normal"/>
    <w:pPr>
      <w:spacing w:before="120" w:after="120"/>
      <w:jc w:val="center"/>
    </w:pPr>
    <w:rPr>
      <w:rFonts w:eastAsia="SimSun"/>
      <w:b/>
      <w:color w:val="7F7F7F" w:themeColor="text1" w:themeTint="80"/>
      <w:sz w:val="18"/>
      <w:szCs w:val="24"/>
      <w:u w:val="single"/>
    </w:rPr>
  </w:style>
  <w:style w:type="paragraph" w:customStyle="1" w:styleId="Applicationdirecte">
    <w:name w:val="Application directe"/>
    <w:basedOn w:val="Normal"/>
    <w:next w:val="Fait"/>
    <w:pPr>
      <w:spacing w:before="480" w:after="120"/>
      <w:jc w:val="both"/>
    </w:pPr>
    <w:rPr>
      <w:rFonts w:eastAsia="SimSun"/>
      <w:color w:val="7F7F7F" w:themeColor="text1" w:themeTint="80"/>
      <w:sz w:val="18"/>
      <w:szCs w:val="24"/>
    </w:rPr>
  </w:style>
  <w:style w:type="paragraph" w:customStyle="1" w:styleId="Fait">
    <w:name w:val="Fait à"/>
    <w:basedOn w:val="Normal"/>
    <w:next w:val="Institutionquisigne"/>
    <w:pPr>
      <w:keepNext/>
      <w:spacing w:before="120" w:after="240"/>
      <w:jc w:val="both"/>
    </w:pPr>
    <w:rPr>
      <w:rFonts w:eastAsia="SimSun"/>
      <w:color w:val="7F7F7F" w:themeColor="text1" w:themeTint="80"/>
      <w:sz w:val="18"/>
      <w:szCs w:val="24"/>
    </w:rPr>
  </w:style>
  <w:style w:type="paragraph" w:customStyle="1" w:styleId="Institutionquisigne">
    <w:name w:val="Institution qui signe"/>
    <w:basedOn w:val="Normal"/>
    <w:next w:val="Personnequisigne"/>
    <w:pPr>
      <w:keepNext/>
      <w:tabs>
        <w:tab w:val="left" w:pos="4252"/>
      </w:tabs>
      <w:spacing w:before="720" w:after="240"/>
      <w:jc w:val="both"/>
    </w:pPr>
    <w:rPr>
      <w:rFonts w:eastAsia="SimSun"/>
      <w:i/>
      <w:color w:val="7F7F7F" w:themeColor="text1" w:themeTint="80"/>
      <w:sz w:val="18"/>
      <w:szCs w:val="24"/>
    </w:rPr>
  </w:style>
  <w:style w:type="paragraph" w:customStyle="1" w:styleId="Avertissementtitre">
    <w:name w:val="Avertissement titre"/>
    <w:basedOn w:val="Normal"/>
    <w:next w:val="Normal"/>
    <w:pPr>
      <w:keepNext/>
      <w:spacing w:before="480" w:after="120"/>
      <w:jc w:val="both"/>
    </w:pPr>
    <w:rPr>
      <w:rFonts w:eastAsia="SimSun"/>
      <w:color w:val="7F7F7F" w:themeColor="text1" w:themeTint="80"/>
      <w:sz w:val="18"/>
      <w:szCs w:val="24"/>
      <w:u w:val="single"/>
    </w:rPr>
  </w:style>
  <w:style w:type="paragraph" w:customStyle="1" w:styleId="Confidence">
    <w:name w:val="Confidence"/>
    <w:basedOn w:val="Normal"/>
    <w:next w:val="Normal"/>
    <w:pPr>
      <w:spacing w:before="360" w:after="120"/>
      <w:jc w:val="center"/>
    </w:pPr>
    <w:rPr>
      <w:rFonts w:eastAsia="SimSun"/>
      <w:color w:val="7F7F7F" w:themeColor="text1" w:themeTint="80"/>
      <w:sz w:val="18"/>
      <w:szCs w:val="24"/>
    </w:rPr>
  </w:style>
  <w:style w:type="paragraph" w:customStyle="1" w:styleId="Confidentialit">
    <w:name w:val="Confidentialité"/>
    <w:basedOn w:val="Normal"/>
    <w:next w:val="TypedudocumentPagedecouverture"/>
    <w:pPr>
      <w:spacing w:before="240" w:after="240"/>
      <w:ind w:left="5103"/>
      <w:jc w:val="both"/>
    </w:pPr>
    <w:rPr>
      <w:rFonts w:eastAsia="SimSun"/>
      <w:color w:val="7F7F7F" w:themeColor="text1" w:themeTint="80"/>
      <w:sz w:val="18"/>
      <w:szCs w:val="24"/>
      <w:u w:val="single"/>
    </w:rPr>
  </w:style>
  <w:style w:type="paragraph" w:customStyle="1" w:styleId="Titreobjet">
    <w:name w:val="Titre objet"/>
    <w:basedOn w:val="Normal"/>
    <w:next w:val="Sous-titreobjet"/>
    <w:pPr>
      <w:spacing w:before="360" w:after="360"/>
      <w:jc w:val="center"/>
    </w:pPr>
    <w:rPr>
      <w:rFonts w:eastAsia="SimSun"/>
      <w:b/>
      <w:color w:val="7F7F7F" w:themeColor="text1" w:themeTint="80"/>
      <w:sz w:val="18"/>
      <w:szCs w:val="24"/>
    </w:rPr>
  </w:style>
  <w:style w:type="paragraph" w:customStyle="1" w:styleId="Sous-titreobjet">
    <w:name w:val="Sous-titre objet"/>
    <w:basedOn w:val="Normal"/>
    <w:pPr>
      <w:spacing w:after="240"/>
      <w:jc w:val="center"/>
    </w:pPr>
    <w:rPr>
      <w:rFonts w:eastAsia="SimSun"/>
      <w:b/>
      <w:color w:val="7F7F7F" w:themeColor="text1" w:themeTint="80"/>
      <w:sz w:val="18"/>
      <w:szCs w:val="24"/>
    </w:rPr>
  </w:style>
  <w:style w:type="paragraph" w:customStyle="1" w:styleId="TitreobjetPagedecouverture">
    <w:name w:val="Titre objet (Page de couverture)"/>
    <w:basedOn w:val="Titreobjet"/>
    <w:next w:val="Sous-titreobjetPagedecouverture"/>
  </w:style>
  <w:style w:type="paragraph" w:customStyle="1" w:styleId="Sous-titreobjetPagedecouverture">
    <w:name w:val="Sous-titre objet (Page de couverture)"/>
    <w:basedOn w:val="Sous-titreobjet"/>
  </w:style>
  <w:style w:type="paragraph" w:customStyle="1" w:styleId="Considrant">
    <w:name w:val="Considérant"/>
    <w:basedOn w:val="Normal"/>
    <w:pPr>
      <w:tabs>
        <w:tab w:val="num" w:pos="709"/>
        <w:tab w:val="num" w:pos="3118"/>
      </w:tabs>
      <w:spacing w:before="120" w:after="120"/>
      <w:ind w:left="709" w:hanging="709"/>
      <w:jc w:val="both"/>
    </w:pPr>
    <w:rPr>
      <w:rFonts w:eastAsia="SimSun"/>
      <w:color w:val="7F7F7F" w:themeColor="text1" w:themeTint="80"/>
      <w:sz w:val="18"/>
      <w:szCs w:val="24"/>
    </w:rPr>
  </w:style>
  <w:style w:type="paragraph" w:customStyle="1" w:styleId="Corrigendum">
    <w:name w:val="Corrigendum"/>
    <w:basedOn w:val="Normal"/>
    <w:next w:val="Normal"/>
    <w:pPr>
      <w:spacing w:after="240"/>
      <w:jc w:val="both"/>
    </w:pPr>
    <w:rPr>
      <w:rFonts w:eastAsia="SimSun"/>
      <w:color w:val="7F7F7F" w:themeColor="text1" w:themeTint="80"/>
      <w:sz w:val="18"/>
      <w:szCs w:val="24"/>
    </w:rPr>
  </w:style>
  <w:style w:type="paragraph" w:customStyle="1" w:styleId="Datedadoption">
    <w:name w:val="Date d'adoption"/>
    <w:basedOn w:val="Normal"/>
    <w:next w:val="Titreobjet"/>
    <w:pPr>
      <w:spacing w:before="360" w:after="240"/>
      <w:jc w:val="center"/>
    </w:pPr>
    <w:rPr>
      <w:rFonts w:eastAsia="SimSun"/>
      <w:b/>
      <w:color w:val="7F7F7F" w:themeColor="text1" w:themeTint="80"/>
      <w:sz w:val="18"/>
      <w:szCs w:val="24"/>
    </w:rPr>
  </w:style>
  <w:style w:type="paragraph" w:customStyle="1" w:styleId="Emission">
    <w:name w:val="Emission"/>
    <w:basedOn w:val="Normal"/>
    <w:next w:val="Rfrenceinstitutionnelle"/>
    <w:pPr>
      <w:spacing w:after="240"/>
      <w:ind w:left="5103"/>
      <w:jc w:val="both"/>
    </w:pPr>
    <w:rPr>
      <w:rFonts w:eastAsia="SimSun"/>
      <w:color w:val="7F7F7F" w:themeColor="text1" w:themeTint="80"/>
      <w:sz w:val="18"/>
      <w:szCs w:val="24"/>
    </w:rPr>
  </w:style>
  <w:style w:type="paragraph" w:customStyle="1" w:styleId="Exposdesmotifstitre">
    <w:name w:val="Exposé des motifs titre"/>
    <w:basedOn w:val="Normal"/>
    <w:next w:val="Normal"/>
    <w:pPr>
      <w:spacing w:before="120" w:after="120"/>
      <w:jc w:val="center"/>
    </w:pPr>
    <w:rPr>
      <w:rFonts w:eastAsia="SimSun"/>
      <w:b/>
      <w:color w:val="7F7F7F" w:themeColor="text1" w:themeTint="80"/>
      <w:sz w:val="18"/>
      <w:szCs w:val="24"/>
      <w:u w:val="single"/>
    </w:rPr>
  </w:style>
  <w:style w:type="paragraph" w:customStyle="1" w:styleId="Formuledadoption">
    <w:name w:val="Formule d'adoption"/>
    <w:basedOn w:val="Normal"/>
    <w:next w:val="Titrearticle"/>
    <w:pPr>
      <w:keepNext/>
      <w:spacing w:before="120" w:after="120"/>
      <w:jc w:val="both"/>
    </w:pPr>
    <w:rPr>
      <w:rFonts w:eastAsia="SimSun"/>
      <w:color w:val="7F7F7F" w:themeColor="text1" w:themeTint="80"/>
      <w:sz w:val="18"/>
      <w:szCs w:val="24"/>
    </w:rPr>
  </w:style>
  <w:style w:type="paragraph" w:customStyle="1" w:styleId="Institutionquiagit">
    <w:name w:val="Institution qui agit"/>
    <w:basedOn w:val="Normal"/>
    <w:next w:val="Normal"/>
    <w:pPr>
      <w:keepNext/>
      <w:spacing w:before="600" w:after="120"/>
      <w:jc w:val="both"/>
    </w:pPr>
    <w:rPr>
      <w:rFonts w:eastAsia="SimSun"/>
      <w:color w:val="7F7F7F" w:themeColor="text1" w:themeTint="80"/>
      <w:sz w:val="18"/>
      <w:szCs w:val="24"/>
    </w:rPr>
  </w:style>
  <w:style w:type="character" w:customStyle="1" w:styleId="Added">
    <w:name w:val="Added"/>
    <w:rPr>
      <w:rFonts w:cs="Times New Roman"/>
      <w:b/>
      <w:u w:val="single"/>
      <w:shd w:val="clear" w:color="auto" w:fill="auto"/>
    </w:rPr>
  </w:style>
  <w:style w:type="character" w:customStyle="1" w:styleId="Deleted">
    <w:name w:val="Deleted"/>
    <w:rPr>
      <w:rFonts w:cs="Times New Roman"/>
      <w:strike/>
      <w:shd w:val="clear" w:color="auto" w:fill="auto"/>
    </w:rPr>
  </w:style>
  <w:style w:type="paragraph" w:customStyle="1" w:styleId="Address">
    <w:name w:val="Address"/>
    <w:basedOn w:val="Normal"/>
    <w:next w:val="Normal"/>
    <w:pPr>
      <w:keepLines/>
      <w:spacing w:before="120" w:after="120" w:line="360" w:lineRule="auto"/>
      <w:ind w:left="3402"/>
      <w:jc w:val="both"/>
    </w:pPr>
    <w:rPr>
      <w:rFonts w:eastAsia="SimSun"/>
      <w:color w:val="7F7F7F" w:themeColor="text1" w:themeTint="80"/>
      <w:sz w:val="18"/>
      <w:szCs w:val="24"/>
    </w:rPr>
  </w:style>
  <w:style w:type="paragraph" w:customStyle="1" w:styleId="Fichefinanciretitre">
    <w:name w:val="Fiche financière titre"/>
    <w:basedOn w:val="Normal"/>
    <w:next w:val="Normal"/>
    <w:pPr>
      <w:spacing w:before="120" w:after="120"/>
      <w:jc w:val="center"/>
    </w:pPr>
    <w:rPr>
      <w:rFonts w:eastAsia="SimSun"/>
      <w:b/>
      <w:color w:val="7F7F7F" w:themeColor="text1" w:themeTint="80"/>
      <w:sz w:val="18"/>
      <w:szCs w:val="24"/>
      <w:u w:val="single"/>
    </w:rPr>
  </w:style>
  <w:style w:type="paragraph" w:customStyle="1" w:styleId="Accompagnant">
    <w:name w:val="Accompagnant"/>
    <w:basedOn w:val="Normal"/>
    <w:next w:val="Typeacteprincipal"/>
    <w:pPr>
      <w:spacing w:after="240"/>
      <w:jc w:val="center"/>
    </w:pPr>
    <w:rPr>
      <w:rFonts w:eastAsia="SimSun"/>
      <w:b/>
      <w:i/>
      <w:color w:val="7F7F7F" w:themeColor="text1" w:themeTint="80"/>
      <w:sz w:val="18"/>
      <w:szCs w:val="24"/>
    </w:rPr>
  </w:style>
  <w:style w:type="paragraph" w:customStyle="1" w:styleId="AccompagnantPagedecouverture">
    <w:name w:val="Accompagnant (Page de couverture)"/>
    <w:basedOn w:val="Accompagnant"/>
    <w:next w:val="TypeacteprincipalPagedecouverture"/>
  </w:style>
  <w:style w:type="paragraph" w:customStyle="1" w:styleId="ListBullet1">
    <w:name w:val="List Bullet 1"/>
    <w:basedOn w:val="Text1"/>
    <w:uiPriority w:val="99"/>
    <w:pPr>
      <w:numPr>
        <w:numId w:val="26"/>
      </w:numPr>
      <w:spacing w:before="0" w:after="240"/>
    </w:pPr>
    <w:rPr>
      <w:color w:val="7F7F7F" w:themeColor="text1" w:themeTint="80"/>
      <w:sz w:val="18"/>
      <w:szCs w:val="20"/>
    </w:rPr>
  </w:style>
  <w:style w:type="paragraph" w:customStyle="1" w:styleId="ListDash">
    <w:name w:val="List Dash"/>
    <w:basedOn w:val="Normal"/>
    <w:pPr>
      <w:numPr>
        <w:numId w:val="27"/>
      </w:numPr>
      <w:spacing w:after="240"/>
      <w:jc w:val="both"/>
    </w:pPr>
    <w:rPr>
      <w:rFonts w:eastAsia="Times New Roman"/>
      <w:color w:val="7F7F7F" w:themeColor="text1" w:themeTint="80"/>
      <w:sz w:val="18"/>
      <w:szCs w:val="20"/>
    </w:rPr>
  </w:style>
  <w:style w:type="paragraph" w:customStyle="1" w:styleId="ListDash1">
    <w:name w:val="List Dash 1"/>
    <w:basedOn w:val="Text1"/>
    <w:pPr>
      <w:numPr>
        <w:numId w:val="28"/>
      </w:numPr>
      <w:spacing w:before="0" w:after="240"/>
    </w:pPr>
    <w:rPr>
      <w:color w:val="7F7F7F" w:themeColor="text1" w:themeTint="80"/>
      <w:sz w:val="18"/>
      <w:szCs w:val="20"/>
    </w:rPr>
  </w:style>
  <w:style w:type="paragraph" w:customStyle="1" w:styleId="ListDash2">
    <w:name w:val="List Dash 2"/>
    <w:basedOn w:val="Text2"/>
    <w:pPr>
      <w:numPr>
        <w:numId w:val="29"/>
      </w:numPr>
      <w:tabs>
        <w:tab w:val="clear" w:pos="1485"/>
        <w:tab w:val="num" w:pos="283"/>
      </w:tabs>
      <w:spacing w:before="0" w:after="240"/>
    </w:pPr>
    <w:rPr>
      <w:rFonts w:eastAsia="Times New Roman"/>
      <w:color w:val="7F7F7F" w:themeColor="text1" w:themeTint="80"/>
      <w:sz w:val="18"/>
      <w:szCs w:val="20"/>
    </w:rPr>
  </w:style>
  <w:style w:type="paragraph" w:customStyle="1" w:styleId="ListDash3">
    <w:name w:val="List Dash 3"/>
    <w:basedOn w:val="Text3"/>
    <w:pPr>
      <w:numPr>
        <w:numId w:val="30"/>
      </w:numPr>
      <w:spacing w:before="0" w:after="240"/>
    </w:pPr>
    <w:rPr>
      <w:rFonts w:eastAsia="Times New Roman"/>
      <w:color w:val="7F7F7F" w:themeColor="text1" w:themeTint="80"/>
      <w:sz w:val="18"/>
      <w:szCs w:val="20"/>
    </w:rPr>
  </w:style>
  <w:style w:type="paragraph" w:customStyle="1" w:styleId="ListDash4">
    <w:name w:val="List Dash 4"/>
    <w:basedOn w:val="Text4"/>
    <w:pPr>
      <w:numPr>
        <w:numId w:val="31"/>
      </w:numPr>
      <w:spacing w:before="0" w:after="240"/>
    </w:pPr>
    <w:rPr>
      <w:rFonts w:eastAsia="Times New Roman"/>
      <w:color w:val="7F7F7F" w:themeColor="text1" w:themeTint="80"/>
      <w:sz w:val="18"/>
      <w:szCs w:val="20"/>
    </w:rPr>
  </w:style>
  <w:style w:type="paragraph" w:customStyle="1" w:styleId="ListNumber1">
    <w:name w:val="List Number 1"/>
    <w:basedOn w:val="Text1"/>
    <w:pPr>
      <w:numPr>
        <w:numId w:val="32"/>
      </w:numPr>
      <w:spacing w:before="0" w:after="240"/>
    </w:pPr>
    <w:rPr>
      <w:color w:val="7F7F7F" w:themeColor="text1" w:themeTint="80"/>
      <w:sz w:val="18"/>
      <w:szCs w:val="20"/>
    </w:rPr>
  </w:style>
  <w:style w:type="paragraph" w:customStyle="1" w:styleId="ListNumberLevel2">
    <w:name w:val="List Number (Level 2)"/>
    <w:basedOn w:val="Normal"/>
    <w:pPr>
      <w:tabs>
        <w:tab w:val="num" w:pos="1417"/>
      </w:tabs>
      <w:spacing w:after="240"/>
      <w:ind w:left="1417" w:hanging="708"/>
      <w:jc w:val="both"/>
    </w:pPr>
    <w:rPr>
      <w:rFonts w:eastAsia="Times New Roman"/>
      <w:color w:val="7F7F7F" w:themeColor="text1" w:themeTint="80"/>
      <w:sz w:val="18"/>
      <w:szCs w:val="20"/>
    </w:rPr>
  </w:style>
  <w:style w:type="paragraph" w:customStyle="1" w:styleId="ListNumber1Level2">
    <w:name w:val="List Number 1 (Level 2)"/>
    <w:basedOn w:val="Text1"/>
    <w:pPr>
      <w:numPr>
        <w:ilvl w:val="1"/>
        <w:numId w:val="32"/>
      </w:numPr>
      <w:spacing w:before="0" w:after="240"/>
    </w:pPr>
    <w:rPr>
      <w:color w:val="7F7F7F" w:themeColor="text1" w:themeTint="80"/>
      <w:sz w:val="18"/>
      <w:szCs w:val="20"/>
    </w:rPr>
  </w:style>
  <w:style w:type="paragraph" w:customStyle="1" w:styleId="ListNumber2Level2">
    <w:name w:val="List Number 2 (Level 2)"/>
    <w:basedOn w:val="Text2"/>
    <w:pPr>
      <w:tabs>
        <w:tab w:val="num" w:pos="360"/>
      </w:tabs>
      <w:spacing w:before="0" w:after="240"/>
      <w:ind w:left="2619" w:hanging="708"/>
    </w:pPr>
    <w:rPr>
      <w:rFonts w:eastAsia="Times New Roman"/>
      <w:color w:val="7F7F7F" w:themeColor="text1" w:themeTint="80"/>
      <w:sz w:val="18"/>
      <w:szCs w:val="20"/>
    </w:rPr>
  </w:style>
  <w:style w:type="paragraph" w:customStyle="1" w:styleId="ListNumber3Level2">
    <w:name w:val="List Number 3 (Level 2)"/>
    <w:basedOn w:val="Text3"/>
    <w:pPr>
      <w:tabs>
        <w:tab w:val="num" w:pos="2619"/>
      </w:tabs>
      <w:spacing w:before="0" w:after="240"/>
      <w:ind w:left="2619" w:hanging="708"/>
    </w:pPr>
    <w:rPr>
      <w:rFonts w:eastAsia="Times New Roman"/>
      <w:color w:val="7F7F7F" w:themeColor="text1" w:themeTint="80"/>
      <w:sz w:val="18"/>
      <w:szCs w:val="20"/>
    </w:rPr>
  </w:style>
  <w:style w:type="paragraph" w:customStyle="1" w:styleId="ListNumber4Level2">
    <w:name w:val="List Number 4 (Level 2)"/>
    <w:basedOn w:val="Text4"/>
    <w:pPr>
      <w:tabs>
        <w:tab w:val="num" w:pos="2619"/>
      </w:tabs>
      <w:spacing w:before="0" w:after="240"/>
      <w:ind w:left="2619" w:hanging="708"/>
    </w:pPr>
    <w:rPr>
      <w:rFonts w:eastAsia="Times New Roman"/>
      <w:color w:val="7F7F7F" w:themeColor="text1" w:themeTint="80"/>
      <w:sz w:val="18"/>
      <w:szCs w:val="20"/>
    </w:rPr>
  </w:style>
  <w:style w:type="paragraph" w:customStyle="1" w:styleId="ListNumberLevel3">
    <w:name w:val="List Number (Level 3)"/>
    <w:basedOn w:val="Normal"/>
    <w:pPr>
      <w:tabs>
        <w:tab w:val="num" w:pos="2126"/>
      </w:tabs>
      <w:spacing w:after="240"/>
      <w:ind w:left="2126" w:hanging="709"/>
      <w:jc w:val="both"/>
    </w:pPr>
    <w:rPr>
      <w:rFonts w:eastAsia="Times New Roman"/>
      <w:color w:val="7F7F7F" w:themeColor="text1" w:themeTint="80"/>
      <w:sz w:val="18"/>
      <w:szCs w:val="20"/>
    </w:rPr>
  </w:style>
  <w:style w:type="paragraph" w:customStyle="1" w:styleId="ListNumber1Level3">
    <w:name w:val="List Number 1 (Level 3)"/>
    <w:basedOn w:val="Text1"/>
    <w:pPr>
      <w:numPr>
        <w:ilvl w:val="2"/>
        <w:numId w:val="32"/>
      </w:numPr>
      <w:spacing w:before="0" w:after="240"/>
    </w:pPr>
    <w:rPr>
      <w:color w:val="7F7F7F" w:themeColor="text1" w:themeTint="80"/>
      <w:sz w:val="18"/>
      <w:szCs w:val="20"/>
    </w:rPr>
  </w:style>
  <w:style w:type="paragraph" w:customStyle="1" w:styleId="ListNumber2Level3">
    <w:name w:val="List Number 2 (Level 3)"/>
    <w:basedOn w:val="Text2"/>
    <w:pPr>
      <w:tabs>
        <w:tab w:val="num" w:pos="360"/>
      </w:tabs>
      <w:spacing w:before="0" w:after="240"/>
      <w:ind w:left="3328" w:hanging="709"/>
    </w:pPr>
    <w:rPr>
      <w:rFonts w:eastAsia="Times New Roman"/>
      <w:color w:val="7F7F7F" w:themeColor="text1" w:themeTint="80"/>
      <w:sz w:val="18"/>
      <w:szCs w:val="20"/>
    </w:rPr>
  </w:style>
  <w:style w:type="paragraph" w:customStyle="1" w:styleId="ListNumber3Level3">
    <w:name w:val="List Number 3 (Level 3)"/>
    <w:basedOn w:val="Text3"/>
    <w:pPr>
      <w:tabs>
        <w:tab w:val="num" w:pos="3328"/>
      </w:tabs>
      <w:spacing w:before="0" w:after="240"/>
      <w:ind w:left="3328" w:hanging="709"/>
    </w:pPr>
    <w:rPr>
      <w:rFonts w:eastAsia="Times New Roman"/>
      <w:color w:val="7F7F7F" w:themeColor="text1" w:themeTint="80"/>
      <w:sz w:val="18"/>
      <w:szCs w:val="20"/>
    </w:rPr>
  </w:style>
  <w:style w:type="paragraph" w:customStyle="1" w:styleId="ListNumber4Level3">
    <w:name w:val="List Number 4 (Level 3)"/>
    <w:basedOn w:val="Text4"/>
    <w:pPr>
      <w:tabs>
        <w:tab w:val="num" w:pos="3328"/>
      </w:tabs>
      <w:spacing w:before="0" w:after="240"/>
      <w:ind w:left="3328" w:hanging="709"/>
    </w:pPr>
    <w:rPr>
      <w:rFonts w:eastAsia="Times New Roman"/>
      <w:color w:val="7F7F7F" w:themeColor="text1" w:themeTint="80"/>
      <w:sz w:val="18"/>
      <w:szCs w:val="20"/>
    </w:rPr>
  </w:style>
  <w:style w:type="paragraph" w:customStyle="1" w:styleId="ListNumberLevel4">
    <w:name w:val="List Number (Level 4)"/>
    <w:basedOn w:val="Normal"/>
    <w:pPr>
      <w:tabs>
        <w:tab w:val="num" w:pos="2835"/>
      </w:tabs>
      <w:spacing w:after="240"/>
      <w:ind w:left="2835" w:hanging="709"/>
      <w:jc w:val="both"/>
    </w:pPr>
    <w:rPr>
      <w:rFonts w:eastAsia="Times New Roman"/>
      <w:color w:val="7F7F7F" w:themeColor="text1" w:themeTint="80"/>
      <w:sz w:val="18"/>
      <w:szCs w:val="20"/>
    </w:rPr>
  </w:style>
  <w:style w:type="paragraph" w:customStyle="1" w:styleId="ListNumber1Level4">
    <w:name w:val="List Number 1 (Level 4)"/>
    <w:basedOn w:val="Text1"/>
    <w:pPr>
      <w:numPr>
        <w:ilvl w:val="3"/>
        <w:numId w:val="32"/>
      </w:numPr>
      <w:spacing w:before="0" w:after="240"/>
    </w:pPr>
    <w:rPr>
      <w:color w:val="7F7F7F" w:themeColor="text1" w:themeTint="80"/>
      <w:sz w:val="18"/>
      <w:szCs w:val="20"/>
    </w:rPr>
  </w:style>
  <w:style w:type="paragraph" w:customStyle="1" w:styleId="ListNumber2Level4">
    <w:name w:val="List Number 2 (Level 4)"/>
    <w:basedOn w:val="Text2"/>
    <w:pPr>
      <w:tabs>
        <w:tab w:val="num" w:pos="360"/>
      </w:tabs>
      <w:spacing w:before="0" w:after="240"/>
      <w:ind w:left="4037" w:hanging="709"/>
    </w:pPr>
    <w:rPr>
      <w:rFonts w:eastAsia="Times New Roman"/>
      <w:color w:val="7F7F7F" w:themeColor="text1" w:themeTint="80"/>
      <w:sz w:val="18"/>
      <w:szCs w:val="20"/>
    </w:rPr>
  </w:style>
  <w:style w:type="paragraph" w:customStyle="1" w:styleId="ListNumber3Level4">
    <w:name w:val="List Number 3 (Level 4)"/>
    <w:basedOn w:val="Text3"/>
    <w:pPr>
      <w:tabs>
        <w:tab w:val="num" w:pos="4037"/>
      </w:tabs>
      <w:spacing w:before="0" w:after="240"/>
      <w:ind w:left="4037" w:hanging="709"/>
    </w:pPr>
    <w:rPr>
      <w:rFonts w:eastAsia="Times New Roman"/>
      <w:color w:val="7F7F7F" w:themeColor="text1" w:themeTint="80"/>
      <w:sz w:val="18"/>
      <w:szCs w:val="20"/>
    </w:rPr>
  </w:style>
  <w:style w:type="paragraph" w:customStyle="1" w:styleId="ListNumber4Level4">
    <w:name w:val="List Number 4 (Level 4)"/>
    <w:basedOn w:val="Text4"/>
    <w:pPr>
      <w:tabs>
        <w:tab w:val="num" w:pos="4037"/>
      </w:tabs>
      <w:spacing w:before="0" w:after="240"/>
      <w:ind w:left="4037" w:hanging="709"/>
    </w:pPr>
    <w:rPr>
      <w:rFonts w:eastAsia="Times New Roman"/>
      <w:color w:val="7F7F7F" w:themeColor="text1" w:themeTint="80"/>
      <w:sz w:val="18"/>
      <w:szCs w:val="20"/>
    </w:rPr>
  </w:style>
  <w:style w:type="paragraph" w:customStyle="1" w:styleId="Rfrenceinterinstitutionelleprliminaire">
    <w:name w:val="Référence interinstitutionelle (préliminaire)"/>
    <w:basedOn w:val="Normal"/>
    <w:next w:val="Normal"/>
    <w:pPr>
      <w:spacing w:after="240"/>
      <w:ind w:left="5103"/>
      <w:jc w:val="both"/>
    </w:pPr>
    <w:rPr>
      <w:rFonts w:eastAsia="SimSun"/>
      <w:color w:val="7F7F7F" w:themeColor="text1" w:themeTint="80"/>
      <w:sz w:val="18"/>
      <w:szCs w:val="24"/>
      <w:lang w:eastAsia="de-DE"/>
    </w:rPr>
  </w:style>
  <w:style w:type="paragraph" w:customStyle="1" w:styleId="Sous-titreobjetprliminaire">
    <w:name w:val="Sous-titre objet (préliminaire)"/>
    <w:basedOn w:val="Normal"/>
    <w:pPr>
      <w:spacing w:after="240"/>
      <w:jc w:val="center"/>
    </w:pPr>
    <w:rPr>
      <w:rFonts w:eastAsia="SimSun"/>
      <w:b/>
      <w:color w:val="7F7F7F" w:themeColor="text1" w:themeTint="80"/>
      <w:sz w:val="18"/>
      <w:szCs w:val="24"/>
      <w:lang w:eastAsia="de-DE"/>
    </w:rPr>
  </w:style>
  <w:style w:type="paragraph" w:customStyle="1" w:styleId="Statutprliminaire">
    <w:name w:val="Statut (préliminaire)"/>
    <w:basedOn w:val="Normal"/>
    <w:next w:val="Normal"/>
    <w:pPr>
      <w:spacing w:before="360" w:after="240"/>
      <w:jc w:val="center"/>
    </w:pPr>
    <w:rPr>
      <w:rFonts w:eastAsia="SimSun"/>
      <w:color w:val="7F7F7F" w:themeColor="text1" w:themeTint="80"/>
      <w:sz w:val="18"/>
      <w:szCs w:val="24"/>
      <w:lang w:eastAsia="de-DE"/>
    </w:rPr>
  </w:style>
  <w:style w:type="paragraph" w:customStyle="1" w:styleId="Titreobjetprliminaire">
    <w:name w:val="Titre objet (préliminaire)"/>
    <w:basedOn w:val="Normal"/>
    <w:next w:val="Normal"/>
    <w:pPr>
      <w:numPr>
        <w:numId w:val="25"/>
      </w:numPr>
      <w:tabs>
        <w:tab w:val="clear" w:pos="850"/>
      </w:tabs>
      <w:spacing w:before="360" w:after="360"/>
      <w:jc w:val="center"/>
    </w:pPr>
    <w:rPr>
      <w:rFonts w:eastAsia="SimSun"/>
      <w:b/>
      <w:color w:val="7F7F7F" w:themeColor="text1" w:themeTint="80"/>
      <w:sz w:val="18"/>
      <w:szCs w:val="24"/>
      <w:lang w:eastAsia="de-DE"/>
    </w:rPr>
  </w:style>
  <w:style w:type="paragraph" w:customStyle="1" w:styleId="Typedudocumentprliminaire">
    <w:name w:val="Type du document (préliminaire)"/>
    <w:basedOn w:val="Normal"/>
    <w:next w:val="Normal"/>
    <w:pPr>
      <w:spacing w:before="360" w:after="240"/>
      <w:jc w:val="center"/>
    </w:pPr>
    <w:rPr>
      <w:rFonts w:eastAsia="SimSun"/>
      <w:b/>
      <w:color w:val="7F7F7F" w:themeColor="text1" w:themeTint="80"/>
      <w:sz w:val="18"/>
      <w:szCs w:val="24"/>
      <w:lang w:eastAsia="de-DE"/>
    </w:rPr>
  </w:style>
  <w:style w:type="paragraph" w:customStyle="1" w:styleId="FootnoteText1">
    <w:name w:val="Footnote Text1"/>
    <w:basedOn w:val="FootnoteText"/>
    <w:autoRedefine/>
    <w:pPr>
      <w:tabs>
        <w:tab w:val="clear" w:pos="426"/>
      </w:tabs>
      <w:spacing w:after="240"/>
      <w:ind w:left="244" w:hanging="244"/>
      <w:jc w:val="both"/>
    </w:pPr>
    <w:rPr>
      <w:rFonts w:eastAsia="SimSun"/>
      <w:noProof w:val="0"/>
      <w:color w:val="7F7F7F" w:themeColor="text1" w:themeTint="80"/>
      <w:sz w:val="18"/>
      <w:lang w:eastAsia="en-US"/>
    </w:rPr>
  </w:style>
  <w:style w:type="paragraph" w:customStyle="1" w:styleId="References">
    <w:name w:val="References"/>
    <w:basedOn w:val="Normal"/>
    <w:next w:val="Normal"/>
    <w:link w:val="ReferencesChar"/>
    <w:uiPriority w:val="99"/>
    <w:pPr>
      <w:spacing w:after="240"/>
      <w:ind w:left="5103"/>
      <w:jc w:val="both"/>
    </w:pPr>
    <w:rPr>
      <w:rFonts w:eastAsia="SimSun"/>
      <w:color w:val="7F7F7F" w:themeColor="text1" w:themeTint="80"/>
      <w:sz w:val="18"/>
      <w:szCs w:val="20"/>
    </w:rPr>
  </w:style>
  <w:style w:type="paragraph" w:customStyle="1" w:styleId="Prliminairetitre">
    <w:name w:val="Préliminaire titre"/>
    <w:basedOn w:val="Normal"/>
    <w:next w:val="Normal"/>
    <w:pPr>
      <w:spacing w:before="360" w:after="360"/>
      <w:jc w:val="center"/>
    </w:pPr>
    <w:rPr>
      <w:rFonts w:eastAsia="SimSun"/>
      <w:b/>
      <w:color w:val="7F7F7F" w:themeColor="text1" w:themeTint="80"/>
      <w:sz w:val="18"/>
      <w:szCs w:val="24"/>
      <w:lang w:eastAsia="de-DE"/>
    </w:rPr>
  </w:style>
  <w:style w:type="paragraph" w:customStyle="1" w:styleId="Prliminairetype">
    <w:name w:val="Préliminaire type"/>
    <w:basedOn w:val="Normal"/>
    <w:next w:val="Normal"/>
    <w:pPr>
      <w:spacing w:before="360" w:after="240"/>
      <w:jc w:val="center"/>
    </w:pPr>
    <w:rPr>
      <w:rFonts w:eastAsia="SimSun"/>
      <w:b/>
      <w:color w:val="7F7F7F" w:themeColor="text1" w:themeTint="80"/>
      <w:sz w:val="18"/>
      <w:szCs w:val="24"/>
      <w:lang w:eastAsia="de-DE"/>
    </w:rPr>
  </w:style>
  <w:style w:type="paragraph" w:customStyle="1" w:styleId="Annexetitreacte">
    <w:name w:val="Annexe titre (acte)"/>
    <w:basedOn w:val="Normal"/>
    <w:next w:val="Normal"/>
    <w:pPr>
      <w:spacing w:before="120" w:after="120"/>
      <w:jc w:val="center"/>
    </w:pPr>
    <w:rPr>
      <w:rFonts w:eastAsia="SimSun"/>
      <w:b/>
      <w:color w:val="7F7F7F" w:themeColor="text1" w:themeTint="80"/>
      <w:sz w:val="18"/>
      <w:szCs w:val="24"/>
      <w:u w:val="single"/>
      <w:lang w:eastAsia="de-DE"/>
    </w:rPr>
  </w:style>
  <w:style w:type="paragraph" w:customStyle="1" w:styleId="CM1">
    <w:name w:val="CM1"/>
    <w:basedOn w:val="Default"/>
    <w:next w:val="Default"/>
    <w:rPr>
      <w:rFonts w:ascii="EUAlbertina" w:eastAsia="SimSun" w:hAnsi="EUAlbertina" w:cs="Times New Roman"/>
      <w:color w:val="auto"/>
      <w:lang w:val="en-GB" w:eastAsia="ko-KR"/>
    </w:rPr>
  </w:style>
  <w:style w:type="paragraph" w:customStyle="1" w:styleId="CM3">
    <w:name w:val="CM3"/>
    <w:basedOn w:val="Default"/>
    <w:next w:val="Default"/>
    <w:rPr>
      <w:rFonts w:ascii="EUAlbertina" w:eastAsia="SimSun" w:hAnsi="EUAlbertina" w:cs="Times New Roman"/>
      <w:color w:val="auto"/>
      <w:lang w:val="en-GB" w:eastAsia="ko-KR"/>
    </w:rPr>
  </w:style>
  <w:style w:type="paragraph" w:customStyle="1" w:styleId="NormalJustified">
    <w:name w:val="Normal + Justified"/>
    <w:basedOn w:val="Normal"/>
    <w:pPr>
      <w:spacing w:after="240"/>
      <w:jc w:val="both"/>
    </w:pPr>
    <w:rPr>
      <w:rFonts w:eastAsia="SimSun"/>
      <w:noProof/>
      <w:color w:val="7F7F7F" w:themeColor="text1" w:themeTint="80"/>
      <w:sz w:val="18"/>
      <w:szCs w:val="24"/>
      <w:lang w:eastAsia="en-GB"/>
    </w:rPr>
  </w:style>
  <w:style w:type="paragraph" w:customStyle="1" w:styleId="Rfrenceinstitutionelle">
    <w:name w:val="Référence institutionelle"/>
    <w:basedOn w:val="Normal"/>
    <w:next w:val="Statut"/>
    <w:pPr>
      <w:spacing w:after="240"/>
      <w:ind w:left="5103"/>
      <w:jc w:val="both"/>
    </w:pPr>
    <w:rPr>
      <w:rFonts w:eastAsia="SimSun"/>
      <w:color w:val="7F7F7F" w:themeColor="text1" w:themeTint="80"/>
      <w:sz w:val="18"/>
      <w:szCs w:val="24"/>
      <w:lang w:eastAsia="de-DE"/>
    </w:rPr>
  </w:style>
  <w:style w:type="paragraph" w:customStyle="1" w:styleId="Rfrenceinterinstitutionelle">
    <w:name w:val="Référence interinstitutionelle"/>
    <w:basedOn w:val="Normal"/>
    <w:next w:val="Statut"/>
    <w:pPr>
      <w:spacing w:after="240"/>
      <w:ind w:left="5103"/>
      <w:jc w:val="both"/>
    </w:pPr>
    <w:rPr>
      <w:rFonts w:eastAsia="SimSun"/>
      <w:color w:val="7F7F7F" w:themeColor="text1" w:themeTint="80"/>
      <w:sz w:val="18"/>
      <w:szCs w:val="24"/>
      <w:lang w:eastAsia="de-DE"/>
    </w:rPr>
  </w:style>
  <w:style w:type="character" w:customStyle="1" w:styleId="ReferencesChar">
    <w:name w:val="References Char"/>
    <w:link w:val="References"/>
    <w:uiPriority w:val="99"/>
    <w:rPr>
      <w:rFonts w:ascii="EC Square Sans Pro" w:eastAsia="SimSun" w:hAnsi="EC Square Sans Pro" w:cs="Times New Roman"/>
      <w:color w:val="7F7F7F" w:themeColor="text1" w:themeTint="80"/>
      <w:sz w:val="18"/>
      <w:szCs w:val="20"/>
      <w:lang w:val="en-GB"/>
    </w:rPr>
  </w:style>
  <w:style w:type="character" w:customStyle="1" w:styleId="FootnotetextChar0">
    <w:name w:val="Footnote text Char"/>
    <w:rPr>
      <w:rFonts w:ascii="EC Square Sans Pro" w:eastAsia="SimSun" w:hAnsi="EC Square Sans Pro" w:cs="Times New Roman"/>
      <w:color w:val="7F7F7F" w:themeColor="text1" w:themeTint="80"/>
      <w:sz w:val="18"/>
      <w:szCs w:val="20"/>
      <w:lang w:val="en-GB"/>
    </w:rPr>
  </w:style>
  <w:style w:type="character" w:customStyle="1" w:styleId="Text2Char">
    <w:name w:val="Text 2 Char"/>
    <w:link w:val="Text2"/>
    <w:rPr>
      <w:rFonts w:ascii="EC Square Sans Pro" w:hAnsi="EC Square Sans Pro" w:cs="Times New Roman"/>
      <w:sz w:val="24"/>
      <w:lang w:val="en-GB"/>
    </w:rPr>
  </w:style>
  <w:style w:type="paragraph" w:customStyle="1" w:styleId="Footnoo">
    <w:name w:val="Footnoo"/>
    <w:basedOn w:val="Normal"/>
    <w:link w:val="FootnooChar"/>
    <w:pPr>
      <w:spacing w:after="240"/>
      <w:jc w:val="both"/>
    </w:pPr>
    <w:rPr>
      <w:rFonts w:eastAsia="SimSun"/>
      <w:color w:val="7F7F7F" w:themeColor="text1" w:themeTint="80"/>
      <w:sz w:val="18"/>
      <w:szCs w:val="24"/>
      <w:lang w:eastAsia="en-GB"/>
    </w:rPr>
  </w:style>
  <w:style w:type="character" w:customStyle="1" w:styleId="FootnooChar">
    <w:name w:val="Footnoo Char"/>
    <w:link w:val="Footnoo"/>
    <w:rPr>
      <w:rFonts w:ascii="EC Square Sans Pro" w:eastAsia="SimSun" w:hAnsi="EC Square Sans Pro" w:cs="Times New Roman"/>
      <w:color w:val="7F7F7F" w:themeColor="text1" w:themeTint="80"/>
      <w:sz w:val="18"/>
      <w:szCs w:val="24"/>
      <w:lang w:val="en-GB" w:eastAsia="en-GB"/>
    </w:rPr>
  </w:style>
  <w:style w:type="character" w:customStyle="1" w:styleId="Corpsdutexte">
    <w:name w:val="Corps du texte_"/>
    <w:uiPriority w:val="99"/>
    <w:locked/>
    <w:rPr>
      <w:sz w:val="23"/>
      <w:szCs w:val="23"/>
      <w:shd w:val="clear" w:color="auto" w:fill="FFFFFF"/>
    </w:rPr>
  </w:style>
  <w:style w:type="paragraph" w:customStyle="1" w:styleId="Corpsdutexte1">
    <w:name w:val="Corps du texte1"/>
    <w:basedOn w:val="Normal"/>
    <w:uiPriority w:val="99"/>
    <w:pPr>
      <w:widowControl w:val="0"/>
      <w:shd w:val="clear" w:color="auto" w:fill="FFFFFF"/>
      <w:spacing w:before="180" w:after="900" w:line="240" w:lineRule="atLeast"/>
      <w:ind w:hanging="2160"/>
      <w:jc w:val="both"/>
    </w:pPr>
    <w:rPr>
      <w:rFonts w:asciiTheme="minorHAnsi" w:hAnsiTheme="minorHAnsi" w:cstheme="minorBidi"/>
      <w:sz w:val="23"/>
      <w:szCs w:val="23"/>
      <w:lang w:val="fr-BE"/>
    </w:rPr>
  </w:style>
  <w:style w:type="paragraph" w:customStyle="1" w:styleId="ZCom">
    <w:name w:val="Z_Com"/>
    <w:basedOn w:val="Normal"/>
    <w:next w:val="ZDGName"/>
    <w:pPr>
      <w:widowControl w:val="0"/>
      <w:autoSpaceDE w:val="0"/>
      <w:autoSpaceDN w:val="0"/>
      <w:spacing w:after="240"/>
      <w:ind w:right="85"/>
      <w:jc w:val="both"/>
    </w:pPr>
    <w:rPr>
      <w:rFonts w:ascii="Arial" w:eastAsia="SimSun" w:hAnsi="Arial" w:cs="Arial"/>
      <w:color w:val="7F7F7F" w:themeColor="text1" w:themeTint="80"/>
      <w:sz w:val="18"/>
      <w:szCs w:val="24"/>
      <w:lang w:eastAsia="en-GB"/>
    </w:rPr>
  </w:style>
  <w:style w:type="paragraph" w:customStyle="1" w:styleId="ZDGName">
    <w:name w:val="Z_DGName"/>
    <w:basedOn w:val="Normal"/>
    <w:pPr>
      <w:widowControl w:val="0"/>
      <w:autoSpaceDE w:val="0"/>
      <w:autoSpaceDN w:val="0"/>
      <w:spacing w:after="240"/>
      <w:ind w:right="85"/>
      <w:jc w:val="both"/>
    </w:pPr>
    <w:rPr>
      <w:rFonts w:ascii="Arial" w:eastAsia="SimSun" w:hAnsi="Arial" w:cs="Arial"/>
      <w:color w:val="7F7F7F" w:themeColor="text1" w:themeTint="80"/>
      <w:sz w:val="16"/>
      <w:szCs w:val="16"/>
      <w:lang w:eastAsia="en-GB"/>
    </w:rPr>
  </w:style>
  <w:style w:type="numbering" w:customStyle="1" w:styleId="Style1">
    <w:name w:val="Style1"/>
    <w:pPr>
      <w:numPr>
        <w:numId w:val="23"/>
      </w:numPr>
    </w:pPr>
  </w:style>
  <w:style w:type="numbering" w:customStyle="1" w:styleId="Style2">
    <w:name w:val="Style2"/>
    <w:pPr>
      <w:numPr>
        <w:numId w:val="24"/>
      </w:numPr>
    </w:pPr>
  </w:style>
  <w:style w:type="paragraph" w:customStyle="1" w:styleId="FootnoteJAL">
    <w:name w:val="FootnoteJAL"/>
    <w:basedOn w:val="FootnoteText"/>
    <w:link w:val="FootnoteJALChar"/>
    <w:qFormat/>
    <w:pPr>
      <w:tabs>
        <w:tab w:val="clear" w:pos="426"/>
      </w:tabs>
      <w:spacing w:after="120"/>
      <w:ind w:left="357" w:hanging="357"/>
      <w:jc w:val="both"/>
    </w:pPr>
    <w:rPr>
      <w:rFonts w:ascii="Calibri" w:eastAsia="SimSun" w:hAnsi="Calibri"/>
      <w:i/>
      <w:iCs/>
      <w:noProof w:val="0"/>
      <w:color w:val="7F7F7F" w:themeColor="text1" w:themeTint="80"/>
      <w:sz w:val="24"/>
      <w:szCs w:val="24"/>
      <w:lang w:eastAsia="en-US"/>
    </w:rPr>
  </w:style>
  <w:style w:type="character" w:customStyle="1" w:styleId="FootnoteJALChar">
    <w:name w:val="FootnoteJAL Char"/>
    <w:link w:val="FootnoteJAL"/>
    <w:rPr>
      <w:rFonts w:ascii="Calibri" w:eastAsia="SimSun" w:hAnsi="Calibri" w:cs="Times New Roman"/>
      <w:i/>
      <w:iCs/>
      <w:color w:val="7F7F7F" w:themeColor="text1" w:themeTint="80"/>
      <w:sz w:val="24"/>
      <w:szCs w:val="24"/>
      <w:lang w:val="en-GB"/>
    </w:rPr>
  </w:style>
  <w:style w:type="paragraph" w:customStyle="1" w:styleId="ColorfulShading-Accent11">
    <w:name w:val="Colorful Shading - Accent 11"/>
    <w:hidden/>
    <w:uiPriority w:val="71"/>
    <w:rPr>
      <w:rFonts w:ascii="Times New Roman" w:eastAsia="SimSun" w:hAnsi="Times New Roman" w:cs="Times New Roman"/>
      <w:sz w:val="24"/>
      <w:szCs w:val="24"/>
      <w:lang w:val="en-GB" w:eastAsia="en-GB"/>
    </w:rPr>
  </w:style>
  <w:style w:type="paragraph" w:customStyle="1" w:styleId="font0">
    <w:name w:val="font0"/>
    <w:basedOn w:val="Normal"/>
    <w:pPr>
      <w:spacing w:before="100" w:beforeAutospacing="1" w:after="100" w:afterAutospacing="1"/>
      <w:jc w:val="both"/>
    </w:pPr>
    <w:rPr>
      <w:rFonts w:ascii="Calibri" w:eastAsia="SimSun" w:hAnsi="Calibri"/>
      <w:color w:val="000000"/>
      <w:sz w:val="22"/>
      <w:lang w:eastAsia="en-GB"/>
    </w:rPr>
  </w:style>
  <w:style w:type="paragraph" w:customStyle="1" w:styleId="font5">
    <w:name w:val="font5"/>
    <w:basedOn w:val="Normal"/>
    <w:pPr>
      <w:spacing w:before="100" w:beforeAutospacing="1" w:after="100" w:afterAutospacing="1"/>
      <w:jc w:val="both"/>
    </w:pPr>
    <w:rPr>
      <w:rFonts w:ascii="Calibri" w:eastAsia="SimSun" w:hAnsi="Calibri"/>
      <w:color w:val="000000"/>
      <w:sz w:val="22"/>
      <w:lang w:eastAsia="en-GB"/>
    </w:rPr>
  </w:style>
  <w:style w:type="paragraph" w:customStyle="1" w:styleId="font6">
    <w:name w:val="font6"/>
    <w:basedOn w:val="Normal"/>
    <w:pPr>
      <w:spacing w:before="100" w:beforeAutospacing="1" w:after="100" w:afterAutospacing="1"/>
      <w:jc w:val="both"/>
    </w:pPr>
    <w:rPr>
      <w:rFonts w:ascii="Tahoma" w:eastAsia="SimSun" w:hAnsi="Tahoma" w:cs="Tahoma"/>
      <w:color w:val="000000"/>
      <w:sz w:val="18"/>
      <w:szCs w:val="18"/>
      <w:lang w:eastAsia="en-GB"/>
    </w:rPr>
  </w:style>
  <w:style w:type="paragraph" w:customStyle="1" w:styleId="font7">
    <w:name w:val="font7"/>
    <w:basedOn w:val="Normal"/>
    <w:pPr>
      <w:spacing w:before="100" w:beforeAutospacing="1" w:after="100" w:afterAutospacing="1"/>
      <w:jc w:val="both"/>
    </w:pPr>
    <w:rPr>
      <w:rFonts w:ascii="Tahoma" w:eastAsia="SimSun" w:hAnsi="Tahoma" w:cs="Tahoma"/>
      <w:b/>
      <w:bCs/>
      <w:color w:val="000000"/>
      <w:sz w:val="18"/>
      <w:szCs w:val="18"/>
      <w:lang w:eastAsia="en-GB"/>
    </w:rPr>
  </w:style>
  <w:style w:type="paragraph" w:customStyle="1" w:styleId="font8">
    <w:name w:val="font8"/>
    <w:basedOn w:val="Normal"/>
    <w:pPr>
      <w:spacing w:before="100" w:beforeAutospacing="1" w:after="100" w:afterAutospacing="1"/>
      <w:jc w:val="both"/>
    </w:pPr>
    <w:rPr>
      <w:rFonts w:ascii="Calibri" w:eastAsia="SimSun" w:hAnsi="Calibri"/>
      <w:color w:val="000000"/>
      <w:sz w:val="22"/>
      <w:lang w:eastAsia="en-GB"/>
    </w:rPr>
  </w:style>
  <w:style w:type="paragraph" w:customStyle="1" w:styleId="xl63">
    <w:name w:val="xl63"/>
    <w:basedOn w:val="Normal"/>
    <w:pP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64">
    <w:name w:val="xl64"/>
    <w:basedOn w:val="Normal"/>
    <w:pPr>
      <w:pBdr>
        <w:top w:val="single" w:sz="4"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65">
    <w:name w:val="xl65"/>
    <w:basedOn w:val="Normal"/>
    <w:pP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66">
    <w:name w:val="xl66"/>
    <w:basedOn w:val="Normal"/>
    <w:pPr>
      <w:pBdr>
        <w:bottom w:val="single" w:sz="12"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67">
    <w:name w:val="xl67"/>
    <w:basedOn w:val="Normal"/>
    <w:pPr>
      <w:pBdr>
        <w:bottom w:val="single" w:sz="8"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68">
    <w:name w:val="xl68"/>
    <w:basedOn w:val="Normal"/>
    <w:pPr>
      <w:pBdr>
        <w:bottom w:val="single" w:sz="8" w:space="0" w:color="auto"/>
      </w:pBdr>
      <w:shd w:val="clear" w:color="000000" w:fill="FFFF00"/>
      <w:spacing w:before="100" w:beforeAutospacing="1" w:after="100" w:afterAutospacing="1"/>
      <w:jc w:val="both"/>
      <w:textAlignment w:val="top"/>
    </w:pPr>
    <w:rPr>
      <w:rFonts w:eastAsia="SimSun"/>
      <w:color w:val="FF0000"/>
      <w:sz w:val="18"/>
      <w:szCs w:val="24"/>
      <w:lang w:eastAsia="en-GB"/>
    </w:rPr>
  </w:style>
  <w:style w:type="paragraph" w:customStyle="1" w:styleId="xl69">
    <w:name w:val="xl69"/>
    <w:basedOn w:val="Normal"/>
    <w:pP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70">
    <w:name w:val="xl70"/>
    <w:basedOn w:val="Normal"/>
    <w:pPr>
      <w:pBdr>
        <w:bottom w:val="single" w:sz="12"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71">
    <w:name w:val="xl71"/>
    <w:basedOn w:val="Normal"/>
    <w:pP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72">
    <w:name w:val="xl72"/>
    <w:basedOn w:val="Normal"/>
    <w:pPr>
      <w:pBdr>
        <w:bottom w:val="single" w:sz="12"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73">
    <w:name w:val="xl73"/>
    <w:basedOn w:val="Normal"/>
    <w:pPr>
      <w:pBdr>
        <w:bottom w:val="single" w:sz="8"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74">
    <w:name w:val="xl74"/>
    <w:basedOn w:val="Normal"/>
    <w:pPr>
      <w:pBdr>
        <w:bottom w:val="single" w:sz="8" w:space="0" w:color="auto"/>
      </w:pBdr>
      <w:shd w:val="clear" w:color="000000" w:fill="FFFF00"/>
      <w:spacing w:before="100" w:beforeAutospacing="1" w:after="100" w:afterAutospacing="1"/>
      <w:jc w:val="center"/>
      <w:textAlignment w:val="top"/>
    </w:pPr>
    <w:rPr>
      <w:rFonts w:eastAsia="SimSun"/>
      <w:color w:val="FF0000"/>
      <w:sz w:val="18"/>
      <w:szCs w:val="24"/>
      <w:lang w:eastAsia="en-GB"/>
    </w:rPr>
  </w:style>
  <w:style w:type="paragraph" w:customStyle="1" w:styleId="xl75">
    <w:name w:val="xl75"/>
    <w:basedOn w:val="Normal"/>
    <w:pPr>
      <w:pBdr>
        <w:top w:val="single" w:sz="4" w:space="0" w:color="auto"/>
        <w:left w:val="single" w:sz="4"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76">
    <w:name w:val="xl76"/>
    <w:basedOn w:val="Normal"/>
    <w:pPr>
      <w:pBdr>
        <w:left w:val="single" w:sz="4"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77">
    <w:name w:val="xl77"/>
    <w:basedOn w:val="Normal"/>
    <w:pPr>
      <w:pBdr>
        <w:left w:val="single" w:sz="4" w:space="0" w:color="auto"/>
        <w:bottom w:val="single" w:sz="12"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78">
    <w:name w:val="xl78"/>
    <w:basedOn w:val="Normal"/>
    <w:pPr>
      <w:pBdr>
        <w:bottom w:val="single" w:sz="12"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79">
    <w:name w:val="xl79"/>
    <w:basedOn w:val="Normal"/>
    <w:pP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80">
    <w:name w:val="xl80"/>
    <w:basedOn w:val="Normal"/>
    <w:pP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81">
    <w:name w:val="xl81"/>
    <w:basedOn w:val="Normal"/>
    <w:pPr>
      <w:pBdr>
        <w:bottom w:val="single" w:sz="12"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82">
    <w:name w:val="xl82"/>
    <w:basedOn w:val="Normal"/>
    <w:pPr>
      <w:pBdr>
        <w:bottom w:val="single" w:sz="12"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83">
    <w:name w:val="xl83"/>
    <w:basedOn w:val="Normal"/>
    <w:pPr>
      <w:pBdr>
        <w:bottom w:val="single" w:sz="8"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84">
    <w:name w:val="xl84"/>
    <w:basedOn w:val="Normal"/>
    <w:pPr>
      <w:pBdr>
        <w:bottom w:val="single" w:sz="8"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85">
    <w:name w:val="xl85"/>
    <w:basedOn w:val="Normal"/>
    <w:pPr>
      <w:pBdr>
        <w:bottom w:val="single" w:sz="8" w:space="0" w:color="auto"/>
      </w:pBdr>
      <w:shd w:val="clear" w:color="000000" w:fill="FFFF00"/>
      <w:spacing w:before="100" w:beforeAutospacing="1" w:after="100" w:afterAutospacing="1"/>
      <w:jc w:val="both"/>
      <w:textAlignment w:val="top"/>
    </w:pPr>
    <w:rPr>
      <w:rFonts w:eastAsia="SimSun"/>
      <w:color w:val="FF0000"/>
      <w:sz w:val="18"/>
      <w:szCs w:val="24"/>
      <w:lang w:eastAsia="en-GB"/>
    </w:rPr>
  </w:style>
  <w:style w:type="paragraph" w:customStyle="1" w:styleId="xl86">
    <w:name w:val="xl86"/>
    <w:basedOn w:val="Normal"/>
    <w:pP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87">
    <w:name w:val="xl87"/>
    <w:basedOn w:val="Normal"/>
    <w:pPr>
      <w:pBdr>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88">
    <w:name w:val="xl88"/>
    <w:basedOn w:val="Normal"/>
    <w:pPr>
      <w:pBdr>
        <w:top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89">
    <w:name w:val="xl89"/>
    <w:basedOn w:val="Normal"/>
    <w:pPr>
      <w:pBdr>
        <w:top w:val="single" w:sz="4" w:space="0" w:color="auto"/>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0">
    <w:name w:val="xl90"/>
    <w:basedOn w:val="Normal"/>
    <w:pPr>
      <w:pBdr>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1">
    <w:name w:val="xl91"/>
    <w:basedOn w:val="Normal"/>
    <w:pPr>
      <w:pBdr>
        <w:bottom w:val="single" w:sz="12" w:space="0" w:color="auto"/>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2">
    <w:name w:val="xl92"/>
    <w:basedOn w:val="Normal"/>
    <w:pP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3">
    <w:name w:val="xl93"/>
    <w:basedOn w:val="Normal"/>
    <w:pPr>
      <w:pBdr>
        <w:bottom w:val="single" w:sz="12" w:space="0" w:color="auto"/>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4">
    <w:name w:val="xl94"/>
    <w:basedOn w:val="Normal"/>
    <w:pP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5">
    <w:name w:val="xl95"/>
    <w:basedOn w:val="Normal"/>
    <w:pPr>
      <w:pBdr>
        <w:bottom w:val="single" w:sz="12"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6">
    <w:name w:val="xl96"/>
    <w:basedOn w:val="Normal"/>
    <w:pPr>
      <w:pBdr>
        <w:bottom w:val="single" w:sz="12" w:space="0" w:color="auto"/>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7">
    <w:name w:val="xl97"/>
    <w:basedOn w:val="Normal"/>
    <w:pPr>
      <w:pBdr>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8">
    <w:name w:val="xl98"/>
    <w:basedOn w:val="Normal"/>
    <w:pPr>
      <w:pBdr>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9">
    <w:name w:val="xl99"/>
    <w:basedOn w:val="Normal"/>
    <w:pP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100">
    <w:name w:val="xl100"/>
    <w:basedOn w:val="Normal"/>
    <w:pPr>
      <w:pBdr>
        <w:bottom w:val="single" w:sz="12"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101">
    <w:name w:val="xl101"/>
    <w:basedOn w:val="Normal"/>
    <w:pP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102">
    <w:name w:val="xl102"/>
    <w:basedOn w:val="Normal"/>
    <w:pPr>
      <w:pBdr>
        <w:bottom w:val="single" w:sz="8"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103">
    <w:name w:val="xl103"/>
    <w:basedOn w:val="Normal"/>
    <w:pPr>
      <w:pBdr>
        <w:bottom w:val="single" w:sz="8" w:space="0" w:color="auto"/>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104">
    <w:name w:val="xl104"/>
    <w:basedOn w:val="Normal"/>
    <w:pPr>
      <w:pBdr>
        <w:bottom w:val="single" w:sz="8"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105">
    <w:name w:val="xl105"/>
    <w:basedOn w:val="Normal"/>
    <w:pPr>
      <w:pBdr>
        <w:bottom w:val="single" w:sz="8"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106">
    <w:name w:val="xl106"/>
    <w:basedOn w:val="Normal"/>
    <w:pPr>
      <w:pBdr>
        <w:bottom w:val="single" w:sz="8" w:space="0" w:color="auto"/>
        <w:right w:val="single" w:sz="4" w:space="0" w:color="auto"/>
      </w:pBdr>
      <w:shd w:val="clear" w:color="000000" w:fill="FFFF00"/>
      <w:spacing w:before="100" w:beforeAutospacing="1" w:after="100" w:afterAutospacing="1"/>
      <w:jc w:val="center"/>
      <w:textAlignment w:val="top"/>
    </w:pPr>
    <w:rPr>
      <w:rFonts w:eastAsia="SimSun"/>
      <w:color w:val="FF0000"/>
      <w:sz w:val="18"/>
      <w:szCs w:val="24"/>
      <w:lang w:eastAsia="en-GB"/>
    </w:rPr>
  </w:style>
  <w:style w:type="table" w:styleId="TableClassic3">
    <w:name w:val="Table Classic 3"/>
    <w:basedOn w:val="TableNormal"/>
    <w:pPr>
      <w:spacing w:after="240"/>
      <w:jc w:val="both"/>
    </w:pPr>
    <w:rPr>
      <w:rFonts w:ascii="Times New Roman" w:eastAsia="SimSu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240"/>
      <w:jc w:val="both"/>
    </w:pPr>
    <w:rPr>
      <w:rFonts w:ascii="Times New Roman" w:eastAsia="SimSu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pPr>
      <w:spacing w:after="240"/>
      <w:jc w:val="both"/>
    </w:pPr>
    <w:rPr>
      <w:rFonts w:ascii="Times New Roman" w:eastAsia="SimSu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4">
    <w:name w:val="Table List 4"/>
    <w:basedOn w:val="TableNormal"/>
    <w:pPr>
      <w:spacing w:after="240"/>
      <w:jc w:val="both"/>
    </w:pPr>
    <w:rPr>
      <w:rFonts w:ascii="Times New Roman" w:eastAsia="SimSu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tact">
    <w:name w:val="Contact"/>
    <w:basedOn w:val="Normal"/>
    <w:next w:val="Normal"/>
    <w:uiPriority w:val="99"/>
    <w:pPr>
      <w:spacing w:after="480"/>
      <w:ind w:left="567" w:hanging="567"/>
      <w:jc w:val="both"/>
    </w:pPr>
    <w:rPr>
      <w:rFonts w:eastAsia="Times New Roman"/>
      <w:color w:val="7F7F7F" w:themeColor="text1" w:themeTint="80"/>
      <w:sz w:val="18"/>
      <w:szCs w:val="20"/>
    </w:rPr>
  </w:style>
  <w:style w:type="paragraph" w:customStyle="1" w:styleId="Tablecharttitle">
    <w:name w:val="Table/chart title"/>
    <w:basedOn w:val="Normal"/>
    <w:pPr>
      <w:keepNext/>
      <w:spacing w:after="120"/>
      <w:jc w:val="both"/>
    </w:pPr>
    <w:rPr>
      <w:rFonts w:ascii="Cambria" w:eastAsia="SimSun" w:hAnsi="Cambria"/>
      <w:color w:val="7F7F7F" w:themeColor="text1" w:themeTint="80"/>
      <w:sz w:val="18"/>
      <w:szCs w:val="20"/>
    </w:rPr>
  </w:style>
  <w:style w:type="table" w:styleId="TableColumns1">
    <w:name w:val="Table Columns 1"/>
    <w:basedOn w:val="TableNormal"/>
    <w:pPr>
      <w:spacing w:after="240"/>
      <w:jc w:val="both"/>
    </w:pPr>
    <w:rPr>
      <w:rFonts w:ascii="Times New Roman" w:eastAsia="SimSu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Accent1">
    <w:name w:val="Light List Accent 1"/>
    <w:basedOn w:val="TableNormal"/>
    <w:uiPriority w:val="61"/>
    <w:rPr>
      <w:rFonts w:ascii="Calibri" w:eastAsia="Calibri" w:hAnsi="Calibri"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Tonny">
    <w:name w:val="Heading 2 Tonny"/>
    <w:basedOn w:val="Heading2"/>
    <w:link w:val="Heading2TonnyChar"/>
    <w:qFormat/>
    <w:pPr>
      <w:tabs>
        <w:tab w:val="clear" w:pos="850"/>
      </w:tabs>
      <w:spacing w:before="360" w:after="100"/>
      <w:ind w:left="0" w:firstLine="0"/>
    </w:pPr>
    <w:rPr>
      <w:rFonts w:ascii="Arial" w:eastAsia="Calibri" w:hAnsi="Arial" w:cs="Arial"/>
      <w:iCs/>
      <w:color w:val="0070C0"/>
      <w:szCs w:val="28"/>
    </w:rPr>
  </w:style>
  <w:style w:type="character" w:customStyle="1" w:styleId="Heading2TonnyChar">
    <w:name w:val="Heading 2 Tonny Char"/>
    <w:basedOn w:val="Heading2Char"/>
    <w:link w:val="Heading2Tonny"/>
    <w:rPr>
      <w:rFonts w:ascii="Arial" w:eastAsia="Calibri" w:hAnsi="Arial" w:cs="Arial"/>
      <w:b/>
      <w:bCs/>
      <w:iCs/>
      <w:color w:val="0070C0"/>
      <w:sz w:val="24"/>
      <w:szCs w:val="28"/>
      <w:lang w:val="en-GB"/>
    </w:rPr>
  </w:style>
  <w:style w:type="character" w:customStyle="1" w:styleId="st1">
    <w:name w:val="st1"/>
    <w:basedOn w:val="DefaultParagraphFont"/>
  </w:style>
  <w:style w:type="paragraph" w:customStyle="1" w:styleId="Pa19">
    <w:name w:val="Pa19"/>
    <w:basedOn w:val="Default"/>
    <w:next w:val="Default"/>
    <w:uiPriority w:val="99"/>
    <w:pPr>
      <w:spacing w:line="321" w:lineRule="atLeast"/>
    </w:pPr>
    <w:rPr>
      <w:rFonts w:ascii="EC Square Sans Pro" w:eastAsiaTheme="minorHAnsi" w:hAnsi="EC Square Sans Pro" w:cstheme="minorBidi"/>
      <w:color w:val="auto"/>
      <w:lang w:val="en-GB"/>
    </w:rPr>
  </w:style>
  <w:style w:type="character" w:customStyle="1" w:styleId="NoSpacingChar">
    <w:name w:val="No Spacing Char"/>
    <w:basedOn w:val="DefaultParagraphFont"/>
    <w:link w:val="NoSpacing"/>
    <w:uiPriority w:val="1"/>
    <w:rPr>
      <w:rFonts w:ascii="EC Square Sans Pro" w:hAnsi="EC Square Sans Pro" w:cs="Times New Roman"/>
      <w:sz w:val="20"/>
      <w:lang w:val="en-GB"/>
    </w:rPr>
  </w:style>
  <w:style w:type="paragraph" w:customStyle="1" w:styleId="AMPRBox">
    <w:name w:val="AMPR Box"/>
    <w:basedOn w:val="PSParagraphText"/>
    <w:link w:val="AMPRBoxChar"/>
    <w:autoRedefine/>
    <w:qFormat/>
    <w:pPr>
      <w:keepLines/>
      <w:pBdr>
        <w:top w:val="single" w:sz="4" w:space="1" w:color="auto"/>
        <w:left w:val="single" w:sz="4" w:space="4" w:color="auto"/>
        <w:bottom w:val="single" w:sz="4" w:space="1" w:color="auto"/>
        <w:right w:val="single" w:sz="4" w:space="4" w:color="auto"/>
      </w:pBdr>
      <w:shd w:val="clear" w:color="auto" w:fill="F7F7F7" w:themeFill="text2" w:themeFillTint="33"/>
      <w:spacing w:line="276" w:lineRule="auto"/>
    </w:pPr>
    <w:rPr>
      <w:rFonts w:eastAsia="Calibri"/>
      <w:i/>
      <w:color w:val="7F7F7F" w:themeColor="text1" w:themeTint="80"/>
      <w:szCs w:val="18"/>
      <w:lang w:val="en"/>
    </w:rPr>
  </w:style>
  <w:style w:type="character" w:customStyle="1" w:styleId="AMPRBoxChar">
    <w:name w:val="AMPR Box Char"/>
    <w:basedOn w:val="PSParagraphTextChar"/>
    <w:link w:val="AMPRBox"/>
    <w:rPr>
      <w:rFonts w:ascii="EC Square Sans Pro" w:eastAsia="Calibri" w:hAnsi="EC Square Sans Pro" w:cs="Times New Roman"/>
      <w:i/>
      <w:color w:val="7F7F7F" w:themeColor="text1" w:themeTint="80"/>
      <w:sz w:val="20"/>
      <w:szCs w:val="18"/>
      <w:shd w:val="clear" w:color="auto" w:fill="F7F7F7" w:themeFill="text2" w:themeFillTint="33"/>
      <w:lang w:val="en" w:eastAsia="en-GB"/>
    </w:rPr>
  </w:style>
  <w:style w:type="paragraph" w:customStyle="1" w:styleId="AMPRTABLECHART">
    <w:name w:val="AMPR TABLECHART"/>
    <w:basedOn w:val="Normal"/>
    <w:link w:val="AMPRTABLECHARTChar"/>
    <w:autoRedefine/>
    <w:qFormat/>
    <w:pPr>
      <w:spacing w:after="240"/>
      <w:ind w:firstLine="40"/>
      <w:jc w:val="both"/>
    </w:pPr>
    <w:rPr>
      <w:rFonts w:ascii="EC Square Sans Pro Thin" w:eastAsia="Times New Roman" w:hAnsi="EC Square Sans Pro Thin"/>
      <w:b/>
      <w:i/>
      <w:noProof/>
      <w:sz w:val="18"/>
      <w:szCs w:val="18"/>
      <w:lang w:eastAsia="en-GB"/>
    </w:rPr>
  </w:style>
  <w:style w:type="character" w:customStyle="1" w:styleId="AMPRTABLECHARTChar">
    <w:name w:val="AMPR TABLECHART Char"/>
    <w:basedOn w:val="DefaultParagraphFont"/>
    <w:link w:val="AMPRTABLECHART"/>
    <w:rPr>
      <w:rFonts w:ascii="EC Square Sans Pro Thin" w:eastAsia="Times New Roman" w:hAnsi="EC Square Sans Pro Thin" w:cs="Times New Roman"/>
      <w:b/>
      <w:i/>
      <w:noProof/>
      <w:sz w:val="18"/>
      <w:szCs w:val="18"/>
      <w:lang w:val="en-GB" w:eastAsia="en-GB"/>
    </w:rPr>
  </w:style>
  <w:style w:type="numbering" w:customStyle="1" w:styleId="NoList1">
    <w:name w:val="No List1"/>
    <w:next w:val="NoList"/>
    <w:uiPriority w:val="99"/>
    <w:semiHidden/>
    <w:unhideWhenUsed/>
  </w:style>
  <w:style w:type="numbering" w:customStyle="1" w:styleId="NoList2">
    <w:name w:val="No List2"/>
    <w:next w:val="NoList"/>
    <w:uiPriority w:val="99"/>
    <w:semiHidden/>
    <w:unhideWhenUsed/>
  </w:style>
  <w:style w:type="numbering" w:customStyle="1" w:styleId="NumbLstBullet1">
    <w:name w:val="NumbLstBullet1"/>
  </w:style>
  <w:style w:type="numbering" w:customStyle="1" w:styleId="Style11">
    <w:name w:val="Style11"/>
  </w:style>
  <w:style w:type="numbering" w:customStyle="1" w:styleId="Style21">
    <w:name w:val="Style21"/>
  </w:style>
  <w:style w:type="paragraph" w:customStyle="1" w:styleId="ConsideredContent">
    <w:name w:val="Considered Content"/>
    <w:basedOn w:val="Normal"/>
    <w:link w:val="ConsideredContentChar"/>
    <w:qFormat/>
    <w:pPr>
      <w:ind w:left="720"/>
      <w:jc w:val="both"/>
    </w:pPr>
    <w:rPr>
      <w:rFonts w:ascii="Times New Roman" w:eastAsia="Times New Roman" w:hAnsi="Times New Roman"/>
      <w:color w:val="BFBFBF" w:themeColor="background1" w:themeShade="BF"/>
      <w:sz w:val="24"/>
      <w:szCs w:val="24"/>
      <w:lang w:eastAsia="en-GB"/>
    </w:rPr>
  </w:style>
  <w:style w:type="character" w:customStyle="1" w:styleId="ConsideredContentChar">
    <w:name w:val="Considered Content Char"/>
    <w:basedOn w:val="DefaultParagraphFont"/>
    <w:link w:val="ConsideredContent"/>
    <w:rPr>
      <w:rFonts w:ascii="Times New Roman" w:eastAsia="Times New Roman" w:hAnsi="Times New Roman" w:cs="Times New Roman"/>
      <w:color w:val="BFBFBF" w:themeColor="background1" w:themeShade="BF"/>
      <w:sz w:val="24"/>
      <w:szCs w:val="24"/>
      <w:lang w:val="en-GB" w:eastAsia="en-GB"/>
    </w:rPr>
  </w:style>
  <w:style w:type="paragraph" w:customStyle="1" w:styleId="Pa14">
    <w:name w:val="Pa14"/>
    <w:basedOn w:val="Default"/>
    <w:next w:val="Default"/>
    <w:uiPriority w:val="99"/>
    <w:pPr>
      <w:spacing w:line="241" w:lineRule="atLeast"/>
    </w:pPr>
    <w:rPr>
      <w:rFonts w:ascii="EC Square Sans Pro" w:eastAsiaTheme="minorHAnsi" w:hAnsi="EC Square Sans Pro" w:cstheme="minorBidi"/>
      <w:color w:val="auto"/>
      <w:lang w:val="en-GB"/>
    </w:rPr>
  </w:style>
  <w:style w:type="paragraph" w:customStyle="1" w:styleId="AMPRRunningTitle">
    <w:name w:val="AMPR Running Title"/>
    <w:basedOn w:val="Normal"/>
    <w:link w:val="AMPRRunningTitleChar"/>
    <w:qFormat/>
    <w:pPr>
      <w:spacing w:line="312" w:lineRule="auto"/>
      <w:jc w:val="both"/>
    </w:pPr>
    <w:rPr>
      <w:rFonts w:eastAsia="Times New Roman" w:cs="Arial"/>
      <w:b/>
      <w:color w:val="313131"/>
      <w:szCs w:val="24"/>
      <w:lang w:eastAsia="en-GB"/>
    </w:rPr>
  </w:style>
  <w:style w:type="character" w:customStyle="1" w:styleId="AMPRRunningTitleChar">
    <w:name w:val="AMPR Running Title Char"/>
    <w:basedOn w:val="DefaultParagraphFont"/>
    <w:link w:val="AMPRRunningTitle"/>
    <w:rPr>
      <w:rFonts w:ascii="EC Square Sans Pro" w:eastAsia="Times New Roman" w:hAnsi="EC Square Sans Pro" w:cs="Arial"/>
      <w:b/>
      <w:color w:val="313131"/>
      <w:sz w:val="20"/>
      <w:szCs w:val="24"/>
      <w:lang w:val="en-GB" w:eastAsia="en-GB"/>
    </w:rPr>
  </w:style>
  <w:style w:type="paragraph" w:customStyle="1" w:styleId="AMPRCall-out">
    <w:name w:val="AMPR Call-out"/>
    <w:basedOn w:val="Normal"/>
    <w:link w:val="AMPRCall-outChar"/>
    <w:qFormat/>
    <w:pPr>
      <w:pBdr>
        <w:top w:val="single" w:sz="12" w:space="0" w:color="002060"/>
        <w:left w:val="single" w:sz="12" w:space="2" w:color="002060"/>
        <w:bottom w:val="single" w:sz="12" w:space="0" w:color="002060"/>
        <w:right w:val="single" w:sz="12" w:space="2" w:color="002060"/>
      </w:pBdr>
      <w:shd w:val="clear" w:color="auto" w:fill="0070C0"/>
      <w:spacing w:after="100"/>
      <w:jc w:val="center"/>
    </w:pPr>
    <w:rPr>
      <w:rFonts w:eastAsia="SimSun"/>
      <w:i/>
      <w:color w:val="FFFFFF" w:themeColor="background1"/>
      <w:sz w:val="24"/>
      <w:szCs w:val="32"/>
      <w:lang w:eastAsia="en-GB"/>
    </w:rPr>
  </w:style>
  <w:style w:type="character" w:customStyle="1" w:styleId="AMPRCall-outChar">
    <w:name w:val="AMPR Call-out Char"/>
    <w:basedOn w:val="DefaultParagraphFont"/>
    <w:link w:val="AMPRCall-out"/>
    <w:rPr>
      <w:rFonts w:ascii="EC Square Sans Pro" w:eastAsia="SimSun" w:hAnsi="EC Square Sans Pro" w:cs="Times New Roman"/>
      <w:i/>
      <w:color w:val="FFFFFF" w:themeColor="background1"/>
      <w:sz w:val="24"/>
      <w:szCs w:val="32"/>
      <w:shd w:val="clear" w:color="auto" w:fill="0070C0"/>
      <w:lang w:val="en-GB" w:eastAsia="en-GB"/>
    </w:rPr>
  </w:style>
  <w:style w:type="numbering" w:customStyle="1" w:styleId="NoList3">
    <w:name w:val="No List3"/>
    <w:next w:val="NoList"/>
    <w:uiPriority w:val="99"/>
    <w:semiHidden/>
    <w:unhideWhenUsed/>
  </w:style>
  <w:style w:type="paragraph" w:customStyle="1" w:styleId="AddressTL">
    <w:name w:val="AddressTL"/>
    <w:basedOn w:val="Normal"/>
    <w:next w:val="Normal"/>
    <w:pPr>
      <w:spacing w:after="720"/>
    </w:pPr>
    <w:rPr>
      <w:rFonts w:ascii="Times New Roman" w:eastAsia="Times New Roman" w:hAnsi="Times New Roman"/>
      <w:sz w:val="24"/>
      <w:szCs w:val="20"/>
    </w:rPr>
  </w:style>
  <w:style w:type="paragraph" w:customStyle="1" w:styleId="AddressTR">
    <w:name w:val="AddressTR"/>
    <w:basedOn w:val="Normal"/>
    <w:next w:val="Normal"/>
    <w:pPr>
      <w:spacing w:after="720"/>
      <w:ind w:left="5103"/>
    </w:pPr>
    <w:rPr>
      <w:rFonts w:ascii="Times New Roman" w:eastAsia="Times New Roman" w:hAnsi="Times New Roman"/>
      <w:sz w:val="24"/>
      <w:szCs w:val="20"/>
    </w:rPr>
  </w:style>
  <w:style w:type="paragraph" w:customStyle="1" w:styleId="Enclosures">
    <w:name w:val="Enclosures"/>
    <w:basedOn w:val="Normal"/>
    <w:next w:val="Participants"/>
    <w:pPr>
      <w:keepNext/>
      <w:keepLines/>
      <w:tabs>
        <w:tab w:val="left" w:pos="5670"/>
      </w:tabs>
      <w:spacing w:before="480"/>
      <w:ind w:left="1985" w:hanging="1985"/>
    </w:pPr>
    <w:rPr>
      <w:rFonts w:ascii="Times New Roman" w:eastAsia="Times New Roman" w:hAnsi="Times New Roman"/>
      <w:sz w:val="24"/>
      <w:szCs w:val="20"/>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ind w:left="1985" w:hanging="1985"/>
    </w:pPr>
    <w:rPr>
      <w:rFonts w:ascii="Times New Roman" w:eastAsia="Times New Roman" w:hAnsi="Times New Roman"/>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ind w:left="1985" w:hanging="1985"/>
    </w:pPr>
    <w:rPr>
      <w:rFonts w:ascii="Times New Roman" w:eastAsia="Times New Roman" w:hAnsi="Times New Roman"/>
      <w:sz w:val="24"/>
      <w:szCs w:val="20"/>
    </w:rPr>
  </w:style>
  <w:style w:type="paragraph" w:customStyle="1" w:styleId="DoubSign">
    <w:name w:val="DoubSign"/>
    <w:basedOn w:val="Normal"/>
    <w:next w:val="Contact"/>
    <w:pPr>
      <w:tabs>
        <w:tab w:val="left" w:pos="5103"/>
      </w:tabs>
      <w:spacing w:before="1200"/>
    </w:pPr>
    <w:rPr>
      <w:rFonts w:ascii="Times New Roman" w:eastAsia="Times New Roman" w:hAnsi="Times New Roman"/>
      <w:sz w:val="24"/>
      <w:szCs w:val="20"/>
    </w:rPr>
  </w:style>
  <w:style w:type="paragraph" w:customStyle="1" w:styleId="NoteHead">
    <w:name w:val="NoteHead"/>
    <w:basedOn w:val="Normal"/>
    <w:next w:val="Subject"/>
    <w:pPr>
      <w:spacing w:before="720" w:after="720"/>
      <w:jc w:val="center"/>
    </w:pPr>
    <w:rPr>
      <w:rFonts w:ascii="Times New Roman" w:eastAsia="Times New Roman" w:hAnsi="Times New Roman"/>
      <w:b/>
      <w:smallCaps/>
      <w:sz w:val="24"/>
      <w:szCs w:val="20"/>
    </w:rPr>
  </w:style>
  <w:style w:type="paragraph" w:customStyle="1" w:styleId="Subject">
    <w:name w:val="Subject"/>
    <w:basedOn w:val="Normal"/>
    <w:next w:val="Normal"/>
    <w:pPr>
      <w:spacing w:after="480"/>
      <w:ind w:left="1531" w:hanging="1531"/>
    </w:pPr>
    <w:rPr>
      <w:rFonts w:ascii="Times New Roman" w:eastAsia="Times New Roman" w:hAnsi="Times New Roman"/>
      <w:b/>
      <w:sz w:val="24"/>
      <w:szCs w:val="20"/>
    </w:rPr>
  </w:style>
  <w:style w:type="paragraph" w:customStyle="1" w:styleId="NoteList">
    <w:name w:val="NoteList"/>
    <w:basedOn w:val="Normal"/>
    <w:next w:val="Subject"/>
    <w:pPr>
      <w:tabs>
        <w:tab w:val="left" w:pos="5823"/>
      </w:tabs>
      <w:spacing w:before="720" w:after="720"/>
      <w:ind w:left="5104" w:hanging="3119"/>
    </w:pPr>
    <w:rPr>
      <w:rFonts w:ascii="Times New Roman" w:eastAsia="Times New Roman" w:hAnsi="Times New Roman"/>
      <w:b/>
      <w:smallCaps/>
      <w:sz w:val="24"/>
      <w:szCs w:val="20"/>
    </w:rPr>
  </w:style>
  <w:style w:type="paragraph" w:customStyle="1" w:styleId="YReferences">
    <w:name w:val="YReferences"/>
    <w:basedOn w:val="Normal"/>
    <w:next w:val="Normal"/>
    <w:pPr>
      <w:spacing w:after="480"/>
      <w:ind w:left="1531" w:hanging="1531"/>
      <w:jc w:val="both"/>
    </w:pPr>
    <w:rPr>
      <w:rFonts w:ascii="Times New Roman" w:eastAsia="Times New Roman" w:hAnsi="Times New Roman"/>
      <w:sz w:val="24"/>
      <w:szCs w:val="20"/>
    </w:rPr>
  </w:style>
  <w:style w:type="paragraph" w:customStyle="1" w:styleId="DisclaimerNotice">
    <w:name w:val="Disclaimer Notice"/>
    <w:basedOn w:val="Normal"/>
    <w:next w:val="AddressTR"/>
    <w:pPr>
      <w:spacing w:after="240"/>
      <w:ind w:left="5103"/>
    </w:pPr>
    <w:rPr>
      <w:rFonts w:ascii="Times New Roman" w:eastAsia="Times New Roman" w:hAnsi="Times New Roman"/>
      <w:i/>
      <w:szCs w:val="20"/>
    </w:rPr>
  </w:style>
  <w:style w:type="paragraph" w:customStyle="1" w:styleId="DisclaimerSJ">
    <w:name w:val="Disclaimer_SJ"/>
    <w:basedOn w:val="Normal"/>
    <w:next w:val="Normal"/>
    <w:pPr>
      <w:jc w:val="both"/>
    </w:pPr>
    <w:rPr>
      <w:rFonts w:ascii="Arial" w:eastAsia="Times New Roman" w:hAnsi="Arial"/>
      <w:b/>
      <w:sz w:val="16"/>
      <w:szCs w:val="20"/>
    </w:rPr>
  </w:style>
  <w:style w:type="paragraph" w:customStyle="1" w:styleId="Designator">
    <w:name w:val="Designator"/>
    <w:basedOn w:val="Normal"/>
    <w:pPr>
      <w:jc w:val="center"/>
    </w:pPr>
    <w:rPr>
      <w:rFonts w:ascii="Times New Roman" w:eastAsia="Times New Roman" w:hAnsi="Times New Roman"/>
      <w:b/>
      <w:caps/>
      <w:sz w:val="32"/>
      <w:szCs w:val="20"/>
    </w:rPr>
  </w:style>
  <w:style w:type="paragraph" w:customStyle="1" w:styleId="Releasable">
    <w:name w:val="Releasable"/>
    <w:basedOn w:val="Normal"/>
    <w:qFormat/>
    <w:pPr>
      <w:jc w:val="center"/>
    </w:pPr>
    <w:rPr>
      <w:rFonts w:ascii="Times New Roman" w:eastAsia="Times New Roman" w:hAnsi="Times New Roman"/>
      <w:b/>
      <w:caps/>
      <w:sz w:val="32"/>
      <w:szCs w:val="20"/>
      <w:lang w:val="de-DE"/>
    </w:rPr>
  </w:style>
  <w:style w:type="paragraph" w:customStyle="1" w:styleId="RUE">
    <w:name w:val="RUE"/>
    <w:basedOn w:val="Normal"/>
    <w:pPr>
      <w:jc w:val="center"/>
    </w:pPr>
    <w:rPr>
      <w:rFonts w:ascii="Times New Roman" w:eastAsia="Times New Roman" w:hAnsi="Times New Roman"/>
      <w:b/>
      <w:caps/>
      <w:sz w:val="32"/>
      <w:szCs w:val="20"/>
      <w:bdr w:val="single" w:sz="18" w:space="0" w:color="auto"/>
      <w:lang w:val="de-DE"/>
    </w:rPr>
  </w:style>
  <w:style w:type="paragraph" w:customStyle="1" w:styleId="ConfidentialUE">
    <w:name w:val="Confidential UE"/>
    <w:basedOn w:val="Normal"/>
    <w:pPr>
      <w:jc w:val="center"/>
    </w:pPr>
    <w:rPr>
      <w:rFonts w:ascii="Times New Roman" w:eastAsia="Times New Roman" w:hAnsi="Times New Roman"/>
      <w:b/>
      <w:caps/>
      <w:sz w:val="32"/>
      <w:szCs w:val="20"/>
      <w:bdr w:val="single" w:sz="18" w:space="0" w:color="auto"/>
    </w:rPr>
  </w:style>
  <w:style w:type="paragraph" w:customStyle="1" w:styleId="TrsSecretUE">
    <w:name w:val="Très Secret UE"/>
    <w:basedOn w:val="Normal"/>
    <w:pPr>
      <w:jc w:val="center"/>
    </w:pPr>
    <w:rPr>
      <w:rFonts w:ascii="Times New Roman" w:eastAsia="Times New Roman" w:hAnsi="Times New Roman"/>
      <w:b/>
      <w:caps/>
      <w:color w:val="FF0000"/>
      <w:sz w:val="32"/>
      <w:szCs w:val="20"/>
      <w:bdr w:val="single" w:sz="18" w:space="0" w:color="FF0000"/>
    </w:rPr>
  </w:style>
  <w:style w:type="paragraph" w:customStyle="1" w:styleId="SecretUE">
    <w:name w:val="Secret UE"/>
    <w:basedOn w:val="Normal"/>
    <w:pPr>
      <w:jc w:val="center"/>
    </w:pPr>
    <w:rPr>
      <w:rFonts w:ascii="Times New Roman" w:eastAsia="Times New Roman" w:hAnsi="Times New Roman"/>
      <w:b/>
      <w:caps/>
      <w:color w:val="FF0000"/>
      <w:sz w:val="32"/>
      <w:szCs w:val="20"/>
      <w:bdr w:val="single" w:sz="18" w:space="0" w:color="FF0000"/>
    </w:rPr>
  </w:style>
  <w:style w:type="paragraph" w:customStyle="1" w:styleId="Style10">
    <w:name w:val="Style 1"/>
    <w:basedOn w:val="Normal"/>
    <w:pPr>
      <w:widowControl w:val="0"/>
      <w:autoSpaceDE w:val="0"/>
      <w:autoSpaceDN w:val="0"/>
      <w:adjustRightInd w:val="0"/>
    </w:pPr>
    <w:rPr>
      <w:rFonts w:ascii="Times New Roman" w:eastAsia="Times New Roman" w:hAnsi="Times New Roman"/>
      <w:szCs w:val="24"/>
      <w:lang w:val="en-US"/>
    </w:rPr>
  </w:style>
  <w:style w:type="paragraph" w:customStyle="1" w:styleId="ADPPuce1">
    <w:name w:val="ADP Puce 1"/>
    <w:basedOn w:val="Normal"/>
    <w:pPr>
      <w:numPr>
        <w:numId w:val="34"/>
      </w:numPr>
      <w:jc w:val="both"/>
    </w:pPr>
    <w:rPr>
      <w:rFonts w:ascii="Arial" w:eastAsia="Times New Roman" w:hAnsi="Arial"/>
      <w:szCs w:val="24"/>
    </w:rPr>
  </w:style>
  <w:style w:type="table" w:customStyle="1" w:styleId="TableGrid2">
    <w:name w:val="Table Grid2"/>
    <w:basedOn w:val="TableNormal"/>
    <w:next w:val="TableGrid"/>
    <w:uiPriority w:val="59"/>
    <w:pPr>
      <w:spacing w:after="120"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pPr>
      <w:jc w:val="both"/>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pPr>
      <w:numPr>
        <w:numId w:val="35"/>
      </w:numPr>
    </w:pPr>
  </w:style>
  <w:style w:type="paragraph" w:customStyle="1" w:styleId="Annexetitreexposglobal">
    <w:name w:val="Annexe titre (exposé global)"/>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Annexetitrefichefinacte">
    <w:name w:val="Annexe titre (fiche fin. acte)"/>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Annexetitrefichefinglobale">
    <w:name w:val="Annexe titre (fiche fin. globale)"/>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Annexetitreglobale">
    <w:name w:val="Annexe titre (globale)"/>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Exposdesmotifstitreglobal">
    <w:name w:val="Exposé des motifs titre (global)"/>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Langueoriginale">
    <w:name w:val="Langue originale"/>
    <w:basedOn w:val="Normal"/>
    <w:next w:val="Phrasefinale"/>
    <w:pPr>
      <w:spacing w:before="360" w:after="120"/>
      <w:jc w:val="center"/>
    </w:pPr>
    <w:rPr>
      <w:rFonts w:ascii="Times New Roman" w:eastAsia="Times New Roman" w:hAnsi="Times New Roman"/>
      <w:caps/>
      <w:sz w:val="24"/>
      <w:szCs w:val="24"/>
      <w:lang w:eastAsia="de-DE"/>
    </w:rPr>
  </w:style>
  <w:style w:type="paragraph" w:customStyle="1" w:styleId="Phrasefinale">
    <w:name w:val="Phrase finale"/>
    <w:basedOn w:val="Normal"/>
    <w:next w:val="Normal"/>
    <w:pPr>
      <w:spacing w:before="360"/>
      <w:jc w:val="center"/>
    </w:pPr>
    <w:rPr>
      <w:rFonts w:ascii="Times New Roman" w:eastAsia="Times New Roman" w:hAnsi="Times New Roman"/>
      <w:sz w:val="24"/>
      <w:szCs w:val="24"/>
      <w:lang w:eastAsia="de-DE"/>
    </w:rPr>
  </w:style>
  <w:style w:type="paragraph" w:customStyle="1" w:styleId="Fichefinancirestandardtitre">
    <w:name w:val="Fiche financière (standard) titre"/>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Fichefinancirestandardtitreacte">
    <w:name w:val="Fiche financière (standard) titre (acte)"/>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Fichefinanciretravailtitre">
    <w:name w:val="Fiche financière (travail) titre"/>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Fichefinanciretravailtitreacte">
    <w:name w:val="Fiche financière (travail) titre (acte)"/>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Fichefinancireattributiontitre">
    <w:name w:val="Fiche financière (attribution) titre"/>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Fichefinancireattributiontitreacte">
    <w:name w:val="Fiche financière (attribution) titre (acte)"/>
    <w:basedOn w:val="Normal"/>
    <w:next w:val="Normal"/>
    <w:pPr>
      <w:spacing w:before="120" w:after="120"/>
      <w:jc w:val="center"/>
    </w:pPr>
    <w:rPr>
      <w:rFonts w:ascii="Times New Roman" w:eastAsia="Times New Roman" w:hAnsi="Times New Roman"/>
      <w:b/>
      <w:sz w:val="24"/>
      <w:szCs w:val="24"/>
      <w:u w:val="single"/>
      <w:lang w:eastAsia="de-DE"/>
    </w:rPr>
  </w:style>
  <w:style w:type="character" w:customStyle="1" w:styleId="titlebold1">
    <w:name w:val="titlebold1"/>
    <w:rPr>
      <w:rFonts w:ascii="Tahoma" w:hAnsi="Tahoma" w:cs="Tahoma" w:hint="default"/>
      <w:b/>
      <w:bCs/>
      <w:color w:val="006699"/>
      <w:sz w:val="24"/>
      <w:szCs w:val="24"/>
    </w:rPr>
  </w:style>
  <w:style w:type="character" w:customStyle="1" w:styleId="numerique2">
    <w:name w:val="numerique2"/>
  </w:style>
  <w:style w:type="character" w:customStyle="1" w:styleId="alpha2">
    <w:name w:val="alpha2"/>
  </w:style>
  <w:style w:type="paragraph" w:customStyle="1" w:styleId="CM4">
    <w:name w:val="CM4"/>
    <w:basedOn w:val="Default"/>
    <w:next w:val="Default"/>
    <w:uiPriority w:val="99"/>
    <w:rPr>
      <w:rFonts w:ascii="Times New Roman" w:eastAsia="Times New Roman" w:hAnsi="Times New Roman" w:cs="Times New Roman"/>
      <w:color w:val="auto"/>
      <w:lang w:val="en-GB" w:eastAsia="en-GB"/>
    </w:rPr>
  </w:style>
  <w:style w:type="paragraph" w:customStyle="1" w:styleId="Para2">
    <w:name w:val="Para_2"/>
    <w:basedOn w:val="Normal"/>
    <w:link w:val="Para2Char1"/>
    <w:pPr>
      <w:numPr>
        <w:ilvl w:val="1"/>
        <w:numId w:val="36"/>
      </w:numPr>
      <w:spacing w:after="240" w:line="360" w:lineRule="auto"/>
    </w:pPr>
    <w:rPr>
      <w:rFonts w:ascii="Arial" w:eastAsia="Times New Roman" w:hAnsi="Arial"/>
      <w:noProof/>
      <w:sz w:val="24"/>
      <w:szCs w:val="20"/>
      <w:lang w:val="x-none"/>
    </w:rPr>
  </w:style>
  <w:style w:type="paragraph" w:customStyle="1" w:styleId="Para3">
    <w:name w:val="Para_3"/>
    <w:basedOn w:val="Normal"/>
    <w:pPr>
      <w:numPr>
        <w:ilvl w:val="2"/>
        <w:numId w:val="36"/>
      </w:numPr>
      <w:tabs>
        <w:tab w:val="left" w:pos="992"/>
      </w:tabs>
      <w:spacing w:after="240" w:line="360" w:lineRule="auto"/>
    </w:pPr>
    <w:rPr>
      <w:rFonts w:ascii="Arial" w:eastAsia="Times New Roman" w:hAnsi="Arial"/>
      <w:noProof/>
      <w:sz w:val="24"/>
      <w:szCs w:val="20"/>
    </w:rPr>
  </w:style>
  <w:style w:type="paragraph" w:customStyle="1" w:styleId="Para4">
    <w:name w:val="Para_4"/>
    <w:basedOn w:val="Normal"/>
    <w:pPr>
      <w:numPr>
        <w:ilvl w:val="3"/>
        <w:numId w:val="36"/>
      </w:numPr>
      <w:spacing w:after="240" w:line="360" w:lineRule="auto"/>
    </w:pPr>
    <w:rPr>
      <w:rFonts w:ascii="Arial" w:eastAsia="Times New Roman" w:hAnsi="Arial"/>
      <w:sz w:val="24"/>
      <w:szCs w:val="20"/>
    </w:rPr>
  </w:style>
  <w:style w:type="paragraph" w:customStyle="1" w:styleId="Para5">
    <w:name w:val="Para_5"/>
    <w:basedOn w:val="Normal"/>
    <w:pPr>
      <w:numPr>
        <w:ilvl w:val="4"/>
        <w:numId w:val="36"/>
      </w:numPr>
      <w:tabs>
        <w:tab w:val="left" w:pos="567"/>
      </w:tabs>
      <w:spacing w:after="240" w:line="360" w:lineRule="auto"/>
    </w:pPr>
    <w:rPr>
      <w:rFonts w:ascii="Arial" w:eastAsia="Times New Roman" w:hAnsi="Arial"/>
      <w:sz w:val="24"/>
      <w:szCs w:val="20"/>
    </w:rPr>
  </w:style>
  <w:style w:type="character" w:customStyle="1" w:styleId="Para2Char1">
    <w:name w:val="Para_2 Char1"/>
    <w:link w:val="Para2"/>
    <w:rPr>
      <w:rFonts w:ascii="Arial" w:eastAsia="Times New Roman" w:hAnsi="Arial" w:cs="Times New Roman"/>
      <w:noProof/>
      <w:sz w:val="24"/>
      <w:szCs w:val="20"/>
      <w:lang w:val="x-none"/>
    </w:rPr>
  </w:style>
  <w:style w:type="paragraph" w:customStyle="1" w:styleId="Textstand-alone">
    <w:name w:val="Text_stand-alone"/>
    <w:basedOn w:val="Normal"/>
    <w:qFormat/>
    <w:pPr>
      <w:spacing w:before="240" w:after="240"/>
      <w:jc w:val="both"/>
    </w:pPr>
    <w:rPr>
      <w:rFonts w:ascii="Verdana" w:eastAsia="Times New Roman" w:hAnsi="Verdana"/>
      <w:noProof/>
      <w:sz w:val="18"/>
      <w:szCs w:val="18"/>
    </w:rPr>
  </w:style>
  <w:style w:type="paragraph" w:customStyle="1" w:styleId="TableText0">
    <w:name w:val="TableText"/>
    <w:basedOn w:val="Normal"/>
    <w:pPr>
      <w:keepNext/>
      <w:spacing w:before="60" w:after="60"/>
      <w:ind w:left="10"/>
    </w:pPr>
    <w:rPr>
      <w:rFonts w:ascii="Arial" w:hAnsi="Arial" w:cs="Arial"/>
      <w:sz w:val="16"/>
      <w:szCs w:val="16"/>
    </w:rPr>
  </w:style>
  <w:style w:type="numbering" w:customStyle="1" w:styleId="NoList4">
    <w:name w:val="No List4"/>
    <w:next w:val="NoList"/>
    <w:uiPriority w:val="99"/>
    <w:semiHidden/>
    <w:unhideWhenUsed/>
  </w:style>
  <w:style w:type="table" w:customStyle="1" w:styleId="TableGrid5">
    <w:name w:val="Table Grid5"/>
    <w:basedOn w:val="TableNormal"/>
    <w:next w:val="TableGrid"/>
    <w:uiPriority w:val="59"/>
    <w:pPr>
      <w:spacing w:after="120"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
    <w:name w:val="Table Elegant1"/>
    <w:basedOn w:val="TableNormal"/>
    <w:next w:val="TableElegant"/>
    <w:pPr>
      <w:jc w:val="both"/>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12"/>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style>
  <w:style w:type="paragraph" w:customStyle="1" w:styleId="Declassification">
    <w:name w:val="Declassification"/>
    <w:basedOn w:val="Normal"/>
    <w:next w:val="Normal"/>
    <w:pPr>
      <w:jc w:val="both"/>
    </w:pPr>
    <w:rPr>
      <w:rFonts w:ascii="Times New Roman" w:hAnsi="Times New Roman"/>
      <w:sz w:val="24"/>
    </w:rPr>
  </w:style>
  <w:style w:type="character" w:customStyle="1" w:styleId="tgc">
    <w:name w:val="_tgc"/>
  </w:style>
  <w:style w:type="numbering" w:customStyle="1" w:styleId="NoList5">
    <w:name w:val="No List5"/>
    <w:next w:val="NoList"/>
    <w:uiPriority w:val="99"/>
    <w:semiHidden/>
    <w:unhideWhenUsed/>
  </w:style>
  <w:style w:type="table" w:customStyle="1" w:styleId="TableGrid6">
    <w:name w:val="Table Grid6"/>
    <w:basedOn w:val="TableNormal"/>
    <w:next w:val="TableGrid"/>
    <w:uiPriority w:val="59"/>
    <w:pPr>
      <w:spacing w:after="120"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
    <w:name w:val="Table Elegant2"/>
    <w:basedOn w:val="TableNormal"/>
    <w:next w:val="TableElegant"/>
    <w:pPr>
      <w:jc w:val="both"/>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
    <w:name w:val="Table Grid13"/>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style>
  <w:style w:type="paragraph" w:customStyle="1" w:styleId="AMPRINDICATOR">
    <w:name w:val="AMPRINDICATOR"/>
    <w:basedOn w:val="AMPRText"/>
    <w:link w:val="AMPRINDICATORChar"/>
    <w:qFormat/>
    <w:rPr>
      <w:rFonts w:ascii="Arial" w:eastAsia="Calibri" w:hAnsi="Arial"/>
      <w:color w:val="FFFFFF" w:themeColor="background1"/>
    </w:rPr>
  </w:style>
  <w:style w:type="character" w:customStyle="1" w:styleId="AMPRINDICATORChar">
    <w:name w:val="AMPRINDICATOR Char"/>
    <w:basedOn w:val="AMPRTextChar"/>
    <w:link w:val="AMPRINDICATOR"/>
    <w:rPr>
      <w:rFonts w:ascii="Arial" w:eastAsia="Calibri" w:hAnsi="Arial" w:cs="Times New Roman"/>
      <w:color w:val="FFFFFF" w:themeColor="background1"/>
      <w:sz w:val="19"/>
      <w:szCs w:val="24"/>
      <w:lang w:val="en-GB" w:eastAsia="en-GB"/>
    </w:rPr>
  </w:style>
  <w:style w:type="paragraph" w:customStyle="1" w:styleId="AMPRRUNNINGKLEIN">
    <w:name w:val="AMPRRUNNINGKLEIN"/>
    <w:basedOn w:val="AMPRRunningTitle"/>
    <w:link w:val="AMPRRUNNINGKLEINChar"/>
    <w:qFormat/>
    <w:rPr>
      <w:rFonts w:ascii="Verdana" w:hAnsi="Verdana"/>
      <w:color w:val="0070C0"/>
    </w:rPr>
  </w:style>
  <w:style w:type="character" w:customStyle="1" w:styleId="AMPRRUNNINGKLEINChar">
    <w:name w:val="AMPRRUNNINGKLEIN Char"/>
    <w:basedOn w:val="AMPRRunningTitleChar"/>
    <w:link w:val="AMPRRUNNINGKLEIN"/>
    <w:rPr>
      <w:rFonts w:ascii="Verdana" w:eastAsia="Times New Roman" w:hAnsi="Verdana" w:cs="Arial"/>
      <w:b/>
      <w:color w:val="0070C0"/>
      <w:sz w:val="20"/>
      <w:szCs w:val="24"/>
      <w:lang w:val="en-GB" w:eastAsia="en-GB"/>
    </w:rPr>
  </w:style>
  <w:style w:type="character" w:customStyle="1" w:styleId="Bodytext20">
    <w:name w:val="Body text (2)_"/>
    <w:basedOn w:val="DefaultParagraphFont"/>
    <w:rPr>
      <w:rFonts w:ascii="Arial" w:eastAsia="Arial" w:hAnsi="Arial" w:cs="Arial"/>
      <w:b w:val="0"/>
      <w:bCs w:val="0"/>
      <w:i w:val="0"/>
      <w:iCs w:val="0"/>
      <w:smallCaps w:val="0"/>
      <w:strike w:val="0"/>
      <w:sz w:val="17"/>
      <w:szCs w:val="17"/>
      <w:u w:val="none"/>
    </w:rPr>
  </w:style>
  <w:style w:type="character" w:customStyle="1" w:styleId="Bodytext21">
    <w:name w:val="Body text (2)"/>
    <w:basedOn w:val="Bodytext20"/>
    <w:rPr>
      <w:rFonts w:ascii="Arial" w:eastAsia="Arial" w:hAnsi="Arial" w:cs="Arial"/>
      <w:b w:val="0"/>
      <w:bCs w:val="0"/>
      <w:i w:val="0"/>
      <w:iCs w:val="0"/>
      <w:smallCaps w:val="0"/>
      <w:strike w:val="0"/>
      <w:color w:val="7F7F7F"/>
      <w:spacing w:val="0"/>
      <w:w w:val="100"/>
      <w:position w:val="0"/>
      <w:sz w:val="17"/>
      <w:szCs w:val="17"/>
      <w:u w:val="none"/>
      <w:lang w:val="en-US" w:eastAsia="en-US" w:bidi="en-US"/>
    </w:rPr>
  </w:style>
  <w:style w:type="character" w:customStyle="1" w:styleId="Bodytext2Bold">
    <w:name w:val="Body text (2) + Bold"/>
    <w:basedOn w:val="Bodytext20"/>
    <w:rPr>
      <w:rFonts w:ascii="Arial" w:eastAsia="Arial" w:hAnsi="Arial" w:cs="Arial"/>
      <w:b/>
      <w:bCs/>
      <w:i w:val="0"/>
      <w:iCs w:val="0"/>
      <w:smallCaps w:val="0"/>
      <w:strike w:val="0"/>
      <w:color w:val="0070C0"/>
      <w:spacing w:val="0"/>
      <w:w w:val="100"/>
      <w:position w:val="0"/>
      <w:sz w:val="17"/>
      <w:szCs w:val="17"/>
      <w:u w:val="none"/>
      <w:lang w:val="en-US" w:eastAsia="en-US" w:bidi="en-US"/>
    </w:rPr>
  </w:style>
  <w:style w:type="character" w:customStyle="1" w:styleId="Tablecaption">
    <w:name w:val="Table caption_"/>
    <w:basedOn w:val="DefaultParagraphFont"/>
    <w:rPr>
      <w:rFonts w:ascii="Arial" w:eastAsia="Arial" w:hAnsi="Arial" w:cs="Arial"/>
      <w:b w:val="0"/>
      <w:bCs w:val="0"/>
      <w:i/>
      <w:iCs/>
      <w:smallCaps w:val="0"/>
      <w:strike w:val="0"/>
      <w:sz w:val="14"/>
      <w:szCs w:val="14"/>
      <w:u w:val="none"/>
    </w:rPr>
  </w:style>
  <w:style w:type="character" w:customStyle="1" w:styleId="Tablecaption0">
    <w:name w:val="Table caption"/>
    <w:basedOn w:val="Tablecaption"/>
    <w:rPr>
      <w:rFonts w:ascii="Arial" w:eastAsia="Arial" w:hAnsi="Arial" w:cs="Arial"/>
      <w:b w:val="0"/>
      <w:bCs w:val="0"/>
      <w:i/>
      <w:iCs/>
      <w:smallCaps w:val="0"/>
      <w:strike w:val="0"/>
      <w:color w:val="7F7F7F"/>
      <w:spacing w:val="0"/>
      <w:w w:val="100"/>
      <w:position w:val="0"/>
      <w:sz w:val="14"/>
      <w:szCs w:val="14"/>
      <w:u w:val="none"/>
      <w:lang w:val="en-US" w:eastAsia="en-US" w:bidi="en-US"/>
    </w:rPr>
  </w:style>
  <w:style w:type="character" w:customStyle="1" w:styleId="Tablecaption65ptNotItalic">
    <w:name w:val="Table caption + 6.5 pt;Not Italic"/>
    <w:basedOn w:val="Tablecaption"/>
    <w:rPr>
      <w:rFonts w:ascii="Arial" w:eastAsia="Arial" w:hAnsi="Arial" w:cs="Arial"/>
      <w:b w:val="0"/>
      <w:bCs w:val="0"/>
      <w:i/>
      <w:iCs/>
      <w:smallCaps w:val="0"/>
      <w:strike w:val="0"/>
      <w:color w:val="7F7F7F"/>
      <w:spacing w:val="0"/>
      <w:w w:val="100"/>
      <w:position w:val="0"/>
      <w:sz w:val="13"/>
      <w:szCs w:val="13"/>
      <w:u w:val="none"/>
      <w:lang w:val="en-US" w:eastAsia="en-US" w:bidi="en-US"/>
    </w:rPr>
  </w:style>
  <w:style w:type="character" w:customStyle="1" w:styleId="Bodytext30">
    <w:name w:val="Body text (3)_"/>
    <w:basedOn w:val="DefaultParagraphFont"/>
    <w:rPr>
      <w:rFonts w:ascii="Arial" w:eastAsia="Arial" w:hAnsi="Arial" w:cs="Arial"/>
      <w:b/>
      <w:bCs/>
      <w:i w:val="0"/>
      <w:iCs w:val="0"/>
      <w:smallCaps w:val="0"/>
      <w:strike w:val="0"/>
      <w:sz w:val="17"/>
      <w:szCs w:val="17"/>
      <w:u w:val="none"/>
    </w:rPr>
  </w:style>
  <w:style w:type="character" w:customStyle="1" w:styleId="Bodytext3NotBold">
    <w:name w:val="Body text (3) + Not Bold"/>
    <w:basedOn w:val="Bodytext30"/>
    <w:rPr>
      <w:rFonts w:ascii="Arial" w:eastAsia="Arial" w:hAnsi="Arial" w:cs="Arial"/>
      <w:b/>
      <w:bCs/>
      <w:i w:val="0"/>
      <w:iCs w:val="0"/>
      <w:smallCaps w:val="0"/>
      <w:strike w:val="0"/>
      <w:color w:val="7F7F7F"/>
      <w:spacing w:val="0"/>
      <w:w w:val="100"/>
      <w:position w:val="0"/>
      <w:sz w:val="17"/>
      <w:szCs w:val="17"/>
      <w:u w:val="none"/>
      <w:lang w:val="en-US" w:eastAsia="en-US" w:bidi="en-US"/>
    </w:rPr>
  </w:style>
  <w:style w:type="character" w:customStyle="1" w:styleId="Bodytext31">
    <w:name w:val="Body text (3)"/>
    <w:basedOn w:val="Bodytext30"/>
    <w:rPr>
      <w:rFonts w:ascii="Arial" w:eastAsia="Arial" w:hAnsi="Arial" w:cs="Arial"/>
      <w:b/>
      <w:bCs/>
      <w:i w:val="0"/>
      <w:iCs w:val="0"/>
      <w:smallCaps w:val="0"/>
      <w:strike w:val="0"/>
      <w:color w:val="0070C0"/>
      <w:spacing w:val="0"/>
      <w:w w:val="100"/>
      <w:position w:val="0"/>
      <w:sz w:val="17"/>
      <w:szCs w:val="17"/>
      <w:u w:val="none"/>
      <w:lang w:val="en-US" w:eastAsia="en-US" w:bidi="en-US"/>
    </w:rPr>
  </w:style>
  <w:style w:type="character" w:customStyle="1" w:styleId="Heading30">
    <w:name w:val="Heading #3_"/>
    <w:basedOn w:val="DefaultParagraphFont"/>
    <w:rPr>
      <w:rFonts w:ascii="Arial" w:eastAsia="Arial" w:hAnsi="Arial" w:cs="Arial"/>
      <w:b/>
      <w:bCs/>
      <w:i w:val="0"/>
      <w:iCs w:val="0"/>
      <w:smallCaps w:val="0"/>
      <w:strike w:val="0"/>
      <w:sz w:val="17"/>
      <w:szCs w:val="17"/>
      <w:u w:val="none"/>
    </w:rPr>
  </w:style>
  <w:style w:type="character" w:customStyle="1" w:styleId="Heading31">
    <w:name w:val="Heading #3"/>
    <w:basedOn w:val="Heading30"/>
    <w:rPr>
      <w:rFonts w:ascii="Arial" w:eastAsia="Arial" w:hAnsi="Arial" w:cs="Arial"/>
      <w:b/>
      <w:bCs/>
      <w:i w:val="0"/>
      <w:iCs w:val="0"/>
      <w:smallCaps w:val="0"/>
      <w:strike w:val="0"/>
      <w:color w:val="0070C0"/>
      <w:spacing w:val="0"/>
      <w:w w:val="100"/>
      <w:position w:val="0"/>
      <w:sz w:val="17"/>
      <w:szCs w:val="17"/>
      <w:u w:val="none"/>
      <w:lang w:val="en-US" w:eastAsia="en-US" w:bidi="en-US"/>
    </w:rPr>
  </w:style>
  <w:style w:type="character" w:customStyle="1" w:styleId="Heading3NotBold">
    <w:name w:val="Heading #3 + Not Bold"/>
    <w:basedOn w:val="Heading30"/>
    <w:rPr>
      <w:rFonts w:ascii="Arial" w:eastAsia="Arial" w:hAnsi="Arial" w:cs="Arial"/>
      <w:b/>
      <w:bCs/>
      <w:i w:val="0"/>
      <w:iCs w:val="0"/>
      <w:smallCaps w:val="0"/>
      <w:strike w:val="0"/>
      <w:color w:val="7F7F7F"/>
      <w:spacing w:val="0"/>
      <w:w w:val="100"/>
      <w:position w:val="0"/>
      <w:sz w:val="17"/>
      <w:szCs w:val="17"/>
      <w:u w:val="none"/>
      <w:lang w:val="en-US" w:eastAsia="en-US" w:bidi="en-US"/>
    </w:rPr>
  </w:style>
  <w:style w:type="character" w:customStyle="1" w:styleId="Bodytext2Italic">
    <w:name w:val="Body text (2) + Italic"/>
    <w:basedOn w:val="Bodytext20"/>
    <w:rPr>
      <w:rFonts w:ascii="Arial" w:eastAsia="Arial" w:hAnsi="Arial" w:cs="Arial"/>
      <w:b w:val="0"/>
      <w:bCs w:val="0"/>
      <w:i/>
      <w:iCs/>
      <w:smallCaps w:val="0"/>
      <w:strike w:val="0"/>
      <w:color w:val="7F7F7F"/>
      <w:spacing w:val="0"/>
      <w:w w:val="100"/>
      <w:position w:val="0"/>
      <w:sz w:val="17"/>
      <w:szCs w:val="17"/>
      <w:u w:val="none"/>
      <w:lang w:val="en-US" w:eastAsia="en-US" w:bidi="en-US"/>
    </w:rPr>
  </w:style>
  <w:style w:type="character" w:customStyle="1" w:styleId="highlight">
    <w:name w:val="highlight"/>
    <w:basedOn w:val="DefaultParagraphFont"/>
  </w:style>
  <w:style w:type="paragraph" w:customStyle="1" w:styleId="AMPRTabletext-source">
    <w:name w:val="AMPR Table text - source"/>
    <w:rPr>
      <w:rFonts w:ascii="EC Square Sans Pro" w:eastAsia="Times New Roman" w:hAnsi="EC Square Sans Pro" w:cs="Times New Roman"/>
      <w:color w:val="000000" w:themeColor="text1"/>
      <w:sz w:val="18"/>
      <w:szCs w:val="18"/>
      <w:lang w:val="en-GB" w:eastAsia="en-GB"/>
    </w:rPr>
  </w:style>
  <w:style w:type="character" w:customStyle="1" w:styleId="hyperlinkunderlined">
    <w:name w:val="hyperlink underlined"/>
    <w:uiPriority w:val="1"/>
    <w:rPr>
      <w:u w:val="single"/>
    </w:rPr>
  </w:style>
  <w:style w:type="character" w:customStyle="1" w:styleId="italics">
    <w:name w:val="italics"/>
    <w:uiPriority w:val="1"/>
    <w:rPr>
      <w:i/>
    </w:rPr>
  </w:style>
  <w:style w:type="paragraph" w:customStyle="1" w:styleId="AnnexTabletitle">
    <w:name w:val="Annex Table title"/>
    <w:pPr>
      <w:spacing w:before="240" w:after="120" w:line="26" w:lineRule="atLeast"/>
    </w:pPr>
    <w:rPr>
      <w:rFonts w:ascii="EC Square Sans Pro" w:hAnsi="EC Square Sans Pro" w:cs="Times New Roman"/>
      <w:b/>
      <w:sz w:val="20"/>
      <w:lang w:val="en-GB"/>
    </w:rPr>
  </w:style>
  <w:style w:type="paragraph" w:customStyle="1" w:styleId="BOX3BluedashedborderBluetext">
    <w:name w:val="BOX 3 / Blue dashed border / Blue text"/>
    <w:basedOn w:val="Normal"/>
    <w:pPr>
      <w:keepLines/>
      <w:pBdr>
        <w:top w:val="dashSmallGap" w:sz="12" w:space="1" w:color="65BBC8"/>
        <w:left w:val="dashSmallGap" w:sz="12" w:space="4" w:color="65BBC8"/>
        <w:bottom w:val="dashSmallGap" w:sz="12" w:space="1" w:color="65BBC8"/>
        <w:right w:val="dashSmallGap" w:sz="12" w:space="4" w:color="65BBC8"/>
      </w:pBdr>
      <w:spacing w:after="120"/>
      <w:jc w:val="both"/>
    </w:pPr>
    <w:rPr>
      <w:noProof/>
      <w:color w:val="65BBC8"/>
      <w:lang w:eastAsia="fr-BE"/>
    </w:rPr>
  </w:style>
  <w:style w:type="character" w:customStyle="1" w:styleId="fontsmall3">
    <w:name w:val="fontsmall3"/>
    <w:basedOn w:val="DefaultParagraphFont"/>
    <w:rPr>
      <w:sz w:val="16"/>
      <w:szCs w:val="16"/>
    </w:rPr>
  </w:style>
  <w:style w:type="character" w:customStyle="1" w:styleId="update">
    <w:name w:val="update"/>
    <w:basedOn w:val="DefaultParagraphFont"/>
  </w:style>
  <w:style w:type="character" w:customStyle="1" w:styleId="update1">
    <w:name w:val="update1"/>
    <w:basedOn w:val="DefaultParagraphFont"/>
    <w:rPr>
      <w:color w:val="006666"/>
    </w:rPr>
  </w:style>
  <w:style w:type="paragraph" w:customStyle="1" w:styleId="BOX2Orange-new">
    <w:name w:val="BOX 2 / Orange - new"/>
    <w:basedOn w:val="BOX2Blue"/>
    <w:pPr>
      <w:pBdr>
        <w:top w:val="single" w:sz="4" w:space="4" w:color="FCDC85"/>
        <w:left w:val="single" w:sz="4" w:space="4" w:color="FCDC85"/>
        <w:bottom w:val="single" w:sz="4" w:space="4" w:color="FCDC85"/>
        <w:right w:val="single" w:sz="4" w:space="4" w:color="FCDC85"/>
      </w:pBdr>
      <w:shd w:val="clear" w:color="auto" w:fill="FCDC85"/>
    </w:pPr>
  </w:style>
  <w:style w:type="paragraph" w:customStyle="1" w:styleId="Source-Table-Chart-PhotoCaption">
    <w:name w:val="Source-Table-Chart-PhotoCaption"/>
    <w:pPr>
      <w:spacing w:before="40"/>
    </w:pPr>
    <w:rPr>
      <w:rFonts w:ascii="EC Square Sans Pro" w:eastAsia="Calibri" w:hAnsi="EC Square Sans Pro" w:cs="Times New Roman"/>
      <w:iCs/>
      <w:sz w:val="16"/>
      <w:szCs w:val="16"/>
      <w:lang w:val="en-GB" w:eastAsia="fr-BE"/>
    </w:rPr>
  </w:style>
  <w:style w:type="paragraph" w:customStyle="1" w:styleId="BOX3BluedashedborderOrangetext">
    <w:name w:val="BOX 3 / Blue dashed border / Orange text"/>
    <w:basedOn w:val="BOX3BluedashedborderBluetext"/>
    <w:pPr>
      <w:pBdr>
        <w:top w:val="dashSmallGap" w:sz="12" w:space="1" w:color="E48C32"/>
        <w:left w:val="dashSmallGap" w:sz="12" w:space="4" w:color="E48C32"/>
        <w:bottom w:val="dashSmallGap" w:sz="12" w:space="1" w:color="E48C32"/>
        <w:right w:val="dashSmallGap" w:sz="12" w:space="4" w:color="E48C32"/>
      </w:pBdr>
    </w:pPr>
    <w:rPr>
      <w:color w:val="E48C32"/>
    </w:rPr>
  </w:style>
  <w:style w:type="paragraph" w:customStyle="1" w:styleId="Annex4-subheading1">
    <w:name w:val="Annex 4 - subheading 1"/>
    <w:basedOn w:val="BodyText"/>
    <w:pPr>
      <w:keepNext/>
      <w:spacing w:before="360" w:after="240"/>
    </w:pPr>
    <w:rPr>
      <w:rFonts w:eastAsia="Calibri"/>
      <w:b/>
      <w:color w:val="E48C32" w:themeColor="accent5"/>
      <w:sz w:val="24"/>
      <w:lang w:eastAsia="fr-BE"/>
    </w:rPr>
  </w:style>
  <w:style w:type="paragraph" w:customStyle="1" w:styleId="Annex4-subheading2">
    <w:name w:val="Annex 4 - subheading 2"/>
    <w:basedOn w:val="BodyText"/>
    <w:pPr>
      <w:keepNext/>
    </w:pPr>
    <w:rPr>
      <w:b/>
      <w:color w:val="E48C32"/>
    </w:rPr>
  </w:style>
  <w:style w:type="paragraph" w:customStyle="1" w:styleId="Annex4-H2">
    <w:name w:val="Annex 4 - H2"/>
    <w:basedOn w:val="Heading2Tonny"/>
    <w:rPr>
      <w:rFonts w:ascii="EC Square Sans Pro" w:hAnsi="EC Square Sans Pro" w:cs="Times New Roman"/>
      <w:bCs w:val="0"/>
      <w:iCs w:val="0"/>
      <w:noProof/>
      <w:color w:val="E48C32" w:themeColor="accent5"/>
      <w:szCs w:val="24"/>
      <w:lang w:eastAsia="fr-BE"/>
    </w:rPr>
  </w:style>
  <w:style w:type="paragraph" w:customStyle="1" w:styleId="Annex4-H3">
    <w:name w:val="Annex 4 - H3"/>
    <w:basedOn w:val="Heading2Tonny"/>
    <w:pPr>
      <w:spacing w:after="240"/>
      <w:outlineLvl w:val="2"/>
    </w:pPr>
    <w:rPr>
      <w:rFonts w:ascii="EC Square Sans Pro" w:hAnsi="EC Square Sans Pro" w:cs="Times New Roman"/>
      <w:bCs w:val="0"/>
      <w:iCs w:val="0"/>
      <w:noProof/>
      <w:color w:val="E48C32" w:themeColor="accent5"/>
      <w:szCs w:val="24"/>
      <w:lang w:eastAsia="fr-BE"/>
    </w:rPr>
  </w:style>
  <w:style w:type="paragraph" w:customStyle="1" w:styleId="Annex4-H4">
    <w:name w:val="Annex 4 - H4"/>
    <w:next w:val="BodyText1spaceafter"/>
    <w:pPr>
      <w:spacing w:before="240" w:after="240"/>
      <w:outlineLvl w:val="3"/>
    </w:pPr>
    <w:rPr>
      <w:rFonts w:ascii="EC Square Sans Pro" w:eastAsiaTheme="majorEastAsia" w:hAnsi="EC Square Sans Pro" w:cstheme="majorBidi"/>
      <w:b/>
      <w:color w:val="E48C32" w:themeColor="accent5"/>
      <w:sz w:val="24"/>
      <w:szCs w:val="24"/>
      <w:lang w:val="en-GB"/>
    </w:rPr>
  </w:style>
  <w:style w:type="paragraph" w:customStyle="1" w:styleId="Annex1Tableseparator">
    <w:name w:val="Annex 1 Table separator"/>
    <w:pPr>
      <w:spacing w:after="320"/>
    </w:pPr>
    <w:rPr>
      <w:rFonts w:ascii="EC Square Sans Pro" w:hAnsi="EC Square Sans Pro" w:cs="Times New Roman"/>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qFormat="1"/>
    <w:lsdException w:name="annotation text" w:uiPriority="99" w:qFormat="1"/>
    <w:lsdException w:name="header" w:uiPriority="99"/>
    <w:lsdException w:name="footer" w:uiPriority="99"/>
    <w:lsdException w:name="caption" w:qFormat="1"/>
    <w:lsdException w:name="footnote reference" w:uiPriority="99" w:qFormat="1"/>
    <w:lsdException w:name="annotation reference" w:uiPriority="99" w:qFormat="1"/>
    <w:lsdException w:name="line number" w:uiPriority="99"/>
    <w:lsdException w:name="endnote reference" w:uiPriority="99"/>
    <w:lsdException w:name="endnote text" w:uiPriority="99"/>
    <w:lsdException w:name="Title" w:semiHidden="0" w:unhideWhenUsed="0" w:qFormat="1"/>
    <w:lsdException w:name="Signature" w:uiPriority="99"/>
    <w:lsdException w:name="Default Paragraph Font" w:uiPriority="1"/>
    <w:lsdException w:name="Body Text" w:qFormat="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olorful 1" w:uiPriority="99"/>
    <w:lsdException w:name="Table Colorful 2" w:uiPriority="99"/>
    <w:lsdException w:name="Table Colorful 3" w:uiPriority="99"/>
    <w:lsdException w:name="Table Columns 2"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Pr>
      <w:rFonts w:ascii="EC Square Sans Pro" w:hAnsi="EC Square Sans Pro" w:cs="Times New Roman"/>
      <w:sz w:val="20"/>
      <w:lang w:val="en-GB"/>
    </w:rPr>
  </w:style>
  <w:style w:type="paragraph" w:styleId="Heading1">
    <w:name w:val="heading 1"/>
    <w:aliases w:val="AMPR Heading 1,AMPR H1 a,AMPR H1b"/>
    <w:basedOn w:val="Normal"/>
    <w:next w:val="Normal"/>
    <w:link w:val="Heading1Char"/>
    <w:qFormat/>
    <w:pPr>
      <w:keepNext/>
      <w:keepLines/>
      <w:widowControl w:val="0"/>
      <w:spacing w:before="480"/>
      <w:outlineLvl w:val="0"/>
    </w:pPr>
    <w:rPr>
      <w:rFonts w:eastAsiaTheme="majorEastAsia" w:cstheme="majorBidi"/>
      <w:b/>
      <w:bCs/>
      <w:color w:val="3B97A5" w:themeColor="accent1" w:themeShade="BF"/>
      <w:sz w:val="28"/>
      <w:szCs w:val="28"/>
      <w:lang w:eastAsia="en-GB"/>
    </w:rPr>
  </w:style>
  <w:style w:type="paragraph" w:styleId="Heading2">
    <w:name w:val="heading 2"/>
    <w:basedOn w:val="Normal"/>
    <w:next w:val="Text1"/>
    <w:link w:val="Heading2Char"/>
    <w:uiPriority w:val="9"/>
    <w:unhideWhenUsed/>
    <w:qFormat/>
    <w:pPr>
      <w:keepNext/>
      <w:tabs>
        <w:tab w:val="num" w:pos="850"/>
      </w:tabs>
      <w:spacing w:before="120" w:after="120"/>
      <w:ind w:left="850" w:hanging="850"/>
      <w:jc w:val="both"/>
      <w:outlineLvl w:val="1"/>
    </w:pPr>
    <w:rPr>
      <w:rFonts w:eastAsiaTheme="majorEastAsia"/>
      <w:b/>
      <w:bCs/>
      <w:sz w:val="24"/>
      <w:szCs w:val="26"/>
    </w:rPr>
  </w:style>
  <w:style w:type="paragraph" w:styleId="Heading3">
    <w:name w:val="heading 3"/>
    <w:basedOn w:val="Normal"/>
    <w:next w:val="Normal"/>
    <w:link w:val="Heading3Char"/>
    <w:unhideWhenUsed/>
    <w:qFormat/>
    <w:pPr>
      <w:keepNext/>
      <w:keepLines/>
      <w:spacing w:before="40"/>
      <w:outlineLvl w:val="2"/>
    </w:pPr>
    <w:rPr>
      <w:rFonts w:eastAsiaTheme="majorEastAsia" w:cstheme="majorBidi"/>
      <w:color w:val="27646E" w:themeColor="accent1" w:themeShade="7F"/>
      <w:sz w:val="24"/>
      <w:szCs w:val="24"/>
    </w:rPr>
  </w:style>
  <w:style w:type="paragraph" w:styleId="Heading4">
    <w:name w:val="heading 4"/>
    <w:basedOn w:val="Normal"/>
    <w:next w:val="Text1"/>
    <w:link w:val="Heading4Char"/>
    <w:unhideWhenUsed/>
    <w:qFormat/>
    <w:pPr>
      <w:keepNext/>
      <w:tabs>
        <w:tab w:val="num" w:pos="850"/>
      </w:tabs>
      <w:spacing w:before="120" w:after="120"/>
      <w:ind w:left="850" w:hanging="850"/>
      <w:jc w:val="both"/>
      <w:outlineLvl w:val="3"/>
    </w:pPr>
    <w:rPr>
      <w:rFonts w:eastAsiaTheme="majorEastAsia"/>
      <w:bCs/>
      <w:iCs/>
      <w:sz w:val="24"/>
    </w:rPr>
  </w:style>
  <w:style w:type="paragraph" w:styleId="Heading5">
    <w:name w:val="heading 5"/>
    <w:basedOn w:val="Normal"/>
    <w:next w:val="Normal"/>
    <w:link w:val="Heading5Char"/>
    <w:unhideWhenUsed/>
    <w:qFormat/>
    <w:pPr>
      <w:keepNext/>
      <w:keepLines/>
      <w:spacing w:before="200"/>
      <w:outlineLvl w:val="4"/>
    </w:pPr>
    <w:rPr>
      <w:rFonts w:eastAsiaTheme="majorEastAsia" w:cstheme="majorBidi"/>
      <w:color w:val="27646E" w:themeColor="accent1" w:themeShade="7F"/>
    </w:rPr>
  </w:style>
  <w:style w:type="paragraph" w:styleId="Heading6">
    <w:name w:val="heading 6"/>
    <w:basedOn w:val="Normal"/>
    <w:next w:val="Normal"/>
    <w:link w:val="Heading6Char"/>
    <w:unhideWhenUsed/>
    <w:qFormat/>
    <w:pPr>
      <w:keepNext/>
      <w:keepLines/>
      <w:spacing w:before="200"/>
      <w:outlineLvl w:val="5"/>
    </w:pPr>
    <w:rPr>
      <w:rFonts w:eastAsiaTheme="majorEastAsia" w:cstheme="majorBidi"/>
      <w:i/>
      <w:iCs/>
      <w:color w:val="27646E" w:themeColor="accent1" w:themeShade="7F"/>
    </w:rPr>
  </w:style>
  <w:style w:type="paragraph" w:styleId="Heading7">
    <w:name w:val="heading 7"/>
    <w:basedOn w:val="Normal"/>
    <w:next w:val="Normal"/>
    <w:link w:val="Heading7Char"/>
    <w:unhideWhenUsed/>
    <w:qFormat/>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nhideWhenUsed/>
    <w:qFormat/>
    <w:pPr>
      <w:keepNext/>
      <w:keepLines/>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nhideWhenUsed/>
    <w:qFormat/>
    <w:pPr>
      <w:keepNext/>
      <w:keepLines/>
      <w:spacing w:before="200"/>
      <w:outlineLvl w:val="8"/>
    </w:pPr>
    <w:rPr>
      <w:rFonts w:eastAsiaTheme="majorEastAsia"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rFonts w:ascii="EC Square Sans Pro" w:hAnsi="EC Square Sans Pro"/>
      <w:color w:val="0000FF"/>
      <w:shd w:val="clear" w:color="auto" w:fill="auto"/>
      <w:lang w:val="en-GB"/>
    </w:rPr>
  </w:style>
  <w:style w:type="paragraph" w:customStyle="1" w:styleId="Pagedecouverture">
    <w:name w:val="Page de couverture"/>
    <w:basedOn w:val="Normal"/>
    <w:next w:val="Normal"/>
    <w:link w:val="PagedecouvertureChar"/>
    <w:pPr>
      <w:jc w:val="both"/>
    </w:pPr>
    <w:rPr>
      <w:sz w:val="24"/>
    </w:rPr>
  </w:style>
  <w:style w:type="paragraph" w:styleId="Header">
    <w:name w:val="header"/>
    <w:basedOn w:val="Normal"/>
    <w:link w:val="HeaderChar"/>
    <w:uiPriority w:val="99"/>
    <w:unhideWhenUsed/>
    <w:pPr>
      <w:tabs>
        <w:tab w:val="center" w:pos="4536"/>
        <w:tab w:val="right" w:pos="9072"/>
      </w:tabs>
    </w:pPr>
    <w:rPr>
      <w:rFonts w:cstheme="minorBidi"/>
    </w:rPr>
  </w:style>
  <w:style w:type="character" w:customStyle="1" w:styleId="HeaderChar">
    <w:name w:val="Header Char"/>
    <w:basedOn w:val="DefaultParagraphFont"/>
    <w:link w:val="Header"/>
    <w:uiPriority w:val="99"/>
    <w:rPr>
      <w:rFonts w:ascii="EC Square Sans Pro" w:hAnsi="EC Square Sans Pro"/>
      <w:sz w:val="20"/>
      <w:lang w:val="en-GB"/>
    </w:rPr>
  </w:style>
  <w:style w:type="paragraph" w:styleId="Footer">
    <w:name w:val="footer"/>
    <w:basedOn w:val="Normal"/>
    <w:link w:val="FooterChar"/>
    <w:uiPriority w:val="99"/>
    <w:unhideWhenUsed/>
    <w:pPr>
      <w:tabs>
        <w:tab w:val="center" w:pos="4536"/>
        <w:tab w:val="right" w:pos="9072"/>
      </w:tabs>
    </w:pPr>
    <w:rPr>
      <w:rFonts w:cstheme="minorBidi"/>
    </w:rPr>
  </w:style>
  <w:style w:type="character" w:customStyle="1" w:styleId="FooterChar">
    <w:name w:val="Footer Char"/>
    <w:basedOn w:val="DefaultParagraphFont"/>
    <w:link w:val="Footer"/>
    <w:uiPriority w:val="99"/>
    <w:rPr>
      <w:rFonts w:ascii="EC Square Sans Pro" w:hAnsi="EC Square Sans Pro"/>
      <w:sz w:val="20"/>
      <w:lang w:val="en-GB"/>
    </w:rPr>
  </w:style>
  <w:style w:type="paragraph" w:customStyle="1" w:styleId="Forewordbodytext">
    <w:name w:val="Foreword body text"/>
    <w:basedOn w:val="Pagedecouverture"/>
    <w:link w:val="ForewordbodytextChar"/>
    <w:rPr>
      <w:noProof/>
      <w:sz w:val="18"/>
      <w:lang w:eastAsia="fr-BE"/>
    </w:rPr>
  </w:style>
  <w:style w:type="paragraph" w:customStyle="1" w:styleId="Bulletsgreen">
    <w:name w:val="Bullets green"/>
    <w:basedOn w:val="Forewordbodytext"/>
    <w:link w:val="BulletsgreenChar"/>
    <w:qFormat/>
    <w:pPr>
      <w:numPr>
        <w:numId w:val="9"/>
      </w:numPr>
    </w:pPr>
    <w:rPr>
      <w:sz w:val="20"/>
    </w:rPr>
  </w:style>
  <w:style w:type="character" w:customStyle="1" w:styleId="PagedecouvertureChar">
    <w:name w:val="Page de couverture Char"/>
    <w:basedOn w:val="DefaultParagraphFont"/>
    <w:link w:val="Pagedecouverture"/>
    <w:rPr>
      <w:rFonts w:ascii="EC Square Sans Pro" w:hAnsi="EC Square Sans Pro" w:cs="Times New Roman"/>
      <w:sz w:val="24"/>
      <w:lang w:val="en-GB"/>
    </w:rPr>
  </w:style>
  <w:style w:type="character" w:customStyle="1" w:styleId="ForewordbodytextChar">
    <w:name w:val="Foreword body text Char"/>
    <w:basedOn w:val="PagedecouvertureChar"/>
    <w:link w:val="Forewordbodytext"/>
    <w:rPr>
      <w:rFonts w:ascii="EC Square Sans Pro" w:hAnsi="EC Square Sans Pro" w:cs="Times New Roman"/>
      <w:noProof/>
      <w:sz w:val="18"/>
      <w:lang w:val="en-GB" w:eastAsia="fr-BE"/>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en-GB"/>
    </w:rPr>
  </w:style>
  <w:style w:type="paragraph" w:customStyle="1" w:styleId="SubtitleAMPR">
    <w:name w:val="Subtitle AMPR"/>
    <w:basedOn w:val="Title2Executivesummary"/>
    <w:link w:val="SubtitleAMPRChar"/>
    <w:rPr>
      <w:color w:val="65BBC8"/>
    </w:rPr>
  </w:style>
  <w:style w:type="character" w:customStyle="1" w:styleId="BulletsgreenChar">
    <w:name w:val="Bullets green Char"/>
    <w:basedOn w:val="ForewordbodytextChar"/>
    <w:link w:val="Bulletsgreen"/>
    <w:rPr>
      <w:rFonts w:ascii="EC Square Sans Pro" w:hAnsi="EC Square Sans Pro" w:cs="Times New Roman"/>
      <w:noProof/>
      <w:sz w:val="20"/>
      <w:lang w:val="en-GB" w:eastAsia="fr-BE"/>
    </w:rPr>
  </w:style>
  <w:style w:type="character" w:customStyle="1" w:styleId="Heading1Char">
    <w:name w:val="Heading 1 Char"/>
    <w:aliases w:val="AMPR Heading 1 Char,AMPR H1 a Char,AMPR H1b Char"/>
    <w:basedOn w:val="DefaultParagraphFont"/>
    <w:link w:val="Heading1"/>
    <w:rPr>
      <w:rFonts w:ascii="EC Square Sans Pro" w:eastAsiaTheme="majorEastAsia" w:hAnsi="EC Square Sans Pro" w:cstheme="majorBidi"/>
      <w:b/>
      <w:bCs/>
      <w:color w:val="3B97A5" w:themeColor="accent1" w:themeShade="BF"/>
      <w:sz w:val="28"/>
      <w:szCs w:val="28"/>
      <w:lang w:val="en-GB" w:eastAsia="en-GB"/>
    </w:rPr>
  </w:style>
  <w:style w:type="paragraph" w:styleId="Title">
    <w:name w:val="Title"/>
    <w:basedOn w:val="Normal"/>
    <w:next w:val="Normal"/>
    <w:link w:val="TitleChar"/>
    <w:qFormat/>
    <w:pPr>
      <w:pBdr>
        <w:bottom w:val="single" w:sz="8" w:space="4" w:color="65BBC8" w:themeColor="accent1"/>
      </w:pBdr>
      <w:spacing w:after="300"/>
      <w:contextualSpacing/>
    </w:pPr>
    <w:rPr>
      <w:rFonts w:eastAsiaTheme="majorEastAsia" w:cstheme="majorBidi"/>
      <w:color w:val="A1A1A1" w:themeColor="text2" w:themeShade="BF"/>
      <w:spacing w:val="5"/>
      <w:kern w:val="28"/>
      <w:sz w:val="52"/>
      <w:szCs w:val="52"/>
    </w:rPr>
  </w:style>
  <w:style w:type="character" w:customStyle="1" w:styleId="TitleChar">
    <w:name w:val="Title Char"/>
    <w:basedOn w:val="DefaultParagraphFont"/>
    <w:link w:val="Title"/>
    <w:rPr>
      <w:rFonts w:ascii="EC Square Sans Pro" w:eastAsiaTheme="majorEastAsia" w:hAnsi="EC Square Sans Pro" w:cstheme="majorBidi"/>
      <w:color w:val="A1A1A1" w:themeColor="text2" w:themeShade="BF"/>
      <w:spacing w:val="5"/>
      <w:kern w:val="28"/>
      <w:sz w:val="52"/>
      <w:szCs w:val="52"/>
      <w:lang w:val="en-GB"/>
    </w:rPr>
  </w:style>
  <w:style w:type="paragraph" w:styleId="NormalWeb">
    <w:name w:val="Normal (Web)"/>
    <w:basedOn w:val="Normal"/>
    <w:uiPriority w:val="99"/>
    <w:unhideWhenUsed/>
    <w:rPr>
      <w:rFonts w:eastAsia="Times New Roman"/>
      <w:szCs w:val="20"/>
      <w:lang w:eastAsia="zh-CN"/>
    </w:rPr>
  </w:style>
  <w:style w:type="table" w:styleId="TableGrid">
    <w:name w:val="Table Grid"/>
    <w:basedOn w:val="TableNormal"/>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1 Char Char Char,Footnote Text Char Char Char Char Char,Footnote Text Char1 Char1 Char,Footnote Text Char Char Char1 Char,EMPL6,Footnote Text Char1,Schriftart: 9 pt,ft"/>
    <w:basedOn w:val="Normal"/>
    <w:link w:val="FootnoteTextChar"/>
    <w:uiPriority w:val="99"/>
    <w:unhideWhenUsed/>
    <w:qFormat/>
    <w:pPr>
      <w:tabs>
        <w:tab w:val="left" w:pos="426"/>
      </w:tabs>
      <w:ind w:left="426" w:hanging="426"/>
    </w:pPr>
    <w:rPr>
      <w:rFonts w:eastAsia="Calibri"/>
      <w:noProof/>
      <w:sz w:val="16"/>
      <w:szCs w:val="20"/>
      <w:lang w:eastAsia="zh-CN"/>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EMPL6 Char"/>
    <w:basedOn w:val="DefaultParagraphFont"/>
    <w:link w:val="FootnoteText"/>
    <w:uiPriority w:val="99"/>
    <w:qFormat/>
    <w:rPr>
      <w:rFonts w:ascii="EC Square Sans Pro" w:eastAsia="Calibri" w:hAnsi="EC Square Sans Pro" w:cs="Times New Roman"/>
      <w:noProof/>
      <w:sz w:val="16"/>
      <w:szCs w:val="20"/>
      <w:lang w:val="en-GB" w:eastAsia="zh-CN"/>
    </w:rPr>
  </w:style>
  <w:style w:type="paragraph" w:customStyle="1" w:styleId="TITLE3Executivesummary">
    <w:name w:val="TITLE 3 / Executive summary"/>
    <w:basedOn w:val="Normal"/>
    <w:link w:val="TITLE3ExecutivesummaryChar"/>
    <w:qFormat/>
    <w:pPr>
      <w:numPr>
        <w:numId w:val="16"/>
      </w:numPr>
      <w:spacing w:before="240" w:after="240"/>
      <w:outlineLvl w:val="2"/>
    </w:pPr>
    <w:rPr>
      <w:b/>
      <w:color w:val="08AA74" w:themeColor="accent3"/>
      <w:sz w:val="24"/>
      <w:lang w:eastAsia="zh-CN"/>
    </w:rPr>
  </w:style>
  <w:style w:type="character" w:customStyle="1" w:styleId="SubtitleAMPRChar">
    <w:name w:val="Subtitle AMPR Char"/>
    <w:basedOn w:val="Title2ExecutivesummaryChar"/>
    <w:link w:val="SubtitleAMPR"/>
    <w:rPr>
      <w:rFonts w:ascii="EC Square Sans Pro" w:eastAsia="EC Square Sans Pro" w:hAnsi="EC Square Sans Pro" w:cs="Times New Roman"/>
      <w:b/>
      <w:color w:val="65BBC8"/>
      <w:sz w:val="28"/>
      <w:szCs w:val="21"/>
      <w:lang w:val="en-GB" w:eastAsia="zh-CN"/>
    </w:rPr>
  </w:style>
  <w:style w:type="paragraph" w:customStyle="1" w:styleId="footnote">
    <w:name w:val="footnote"/>
    <w:basedOn w:val="Normal"/>
    <w:next w:val="Normal"/>
    <w:uiPriority w:val="99"/>
    <w:pPr>
      <w:numPr>
        <w:numId w:val="10"/>
      </w:numPr>
      <w:jc w:val="both"/>
    </w:pPr>
    <w:rPr>
      <w:rFonts w:cstheme="minorBidi"/>
      <w:sz w:val="16"/>
      <w:szCs w:val="20"/>
      <w:vertAlign w:val="superscript"/>
    </w:rPr>
  </w:style>
  <w:style w:type="character" w:styleId="CommentReference">
    <w:name w:val="annotation reference"/>
    <w:basedOn w:val="DefaultParagraphFont"/>
    <w:uiPriority w:val="99"/>
    <w:unhideWhenUsed/>
    <w:qFormat/>
    <w:rPr>
      <w:rFonts w:ascii="EC Square Sans Pro" w:hAnsi="EC Square Sans Pro"/>
      <w:w w:val="100"/>
      <w:sz w:val="16"/>
      <w:szCs w:val="16"/>
      <w:shd w:val="clear" w:color="auto" w:fill="auto"/>
      <w:lang w:val="en-GB"/>
    </w:rPr>
  </w:style>
  <w:style w:type="paragraph" w:customStyle="1" w:styleId="Annualmgntandperformance">
    <w:name w:val="Annual mgnt and performance"/>
    <w:basedOn w:val="TITLE1Report"/>
    <w:link w:val="AnnualmgntandperformanceChar"/>
    <w:qFormat/>
    <w:rPr>
      <w:color w:val="65BBC8"/>
      <w:lang w:eastAsia="zh-CN"/>
    </w:rPr>
  </w:style>
  <w:style w:type="paragraph" w:customStyle="1" w:styleId="bulletsblue">
    <w:name w:val="bullets blue"/>
    <w:basedOn w:val="BodyText1"/>
    <w:link w:val="bulletsblueChar"/>
    <w:qFormat/>
    <w:pPr>
      <w:numPr>
        <w:numId w:val="15"/>
      </w:numPr>
    </w:pPr>
  </w:style>
  <w:style w:type="paragraph" w:styleId="BalloonText">
    <w:name w:val="Balloon Text"/>
    <w:basedOn w:val="Normal"/>
    <w:link w:val="BalloonTextChar"/>
    <w:unhideWhenUsed/>
    <w:rPr>
      <w:rFonts w:cs="Segoe UI"/>
      <w:sz w:val="18"/>
      <w:szCs w:val="18"/>
    </w:rPr>
  </w:style>
  <w:style w:type="character" w:customStyle="1" w:styleId="BalloonTextChar">
    <w:name w:val="Balloon Text Char"/>
    <w:basedOn w:val="DefaultParagraphFont"/>
    <w:link w:val="BalloonText"/>
    <w:rPr>
      <w:rFonts w:ascii="EC Square Sans Pro" w:hAnsi="EC Square Sans Pro" w:cs="Segoe UI"/>
      <w:sz w:val="18"/>
      <w:szCs w:val="18"/>
      <w:lang w:val="en-GB"/>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34"/>
    <w:qFormat/>
    <w:pPr>
      <w:ind w:left="720"/>
    </w:pPr>
    <w:rPr>
      <w:rFonts w:eastAsia="Calibri"/>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EC Square Sans Pro" w:eastAsia="Calibri" w:hAnsi="EC Square Sans Pro" w:cs="Times New Roman"/>
      <w:sz w:val="20"/>
      <w:szCs w:val="20"/>
      <w:lang w:val="en-GB" w:eastAsia="zh-CN"/>
    </w:rPr>
  </w:style>
  <w:style w:type="paragraph" w:styleId="CommentSubject">
    <w:name w:val="annotation subject"/>
    <w:basedOn w:val="Normal"/>
    <w:next w:val="Normal"/>
    <w:link w:val="CommentSubjectChar"/>
    <w:unhideWhenUsed/>
    <w:pPr>
      <w:spacing w:after="200"/>
    </w:pPr>
    <w:rPr>
      <w:rFonts w:cstheme="minorBidi"/>
      <w:b/>
      <w:bCs/>
      <w:szCs w:val="20"/>
    </w:rPr>
  </w:style>
  <w:style w:type="character" w:customStyle="1" w:styleId="CommentSubjectChar">
    <w:name w:val="Comment Subject Char"/>
    <w:basedOn w:val="DefaultParagraphFont"/>
    <w:link w:val="CommentSubject"/>
    <w:rPr>
      <w:rFonts w:ascii="EC Square Sans Pro" w:hAnsi="EC Square Sans Pro"/>
      <w:b/>
      <w:bCs/>
      <w:sz w:val="20"/>
      <w:szCs w:val="20"/>
      <w:lang w:val="en-GB"/>
    </w:rPr>
  </w:style>
  <w:style w:type="character" w:customStyle="1" w:styleId="st">
    <w:name w:val="st"/>
    <w:basedOn w:val="DefaultParagraphFont"/>
    <w:rPr>
      <w:rFonts w:ascii="EC Square Sans Pro" w:hAnsi="EC Square Sans Pro"/>
      <w:lang w:val="en-GB"/>
    </w:rPr>
  </w:style>
  <w:style w:type="paragraph" w:styleId="Revision">
    <w:name w:val="Revision"/>
    <w:hidden/>
    <w:uiPriority w:val="99"/>
    <w:semiHidden/>
  </w:style>
  <w:style w:type="character" w:customStyle="1" w:styleId="Heading3Char">
    <w:name w:val="Heading 3 Char"/>
    <w:basedOn w:val="DefaultParagraphFont"/>
    <w:link w:val="Heading3"/>
    <w:rPr>
      <w:rFonts w:ascii="EC Square Sans Pro" w:eastAsiaTheme="majorEastAsia" w:hAnsi="EC Square Sans Pro" w:cstheme="majorBidi"/>
      <w:color w:val="27646E" w:themeColor="accent1" w:themeShade="7F"/>
      <w:sz w:val="24"/>
      <w:szCs w:val="24"/>
      <w:lang w:val="en-GB"/>
    </w:rPr>
  </w:style>
  <w:style w:type="paragraph" w:customStyle="1" w:styleId="Text1">
    <w:name w:val="Text 1"/>
    <w:basedOn w:val="Normal"/>
    <w:pPr>
      <w:spacing w:before="120" w:after="120"/>
      <w:ind w:left="850"/>
      <w:jc w:val="both"/>
    </w:pPr>
    <w:rPr>
      <w:rFonts w:eastAsia="Times New Roman"/>
      <w:sz w:val="24"/>
      <w:szCs w:val="24"/>
    </w:rPr>
  </w:style>
  <w:style w:type="character" w:styleId="Strong">
    <w:name w:val="Strong"/>
    <w:basedOn w:val="DefaultParagraphFont"/>
    <w:uiPriority w:val="22"/>
    <w:qFormat/>
    <w:rPr>
      <w:rFonts w:ascii="EC Square Sans Pro" w:hAnsi="EC Square Sans Pro"/>
      <w:b/>
      <w:bCs/>
      <w:lang w:val="en-GB"/>
    </w:rPr>
  </w:style>
  <w:style w:type="character" w:customStyle="1" w:styleId="Heading2Char">
    <w:name w:val="Heading 2 Char"/>
    <w:basedOn w:val="DefaultParagraphFont"/>
    <w:link w:val="Heading2"/>
    <w:uiPriority w:val="9"/>
    <w:rPr>
      <w:rFonts w:ascii="EC Square Sans Pro" w:eastAsiaTheme="majorEastAsia" w:hAnsi="EC Square Sans Pro" w:cs="Times New Roman"/>
      <w:b/>
      <w:bCs/>
      <w:sz w:val="24"/>
      <w:szCs w:val="26"/>
      <w:lang w:val="en-GB"/>
    </w:rPr>
  </w:style>
  <w:style w:type="character" w:customStyle="1" w:styleId="Heading4Char">
    <w:name w:val="Heading 4 Char"/>
    <w:basedOn w:val="DefaultParagraphFont"/>
    <w:link w:val="Heading4"/>
    <w:rPr>
      <w:rFonts w:ascii="EC Square Sans Pro" w:eastAsiaTheme="majorEastAsia" w:hAnsi="EC Square Sans Pro" w:cs="Times New Roman"/>
      <w:bCs/>
      <w:iCs/>
      <w:sz w:val="24"/>
      <w:lang w:val="en-GB"/>
    </w:rPr>
  </w:style>
  <w:style w:type="character" w:customStyle="1" w:styleId="TITLE3ExecutivesummaryChar">
    <w:name w:val="TITLE 3 / Executive summary Char"/>
    <w:basedOn w:val="DefaultParagraphFont"/>
    <w:link w:val="TITLE3Executivesummary"/>
    <w:rPr>
      <w:rFonts w:ascii="EC Square Sans Pro" w:hAnsi="EC Square Sans Pro" w:cs="Times New Roman"/>
      <w:b/>
      <w:color w:val="08AA74" w:themeColor="accent3"/>
      <w:sz w:val="24"/>
      <w:lang w:val="en-GB" w:eastAsia="zh-CN"/>
    </w:rPr>
  </w:style>
  <w:style w:type="character" w:styleId="Hyperlink">
    <w:name w:val="Hyperlink"/>
    <w:basedOn w:val="DefaultParagraphFont"/>
    <w:uiPriority w:val="99"/>
    <w:unhideWhenUsed/>
    <w:rPr>
      <w:rFonts w:ascii="EC Square Sans Pro" w:hAnsi="EC Square Sans Pro"/>
      <w:strike w:val="0"/>
      <w:dstrike w:val="0"/>
      <w:color w:val="0065A2"/>
      <w:u w:val="none"/>
      <w:effect w:val="none"/>
      <w:shd w:val="clear" w:color="auto" w:fill="auto"/>
      <w:lang w:val="en-GB"/>
    </w:rPr>
  </w:style>
  <w:style w:type="character" w:customStyle="1" w:styleId="leaf">
    <w:name w:val="leaf"/>
    <w:basedOn w:val="DefaultParagraphFont"/>
    <w:rPr>
      <w:rFonts w:ascii="EC Square Sans Pro" w:hAnsi="EC Square Sans Pro"/>
      <w:lang w:val="en-GB"/>
    </w:rPr>
  </w:style>
  <w:style w:type="character" w:styleId="Emphasis">
    <w:name w:val="Emphasis"/>
    <w:aliases w:val="AMPR Emphasis"/>
    <w:basedOn w:val="DefaultParagraphFont"/>
    <w:uiPriority w:val="20"/>
    <w:qFormat/>
    <w:rPr>
      <w:rFonts w:ascii="EC Square Sans Pro" w:hAnsi="EC Square Sans Pro"/>
      <w:i/>
      <w:iCs/>
      <w:lang w:val="en-GB"/>
    </w:rPr>
  </w:style>
  <w:style w:type="table" w:styleId="LightShading-Accent6">
    <w:name w:val="Light Shading Accent 6"/>
    <w:basedOn w:val="TableNormal"/>
    <w:uiPriority w:val="60"/>
    <w:rPr>
      <w:color w:val="E6A518" w:themeColor="accent6" w:themeShade="BF"/>
      <w:sz w:val="20"/>
      <w:szCs w:val="20"/>
      <w:lang w:eastAsia="en-GB"/>
    </w:rPr>
    <w:tblPr>
      <w:tblStyleRowBandSize w:val="1"/>
      <w:tblStyleColBandSize w:val="1"/>
      <w:tblBorders>
        <w:top w:val="single" w:sz="8" w:space="0" w:color="EFC465" w:themeColor="accent6"/>
        <w:bottom w:val="single" w:sz="8" w:space="0" w:color="EFC465" w:themeColor="accent6"/>
      </w:tblBorders>
    </w:tblPr>
    <w:tblStylePr w:type="firstRow">
      <w:pPr>
        <w:spacing w:before="0" w:after="0" w:line="240" w:lineRule="auto"/>
      </w:pPr>
      <w:rPr>
        <w:b/>
        <w:bCs/>
      </w:rPr>
      <w:tblPr/>
      <w:tcPr>
        <w:tcBorders>
          <w:top w:val="single" w:sz="8" w:space="0" w:color="EFC465" w:themeColor="accent6"/>
          <w:left w:val="nil"/>
          <w:bottom w:val="single" w:sz="8" w:space="0" w:color="EFC465" w:themeColor="accent6"/>
          <w:right w:val="nil"/>
          <w:insideH w:val="nil"/>
          <w:insideV w:val="nil"/>
        </w:tcBorders>
      </w:tcPr>
    </w:tblStylePr>
    <w:tblStylePr w:type="lastRow">
      <w:pPr>
        <w:spacing w:before="0" w:after="0" w:line="240" w:lineRule="auto"/>
      </w:pPr>
      <w:rPr>
        <w:b/>
        <w:bCs/>
      </w:rPr>
      <w:tblPr/>
      <w:tcPr>
        <w:tcBorders>
          <w:top w:val="single" w:sz="8" w:space="0" w:color="EFC465" w:themeColor="accent6"/>
          <w:left w:val="nil"/>
          <w:bottom w:val="single" w:sz="8" w:space="0" w:color="EFC46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0D8" w:themeFill="accent6" w:themeFillTint="3F"/>
      </w:tcPr>
    </w:tblStylePr>
    <w:tblStylePr w:type="band1Horz">
      <w:tblPr/>
      <w:tcPr>
        <w:tcBorders>
          <w:left w:val="nil"/>
          <w:right w:val="nil"/>
          <w:insideH w:val="nil"/>
          <w:insideV w:val="nil"/>
        </w:tcBorders>
        <w:shd w:val="clear" w:color="auto" w:fill="FBF0D8" w:themeFill="accent6" w:themeFillTint="3F"/>
      </w:tcPr>
    </w:tblStylePr>
  </w:style>
  <w:style w:type="paragraph" w:styleId="EndnoteText">
    <w:name w:val="endnote text"/>
    <w:basedOn w:val="Normal"/>
    <w:link w:val="EndnoteTextChar"/>
    <w:uiPriority w:val="99"/>
    <w:unhideWhenUsed/>
    <w:rPr>
      <w:rFonts w:eastAsia="Calibri" w:cstheme="minorBidi"/>
      <w:szCs w:val="20"/>
    </w:rPr>
  </w:style>
  <w:style w:type="character" w:customStyle="1" w:styleId="EndnoteTextChar">
    <w:name w:val="Endnote Text Char"/>
    <w:basedOn w:val="DefaultParagraphFont"/>
    <w:link w:val="EndnoteText"/>
    <w:uiPriority w:val="99"/>
    <w:rPr>
      <w:rFonts w:ascii="EC Square Sans Pro" w:eastAsia="Calibri" w:hAnsi="EC Square Sans Pro"/>
      <w:sz w:val="20"/>
      <w:szCs w:val="20"/>
      <w:lang w:val="en-GB"/>
    </w:rPr>
  </w:style>
  <w:style w:type="character" w:styleId="EndnoteReference">
    <w:name w:val="endnote reference"/>
    <w:basedOn w:val="DefaultParagraphFont"/>
    <w:uiPriority w:val="99"/>
    <w:unhideWhenUsed/>
    <w:rPr>
      <w:rFonts w:ascii="EC Square Sans Pro" w:hAnsi="EC Square Sans Pro"/>
      <w:vertAlign w:val="superscript"/>
      <w:lang w:val="en-GB"/>
    </w:rPr>
  </w:style>
  <w:style w:type="paragraph" w:customStyle="1" w:styleId="PSParagraphTitle">
    <w:name w:val="PS_Paragraph_Title"/>
    <w:basedOn w:val="Normal"/>
    <w:link w:val="PSParagraphTitleChar"/>
    <w:qFormat/>
    <w:pPr>
      <w:spacing w:before="120" w:after="120"/>
      <w:jc w:val="both"/>
    </w:pPr>
    <w:rPr>
      <w:rFonts w:eastAsia="Times New Roman"/>
      <w:b/>
      <w:i/>
      <w:szCs w:val="20"/>
      <w:lang w:eastAsia="en-GB"/>
    </w:rPr>
  </w:style>
  <w:style w:type="character" w:customStyle="1" w:styleId="PSParagraphTitleChar">
    <w:name w:val="PS_Paragraph_Title Char"/>
    <w:basedOn w:val="DefaultParagraphFont"/>
    <w:link w:val="PSParagraphTitle"/>
    <w:rPr>
      <w:rFonts w:ascii="EC Square Sans Pro" w:eastAsia="Times New Roman" w:hAnsi="EC Square Sans Pro" w:cs="Times New Roman"/>
      <w:b/>
      <w:i/>
      <w:sz w:val="20"/>
      <w:szCs w:val="20"/>
      <w:lang w:val="en-GB" w:eastAsia="en-GB"/>
    </w:rPr>
  </w:style>
  <w:style w:type="paragraph" w:customStyle="1" w:styleId="PSParagraphText">
    <w:name w:val="PS_Paragraph_Text"/>
    <w:basedOn w:val="Normal"/>
    <w:link w:val="PSParagraphTextChar"/>
    <w:qFormat/>
    <w:pPr>
      <w:spacing w:after="120"/>
      <w:jc w:val="both"/>
    </w:pPr>
    <w:rPr>
      <w:rFonts w:eastAsia="Times New Roman"/>
      <w:szCs w:val="20"/>
      <w:lang w:eastAsia="en-GB"/>
    </w:rPr>
  </w:style>
  <w:style w:type="character" w:customStyle="1" w:styleId="PSParagraphTextChar">
    <w:name w:val="PS_Paragraph_Text Char"/>
    <w:basedOn w:val="DefaultParagraphFont"/>
    <w:link w:val="PSParagraphText"/>
    <w:rPr>
      <w:rFonts w:ascii="EC Square Sans Pro" w:eastAsia="Times New Roman" w:hAnsi="EC Square Sans Pro" w:cs="Times New Roman"/>
      <w:sz w:val="20"/>
      <w:szCs w:val="20"/>
      <w:lang w:val="en-GB" w:eastAsia="en-GB"/>
    </w:rPr>
  </w:style>
  <w:style w:type="paragraph" w:styleId="ListBullet">
    <w:name w:val="List Bullet"/>
    <w:basedOn w:val="Normal"/>
    <w:unhideWhenUsed/>
    <w:pPr>
      <w:tabs>
        <w:tab w:val="num" w:pos="360"/>
      </w:tabs>
      <w:spacing w:before="120" w:after="120"/>
      <w:ind w:left="360" w:hanging="360"/>
      <w:contextualSpacing/>
      <w:jc w:val="both"/>
    </w:pPr>
    <w:rPr>
      <w:sz w:val="24"/>
    </w:rPr>
  </w:style>
  <w:style w:type="paragraph" w:styleId="ListBullet2">
    <w:name w:val="List Bullet 2"/>
    <w:basedOn w:val="Normal"/>
    <w:unhideWhenUsed/>
    <w:pPr>
      <w:tabs>
        <w:tab w:val="num" w:pos="643"/>
      </w:tabs>
      <w:spacing w:before="120" w:after="120"/>
      <w:ind w:left="643" w:hanging="360"/>
      <w:contextualSpacing/>
      <w:jc w:val="both"/>
    </w:pPr>
    <w:rPr>
      <w:sz w:val="24"/>
    </w:rPr>
  </w:style>
  <w:style w:type="paragraph" w:styleId="ListBullet3">
    <w:name w:val="List Bullet 3"/>
    <w:basedOn w:val="Normal"/>
    <w:unhideWhenUsed/>
    <w:pPr>
      <w:tabs>
        <w:tab w:val="num" w:pos="926"/>
      </w:tabs>
      <w:spacing w:before="120" w:after="120"/>
      <w:ind w:left="926" w:hanging="360"/>
      <w:contextualSpacing/>
      <w:jc w:val="both"/>
    </w:pPr>
    <w:rPr>
      <w:sz w:val="24"/>
    </w:rPr>
  </w:style>
  <w:style w:type="paragraph" w:styleId="ListBullet4">
    <w:name w:val="List Bullet 4"/>
    <w:basedOn w:val="Normal"/>
    <w:unhideWhenUsed/>
    <w:pPr>
      <w:tabs>
        <w:tab w:val="num" w:pos="1209"/>
      </w:tabs>
      <w:spacing w:before="120" w:after="120"/>
      <w:ind w:left="1209" w:hanging="360"/>
      <w:contextualSpacing/>
      <w:jc w:val="both"/>
    </w:pPr>
    <w:rPr>
      <w:sz w:val="24"/>
    </w:rPr>
  </w:style>
  <w:style w:type="table" w:styleId="LightShading-Accent5">
    <w:name w:val="Light Shading Accent 5"/>
    <w:basedOn w:val="TableNormal"/>
    <w:uiPriority w:val="60"/>
    <w:rPr>
      <w:color w:val="B76818" w:themeColor="accent5" w:themeShade="BF"/>
      <w:sz w:val="20"/>
      <w:szCs w:val="20"/>
      <w:lang w:eastAsia="en-GB"/>
    </w:rPr>
    <w:tblPr>
      <w:tblStyleRowBandSize w:val="1"/>
      <w:tblStyleColBandSize w:val="1"/>
      <w:tblBorders>
        <w:top w:val="single" w:sz="8" w:space="0" w:color="E48C32" w:themeColor="accent5"/>
        <w:bottom w:val="single" w:sz="8" w:space="0" w:color="E48C32" w:themeColor="accent5"/>
      </w:tblBorders>
    </w:tblPr>
    <w:tblStylePr w:type="firstRow">
      <w:pPr>
        <w:spacing w:before="0" w:after="0" w:line="240" w:lineRule="auto"/>
      </w:pPr>
      <w:rPr>
        <w:b/>
        <w:bCs/>
      </w:rPr>
      <w:tblPr/>
      <w:tcPr>
        <w:tcBorders>
          <w:top w:val="single" w:sz="8" w:space="0" w:color="E48C32" w:themeColor="accent5"/>
          <w:left w:val="nil"/>
          <w:bottom w:val="single" w:sz="8" w:space="0" w:color="E48C32" w:themeColor="accent5"/>
          <w:right w:val="nil"/>
          <w:insideH w:val="nil"/>
          <w:insideV w:val="nil"/>
        </w:tcBorders>
      </w:tcPr>
    </w:tblStylePr>
    <w:tblStylePr w:type="lastRow">
      <w:pPr>
        <w:spacing w:before="0" w:after="0" w:line="240" w:lineRule="auto"/>
      </w:pPr>
      <w:rPr>
        <w:b/>
        <w:bCs/>
      </w:rPr>
      <w:tblPr/>
      <w:tcPr>
        <w:tcBorders>
          <w:top w:val="single" w:sz="8" w:space="0" w:color="E48C32" w:themeColor="accent5"/>
          <w:left w:val="nil"/>
          <w:bottom w:val="single" w:sz="8" w:space="0" w:color="E48C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2CC" w:themeFill="accent5" w:themeFillTint="3F"/>
      </w:tcPr>
    </w:tblStylePr>
    <w:tblStylePr w:type="band1Horz">
      <w:tblPr/>
      <w:tcPr>
        <w:tcBorders>
          <w:left w:val="nil"/>
          <w:right w:val="nil"/>
          <w:insideH w:val="nil"/>
          <w:insideV w:val="nil"/>
        </w:tcBorders>
        <w:shd w:val="clear" w:color="auto" w:fill="F8E2CC" w:themeFill="accent5" w:themeFillTint="3F"/>
      </w:tcPr>
    </w:tblStylePr>
  </w:style>
  <w:style w:type="paragraph" w:styleId="TOCHeading">
    <w:name w:val="TOC Heading"/>
    <w:basedOn w:val="Normal"/>
    <w:next w:val="Normal"/>
    <w:uiPriority w:val="39"/>
    <w:unhideWhenUsed/>
    <w:qFormat/>
    <w:pPr>
      <w:spacing w:before="120" w:after="240"/>
      <w:jc w:val="center"/>
    </w:pPr>
    <w:rPr>
      <w:b/>
      <w:sz w:val="28"/>
    </w:rPr>
  </w:style>
  <w:style w:type="character" w:customStyle="1" w:styleId="bulletsblueChar">
    <w:name w:val="bullets blue Char"/>
    <w:basedOn w:val="ForewordbodytextChar"/>
    <w:link w:val="bulletsblue"/>
    <w:rPr>
      <w:rFonts w:ascii="EC Square Sans Pro" w:hAnsi="EC Square Sans Pro" w:cs="Times New Roman"/>
      <w:noProof/>
      <w:color w:val="000000" w:themeColor="text1"/>
      <w:sz w:val="20"/>
      <w:lang w:val="en-GB" w:eastAsia="fr-BE"/>
    </w:rPr>
  </w:style>
  <w:style w:type="paragraph" w:customStyle="1" w:styleId="HeaderLandscape">
    <w:name w:val="HeaderLandscape"/>
    <w:basedOn w:val="Normal"/>
    <w:pPr>
      <w:tabs>
        <w:tab w:val="center" w:pos="7285"/>
        <w:tab w:val="right" w:pos="14003"/>
      </w:tabs>
      <w:spacing w:after="120"/>
      <w:jc w:val="both"/>
    </w:pPr>
    <w:rPr>
      <w:sz w:val="24"/>
    </w:rPr>
  </w:style>
  <w:style w:type="paragraph" w:customStyle="1" w:styleId="Text2">
    <w:name w:val="Text 2"/>
    <w:basedOn w:val="Normal"/>
    <w:link w:val="Text2Char"/>
    <w:pPr>
      <w:spacing w:before="120" w:after="120"/>
      <w:ind w:left="1417"/>
      <w:jc w:val="both"/>
    </w:pPr>
    <w:rPr>
      <w:sz w:val="24"/>
    </w:rPr>
  </w:style>
  <w:style w:type="paragraph" w:customStyle="1" w:styleId="Text3">
    <w:name w:val="Text 3"/>
    <w:basedOn w:val="Normal"/>
    <w:pPr>
      <w:spacing w:before="120" w:after="120"/>
      <w:ind w:left="1984"/>
      <w:jc w:val="both"/>
    </w:pPr>
    <w:rPr>
      <w:sz w:val="24"/>
    </w:rPr>
  </w:style>
  <w:style w:type="paragraph" w:customStyle="1" w:styleId="Text4">
    <w:name w:val="Text 4"/>
    <w:basedOn w:val="Normal"/>
    <w:pPr>
      <w:spacing w:before="120" w:after="120"/>
      <w:ind w:left="2551"/>
      <w:jc w:val="both"/>
    </w:pPr>
    <w:rPr>
      <w:sz w:val="24"/>
    </w:rPr>
  </w:style>
  <w:style w:type="paragraph" w:customStyle="1" w:styleId="NormalCentered">
    <w:name w:val="Normal Centered"/>
    <w:basedOn w:val="Normal"/>
    <w:pPr>
      <w:spacing w:before="120" w:after="120"/>
      <w:jc w:val="center"/>
    </w:pPr>
    <w:rPr>
      <w:sz w:val="24"/>
    </w:rPr>
  </w:style>
  <w:style w:type="paragraph" w:customStyle="1" w:styleId="NormalLeft">
    <w:name w:val="Normal Left"/>
    <w:basedOn w:val="Normal"/>
    <w:pPr>
      <w:spacing w:before="120" w:after="120"/>
    </w:pPr>
    <w:rPr>
      <w:sz w:val="24"/>
    </w:rPr>
  </w:style>
  <w:style w:type="paragraph" w:customStyle="1" w:styleId="NormalRight">
    <w:name w:val="Normal Right"/>
    <w:basedOn w:val="Normal"/>
    <w:pPr>
      <w:spacing w:before="120" w:after="120"/>
      <w:jc w:val="right"/>
    </w:pPr>
    <w:rPr>
      <w:sz w:val="24"/>
    </w:rPr>
  </w:style>
  <w:style w:type="paragraph" w:customStyle="1" w:styleId="QuotedText">
    <w:name w:val="Quoted Text"/>
    <w:basedOn w:val="Normal"/>
    <w:link w:val="QuotedTextChar"/>
    <w:pPr>
      <w:spacing w:before="120" w:after="120"/>
      <w:ind w:left="1417"/>
      <w:jc w:val="both"/>
    </w:pPr>
    <w:rPr>
      <w:i/>
      <w:sz w:val="28"/>
    </w:rPr>
  </w:style>
  <w:style w:type="paragraph" w:customStyle="1" w:styleId="Point0">
    <w:name w:val="Point 0"/>
    <w:basedOn w:val="Normal"/>
    <w:pPr>
      <w:spacing w:before="120" w:after="120"/>
      <w:ind w:left="850" w:hanging="850"/>
      <w:jc w:val="both"/>
    </w:pPr>
    <w:rPr>
      <w:sz w:val="24"/>
    </w:rPr>
  </w:style>
  <w:style w:type="paragraph" w:customStyle="1" w:styleId="Point1">
    <w:name w:val="Point 1"/>
    <w:basedOn w:val="Normal"/>
    <w:pPr>
      <w:spacing w:before="120" w:after="120"/>
      <w:ind w:left="1417" w:hanging="567"/>
      <w:jc w:val="both"/>
    </w:pPr>
    <w:rPr>
      <w:sz w:val="24"/>
    </w:rPr>
  </w:style>
  <w:style w:type="paragraph" w:customStyle="1" w:styleId="Point2">
    <w:name w:val="Point 2"/>
    <w:basedOn w:val="Normal"/>
    <w:pPr>
      <w:spacing w:before="120" w:after="120"/>
      <w:ind w:left="1984" w:hanging="567"/>
      <w:jc w:val="both"/>
    </w:pPr>
    <w:rPr>
      <w:sz w:val="24"/>
    </w:rPr>
  </w:style>
  <w:style w:type="paragraph" w:customStyle="1" w:styleId="Point3">
    <w:name w:val="Point 3"/>
    <w:basedOn w:val="Normal"/>
    <w:pPr>
      <w:spacing w:before="120" w:after="120"/>
      <w:ind w:left="2551" w:hanging="567"/>
      <w:jc w:val="both"/>
    </w:pPr>
    <w:rPr>
      <w:sz w:val="24"/>
    </w:rPr>
  </w:style>
  <w:style w:type="paragraph" w:customStyle="1" w:styleId="Point4">
    <w:name w:val="Point 4"/>
    <w:basedOn w:val="Normal"/>
    <w:pPr>
      <w:spacing w:before="120" w:after="120"/>
      <w:ind w:left="3118" w:hanging="567"/>
      <w:jc w:val="both"/>
    </w:pPr>
    <w:rPr>
      <w:sz w:val="24"/>
    </w:rPr>
  </w:style>
  <w:style w:type="paragraph" w:customStyle="1" w:styleId="Tiret0">
    <w:name w:val="Tiret 0"/>
    <w:basedOn w:val="Point0"/>
    <w:pPr>
      <w:numPr>
        <w:numId w:val="2"/>
      </w:numPr>
    </w:pPr>
  </w:style>
  <w:style w:type="paragraph" w:customStyle="1" w:styleId="Tiret1">
    <w:name w:val="Tiret 1"/>
    <w:basedOn w:val="Point1"/>
    <w:pPr>
      <w:numPr>
        <w:numId w:val="3"/>
      </w:numPr>
    </w:pPr>
  </w:style>
  <w:style w:type="paragraph" w:customStyle="1" w:styleId="Tiret2">
    <w:name w:val="Tiret 2"/>
    <w:basedOn w:val="Point2"/>
    <w:pPr>
      <w:numPr>
        <w:numId w:val="4"/>
      </w:numPr>
    </w:pPr>
  </w:style>
  <w:style w:type="paragraph" w:customStyle="1" w:styleId="Tiret3">
    <w:name w:val="Tiret 3"/>
    <w:basedOn w:val="Point3"/>
    <w:pPr>
      <w:numPr>
        <w:numId w:val="5"/>
      </w:numPr>
    </w:pPr>
  </w:style>
  <w:style w:type="paragraph" w:customStyle="1" w:styleId="Tiret4">
    <w:name w:val="Tiret 4"/>
    <w:basedOn w:val="Point4"/>
    <w:pPr>
      <w:numPr>
        <w:numId w:val="6"/>
      </w:numPr>
    </w:pPr>
  </w:style>
  <w:style w:type="paragraph" w:customStyle="1" w:styleId="PointDouble0">
    <w:name w:val="PointDouble 0"/>
    <w:basedOn w:val="Normal"/>
    <w:pPr>
      <w:tabs>
        <w:tab w:val="left" w:pos="850"/>
      </w:tabs>
      <w:spacing w:before="120" w:after="120"/>
      <w:ind w:left="1417" w:hanging="1417"/>
      <w:jc w:val="both"/>
    </w:pPr>
    <w:rPr>
      <w:sz w:val="24"/>
    </w:rPr>
  </w:style>
  <w:style w:type="paragraph" w:customStyle="1" w:styleId="PointDouble1">
    <w:name w:val="PointDouble 1"/>
    <w:basedOn w:val="Normal"/>
    <w:pPr>
      <w:tabs>
        <w:tab w:val="left" w:pos="1417"/>
      </w:tabs>
      <w:spacing w:before="120" w:after="120"/>
      <w:ind w:left="1984" w:hanging="1134"/>
      <w:jc w:val="both"/>
    </w:pPr>
    <w:rPr>
      <w:sz w:val="24"/>
    </w:rPr>
  </w:style>
  <w:style w:type="paragraph" w:customStyle="1" w:styleId="PointDouble2">
    <w:name w:val="PointDouble 2"/>
    <w:basedOn w:val="Normal"/>
    <w:pPr>
      <w:tabs>
        <w:tab w:val="left" w:pos="1984"/>
      </w:tabs>
      <w:spacing w:before="120" w:after="120"/>
      <w:ind w:left="2551" w:hanging="1134"/>
      <w:jc w:val="both"/>
    </w:pPr>
    <w:rPr>
      <w:sz w:val="24"/>
    </w:rPr>
  </w:style>
  <w:style w:type="paragraph" w:customStyle="1" w:styleId="PointDouble3">
    <w:name w:val="PointDouble 3"/>
    <w:basedOn w:val="Normal"/>
    <w:pPr>
      <w:tabs>
        <w:tab w:val="left" w:pos="2551"/>
      </w:tabs>
      <w:spacing w:before="120" w:after="120"/>
      <w:ind w:left="3118" w:hanging="1134"/>
      <w:jc w:val="both"/>
    </w:pPr>
    <w:rPr>
      <w:sz w:val="24"/>
    </w:rPr>
  </w:style>
  <w:style w:type="paragraph" w:customStyle="1" w:styleId="PointDouble4">
    <w:name w:val="PointDouble 4"/>
    <w:basedOn w:val="Normal"/>
    <w:pPr>
      <w:tabs>
        <w:tab w:val="left" w:pos="3118"/>
      </w:tabs>
      <w:spacing w:before="120" w:after="120"/>
      <w:ind w:left="3685" w:hanging="1134"/>
      <w:jc w:val="both"/>
    </w:pPr>
    <w:rPr>
      <w:sz w:val="24"/>
    </w:rPr>
  </w:style>
  <w:style w:type="paragraph" w:customStyle="1" w:styleId="PointTriple0">
    <w:name w:val="PointTriple 0"/>
    <w:basedOn w:val="Normal"/>
    <w:pPr>
      <w:tabs>
        <w:tab w:val="left" w:pos="850"/>
        <w:tab w:val="left" w:pos="1417"/>
      </w:tabs>
      <w:spacing w:before="120" w:after="120"/>
      <w:ind w:left="1984" w:hanging="1984"/>
      <w:jc w:val="both"/>
    </w:pPr>
    <w:rPr>
      <w:sz w:val="24"/>
    </w:rPr>
  </w:style>
  <w:style w:type="paragraph" w:customStyle="1" w:styleId="PointTriple1">
    <w:name w:val="PointTriple 1"/>
    <w:basedOn w:val="Normal"/>
    <w:pPr>
      <w:tabs>
        <w:tab w:val="left" w:pos="1417"/>
        <w:tab w:val="left" w:pos="1984"/>
      </w:tabs>
      <w:spacing w:before="120" w:after="120"/>
      <w:ind w:left="2551" w:hanging="1701"/>
      <w:jc w:val="both"/>
    </w:pPr>
    <w:rPr>
      <w:sz w:val="24"/>
    </w:rPr>
  </w:style>
  <w:style w:type="paragraph" w:customStyle="1" w:styleId="PointTriple2">
    <w:name w:val="PointTriple 2"/>
    <w:basedOn w:val="Normal"/>
    <w:pPr>
      <w:tabs>
        <w:tab w:val="left" w:pos="1984"/>
        <w:tab w:val="left" w:pos="2551"/>
      </w:tabs>
      <w:spacing w:before="120" w:after="120"/>
      <w:ind w:left="3118" w:hanging="1701"/>
      <w:jc w:val="both"/>
    </w:pPr>
    <w:rPr>
      <w:sz w:val="24"/>
    </w:rPr>
  </w:style>
  <w:style w:type="paragraph" w:customStyle="1" w:styleId="PointTriple3">
    <w:name w:val="PointTriple 3"/>
    <w:basedOn w:val="Normal"/>
    <w:pPr>
      <w:tabs>
        <w:tab w:val="left" w:pos="2551"/>
        <w:tab w:val="left" w:pos="3118"/>
      </w:tabs>
      <w:spacing w:before="120" w:after="120"/>
      <w:ind w:left="3685" w:hanging="1701"/>
      <w:jc w:val="both"/>
    </w:pPr>
    <w:rPr>
      <w:sz w:val="24"/>
    </w:rPr>
  </w:style>
  <w:style w:type="paragraph" w:customStyle="1" w:styleId="PointTriple4">
    <w:name w:val="PointTriple 4"/>
    <w:basedOn w:val="Normal"/>
    <w:pPr>
      <w:tabs>
        <w:tab w:val="left" w:pos="3118"/>
        <w:tab w:val="left" w:pos="3685"/>
      </w:tabs>
      <w:spacing w:before="120" w:after="120"/>
      <w:ind w:left="4252" w:hanging="1701"/>
      <w:jc w:val="both"/>
    </w:pPr>
    <w:rPr>
      <w:sz w:val="24"/>
    </w:rPr>
  </w:style>
  <w:style w:type="paragraph" w:customStyle="1" w:styleId="NumPar1">
    <w:name w:val="NumPar 1"/>
    <w:basedOn w:val="Normal"/>
    <w:next w:val="Text1"/>
    <w:pPr>
      <w:numPr>
        <w:numId w:val="7"/>
      </w:numPr>
      <w:spacing w:before="120" w:after="120"/>
      <w:jc w:val="both"/>
    </w:pPr>
    <w:rPr>
      <w:sz w:val="24"/>
    </w:rPr>
  </w:style>
  <w:style w:type="paragraph" w:customStyle="1" w:styleId="NumPar2">
    <w:name w:val="NumPar 2"/>
    <w:basedOn w:val="Normal"/>
    <w:next w:val="Text1"/>
    <w:pPr>
      <w:numPr>
        <w:ilvl w:val="1"/>
        <w:numId w:val="7"/>
      </w:numPr>
      <w:spacing w:before="120" w:after="120"/>
      <w:jc w:val="both"/>
    </w:pPr>
    <w:rPr>
      <w:sz w:val="24"/>
    </w:rPr>
  </w:style>
  <w:style w:type="paragraph" w:customStyle="1" w:styleId="NumPar3">
    <w:name w:val="NumPar 3"/>
    <w:basedOn w:val="Normal"/>
    <w:next w:val="Text1"/>
    <w:pPr>
      <w:numPr>
        <w:ilvl w:val="2"/>
        <w:numId w:val="7"/>
      </w:numPr>
      <w:spacing w:before="120" w:after="120"/>
      <w:jc w:val="both"/>
    </w:pPr>
    <w:rPr>
      <w:sz w:val="24"/>
    </w:rPr>
  </w:style>
  <w:style w:type="paragraph" w:customStyle="1" w:styleId="NumPar4">
    <w:name w:val="NumPar 4"/>
    <w:basedOn w:val="Normal"/>
    <w:next w:val="Text1"/>
    <w:pPr>
      <w:numPr>
        <w:ilvl w:val="3"/>
        <w:numId w:val="7"/>
      </w:numPr>
      <w:spacing w:before="120" w:after="120"/>
      <w:jc w:val="both"/>
    </w:pPr>
    <w:rPr>
      <w:sz w:val="24"/>
    </w:rPr>
  </w:style>
  <w:style w:type="paragraph" w:customStyle="1" w:styleId="ManualNumPar1">
    <w:name w:val="Manual NumPar 1"/>
    <w:basedOn w:val="Normal"/>
    <w:next w:val="Text1"/>
    <w:pPr>
      <w:spacing w:before="120" w:after="120"/>
      <w:ind w:left="850" w:hanging="850"/>
      <w:jc w:val="both"/>
    </w:pPr>
    <w:rPr>
      <w:sz w:val="24"/>
    </w:rPr>
  </w:style>
  <w:style w:type="paragraph" w:customStyle="1" w:styleId="ManualNumPar2">
    <w:name w:val="Manual NumPar 2"/>
    <w:basedOn w:val="Normal"/>
    <w:next w:val="Text1"/>
    <w:pPr>
      <w:spacing w:before="120" w:after="120"/>
      <w:ind w:left="850" w:hanging="850"/>
      <w:jc w:val="both"/>
    </w:pPr>
    <w:rPr>
      <w:sz w:val="24"/>
    </w:rPr>
  </w:style>
  <w:style w:type="paragraph" w:customStyle="1" w:styleId="ManualNumPar3">
    <w:name w:val="Manual NumPar 3"/>
    <w:basedOn w:val="Normal"/>
    <w:next w:val="Text1"/>
    <w:pPr>
      <w:spacing w:before="120" w:after="120"/>
      <w:ind w:left="850" w:hanging="850"/>
      <w:jc w:val="both"/>
    </w:pPr>
    <w:rPr>
      <w:sz w:val="24"/>
    </w:rPr>
  </w:style>
  <w:style w:type="paragraph" w:customStyle="1" w:styleId="ManualNumPar4">
    <w:name w:val="Manual NumPar 4"/>
    <w:basedOn w:val="Normal"/>
    <w:next w:val="Text1"/>
    <w:pPr>
      <w:spacing w:before="120" w:after="120"/>
      <w:ind w:left="850" w:hanging="850"/>
      <w:jc w:val="both"/>
    </w:pPr>
    <w:rPr>
      <w:sz w:val="24"/>
    </w:rPr>
  </w:style>
  <w:style w:type="paragraph" w:customStyle="1" w:styleId="QuotedNumPar">
    <w:name w:val="Quoted NumPar"/>
    <w:basedOn w:val="Normal"/>
    <w:pPr>
      <w:spacing w:before="120" w:after="120"/>
      <w:ind w:left="1417" w:hanging="567"/>
      <w:jc w:val="both"/>
    </w:pPr>
    <w:rPr>
      <w:sz w:val="24"/>
    </w:rPr>
  </w:style>
  <w:style w:type="paragraph" w:customStyle="1" w:styleId="ManualHeading1">
    <w:name w:val="Manual Heading 1"/>
    <w:basedOn w:val="Normal"/>
    <w:next w:val="Text1"/>
    <w:pPr>
      <w:keepNext/>
      <w:tabs>
        <w:tab w:val="left" w:pos="850"/>
      </w:tabs>
      <w:spacing w:before="360" w:after="120"/>
      <w:ind w:left="850" w:hanging="850"/>
      <w:jc w:val="both"/>
      <w:outlineLvl w:val="0"/>
    </w:pPr>
    <w:rPr>
      <w:b/>
      <w:smallCaps/>
      <w:sz w:val="24"/>
    </w:rPr>
  </w:style>
  <w:style w:type="paragraph" w:customStyle="1" w:styleId="ManualHeading2">
    <w:name w:val="Manual Heading 2"/>
    <w:basedOn w:val="Normal"/>
    <w:next w:val="Text1"/>
    <w:pPr>
      <w:keepNext/>
      <w:tabs>
        <w:tab w:val="left" w:pos="850"/>
      </w:tabs>
      <w:spacing w:before="120" w:after="120"/>
      <w:ind w:left="850" w:hanging="850"/>
      <w:jc w:val="both"/>
      <w:outlineLvl w:val="1"/>
    </w:pPr>
    <w:rPr>
      <w:b/>
      <w:sz w:val="24"/>
    </w:rPr>
  </w:style>
  <w:style w:type="paragraph" w:customStyle="1" w:styleId="ManualHeading3">
    <w:name w:val="Manual Heading 3"/>
    <w:basedOn w:val="Normal"/>
    <w:next w:val="Text1"/>
    <w:pPr>
      <w:keepNext/>
      <w:tabs>
        <w:tab w:val="left" w:pos="850"/>
      </w:tabs>
      <w:spacing w:before="120" w:after="120"/>
      <w:ind w:left="850" w:hanging="850"/>
      <w:jc w:val="both"/>
      <w:outlineLvl w:val="2"/>
    </w:pPr>
    <w:rPr>
      <w:i/>
      <w:sz w:val="24"/>
    </w:rPr>
  </w:style>
  <w:style w:type="paragraph" w:customStyle="1" w:styleId="ManualHeading4">
    <w:name w:val="Manual Heading 4"/>
    <w:basedOn w:val="Normal"/>
    <w:next w:val="Text1"/>
    <w:pPr>
      <w:keepNext/>
      <w:tabs>
        <w:tab w:val="left" w:pos="850"/>
      </w:tabs>
      <w:spacing w:before="120" w:after="120"/>
      <w:ind w:left="850" w:hanging="850"/>
      <w:jc w:val="both"/>
      <w:outlineLvl w:val="3"/>
    </w:pPr>
    <w:rPr>
      <w:sz w:val="24"/>
    </w:rPr>
  </w:style>
  <w:style w:type="paragraph" w:customStyle="1" w:styleId="PartTitle">
    <w:name w:val="PartTitle"/>
    <w:basedOn w:val="Normal"/>
    <w:next w:val="Normal"/>
    <w:pPr>
      <w:keepNext/>
      <w:pageBreakBefore/>
      <w:spacing w:before="120" w:after="360"/>
      <w:jc w:val="center"/>
    </w:pPr>
    <w:rPr>
      <w:b/>
      <w:sz w:val="36"/>
    </w:rPr>
  </w:style>
  <w:style w:type="paragraph" w:customStyle="1" w:styleId="SectionTitle">
    <w:name w:val="SectionTitle"/>
    <w:basedOn w:val="Normal"/>
    <w:next w:val="Heading1"/>
    <w:pPr>
      <w:keepNext/>
      <w:spacing w:before="120" w:after="360"/>
      <w:jc w:val="center"/>
    </w:pPr>
    <w:rPr>
      <w:b/>
      <w:smallCaps/>
      <w:sz w:val="28"/>
    </w:rPr>
  </w:style>
  <w:style w:type="paragraph" w:customStyle="1" w:styleId="TableTitle">
    <w:name w:val="Table Title"/>
    <w:basedOn w:val="Normal"/>
    <w:next w:val="Normal"/>
    <w:pPr>
      <w:spacing w:before="120" w:after="120"/>
      <w:jc w:val="center"/>
    </w:pPr>
    <w:rPr>
      <w:b/>
      <w:sz w:val="24"/>
    </w:rPr>
  </w:style>
  <w:style w:type="character" w:customStyle="1" w:styleId="Marker1">
    <w:name w:val="Marker1"/>
    <w:basedOn w:val="DefaultParagraphFont"/>
    <w:rPr>
      <w:rFonts w:ascii="EC Square Sans Pro" w:hAnsi="EC Square Sans Pro"/>
      <w:color w:val="008000"/>
      <w:shd w:val="clear" w:color="auto" w:fill="auto"/>
      <w:lang w:val="en-GB"/>
    </w:rPr>
  </w:style>
  <w:style w:type="character" w:customStyle="1" w:styleId="Marker2">
    <w:name w:val="Marker2"/>
    <w:basedOn w:val="DefaultParagraphFont"/>
    <w:rPr>
      <w:rFonts w:ascii="EC Square Sans Pro" w:hAnsi="EC Square Sans Pro"/>
      <w:color w:val="FF0000"/>
      <w:shd w:val="clear" w:color="auto" w:fill="auto"/>
      <w:lang w:val="en-GB"/>
    </w:rPr>
  </w:style>
  <w:style w:type="paragraph" w:customStyle="1" w:styleId="Point0number">
    <w:name w:val="Point 0 (number)"/>
    <w:basedOn w:val="Normal"/>
    <w:pPr>
      <w:numPr>
        <w:numId w:val="1"/>
      </w:numPr>
      <w:spacing w:before="120" w:after="120"/>
      <w:jc w:val="both"/>
    </w:pPr>
    <w:rPr>
      <w:sz w:val="24"/>
    </w:rPr>
  </w:style>
  <w:style w:type="paragraph" w:customStyle="1" w:styleId="Point1number">
    <w:name w:val="Point 1 (number)"/>
    <w:basedOn w:val="Normal"/>
    <w:pPr>
      <w:numPr>
        <w:ilvl w:val="2"/>
        <w:numId w:val="1"/>
      </w:numPr>
      <w:spacing w:before="120" w:after="120"/>
      <w:jc w:val="both"/>
    </w:pPr>
    <w:rPr>
      <w:sz w:val="24"/>
    </w:rPr>
  </w:style>
  <w:style w:type="paragraph" w:customStyle="1" w:styleId="Point2number">
    <w:name w:val="Point 2 (number)"/>
    <w:basedOn w:val="Normal"/>
    <w:pPr>
      <w:numPr>
        <w:ilvl w:val="4"/>
        <w:numId w:val="1"/>
      </w:numPr>
      <w:spacing w:before="120" w:after="120"/>
      <w:jc w:val="both"/>
    </w:pPr>
    <w:rPr>
      <w:sz w:val="24"/>
    </w:rPr>
  </w:style>
  <w:style w:type="paragraph" w:customStyle="1" w:styleId="Point3number">
    <w:name w:val="Point 3 (number)"/>
    <w:basedOn w:val="Normal"/>
    <w:pPr>
      <w:numPr>
        <w:ilvl w:val="6"/>
        <w:numId w:val="1"/>
      </w:numPr>
      <w:spacing w:before="120" w:after="120"/>
      <w:jc w:val="both"/>
    </w:pPr>
    <w:rPr>
      <w:sz w:val="24"/>
    </w:rPr>
  </w:style>
  <w:style w:type="paragraph" w:customStyle="1" w:styleId="Point0letter">
    <w:name w:val="Point 0 (letter)"/>
    <w:basedOn w:val="Normal"/>
    <w:pPr>
      <w:numPr>
        <w:ilvl w:val="1"/>
        <w:numId w:val="1"/>
      </w:numPr>
      <w:spacing w:before="120" w:after="120"/>
      <w:jc w:val="both"/>
    </w:pPr>
    <w:rPr>
      <w:sz w:val="24"/>
    </w:rPr>
  </w:style>
  <w:style w:type="paragraph" w:customStyle="1" w:styleId="Point1letter">
    <w:name w:val="Point 1 (letter)"/>
    <w:basedOn w:val="Normal"/>
    <w:pPr>
      <w:numPr>
        <w:ilvl w:val="3"/>
        <w:numId w:val="1"/>
      </w:numPr>
      <w:spacing w:before="120" w:after="120"/>
      <w:jc w:val="both"/>
    </w:pPr>
    <w:rPr>
      <w:sz w:val="24"/>
    </w:rPr>
  </w:style>
  <w:style w:type="paragraph" w:customStyle="1" w:styleId="Point2letter">
    <w:name w:val="Point 2 (letter)"/>
    <w:basedOn w:val="Normal"/>
    <w:pPr>
      <w:numPr>
        <w:ilvl w:val="5"/>
        <w:numId w:val="1"/>
      </w:numPr>
      <w:spacing w:before="120" w:after="120"/>
      <w:jc w:val="both"/>
    </w:pPr>
    <w:rPr>
      <w:sz w:val="24"/>
    </w:rPr>
  </w:style>
  <w:style w:type="paragraph" w:customStyle="1" w:styleId="Point3letter">
    <w:name w:val="Point 3 (letter)"/>
    <w:basedOn w:val="Normal"/>
    <w:pPr>
      <w:numPr>
        <w:ilvl w:val="7"/>
        <w:numId w:val="1"/>
      </w:numPr>
      <w:spacing w:before="120" w:after="120"/>
      <w:jc w:val="both"/>
    </w:pPr>
    <w:rPr>
      <w:sz w:val="24"/>
    </w:rPr>
  </w:style>
  <w:style w:type="paragraph" w:customStyle="1" w:styleId="Point4letter">
    <w:name w:val="Point 4 (letter)"/>
    <w:basedOn w:val="Normal"/>
    <w:pPr>
      <w:numPr>
        <w:ilvl w:val="8"/>
        <w:numId w:val="1"/>
      </w:numPr>
      <w:spacing w:before="120" w:after="120"/>
      <w:jc w:val="both"/>
    </w:pPr>
    <w:rPr>
      <w:sz w:val="24"/>
    </w:rPr>
  </w:style>
  <w:style w:type="paragraph" w:customStyle="1" w:styleId="Langue">
    <w:name w:val="Langue"/>
    <w:basedOn w:val="Normal"/>
    <w:next w:val="Rfrenceinterne"/>
    <w:pPr>
      <w:framePr w:wrap="around" w:vAnchor="page" w:hAnchor="text" w:xAlign="center" w:y="14741"/>
      <w:spacing w:after="600"/>
      <w:jc w:val="center"/>
    </w:pPr>
    <w:rPr>
      <w:b/>
      <w:caps/>
      <w:sz w:val="24"/>
    </w:rPr>
  </w:style>
  <w:style w:type="paragraph" w:customStyle="1" w:styleId="Nomdelinstitution">
    <w:name w:val="Nom de l'institution"/>
    <w:basedOn w:val="Normal"/>
    <w:next w:val="Normal"/>
    <w:rPr>
      <w:rFonts w:cs="Arial"/>
      <w:sz w:val="24"/>
    </w:rPr>
  </w:style>
  <w:style w:type="paragraph" w:customStyle="1" w:styleId="Rfrenceinstitutionnelle">
    <w:name w:val="Référence institutionnelle"/>
    <w:basedOn w:val="Normal"/>
    <w:next w:val="Normal"/>
    <w:pPr>
      <w:spacing w:after="240"/>
      <w:ind w:left="5103"/>
    </w:pPr>
    <w:rPr>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rPr>
      <w:sz w:val="24"/>
    </w:rPr>
  </w:style>
  <w:style w:type="paragraph" w:customStyle="1" w:styleId="BOLDGREEN">
    <w:name w:val="BOLD GREEN"/>
    <w:basedOn w:val="BodyText1"/>
    <w:link w:val="BOLDGREENChar"/>
    <w:qFormat/>
    <w:rPr>
      <w:b/>
      <w:color w:val="08AA74" w:themeColor="accent3"/>
    </w:rPr>
  </w:style>
  <w:style w:type="paragraph" w:customStyle="1" w:styleId="ManualConsidrant">
    <w:name w:val="Manual Considérant"/>
    <w:basedOn w:val="Normal"/>
    <w:pPr>
      <w:spacing w:before="120" w:after="120"/>
      <w:ind w:left="709" w:hanging="709"/>
      <w:jc w:val="both"/>
    </w:pPr>
    <w:rPr>
      <w:sz w:val="24"/>
    </w:rPr>
  </w:style>
  <w:style w:type="paragraph" w:customStyle="1" w:styleId="Personnequisigne">
    <w:name w:val="Personne qui signe"/>
    <w:basedOn w:val="Normal"/>
    <w:next w:val="Normal"/>
    <w:pPr>
      <w:tabs>
        <w:tab w:val="left" w:pos="4252"/>
      </w:tabs>
    </w:pPr>
    <w:rPr>
      <w:i/>
      <w:sz w:val="24"/>
    </w:rPr>
  </w:style>
  <w:style w:type="paragraph" w:customStyle="1" w:styleId="Rfrenceinterinstitutionnelle">
    <w:name w:val="Référence interinstitutionnelle"/>
    <w:basedOn w:val="Normal"/>
    <w:next w:val="Statut"/>
    <w:pPr>
      <w:ind w:left="5103"/>
    </w:pPr>
    <w:rPr>
      <w:sz w:val="24"/>
    </w:rPr>
  </w:style>
  <w:style w:type="paragraph" w:customStyle="1" w:styleId="Rfrenceinterne">
    <w:name w:val="Référence interne"/>
    <w:basedOn w:val="Normal"/>
    <w:next w:val="Rfrenceinterinstitutionnelle"/>
    <w:pPr>
      <w:ind w:left="5103"/>
    </w:pPr>
    <w:rPr>
      <w:sz w:val="24"/>
    </w:rPr>
  </w:style>
  <w:style w:type="paragraph" w:customStyle="1" w:styleId="Statut">
    <w:name w:val="Statut"/>
    <w:basedOn w:val="Normal"/>
    <w:next w:val="Typedudocument"/>
    <w:pPr>
      <w:spacing w:after="240"/>
      <w:jc w:val="center"/>
    </w:pPr>
    <w:rPr>
      <w:sz w:val="24"/>
    </w:rPr>
  </w:style>
  <w:style w:type="paragraph" w:customStyle="1" w:styleId="Titrearticle">
    <w:name w:val="Titre article"/>
    <w:basedOn w:val="Normal"/>
    <w:next w:val="Normal"/>
    <w:pPr>
      <w:keepNext/>
      <w:spacing w:before="360" w:after="120"/>
      <w:jc w:val="center"/>
    </w:pPr>
    <w:rPr>
      <w:i/>
      <w:sz w:val="24"/>
    </w:rPr>
  </w:style>
  <w:style w:type="paragraph" w:customStyle="1" w:styleId="Typedudocument">
    <w:name w:val="Type du document"/>
    <w:basedOn w:val="Normal"/>
    <w:next w:val="Normal"/>
    <w:pPr>
      <w:spacing w:before="360" w:after="180"/>
      <w:jc w:val="center"/>
    </w:pPr>
    <w:rPr>
      <w:b/>
      <w:sz w:val="24"/>
    </w:rPr>
  </w:style>
  <w:style w:type="paragraph" w:customStyle="1" w:styleId="Objetexterne">
    <w:name w:val="Objet externe"/>
    <w:basedOn w:val="Normal"/>
    <w:next w:val="Normal"/>
    <w:pPr>
      <w:spacing w:before="120" w:after="120"/>
      <w:jc w:val="both"/>
    </w:pPr>
    <w:rPr>
      <w:i/>
      <w:caps/>
      <w:sz w:val="24"/>
    </w:rPr>
  </w:style>
  <w:style w:type="paragraph" w:customStyle="1" w:styleId="Supertitre">
    <w:name w:val="Supertitre"/>
    <w:basedOn w:val="Normal"/>
    <w:next w:val="Normal"/>
    <w:pPr>
      <w:spacing w:after="600"/>
      <w:jc w:val="center"/>
    </w:pPr>
    <w:rPr>
      <w:b/>
      <w:sz w:val="24"/>
    </w:rPr>
  </w:style>
  <w:style w:type="paragraph" w:customStyle="1" w:styleId="Languesfaisantfoi">
    <w:name w:val="Langues faisant foi"/>
    <w:basedOn w:val="Normal"/>
    <w:next w:val="Normal"/>
    <w:pPr>
      <w:spacing w:before="360"/>
      <w:jc w:val="center"/>
    </w:pPr>
    <w:rPr>
      <w:sz w:val="24"/>
    </w:rPr>
  </w:style>
  <w:style w:type="paragraph" w:customStyle="1" w:styleId="Rfrencecroise">
    <w:name w:val="Référence croisée"/>
    <w:basedOn w:val="Normal"/>
    <w:pPr>
      <w:jc w:val="center"/>
    </w:pPr>
    <w:rPr>
      <w:sz w:val="24"/>
    </w:rPr>
  </w:style>
  <w:style w:type="paragraph" w:customStyle="1" w:styleId="DatedadoptionPagedecouverture">
    <w:name w:val="Date d'adoption (Page de couverture)"/>
    <w:basedOn w:val="Normal"/>
    <w:next w:val="IntrtEEEPagedecouverture"/>
    <w:pPr>
      <w:spacing w:before="360"/>
      <w:jc w:val="center"/>
    </w:pPr>
    <w:rPr>
      <w:b/>
      <w:sz w:val="24"/>
    </w:rPr>
  </w:style>
  <w:style w:type="paragraph" w:customStyle="1" w:styleId="RfrenceinterinstitutionnellePagedecouverture">
    <w:name w:val="Référence interinstitutionnelle (Page de couverture)"/>
    <w:basedOn w:val="Rfrenceinterinstitutionnelle"/>
    <w:next w:val="Normal"/>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Normal"/>
  </w:style>
  <w:style w:type="paragraph" w:customStyle="1" w:styleId="Volume">
    <w:name w:val="Volume"/>
    <w:basedOn w:val="Normal"/>
    <w:next w:val="Normal"/>
    <w:pPr>
      <w:spacing w:after="240"/>
      <w:ind w:left="5103"/>
    </w:pPr>
    <w:rPr>
      <w:sz w:val="24"/>
    </w:rPr>
  </w:style>
  <w:style w:type="paragraph" w:customStyle="1" w:styleId="IntrtEEE">
    <w:name w:val="Intérêt EEE"/>
    <w:basedOn w:val="Languesfaisantfoi"/>
    <w:next w:val="Normal"/>
    <w:pPr>
      <w:spacing w:after="240"/>
    </w:pPr>
  </w:style>
  <w:style w:type="paragraph" w:customStyle="1" w:styleId="Typeacteprincipal">
    <w:name w:val="Type acte principal"/>
    <w:basedOn w:val="Normal"/>
    <w:next w:val="Objetacteprincipal"/>
    <w:pPr>
      <w:spacing w:after="240"/>
      <w:jc w:val="center"/>
    </w:pPr>
    <w:rPr>
      <w:b/>
      <w:sz w:val="24"/>
    </w:rPr>
  </w:style>
  <w:style w:type="paragraph" w:customStyle="1" w:styleId="Objetacteprincipal">
    <w:name w:val="Objet acte principal"/>
    <w:basedOn w:val="Normal"/>
    <w:next w:val="Titrearticle"/>
    <w:pPr>
      <w:spacing w:after="360"/>
      <w:jc w:val="center"/>
    </w:pPr>
    <w:rPr>
      <w:b/>
      <w:sz w:val="24"/>
    </w:rPr>
  </w:style>
  <w:style w:type="paragraph" w:customStyle="1" w:styleId="IntrtEEEPagedecouverture">
    <w:name w:val="Intérêt EEE (Page de couverture)"/>
    <w:basedOn w:val="IntrtEEE"/>
    <w:next w:val="Rfrencecrois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jc w:val="center"/>
    </w:pPr>
    <w:rPr>
      <w:sz w:val="24"/>
    </w:rPr>
  </w:style>
  <w:style w:type="paragraph" w:styleId="Caption">
    <w:name w:val="caption"/>
    <w:basedOn w:val="Normal"/>
    <w:next w:val="Normal"/>
    <w:unhideWhenUsed/>
    <w:qFormat/>
    <w:pPr>
      <w:spacing w:after="200"/>
      <w:jc w:val="both"/>
    </w:pPr>
    <w:rPr>
      <w:b/>
      <w:bCs/>
      <w:color w:val="65BBC8" w:themeColor="accent1"/>
      <w:sz w:val="18"/>
      <w:szCs w:val="18"/>
    </w:rPr>
  </w:style>
  <w:style w:type="paragraph" w:styleId="TableofFigures">
    <w:name w:val="table of figures"/>
    <w:basedOn w:val="Normal"/>
    <w:next w:val="Normal"/>
    <w:unhideWhenUsed/>
    <w:pPr>
      <w:spacing w:before="120"/>
      <w:jc w:val="both"/>
    </w:pPr>
    <w:rPr>
      <w:sz w:val="24"/>
    </w:rPr>
  </w:style>
  <w:style w:type="paragraph" w:styleId="ListNumber">
    <w:name w:val="List Number"/>
    <w:basedOn w:val="Normal"/>
    <w:unhideWhenUsed/>
    <w:pPr>
      <w:tabs>
        <w:tab w:val="num" w:pos="360"/>
      </w:tabs>
      <w:spacing w:before="120" w:after="120"/>
      <w:ind w:left="360" w:hanging="360"/>
      <w:contextualSpacing/>
      <w:jc w:val="both"/>
    </w:pPr>
    <w:rPr>
      <w:sz w:val="24"/>
    </w:rPr>
  </w:style>
  <w:style w:type="paragraph" w:styleId="ListNumber2">
    <w:name w:val="List Number 2"/>
    <w:basedOn w:val="Normal"/>
    <w:unhideWhenUsed/>
    <w:pPr>
      <w:tabs>
        <w:tab w:val="num" w:pos="643"/>
      </w:tabs>
      <w:spacing w:before="120" w:after="120"/>
      <w:ind w:left="643" w:hanging="360"/>
      <w:contextualSpacing/>
      <w:jc w:val="both"/>
    </w:pPr>
    <w:rPr>
      <w:sz w:val="24"/>
    </w:rPr>
  </w:style>
  <w:style w:type="paragraph" w:styleId="ListNumber3">
    <w:name w:val="List Number 3"/>
    <w:basedOn w:val="Normal"/>
    <w:unhideWhenUsed/>
    <w:pPr>
      <w:tabs>
        <w:tab w:val="num" w:pos="926"/>
      </w:tabs>
      <w:spacing w:before="120" w:after="120"/>
      <w:ind w:left="926" w:hanging="360"/>
      <w:contextualSpacing/>
      <w:jc w:val="both"/>
    </w:pPr>
    <w:rPr>
      <w:sz w:val="24"/>
    </w:rPr>
  </w:style>
  <w:style w:type="paragraph" w:styleId="ListNumber4">
    <w:name w:val="List Number 4"/>
    <w:basedOn w:val="Normal"/>
    <w:unhideWhenUsed/>
    <w:pPr>
      <w:tabs>
        <w:tab w:val="num" w:pos="1209"/>
      </w:tabs>
      <w:spacing w:before="120" w:after="120"/>
      <w:ind w:left="1209" w:hanging="360"/>
      <w:contextualSpacing/>
      <w:jc w:val="both"/>
    </w:pPr>
    <w:rPr>
      <w:sz w:val="24"/>
    </w:r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OGRAMME">
    <w:name w:val="PROGRAMME"/>
    <w:basedOn w:val="Normal"/>
    <w:link w:val="PROGRAMMEChar"/>
    <w:pPr>
      <w:ind w:right="-1"/>
      <w:outlineLvl w:val="2"/>
    </w:pPr>
    <w:rPr>
      <w:rFonts w:eastAsia="Calibri"/>
      <w:b/>
      <w:noProof/>
      <w:sz w:val="24"/>
      <w:szCs w:val="24"/>
      <w:lang w:eastAsia="zh-CN"/>
    </w:rPr>
  </w:style>
  <w:style w:type="paragraph" w:customStyle="1" w:styleId="HEADINGI">
    <w:name w:val="HEADING I"/>
    <w:basedOn w:val="Header"/>
    <w:link w:val="HEADINGIChar"/>
    <w:pPr>
      <w:outlineLvl w:val="0"/>
    </w:pPr>
    <w:rPr>
      <w:rFonts w:cs="Times New Roman"/>
      <w:color w:val="FBA900"/>
    </w:rPr>
  </w:style>
  <w:style w:type="character" w:customStyle="1" w:styleId="PROGRAMMEChar">
    <w:name w:val="PROGRAMME Char"/>
    <w:basedOn w:val="DefaultParagraphFont"/>
    <w:link w:val="PROGRAMME"/>
    <w:rPr>
      <w:rFonts w:ascii="EC Square Sans Pro" w:eastAsia="Calibri" w:hAnsi="EC Square Sans Pro" w:cs="Times New Roman"/>
      <w:b/>
      <w:noProof/>
      <w:sz w:val="24"/>
      <w:szCs w:val="24"/>
      <w:lang w:val="en-GB" w:eastAsia="zh-CN"/>
    </w:rPr>
  </w:style>
  <w:style w:type="character" w:customStyle="1" w:styleId="HEADINGIChar">
    <w:name w:val="HEADING I Char"/>
    <w:basedOn w:val="HeaderChar"/>
    <w:link w:val="HEADINGI"/>
    <w:rPr>
      <w:rFonts w:ascii="EC Square Sans Pro" w:hAnsi="EC Square Sans Pro" w:cs="Times New Roman"/>
      <w:color w:val="FBA900"/>
      <w:sz w:val="20"/>
      <w:lang w:val="en-GB"/>
    </w:rPr>
  </w:style>
  <w:style w:type="paragraph" w:customStyle="1" w:styleId="HEADINGII">
    <w:name w:val="HEADING II"/>
    <w:basedOn w:val="Header"/>
    <w:link w:val="HEADINGIIChar"/>
    <w:pPr>
      <w:outlineLvl w:val="0"/>
    </w:pPr>
    <w:rPr>
      <w:rFonts w:cs="Times New Roman"/>
      <w:color w:val="00AF62"/>
    </w:rPr>
  </w:style>
  <w:style w:type="paragraph" w:customStyle="1" w:styleId="HEADINGIII">
    <w:name w:val="HEADING III"/>
    <w:basedOn w:val="Header"/>
    <w:link w:val="HEADINGIIIChar"/>
    <w:pPr>
      <w:outlineLvl w:val="0"/>
    </w:pPr>
    <w:rPr>
      <w:rFonts w:cs="Times New Roman"/>
      <w:color w:val="C2D341"/>
    </w:rPr>
  </w:style>
  <w:style w:type="character" w:customStyle="1" w:styleId="HEADINGIIChar">
    <w:name w:val="HEADING II Char"/>
    <w:basedOn w:val="HeaderChar"/>
    <w:link w:val="HEADINGII"/>
    <w:rPr>
      <w:rFonts w:ascii="EC Square Sans Pro" w:hAnsi="EC Square Sans Pro" w:cs="Times New Roman"/>
      <w:color w:val="00AF62"/>
      <w:sz w:val="20"/>
      <w:lang w:val="en-GB"/>
    </w:rPr>
  </w:style>
  <w:style w:type="paragraph" w:customStyle="1" w:styleId="HEADINGIV">
    <w:name w:val="HEADING IV"/>
    <w:basedOn w:val="Header"/>
    <w:link w:val="HEADINGIVChar"/>
    <w:pPr>
      <w:outlineLvl w:val="0"/>
    </w:pPr>
    <w:rPr>
      <w:rFonts w:cs="Times New Roman"/>
      <w:color w:val="8F00B1"/>
    </w:rPr>
  </w:style>
  <w:style w:type="character" w:customStyle="1" w:styleId="HEADINGIIIChar">
    <w:name w:val="HEADING III Char"/>
    <w:basedOn w:val="HeaderChar"/>
    <w:link w:val="HEADINGIII"/>
    <w:rPr>
      <w:rFonts w:ascii="EC Square Sans Pro" w:hAnsi="EC Square Sans Pro" w:cs="Times New Roman"/>
      <w:color w:val="C2D341"/>
      <w:sz w:val="20"/>
      <w:lang w:val="en-GB"/>
    </w:rPr>
  </w:style>
  <w:style w:type="paragraph" w:customStyle="1" w:styleId="HEADINGV">
    <w:name w:val="HEADING V"/>
    <w:basedOn w:val="Header"/>
    <w:link w:val="HEADINGVChar"/>
    <w:pPr>
      <w:outlineLvl w:val="0"/>
    </w:pPr>
    <w:rPr>
      <w:rFonts w:cs="Times New Roman"/>
      <w:color w:val="0079BA"/>
    </w:rPr>
  </w:style>
  <w:style w:type="character" w:customStyle="1" w:styleId="HEADINGIVChar">
    <w:name w:val="HEADING IV Char"/>
    <w:basedOn w:val="HeaderChar"/>
    <w:link w:val="HEADINGIV"/>
    <w:rPr>
      <w:rFonts w:ascii="EC Square Sans Pro" w:hAnsi="EC Square Sans Pro" w:cs="Times New Roman"/>
      <w:color w:val="8F00B1"/>
      <w:sz w:val="20"/>
      <w:lang w:val="en-GB"/>
    </w:rPr>
  </w:style>
  <w:style w:type="paragraph" w:customStyle="1" w:styleId="HEADINGVI">
    <w:name w:val="HEADING VI"/>
    <w:basedOn w:val="Header"/>
    <w:link w:val="HEADINGVIChar"/>
    <w:pPr>
      <w:outlineLvl w:val="0"/>
    </w:pPr>
    <w:rPr>
      <w:rFonts w:cs="Times New Roman"/>
      <w:color w:val="EB5850"/>
    </w:rPr>
  </w:style>
  <w:style w:type="character" w:customStyle="1" w:styleId="HEADINGVChar">
    <w:name w:val="HEADING V Char"/>
    <w:basedOn w:val="HeaderChar"/>
    <w:link w:val="HEADINGV"/>
    <w:rPr>
      <w:rFonts w:ascii="EC Square Sans Pro" w:hAnsi="EC Square Sans Pro" w:cs="Times New Roman"/>
      <w:color w:val="0079BA"/>
      <w:sz w:val="20"/>
      <w:lang w:val="en-GB"/>
    </w:rPr>
  </w:style>
  <w:style w:type="paragraph" w:customStyle="1" w:styleId="OFFHEADING">
    <w:name w:val="OFF HEADING"/>
    <w:basedOn w:val="Header"/>
    <w:link w:val="OFFHEADINGChar"/>
    <w:pPr>
      <w:outlineLvl w:val="0"/>
    </w:pPr>
    <w:rPr>
      <w:rFonts w:cs="Times New Roman"/>
      <w:color w:val="4ABFDF"/>
    </w:rPr>
  </w:style>
  <w:style w:type="character" w:customStyle="1" w:styleId="HEADINGVIChar">
    <w:name w:val="HEADING VI Char"/>
    <w:basedOn w:val="HeaderChar"/>
    <w:link w:val="HEADINGVI"/>
    <w:rPr>
      <w:rFonts w:ascii="EC Square Sans Pro" w:hAnsi="EC Square Sans Pro" w:cs="Times New Roman"/>
      <w:color w:val="EB5850"/>
      <w:sz w:val="20"/>
      <w:lang w:val="en-GB"/>
    </w:rPr>
  </w:style>
  <w:style w:type="character" w:customStyle="1" w:styleId="OFFHEADINGChar">
    <w:name w:val="OFF HEADING Char"/>
    <w:basedOn w:val="HeaderChar"/>
    <w:link w:val="OFFHEADING"/>
    <w:rPr>
      <w:rFonts w:ascii="EC Square Sans Pro" w:hAnsi="EC Square Sans Pro" w:cs="Times New Roman"/>
      <w:color w:val="4ABFDF"/>
      <w:sz w:val="20"/>
      <w:lang w:val="en-GB"/>
    </w:rPr>
  </w:style>
  <w:style w:type="table" w:customStyle="1" w:styleId="LightShading1">
    <w:name w:val="Light Shading1"/>
    <w:basedOn w:val="TableNormal"/>
    <w:next w:val="LightShading"/>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rPr>
      <w:rFonts w:ascii="EC Square Sans Pro" w:hAnsi="EC Square Sans Pro"/>
      <w:i/>
      <w:iCs/>
      <w:color w:val="404040" w:themeColor="text1" w:themeTint="BF"/>
      <w:lang w:val="en-GB"/>
    </w:rPr>
  </w:style>
  <w:style w:type="character" w:styleId="SubtleReference">
    <w:name w:val="Subtle Reference"/>
    <w:basedOn w:val="DefaultParagraphFont"/>
    <w:uiPriority w:val="31"/>
    <w:qFormat/>
    <w:rPr>
      <w:rFonts w:ascii="EC Square Sans Pro" w:hAnsi="EC Square Sans Pro"/>
      <w:smallCaps/>
      <w:color w:val="5A5A5A" w:themeColor="text1" w:themeTint="A5"/>
      <w:lang w:val="en-GB"/>
    </w:rPr>
  </w:style>
  <w:style w:type="paragraph" w:customStyle="1" w:styleId="TITLE1Report">
    <w:name w:val="TITLE 1 / Report"/>
    <w:basedOn w:val="Normal"/>
    <w:link w:val="TITLE1ReportChar"/>
    <w:qFormat/>
    <w:pPr>
      <w:spacing w:before="120" w:after="120"/>
      <w:outlineLvl w:val="0"/>
    </w:pPr>
    <w:rPr>
      <w:color w:val="65BBC8" w:themeColor="accent1"/>
      <w:sz w:val="52"/>
    </w:rPr>
  </w:style>
  <w:style w:type="paragraph" w:customStyle="1" w:styleId="ExecutiveSummary">
    <w:name w:val="Executive Summary"/>
    <w:basedOn w:val="TITLE1Report"/>
    <w:link w:val="ExecutiveSummaryChar"/>
    <w:rPr>
      <w:color w:val="3FB296"/>
    </w:rPr>
  </w:style>
  <w:style w:type="character" w:customStyle="1" w:styleId="TITLE1ReportChar">
    <w:name w:val="TITLE 1 / Report Char"/>
    <w:basedOn w:val="DefaultParagraphFont"/>
    <w:link w:val="TITLE1Report"/>
    <w:rPr>
      <w:rFonts w:ascii="EC Square Sans Pro" w:hAnsi="EC Square Sans Pro" w:cs="Times New Roman"/>
      <w:color w:val="65BBC8" w:themeColor="accent1"/>
      <w:sz w:val="52"/>
      <w:lang w:val="en-GB"/>
    </w:rPr>
  </w:style>
  <w:style w:type="paragraph" w:customStyle="1" w:styleId="PageNumber1">
    <w:name w:val="Page Number1"/>
    <w:basedOn w:val="Footer"/>
    <w:qFormat/>
    <w:pPr>
      <w:jc w:val="center"/>
    </w:pPr>
    <w:rPr>
      <w:b/>
      <w:sz w:val="16"/>
    </w:rPr>
  </w:style>
  <w:style w:type="character" w:customStyle="1" w:styleId="ExecutiveSummaryChar">
    <w:name w:val="Executive Summary Char"/>
    <w:basedOn w:val="TITLE1ReportChar"/>
    <w:link w:val="ExecutiveSummary"/>
    <w:rPr>
      <w:rFonts w:ascii="EC Square Sans Pro" w:hAnsi="EC Square Sans Pro" w:cs="Times New Roman"/>
      <w:color w:val="3FB296"/>
      <w:sz w:val="52"/>
      <w:lang w:val="en-GB"/>
    </w:rPr>
  </w:style>
  <w:style w:type="paragraph" w:customStyle="1" w:styleId="Title2Executivesummary">
    <w:name w:val="Title 2 / Executive summary"/>
    <w:basedOn w:val="Normal"/>
    <w:link w:val="Title2ExecutivesummaryChar"/>
    <w:qFormat/>
    <w:pPr>
      <w:pBdr>
        <w:top w:val="single" w:sz="12" w:space="1" w:color="3FB296"/>
        <w:bottom w:val="single" w:sz="12" w:space="1" w:color="3FB296"/>
      </w:pBdr>
      <w:spacing w:before="240" w:after="240"/>
      <w:ind w:left="-6" w:right="1"/>
      <w:outlineLvl w:val="1"/>
    </w:pPr>
    <w:rPr>
      <w:rFonts w:eastAsia="EC Square Sans Pro"/>
      <w:b/>
      <w:color w:val="08AA74" w:themeColor="accent3"/>
      <w:sz w:val="28"/>
      <w:szCs w:val="21"/>
      <w:lang w:eastAsia="zh-CN"/>
    </w:rPr>
  </w:style>
  <w:style w:type="character" w:customStyle="1" w:styleId="pagenumberChar">
    <w:name w:val="page number Char"/>
    <w:basedOn w:val="FooterChar"/>
    <w:rPr>
      <w:rFonts w:ascii="EC Square Sans Pro" w:hAnsi="EC Square Sans Pro"/>
      <w:b/>
      <w:sz w:val="16"/>
      <w:lang w:val="en-GB"/>
    </w:rPr>
  </w:style>
  <w:style w:type="paragraph" w:customStyle="1" w:styleId="Frame">
    <w:name w:val="Frame"/>
    <w:basedOn w:val="Normal"/>
    <w:pPr>
      <w:pBdr>
        <w:top w:val="single" w:sz="12" w:space="1" w:color="3FB296"/>
        <w:left w:val="single" w:sz="12" w:space="4" w:color="3FB296"/>
        <w:bottom w:val="single" w:sz="12" w:space="1" w:color="3FB296"/>
        <w:right w:val="single" w:sz="12" w:space="4" w:color="3FB296"/>
      </w:pBdr>
      <w:jc w:val="both"/>
    </w:pPr>
    <w:rPr>
      <w:rFonts w:eastAsia="EC Square Sans Pro"/>
      <w:sz w:val="21"/>
      <w:szCs w:val="21"/>
      <w:lang w:eastAsia="zh-CN"/>
    </w:rPr>
  </w:style>
  <w:style w:type="character" w:customStyle="1" w:styleId="Title2ExecutivesummaryChar">
    <w:name w:val="Title 2 / Executive summary Char"/>
    <w:basedOn w:val="DefaultParagraphFont"/>
    <w:link w:val="Title2Executivesummary"/>
    <w:rPr>
      <w:rFonts w:ascii="EC Square Sans Pro" w:eastAsia="EC Square Sans Pro" w:hAnsi="EC Square Sans Pro" w:cs="Times New Roman"/>
      <w:b/>
      <w:color w:val="08AA74" w:themeColor="accent3"/>
      <w:sz w:val="28"/>
      <w:szCs w:val="21"/>
      <w:lang w:val="en-GB" w:eastAsia="zh-CN"/>
    </w:rPr>
  </w:style>
  <w:style w:type="character" w:customStyle="1" w:styleId="AnnualmgntandperformanceChar">
    <w:name w:val="Annual mgnt and performance Char"/>
    <w:basedOn w:val="TITLE1ReportChar"/>
    <w:link w:val="Annualmgntandperformance"/>
    <w:rPr>
      <w:rFonts w:ascii="EC Square Sans Pro" w:hAnsi="EC Square Sans Pro" w:cs="Times New Roman"/>
      <w:color w:val="65BBC8"/>
      <w:sz w:val="52"/>
      <w:lang w:val="en-GB" w:eastAsia="zh-CN"/>
    </w:rPr>
  </w:style>
  <w:style w:type="paragraph" w:customStyle="1" w:styleId="textchart">
    <w:name w:val="text chart"/>
    <w:basedOn w:val="Forewordbodytext"/>
    <w:link w:val="textchartChar"/>
    <w:qFormat/>
    <w:pPr>
      <w:jc w:val="left"/>
    </w:pPr>
    <w:rPr>
      <w:i/>
      <w:iCs/>
      <w:sz w:val="16"/>
      <w:szCs w:val="16"/>
    </w:rPr>
  </w:style>
  <w:style w:type="paragraph" w:customStyle="1" w:styleId="BOXE1GREEN">
    <w:name w:val="BOXE 1 / GREEN"/>
    <w:basedOn w:val="BOLDGREEN"/>
    <w:link w:val="BOXE1GREENChar"/>
    <w:qFormat/>
    <w:pPr>
      <w:pBdr>
        <w:top w:val="single" w:sz="12" w:space="1" w:color="08AA74" w:themeColor="accent3"/>
        <w:left w:val="single" w:sz="12" w:space="4" w:color="08AA74" w:themeColor="accent3"/>
        <w:bottom w:val="single" w:sz="12" w:space="1" w:color="08AA74" w:themeColor="accent3"/>
        <w:right w:val="single" w:sz="12" w:space="4" w:color="08AA74" w:themeColor="accent3"/>
      </w:pBdr>
    </w:pPr>
  </w:style>
  <w:style w:type="character" w:customStyle="1" w:styleId="textchartChar">
    <w:name w:val="text chart Char"/>
    <w:basedOn w:val="ForewordbodytextChar"/>
    <w:link w:val="textchart"/>
    <w:rPr>
      <w:rFonts w:ascii="EC Square Sans Pro" w:hAnsi="EC Square Sans Pro" w:cs="Times New Roman"/>
      <w:i/>
      <w:iCs/>
      <w:noProof/>
      <w:sz w:val="16"/>
      <w:szCs w:val="16"/>
      <w:lang w:val="en-GB" w:eastAsia="fr-BE"/>
    </w:rPr>
  </w:style>
  <w:style w:type="paragraph" w:customStyle="1" w:styleId="Annexetitle">
    <w:name w:val="Annexe title"/>
    <w:basedOn w:val="Annualmgntandperformance"/>
    <w:link w:val="AnnexetitleChar"/>
    <w:rPr>
      <w:color w:val="8033A3"/>
    </w:rPr>
  </w:style>
  <w:style w:type="paragraph" w:customStyle="1" w:styleId="titleheader">
    <w:name w:val="title header"/>
    <w:basedOn w:val="Header"/>
    <w:link w:val="titleheaderChar"/>
    <w:qFormat/>
    <w:rPr>
      <w:rFonts w:cstheme="minorHAnsi"/>
      <w:noProof/>
      <w:color w:val="3FB296"/>
      <w:lang w:eastAsia="fr-BE"/>
    </w:rPr>
  </w:style>
  <w:style w:type="character" w:customStyle="1" w:styleId="AnnexetitleChar">
    <w:name w:val="Annexe title Char"/>
    <w:basedOn w:val="AnnualmgntandperformanceChar"/>
    <w:link w:val="Annexetitle"/>
    <w:rPr>
      <w:rFonts w:ascii="EC Square Sans Pro" w:hAnsi="EC Square Sans Pro" w:cs="Times New Roman"/>
      <w:color w:val="8033A3"/>
      <w:sz w:val="52"/>
      <w:lang w:val="en-GB" w:eastAsia="zh-CN"/>
    </w:rPr>
  </w:style>
  <w:style w:type="paragraph" w:customStyle="1" w:styleId="Subtitleannexe">
    <w:name w:val="Subtitle annexe"/>
    <w:basedOn w:val="SubtitleAMPR"/>
    <w:link w:val="SubtitleannexeChar"/>
    <w:pPr>
      <w:pBdr>
        <w:top w:val="single" w:sz="12" w:space="1" w:color="8033A3"/>
        <w:bottom w:val="single" w:sz="12" w:space="1" w:color="8033A3"/>
      </w:pBdr>
    </w:pPr>
    <w:rPr>
      <w:color w:val="8033A3"/>
    </w:rPr>
  </w:style>
  <w:style w:type="character" w:customStyle="1" w:styleId="titleheaderChar">
    <w:name w:val="title header Char"/>
    <w:basedOn w:val="HeaderChar"/>
    <w:link w:val="titleheader"/>
    <w:rPr>
      <w:rFonts w:ascii="EC Square Sans Pro" w:hAnsi="EC Square Sans Pro" w:cstheme="minorHAnsi"/>
      <w:noProof/>
      <w:color w:val="3FB296"/>
      <w:sz w:val="20"/>
      <w:lang w:val="en-GB" w:eastAsia="fr-BE"/>
    </w:rPr>
  </w:style>
  <w:style w:type="paragraph" w:customStyle="1" w:styleId="Source">
    <w:name w:val="Source"/>
    <w:basedOn w:val="textchart"/>
    <w:link w:val="SourceChar"/>
    <w:qFormat/>
    <w:pPr>
      <w:spacing w:after="240"/>
      <w:contextualSpacing/>
    </w:pPr>
    <w:rPr>
      <w:rFonts w:eastAsia="Calibri"/>
      <w:color w:val="000000" w:themeColor="text1"/>
    </w:rPr>
  </w:style>
  <w:style w:type="character" w:customStyle="1" w:styleId="SubtitleannexeChar">
    <w:name w:val="Subtitle annexe Char"/>
    <w:basedOn w:val="SubtitleAMPRChar"/>
    <w:link w:val="Subtitleannexe"/>
    <w:rPr>
      <w:rFonts w:ascii="EC Square Sans Pro" w:eastAsia="EC Square Sans Pro" w:hAnsi="EC Square Sans Pro" w:cs="Times New Roman"/>
      <w:b/>
      <w:color w:val="8033A3"/>
      <w:sz w:val="28"/>
      <w:szCs w:val="21"/>
      <w:lang w:val="en-GB" w:eastAsia="zh-CN"/>
    </w:rPr>
  </w:style>
  <w:style w:type="paragraph" w:customStyle="1" w:styleId="tablesubtitle">
    <w:name w:val="table subtitle"/>
    <w:basedOn w:val="Normal"/>
    <w:link w:val="tablesubtitleChar"/>
    <w:qFormat/>
    <w:pPr>
      <w:autoSpaceDE w:val="0"/>
      <w:autoSpaceDN w:val="0"/>
      <w:adjustRightInd w:val="0"/>
      <w:jc w:val="center"/>
    </w:pPr>
    <w:rPr>
      <w:rFonts w:eastAsia="Calibri" w:cs="Arial"/>
      <w:b/>
      <w:bCs/>
      <w:noProof/>
      <w:color w:val="FFFFFF" w:themeColor="background1"/>
      <w:sz w:val="18"/>
      <w:szCs w:val="18"/>
      <w:lang w:eastAsia="zh-CN"/>
    </w:rPr>
  </w:style>
  <w:style w:type="character" w:customStyle="1" w:styleId="SourceChar">
    <w:name w:val="Source Char"/>
    <w:basedOn w:val="textchartChar"/>
    <w:link w:val="Source"/>
    <w:rPr>
      <w:rFonts w:ascii="EC Square Sans Pro" w:eastAsia="Calibri" w:hAnsi="EC Square Sans Pro" w:cs="Times New Roman"/>
      <w:i/>
      <w:iCs/>
      <w:noProof/>
      <w:color w:val="000000" w:themeColor="text1"/>
      <w:sz w:val="16"/>
      <w:szCs w:val="16"/>
      <w:lang w:val="en-GB" w:eastAsia="fr-BE"/>
    </w:rPr>
  </w:style>
  <w:style w:type="paragraph" w:customStyle="1" w:styleId="Bulletsannexes">
    <w:name w:val="Bullets annexes"/>
    <w:basedOn w:val="ListParagraph"/>
    <w:link w:val="BulletsannexesChar"/>
    <w:qFormat/>
    <w:pPr>
      <w:numPr>
        <w:numId w:val="8"/>
      </w:numPr>
      <w:autoSpaceDE w:val="0"/>
      <w:autoSpaceDN w:val="0"/>
      <w:adjustRightInd w:val="0"/>
      <w:jc w:val="both"/>
    </w:pPr>
    <w:rPr>
      <w:rFonts w:cs="Arial"/>
      <w:iCs/>
      <w:color w:val="000000"/>
    </w:rPr>
  </w:style>
  <w:style w:type="character" w:customStyle="1" w:styleId="BOLDGREENChar">
    <w:name w:val="BOLD GREEN Char"/>
    <w:basedOn w:val="BodyText1Char"/>
    <w:link w:val="BOLDGREEN"/>
    <w:rPr>
      <w:rFonts w:ascii="EC Square Sans Pro" w:hAnsi="EC Square Sans Pro" w:cs="Times New Roman"/>
      <w:b/>
      <w:noProof/>
      <w:color w:val="08AA74" w:themeColor="accent3"/>
      <w:sz w:val="20"/>
      <w:lang w:val="en-GB" w:eastAsia="fr-BE"/>
    </w:rPr>
  </w:style>
  <w:style w:type="character" w:customStyle="1" w:styleId="tablesubtitleChar">
    <w:name w:val="table subtitle Char"/>
    <w:basedOn w:val="DefaultParagraphFont"/>
    <w:link w:val="tablesubtitle"/>
    <w:rPr>
      <w:rFonts w:ascii="EC Square Sans Pro" w:eastAsia="Calibri" w:hAnsi="EC Square Sans Pro" w:cs="Arial"/>
      <w:b/>
      <w:bCs/>
      <w:noProof/>
      <w:color w:val="FFFFFF" w:themeColor="background1"/>
      <w:sz w:val="18"/>
      <w:szCs w:val="18"/>
      <w:lang w:val="en-GB" w:eastAsia="zh-CN"/>
    </w:rPr>
  </w:style>
  <w:style w:type="paragraph" w:customStyle="1" w:styleId="subtitle3purple">
    <w:name w:val="subtitle 3 purple"/>
    <w:basedOn w:val="TITLE3Executivesummary"/>
    <w:link w:val="subtitle3purpleChar"/>
    <w:rPr>
      <w:color w:val="8033A3"/>
    </w:rPr>
  </w:style>
  <w:style w:type="character" w:customStyle="1" w:styleId="BulletsannexesChar">
    <w:name w:val="Bullets annexes Char"/>
    <w:basedOn w:val="ListParagraphChar"/>
    <w:link w:val="Bulletsannexes"/>
    <w:rPr>
      <w:rFonts w:ascii="EC Square Sans Pro" w:eastAsia="Calibri" w:hAnsi="EC Square Sans Pro" w:cs="Arial"/>
      <w:iCs/>
      <w:color w:val="000000"/>
      <w:sz w:val="20"/>
      <w:szCs w:val="20"/>
      <w:lang w:val="en-GB" w:eastAsia="zh-CN"/>
    </w:rPr>
  </w:style>
  <w:style w:type="paragraph" w:customStyle="1" w:styleId="Title4Executivesummary">
    <w:name w:val="Title 4 / Executive summary"/>
    <w:basedOn w:val="BodyText1"/>
    <w:link w:val="Title4ExecutivesummaryChar"/>
    <w:qFormat/>
    <w:pPr>
      <w:numPr>
        <w:ilvl w:val="1"/>
        <w:numId w:val="19"/>
      </w:numPr>
      <w:spacing w:line="360" w:lineRule="auto"/>
      <w:jc w:val="left"/>
    </w:pPr>
    <w:rPr>
      <w:color w:val="08AA74" w:themeColor="accent3"/>
      <w:sz w:val="18"/>
      <w:szCs w:val="28"/>
      <w:lang w:eastAsia="zh-CN"/>
    </w:rPr>
  </w:style>
  <w:style w:type="character" w:customStyle="1" w:styleId="subtitle3purpleChar">
    <w:name w:val="subtitle 3 purple Char"/>
    <w:basedOn w:val="TITLE3ExecutivesummaryChar"/>
    <w:link w:val="subtitle3purple"/>
    <w:rPr>
      <w:rFonts w:ascii="EC Square Sans Pro" w:hAnsi="EC Square Sans Pro" w:cs="Times New Roman"/>
      <w:b/>
      <w:color w:val="8033A3"/>
      <w:sz w:val="24"/>
      <w:lang w:val="en-GB" w:eastAsia="zh-CN"/>
    </w:rPr>
  </w:style>
  <w:style w:type="paragraph" w:customStyle="1" w:styleId="Tablefootnote">
    <w:name w:val="Table footnote"/>
    <w:basedOn w:val="textchart"/>
    <w:link w:val="TablefootnoteChar"/>
    <w:qFormat/>
  </w:style>
  <w:style w:type="character" w:customStyle="1" w:styleId="Title4ExecutivesummaryChar">
    <w:name w:val="Title 4 / Executive summary Char"/>
    <w:basedOn w:val="ForewordbodytextChar"/>
    <w:link w:val="Title4Executivesummary"/>
    <w:rPr>
      <w:rFonts w:ascii="EC Square Sans Pro" w:hAnsi="EC Square Sans Pro" w:cs="Times New Roman"/>
      <w:noProof/>
      <w:color w:val="08AA74" w:themeColor="accent3"/>
      <w:sz w:val="18"/>
      <w:szCs w:val="28"/>
      <w:lang w:val="en-GB" w:eastAsia="zh-CN"/>
    </w:rPr>
  </w:style>
  <w:style w:type="paragraph" w:customStyle="1" w:styleId="BOXE2GREEN">
    <w:name w:val="BOXE 2 / GREEN"/>
    <w:basedOn w:val="BodyText10"/>
    <w:link w:val="BOXE2GREENChar"/>
    <w:qFormat/>
    <w:pPr>
      <w:shd w:val="clear" w:color="auto" w:fill="D7F1EA" w:themeFill="accent4" w:themeFillTint="33"/>
    </w:pPr>
  </w:style>
  <w:style w:type="character" w:customStyle="1" w:styleId="TablefootnoteChar">
    <w:name w:val="Table footnote Char"/>
    <w:basedOn w:val="textchartChar"/>
    <w:link w:val="Tablefootnote"/>
    <w:rPr>
      <w:rFonts w:ascii="EC Square Sans Pro" w:hAnsi="EC Square Sans Pro" w:cs="Times New Roman"/>
      <w:i/>
      <w:iCs/>
      <w:noProof/>
      <w:sz w:val="16"/>
      <w:szCs w:val="16"/>
      <w:lang w:val="en-GB" w:eastAsia="fr-BE"/>
    </w:rPr>
  </w:style>
  <w:style w:type="paragraph" w:styleId="TOC2">
    <w:name w:val="toc 2"/>
    <w:basedOn w:val="Normal"/>
    <w:next w:val="Normal"/>
    <w:autoRedefine/>
    <w:uiPriority w:val="39"/>
    <w:unhideWhenUsed/>
    <w:qFormat/>
    <w:pPr>
      <w:tabs>
        <w:tab w:val="right" w:leader="dot" w:pos="9062"/>
      </w:tabs>
      <w:ind w:left="220"/>
    </w:pPr>
    <w:rPr>
      <w:rFonts w:cstheme="minorHAnsi"/>
      <w:smallCaps/>
      <w:szCs w:val="20"/>
    </w:rPr>
  </w:style>
  <w:style w:type="paragraph" w:styleId="TOC3">
    <w:name w:val="toc 3"/>
    <w:basedOn w:val="Normal"/>
    <w:next w:val="Normal"/>
    <w:autoRedefine/>
    <w:uiPriority w:val="39"/>
    <w:unhideWhenUsed/>
    <w:qFormat/>
    <w:pPr>
      <w:ind w:left="440"/>
    </w:pPr>
    <w:rPr>
      <w:rFonts w:cstheme="minorHAnsi"/>
      <w:i/>
      <w:iCs/>
      <w:szCs w:val="20"/>
    </w:rPr>
  </w:style>
  <w:style w:type="paragraph" w:styleId="TOC4">
    <w:name w:val="toc 4"/>
    <w:basedOn w:val="Normal"/>
    <w:next w:val="Normal"/>
    <w:autoRedefine/>
    <w:unhideWhenUsed/>
    <w:pPr>
      <w:ind w:left="660"/>
    </w:pPr>
    <w:rPr>
      <w:rFonts w:cstheme="minorHAnsi"/>
      <w:sz w:val="18"/>
      <w:szCs w:val="18"/>
    </w:rPr>
  </w:style>
  <w:style w:type="paragraph" w:styleId="TOC5">
    <w:name w:val="toc 5"/>
    <w:basedOn w:val="Normal"/>
    <w:next w:val="Normal"/>
    <w:autoRedefine/>
    <w:unhideWhenUsed/>
    <w:pPr>
      <w:ind w:left="880"/>
    </w:pPr>
    <w:rPr>
      <w:rFonts w:cstheme="minorHAnsi"/>
      <w:sz w:val="18"/>
      <w:szCs w:val="18"/>
    </w:rPr>
  </w:style>
  <w:style w:type="paragraph" w:styleId="TOC6">
    <w:name w:val="toc 6"/>
    <w:basedOn w:val="Normal"/>
    <w:next w:val="Normal"/>
    <w:autoRedefine/>
    <w:unhideWhenUsed/>
    <w:pPr>
      <w:ind w:left="1100"/>
    </w:pPr>
    <w:rPr>
      <w:rFonts w:cstheme="minorHAnsi"/>
      <w:sz w:val="18"/>
      <w:szCs w:val="18"/>
    </w:rPr>
  </w:style>
  <w:style w:type="paragraph" w:styleId="TOC7">
    <w:name w:val="toc 7"/>
    <w:basedOn w:val="Normal"/>
    <w:next w:val="Normal"/>
    <w:autoRedefine/>
    <w:unhideWhenUsed/>
    <w:pPr>
      <w:ind w:left="1320"/>
    </w:pPr>
    <w:rPr>
      <w:rFonts w:cstheme="minorHAnsi"/>
      <w:sz w:val="18"/>
      <w:szCs w:val="18"/>
    </w:rPr>
  </w:style>
  <w:style w:type="paragraph" w:styleId="TOC8">
    <w:name w:val="toc 8"/>
    <w:basedOn w:val="Normal"/>
    <w:next w:val="Normal"/>
    <w:autoRedefine/>
    <w:unhideWhenUsed/>
    <w:pPr>
      <w:ind w:left="1540"/>
    </w:pPr>
    <w:rPr>
      <w:rFonts w:cstheme="minorHAnsi"/>
      <w:sz w:val="18"/>
      <w:szCs w:val="18"/>
    </w:rPr>
  </w:style>
  <w:style w:type="paragraph" w:styleId="TOC9">
    <w:name w:val="toc 9"/>
    <w:basedOn w:val="Normal"/>
    <w:next w:val="Normal"/>
    <w:autoRedefine/>
    <w:unhideWhenUsed/>
    <w:pPr>
      <w:ind w:left="1760"/>
    </w:pPr>
    <w:rPr>
      <w:rFonts w:cstheme="minorHAnsi"/>
      <w:sz w:val="18"/>
      <w:szCs w:val="18"/>
    </w:rPr>
  </w:style>
  <w:style w:type="paragraph" w:customStyle="1" w:styleId="Endnote">
    <w:name w:val="Endnote"/>
    <w:basedOn w:val="EndnoteText"/>
    <w:link w:val="EndnoteChar"/>
    <w:qFormat/>
    <w:pPr>
      <w:spacing w:before="120" w:after="120"/>
    </w:pPr>
  </w:style>
  <w:style w:type="character" w:customStyle="1" w:styleId="EndnoteChar">
    <w:name w:val="Endnote Char"/>
    <w:basedOn w:val="EndnoteTextChar"/>
    <w:link w:val="Endnote"/>
    <w:rPr>
      <w:rFonts w:ascii="EC Square Sans Pro" w:eastAsia="Calibri" w:hAnsi="EC Square Sans Pro"/>
      <w:sz w:val="20"/>
      <w:szCs w:val="20"/>
      <w:lang w:val="en-GB"/>
    </w:rPr>
  </w:style>
  <w:style w:type="paragraph" w:customStyle="1" w:styleId="TitleforSectionpagebreak">
    <w:name w:val="Title for Section / page break"/>
    <w:basedOn w:val="Normal"/>
    <w:link w:val="TitleforSectionpagebreakChar"/>
    <w:qFormat/>
    <w:rPr>
      <w:color w:val="1F4EA2" w:themeColor="background2"/>
      <w:sz w:val="60"/>
      <w:szCs w:val="60"/>
    </w:rPr>
  </w:style>
  <w:style w:type="paragraph" w:customStyle="1" w:styleId="BodyText10">
    <w:name w:val="Body Text1"/>
    <w:basedOn w:val="Forewordbodytext"/>
    <w:next w:val="BodyText"/>
    <w:qFormat/>
    <w:rPr>
      <w:color w:val="000000" w:themeColor="text1"/>
      <w:sz w:val="20"/>
    </w:rPr>
  </w:style>
  <w:style w:type="character" w:customStyle="1" w:styleId="TitleforSectionpagebreakChar">
    <w:name w:val="Title for Section / page break Char"/>
    <w:basedOn w:val="DefaultParagraphFont"/>
    <w:link w:val="TitleforSectionpagebreak"/>
    <w:rPr>
      <w:rFonts w:ascii="EC Square Sans Pro" w:hAnsi="EC Square Sans Pro" w:cs="Times New Roman"/>
      <w:color w:val="1F4EA2" w:themeColor="background2"/>
      <w:sz w:val="60"/>
      <w:szCs w:val="60"/>
      <w:lang w:val="en-GB"/>
    </w:rPr>
  </w:style>
  <w:style w:type="character" w:customStyle="1" w:styleId="BOXE1GREENChar">
    <w:name w:val="BOXE 1 / GREEN Char"/>
    <w:basedOn w:val="BOLDGREENChar"/>
    <w:link w:val="BOXE1GREEN"/>
    <w:rPr>
      <w:rFonts w:ascii="EC Square Sans Pro" w:hAnsi="EC Square Sans Pro" w:cs="Times New Roman"/>
      <w:b/>
      <w:noProof/>
      <w:color w:val="08AA74" w:themeColor="accent3"/>
      <w:sz w:val="20"/>
      <w:lang w:val="en-GB" w:eastAsia="fr-BE"/>
    </w:rPr>
  </w:style>
  <w:style w:type="character" w:customStyle="1" w:styleId="BodytextChar">
    <w:name w:val="Body text Char"/>
    <w:basedOn w:val="ForewordbodytextChar"/>
    <w:rPr>
      <w:rFonts w:ascii="EC Square Sans Pro" w:hAnsi="EC Square Sans Pro" w:cs="Times New Roman"/>
      <w:noProof/>
      <w:color w:val="000000" w:themeColor="text1"/>
      <w:sz w:val="20"/>
      <w:lang w:val="en-GB" w:eastAsia="fr-BE"/>
    </w:rPr>
  </w:style>
  <w:style w:type="paragraph" w:customStyle="1" w:styleId="BOXE3GREEN">
    <w:name w:val="BOXE 3 / GREEN"/>
    <w:basedOn w:val="BodyText10"/>
    <w:link w:val="BOXE3GREENChar"/>
    <w:qFormat/>
    <w:pPr>
      <w:pBdr>
        <w:top w:val="dashSmallGap" w:sz="12" w:space="1" w:color="08AA74" w:themeColor="accent3"/>
        <w:left w:val="dashSmallGap" w:sz="12" w:space="4" w:color="08AA74" w:themeColor="accent3"/>
        <w:bottom w:val="dashSmallGap" w:sz="12" w:space="1" w:color="08AA74" w:themeColor="accent3"/>
        <w:right w:val="dashSmallGap" w:sz="12" w:space="4" w:color="08AA74" w:themeColor="accent3"/>
      </w:pBdr>
    </w:pPr>
  </w:style>
  <w:style w:type="character" w:customStyle="1" w:styleId="BOXE2GREENChar">
    <w:name w:val="BOXE 2 / GREEN Char"/>
    <w:basedOn w:val="BodytextChar"/>
    <w:link w:val="BOXE2GREEN"/>
    <w:rPr>
      <w:rFonts w:ascii="EC Square Sans Pro" w:hAnsi="EC Square Sans Pro" w:cs="Times New Roman"/>
      <w:noProof/>
      <w:color w:val="000000" w:themeColor="text1"/>
      <w:sz w:val="20"/>
      <w:shd w:val="clear" w:color="auto" w:fill="D7F1EA" w:themeFill="accent4" w:themeFillTint="33"/>
      <w:lang w:val="en-GB" w:eastAsia="fr-BE"/>
    </w:rPr>
  </w:style>
  <w:style w:type="paragraph" w:customStyle="1" w:styleId="Greenbolded">
    <w:name w:val="Green bolded"/>
    <w:basedOn w:val="BodyText10"/>
    <w:link w:val="GreenboldedChar"/>
    <w:qFormat/>
    <w:rPr>
      <w:b/>
      <w:color w:val="08AA74" w:themeColor="accent3"/>
    </w:rPr>
  </w:style>
  <w:style w:type="character" w:customStyle="1" w:styleId="BOXE3GREENChar">
    <w:name w:val="BOXE 3 / GREEN Char"/>
    <w:basedOn w:val="BodytextChar"/>
    <w:link w:val="BOXE3GREEN"/>
    <w:rPr>
      <w:rFonts w:ascii="EC Square Sans Pro" w:hAnsi="EC Square Sans Pro" w:cs="Times New Roman"/>
      <w:noProof/>
      <w:color w:val="000000" w:themeColor="text1"/>
      <w:sz w:val="20"/>
      <w:lang w:val="en-GB" w:eastAsia="fr-BE"/>
    </w:rPr>
  </w:style>
  <w:style w:type="table" w:customStyle="1" w:styleId="BOXBullets">
    <w:name w:val="BOX Bullets"/>
    <w:basedOn w:val="TableNormal"/>
    <w:uiPriority w:val="99"/>
    <w:rPr>
      <w:sz w:val="20"/>
    </w:rPr>
    <w:tblPr/>
    <w:tcPr>
      <w:vAlign w:val="center"/>
    </w:tcPr>
  </w:style>
  <w:style w:type="character" w:customStyle="1" w:styleId="GreenboldedChar">
    <w:name w:val="Green bolded Char"/>
    <w:basedOn w:val="BodytextChar"/>
    <w:link w:val="Greenbolded"/>
    <w:rPr>
      <w:rFonts w:ascii="EC Square Sans Pro" w:hAnsi="EC Square Sans Pro" w:cs="Times New Roman"/>
      <w:b/>
      <w:noProof/>
      <w:color w:val="08AA74" w:themeColor="accent3"/>
      <w:sz w:val="20"/>
      <w:lang w:val="en-GB" w:eastAsia="fr-BE"/>
    </w:rPr>
  </w:style>
  <w:style w:type="table" w:customStyle="1" w:styleId="GridTable6Colorful-Accent41">
    <w:name w:val="Grid Table 6 Colorful - Accent 41"/>
    <w:basedOn w:val="TableNormal"/>
    <w:uiPriority w:val="51"/>
    <w:rPr>
      <w:color w:val="2F856F" w:themeColor="accent4" w:themeShade="BF"/>
    </w:rPr>
    <w:tblPr>
      <w:tblStyleRowBandSize w:val="1"/>
      <w:tblStyleColBandSize w:val="1"/>
      <w:tblBorders>
        <w:top w:val="single" w:sz="4" w:space="0" w:color="87D4C1" w:themeColor="accent4" w:themeTint="99"/>
        <w:left w:val="single" w:sz="4" w:space="0" w:color="87D4C1" w:themeColor="accent4" w:themeTint="99"/>
        <w:bottom w:val="single" w:sz="4" w:space="0" w:color="87D4C1" w:themeColor="accent4" w:themeTint="99"/>
        <w:right w:val="single" w:sz="4" w:space="0" w:color="87D4C1" w:themeColor="accent4" w:themeTint="99"/>
        <w:insideH w:val="single" w:sz="4" w:space="0" w:color="87D4C1" w:themeColor="accent4" w:themeTint="99"/>
        <w:insideV w:val="single" w:sz="4" w:space="0" w:color="87D4C1" w:themeColor="accent4" w:themeTint="99"/>
      </w:tblBorders>
    </w:tblPr>
    <w:tblStylePr w:type="firstRow">
      <w:rPr>
        <w:b/>
        <w:bCs/>
      </w:rPr>
      <w:tblPr/>
      <w:tcPr>
        <w:tcBorders>
          <w:bottom w:val="single" w:sz="12" w:space="0" w:color="87D4C1" w:themeColor="accent4" w:themeTint="99"/>
        </w:tcBorders>
      </w:tcPr>
    </w:tblStylePr>
    <w:tblStylePr w:type="lastRow">
      <w:rPr>
        <w:b/>
        <w:bCs/>
      </w:rPr>
      <w:tblPr/>
      <w:tcPr>
        <w:tcBorders>
          <w:top w:val="double" w:sz="4" w:space="0" w:color="87D4C1" w:themeColor="accent4" w:themeTint="99"/>
        </w:tcBorders>
      </w:tcPr>
    </w:tblStylePr>
    <w:tblStylePr w:type="firstCol">
      <w:rPr>
        <w:b/>
        <w:bCs/>
      </w:rPr>
    </w:tblStylePr>
    <w:tblStylePr w:type="lastCol">
      <w:rPr>
        <w:b/>
        <w:bCs/>
      </w:rPr>
    </w:tblStylePr>
    <w:tblStylePr w:type="band1Vert">
      <w:tblPr/>
      <w:tcPr>
        <w:shd w:val="clear" w:color="auto" w:fill="D7F1EA" w:themeFill="accent4" w:themeFillTint="33"/>
      </w:tcPr>
    </w:tblStylePr>
    <w:tblStylePr w:type="band1Horz">
      <w:tblPr/>
      <w:tcPr>
        <w:shd w:val="clear" w:color="auto" w:fill="D7F1EA" w:themeFill="accent4" w:themeFillTint="33"/>
      </w:tcPr>
    </w:tblStylePr>
  </w:style>
  <w:style w:type="table" w:customStyle="1" w:styleId="Tablegreen">
    <w:name w:val="Table green"/>
    <w:basedOn w:val="TableNormal"/>
    <w:uiPriority w:val="99"/>
    <w:tblPr/>
  </w:style>
  <w:style w:type="table" w:customStyle="1" w:styleId="GridTable4-Accent41">
    <w:name w:val="Grid Table 4 - Accent 41"/>
    <w:basedOn w:val="TableNormal"/>
    <w:uiPriority w:val="49"/>
    <w:pPr>
      <w:jc w:val="center"/>
    </w:pPr>
    <w:rPr>
      <w:sz w:val="20"/>
    </w:rPr>
    <w:tblPr>
      <w:tblStyleRowBandSize w:val="1"/>
      <w:tblStyleColBandSize w:val="1"/>
      <w:tblBorders>
        <w:top w:val="single" w:sz="4" w:space="0" w:color="87D4C1" w:themeColor="accent4" w:themeTint="99"/>
        <w:left w:val="single" w:sz="4" w:space="0" w:color="87D4C1" w:themeColor="accent4" w:themeTint="99"/>
        <w:bottom w:val="single" w:sz="4" w:space="0" w:color="87D4C1" w:themeColor="accent4" w:themeTint="99"/>
        <w:right w:val="single" w:sz="4" w:space="0" w:color="87D4C1" w:themeColor="accent4" w:themeTint="99"/>
        <w:insideH w:val="single" w:sz="4" w:space="0" w:color="87D4C1" w:themeColor="accent4" w:themeTint="99"/>
        <w:insideV w:val="single" w:sz="4" w:space="0" w:color="87D4C1" w:themeColor="accent4" w:themeTint="99"/>
      </w:tblBorders>
    </w:tblPr>
    <w:tcPr>
      <w:vAlign w:val="center"/>
    </w:tcPr>
    <w:tblStylePr w:type="firstRow">
      <w:rPr>
        <w:b/>
        <w:bCs/>
        <w:color w:val="FFFFFF" w:themeColor="background1"/>
      </w:rPr>
      <w:tblPr/>
      <w:tcPr>
        <w:tcBorders>
          <w:top w:val="single" w:sz="4" w:space="0" w:color="3FB296" w:themeColor="accent4"/>
          <w:left w:val="single" w:sz="4" w:space="0" w:color="3FB296" w:themeColor="accent4"/>
          <w:bottom w:val="single" w:sz="4" w:space="0" w:color="3FB296" w:themeColor="accent4"/>
          <w:right w:val="single" w:sz="4" w:space="0" w:color="3FB296" w:themeColor="accent4"/>
          <w:insideH w:val="nil"/>
          <w:insideV w:val="nil"/>
        </w:tcBorders>
        <w:shd w:val="clear" w:color="auto" w:fill="3FB296" w:themeFill="accent4"/>
      </w:tcPr>
    </w:tblStylePr>
    <w:tblStylePr w:type="lastRow">
      <w:rPr>
        <w:b/>
        <w:bCs/>
      </w:rPr>
      <w:tblPr/>
      <w:tcPr>
        <w:tcBorders>
          <w:top w:val="double" w:sz="4" w:space="0" w:color="3FB296" w:themeColor="accent4"/>
        </w:tcBorders>
      </w:tcPr>
    </w:tblStylePr>
    <w:tblStylePr w:type="firstCol">
      <w:rPr>
        <w:b/>
        <w:bCs/>
      </w:rPr>
    </w:tblStylePr>
    <w:tblStylePr w:type="lastCol">
      <w:rPr>
        <w:b/>
        <w:bCs/>
      </w:rPr>
    </w:tblStylePr>
    <w:tblStylePr w:type="band1Vert">
      <w:tblPr/>
      <w:tcPr>
        <w:shd w:val="clear" w:color="auto" w:fill="D7F1EA" w:themeFill="accent4" w:themeFillTint="33"/>
      </w:tcPr>
    </w:tblStylePr>
    <w:tblStylePr w:type="band1Horz">
      <w:tblPr/>
      <w:tcPr>
        <w:shd w:val="clear" w:color="auto" w:fill="D7F1EA" w:themeFill="accent4" w:themeFillTint="33"/>
      </w:tcPr>
    </w:tblStylePr>
  </w:style>
  <w:style w:type="paragraph" w:customStyle="1" w:styleId="AMPRPageNumber">
    <w:name w:val="AMPR Page Number"/>
    <w:basedOn w:val="Normal"/>
    <w:link w:val="AMPRPageNumberChar"/>
    <w:qFormat/>
    <w:pPr>
      <w:pBdr>
        <w:top w:val="single" w:sz="4" w:space="1" w:color="0070C0"/>
      </w:pBdr>
      <w:spacing w:after="100"/>
      <w:jc w:val="center"/>
    </w:pPr>
    <w:rPr>
      <w:rFonts w:eastAsia="Times New Roman"/>
      <w:color w:val="0070C0"/>
      <w:sz w:val="32"/>
      <w:szCs w:val="24"/>
      <w:lang w:eastAsia="en-GB"/>
    </w:rPr>
  </w:style>
  <w:style w:type="character" w:customStyle="1" w:styleId="AMPRPageNumberChar">
    <w:name w:val="AMPR Page Number Char"/>
    <w:basedOn w:val="DefaultParagraphFont"/>
    <w:link w:val="AMPRPageNumber"/>
    <w:rPr>
      <w:rFonts w:ascii="EC Square Sans Pro" w:eastAsia="Times New Roman" w:hAnsi="EC Square Sans Pro" w:cs="Times New Roman"/>
      <w:color w:val="0070C0"/>
      <w:sz w:val="32"/>
      <w:szCs w:val="24"/>
      <w:lang w:val="en-GB" w:eastAsia="en-GB"/>
    </w:rPr>
  </w:style>
  <w:style w:type="table" w:customStyle="1" w:styleId="GridTable4-Accent11">
    <w:name w:val="Grid Table 4 - Accent 11"/>
    <w:basedOn w:val="TableNormal"/>
    <w:uiPriority w:val="49"/>
    <w:tblPr>
      <w:tblStyleRowBandSize w:val="1"/>
      <w:tblStyleColBandSize w:val="1"/>
      <w:tblBorders>
        <w:top w:val="single" w:sz="4" w:space="0" w:color="A2D6DE" w:themeColor="accent1" w:themeTint="99"/>
        <w:left w:val="single" w:sz="4" w:space="0" w:color="A2D6DE" w:themeColor="accent1" w:themeTint="99"/>
        <w:bottom w:val="single" w:sz="4" w:space="0" w:color="A2D6DE" w:themeColor="accent1" w:themeTint="99"/>
        <w:right w:val="single" w:sz="4" w:space="0" w:color="A2D6DE" w:themeColor="accent1" w:themeTint="99"/>
        <w:insideH w:val="single" w:sz="4" w:space="0" w:color="A2D6DE" w:themeColor="accent1" w:themeTint="99"/>
        <w:insideV w:val="single" w:sz="4" w:space="0" w:color="A2D6DE" w:themeColor="accent1" w:themeTint="99"/>
      </w:tblBorders>
    </w:tblPr>
    <w:tblStylePr w:type="firstRow">
      <w:rPr>
        <w:b/>
        <w:bCs/>
        <w:color w:val="FFFFFF" w:themeColor="background1"/>
      </w:rPr>
      <w:tblPr/>
      <w:tcPr>
        <w:tcBorders>
          <w:top w:val="single" w:sz="4" w:space="0" w:color="65BBC8" w:themeColor="accent1"/>
          <w:left w:val="single" w:sz="4" w:space="0" w:color="65BBC8" w:themeColor="accent1"/>
          <w:bottom w:val="single" w:sz="4" w:space="0" w:color="65BBC8" w:themeColor="accent1"/>
          <w:right w:val="single" w:sz="4" w:space="0" w:color="65BBC8" w:themeColor="accent1"/>
          <w:insideH w:val="nil"/>
          <w:insideV w:val="nil"/>
        </w:tcBorders>
        <w:shd w:val="clear" w:color="auto" w:fill="65BBC8" w:themeFill="accent1"/>
      </w:tcPr>
    </w:tblStylePr>
    <w:tblStylePr w:type="lastRow">
      <w:rPr>
        <w:b/>
        <w:bCs/>
      </w:rPr>
      <w:tblPr/>
      <w:tcPr>
        <w:tcBorders>
          <w:top w:val="double" w:sz="4" w:space="0" w:color="65BBC8" w:themeColor="accent1"/>
        </w:tcBorders>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ListTable6Colorful-Accent11">
    <w:name w:val="List Table 6 Colorful - Accent 11"/>
    <w:basedOn w:val="TableNormal"/>
    <w:uiPriority w:val="51"/>
    <w:rPr>
      <w:color w:val="3B97A5" w:themeColor="accent1" w:themeShade="BF"/>
    </w:rPr>
    <w:tblPr>
      <w:tblStyleRowBandSize w:val="1"/>
      <w:tblStyleColBandSize w:val="1"/>
      <w:tblBorders>
        <w:top w:val="single" w:sz="4" w:space="0" w:color="65BBC8" w:themeColor="accent1"/>
        <w:bottom w:val="single" w:sz="4" w:space="0" w:color="65BBC8" w:themeColor="accent1"/>
      </w:tblBorders>
    </w:tblPr>
    <w:tblStylePr w:type="firstRow">
      <w:rPr>
        <w:b/>
        <w:bCs/>
      </w:rPr>
      <w:tblPr/>
      <w:tcPr>
        <w:tcBorders>
          <w:bottom w:val="single" w:sz="4" w:space="0" w:color="65BBC8" w:themeColor="accent1"/>
        </w:tcBorders>
      </w:tcPr>
    </w:tblStylePr>
    <w:tblStylePr w:type="lastRow">
      <w:rPr>
        <w:b/>
        <w:bCs/>
      </w:rPr>
      <w:tblPr/>
      <w:tcPr>
        <w:tcBorders>
          <w:top w:val="double" w:sz="4" w:space="0" w:color="65BBC8" w:themeColor="accent1"/>
        </w:tcBorders>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ListTable2-Accent11">
    <w:name w:val="List Table 2 - Accent 11"/>
    <w:basedOn w:val="TableNormal"/>
    <w:uiPriority w:val="47"/>
    <w:tblPr>
      <w:tblStyleRowBandSize w:val="1"/>
      <w:tblStyleColBandSize w:val="1"/>
      <w:tblBorders>
        <w:top w:val="single" w:sz="4" w:space="0" w:color="A2D6DE" w:themeColor="accent1" w:themeTint="99"/>
        <w:bottom w:val="single" w:sz="4" w:space="0" w:color="A2D6DE" w:themeColor="accent1" w:themeTint="99"/>
        <w:insideH w:val="single" w:sz="4" w:space="0" w:color="A2D6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GridTable6Colorful-Accent51">
    <w:name w:val="Grid Table 6 Colorful - Accent 51"/>
    <w:basedOn w:val="TableNormal"/>
    <w:uiPriority w:val="51"/>
    <w:rPr>
      <w:color w:val="B76818" w:themeColor="accent5" w:themeShade="BF"/>
      <w:lang w:val="en-GB"/>
    </w:rPr>
    <w:tblPr>
      <w:tblStyleRowBandSize w:val="1"/>
      <w:tblStyleColBandSize w:val="1"/>
      <w:tblBorders>
        <w:top w:val="single" w:sz="4" w:space="0" w:color="EEB983" w:themeColor="accent5" w:themeTint="99"/>
        <w:left w:val="single" w:sz="4" w:space="0" w:color="EEB983" w:themeColor="accent5" w:themeTint="99"/>
        <w:bottom w:val="single" w:sz="4" w:space="0" w:color="EEB983" w:themeColor="accent5" w:themeTint="99"/>
        <w:right w:val="single" w:sz="4" w:space="0" w:color="EEB983" w:themeColor="accent5" w:themeTint="99"/>
        <w:insideH w:val="single" w:sz="4" w:space="0" w:color="EEB983" w:themeColor="accent5" w:themeTint="99"/>
        <w:insideV w:val="single" w:sz="4" w:space="0" w:color="EEB983" w:themeColor="accent5" w:themeTint="99"/>
      </w:tblBorders>
    </w:tblPr>
    <w:tblStylePr w:type="firstRow">
      <w:rPr>
        <w:b/>
        <w:bCs/>
      </w:rPr>
      <w:tblPr/>
      <w:tcPr>
        <w:tcBorders>
          <w:bottom w:val="single" w:sz="12" w:space="0" w:color="EEB983" w:themeColor="accent5" w:themeTint="99"/>
        </w:tcBorders>
      </w:tcPr>
    </w:tblStylePr>
    <w:tblStylePr w:type="lastRow">
      <w:rPr>
        <w:b/>
        <w:bCs/>
      </w:rPr>
      <w:tblPr/>
      <w:tcPr>
        <w:tcBorders>
          <w:top w:val="double" w:sz="4" w:space="0" w:color="EEB983" w:themeColor="accent5" w:themeTint="99"/>
        </w:tcBorders>
      </w:tcPr>
    </w:tblStylePr>
    <w:tblStylePr w:type="firstCol">
      <w:rPr>
        <w:b/>
        <w:bCs/>
      </w:rPr>
    </w:tblStylePr>
    <w:tblStylePr w:type="lastCol">
      <w:rPr>
        <w:b/>
        <w:bCs/>
      </w:rPr>
    </w:tblStylePr>
    <w:tblStylePr w:type="band1Vert">
      <w:tblPr/>
      <w:tcPr>
        <w:shd w:val="clear" w:color="auto" w:fill="F9E7D5" w:themeFill="accent5" w:themeFillTint="33"/>
      </w:tcPr>
    </w:tblStylePr>
    <w:tblStylePr w:type="band1Horz">
      <w:tblPr/>
      <w:tcPr>
        <w:shd w:val="clear" w:color="auto" w:fill="F9E7D5" w:themeFill="accent5" w:themeFillTint="33"/>
      </w:tcPr>
    </w:tblStylePr>
  </w:style>
  <w:style w:type="table" w:customStyle="1" w:styleId="GridTable2-Accent11">
    <w:name w:val="Grid Table 2 - Accent 11"/>
    <w:basedOn w:val="TableNormal"/>
    <w:uiPriority w:val="47"/>
    <w:tblPr>
      <w:tblStyleRowBandSize w:val="1"/>
      <w:tblStyleColBandSize w:val="1"/>
      <w:tblBorders>
        <w:top w:val="single" w:sz="2" w:space="0" w:color="A2D6DE" w:themeColor="accent1" w:themeTint="99"/>
        <w:bottom w:val="single" w:sz="2" w:space="0" w:color="A2D6DE" w:themeColor="accent1" w:themeTint="99"/>
        <w:insideH w:val="single" w:sz="2" w:space="0" w:color="A2D6DE" w:themeColor="accent1" w:themeTint="99"/>
        <w:insideV w:val="single" w:sz="2" w:space="0" w:color="A2D6DE" w:themeColor="accent1" w:themeTint="99"/>
      </w:tblBorders>
    </w:tblPr>
    <w:tcPr>
      <w:vAlign w:val="center"/>
    </w:tcPr>
    <w:tblStylePr w:type="firstRow">
      <w:rPr>
        <w:b/>
        <w:bCs/>
      </w:rPr>
      <w:tblPr/>
      <w:tcPr>
        <w:tcBorders>
          <w:top w:val="nil"/>
          <w:bottom w:val="single" w:sz="12" w:space="0" w:color="A2D6DE" w:themeColor="accent1" w:themeTint="99"/>
          <w:insideH w:val="nil"/>
          <w:insideV w:val="nil"/>
        </w:tcBorders>
        <w:shd w:val="clear" w:color="auto" w:fill="FFFFFF" w:themeFill="background1"/>
      </w:tcPr>
    </w:tblStylePr>
    <w:tblStylePr w:type="lastRow">
      <w:rPr>
        <w:b/>
        <w:bCs/>
      </w:rPr>
      <w:tblPr/>
      <w:tcPr>
        <w:tcBorders>
          <w:top w:val="double" w:sz="2" w:space="0" w:color="A2D6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paragraph" w:styleId="CommentText">
    <w:name w:val="annotation text"/>
    <w:basedOn w:val="Normal"/>
    <w:link w:val="CommentTextChar"/>
    <w:uiPriority w:val="99"/>
    <w:unhideWhenUsed/>
    <w:qFormat/>
    <w:rPr>
      <w:szCs w:val="20"/>
    </w:rPr>
  </w:style>
  <w:style w:type="character" w:customStyle="1" w:styleId="CommentTextChar">
    <w:name w:val="Comment Text Char"/>
    <w:basedOn w:val="DefaultParagraphFont"/>
    <w:link w:val="CommentText"/>
    <w:uiPriority w:val="99"/>
    <w:rPr>
      <w:rFonts w:ascii="EC Square Sans Pro" w:hAnsi="EC Square Sans Pro" w:cs="Times New Roman"/>
      <w:sz w:val="20"/>
      <w:szCs w:val="20"/>
      <w:lang w:val="en-GB"/>
    </w:rPr>
  </w:style>
  <w:style w:type="paragraph" w:customStyle="1" w:styleId="Paragraph">
    <w:name w:val="Paragraph"/>
    <w:basedOn w:val="Normal"/>
    <w:link w:val="ParagraphChar"/>
    <w:qFormat/>
    <w:pPr>
      <w:spacing w:after="120"/>
      <w:jc w:val="both"/>
    </w:pPr>
    <w:rPr>
      <w:rFonts w:eastAsia="Times New Roman"/>
      <w:sz w:val="24"/>
      <w:szCs w:val="24"/>
    </w:rPr>
  </w:style>
  <w:style w:type="character" w:customStyle="1" w:styleId="ParagraphChar">
    <w:name w:val="Paragraph Char"/>
    <w:basedOn w:val="DefaultParagraphFont"/>
    <w:link w:val="Paragraph"/>
    <w:rPr>
      <w:rFonts w:ascii="EC Square Sans Pro" w:eastAsia="Times New Roman" w:hAnsi="EC Square Sans Pro" w:cs="Times New Roman"/>
      <w:sz w:val="24"/>
      <w:szCs w:val="24"/>
      <w:lang w:val="en-GB"/>
    </w:rPr>
  </w:style>
  <w:style w:type="paragraph" w:customStyle="1" w:styleId="Subtitleblue">
    <w:name w:val="Subtitle blue"/>
    <w:basedOn w:val="Normal"/>
    <w:link w:val="SubtitleblueChar"/>
    <w:qFormat/>
    <w:rPr>
      <w:b/>
      <w:i/>
      <w:color w:val="65BBC8"/>
      <w:lang w:eastAsia="zh-CN"/>
    </w:rPr>
  </w:style>
  <w:style w:type="character" w:customStyle="1" w:styleId="SubtitleblueChar">
    <w:name w:val="Subtitle blue Char"/>
    <w:basedOn w:val="DefaultParagraphFont"/>
    <w:link w:val="Subtitleblue"/>
    <w:rPr>
      <w:rFonts w:ascii="EC Square Sans Pro" w:hAnsi="EC Square Sans Pro" w:cs="Times New Roman"/>
      <w:b/>
      <w:i/>
      <w:color w:val="65BBC8"/>
      <w:sz w:val="20"/>
      <w:lang w:val="en-GB" w:eastAsia="zh-CN"/>
    </w:rPr>
  </w:style>
  <w:style w:type="paragraph" w:customStyle="1" w:styleId="BOX1BLUE">
    <w:name w:val="BOX 1 / BLUE"/>
    <w:basedOn w:val="BOXE1GREEN"/>
    <w:link w:val="BOX1BLUEChar"/>
    <w:qFormat/>
    <w:pPr>
      <w:pBdr>
        <w:top w:val="single" w:sz="12" w:space="1" w:color="65BBC8" w:themeColor="accent1"/>
        <w:left w:val="single" w:sz="12" w:space="4" w:color="65BBC8" w:themeColor="accent1"/>
        <w:bottom w:val="single" w:sz="12" w:space="1" w:color="65BBC8" w:themeColor="accent1"/>
        <w:right w:val="single" w:sz="12" w:space="4" w:color="65BBC8" w:themeColor="accent1"/>
      </w:pBdr>
    </w:pPr>
    <w:rPr>
      <w:color w:val="65BBC8" w:themeColor="accent1"/>
    </w:rPr>
  </w:style>
  <w:style w:type="paragraph" w:customStyle="1" w:styleId="Subtitle3blue">
    <w:name w:val="Subtitle 3 blue"/>
    <w:basedOn w:val="Normal"/>
    <w:link w:val="Subtitle3blueChar"/>
    <w:qFormat/>
    <w:rPr>
      <w:b/>
      <w:color w:val="65BBC8"/>
      <w:lang w:eastAsia="zh-CN"/>
    </w:rPr>
  </w:style>
  <w:style w:type="character" w:customStyle="1" w:styleId="BOX1BLUEChar">
    <w:name w:val="BOX 1 / BLUE Char"/>
    <w:basedOn w:val="BOXE1GREENChar"/>
    <w:link w:val="BOX1BLUE"/>
    <w:rPr>
      <w:rFonts w:ascii="EC Square Sans Pro" w:hAnsi="EC Square Sans Pro" w:cs="Times New Roman"/>
      <w:b/>
      <w:noProof/>
      <w:color w:val="65BBC8" w:themeColor="accent1"/>
      <w:sz w:val="20"/>
      <w:lang w:val="en-GB" w:eastAsia="fr-BE"/>
    </w:rPr>
  </w:style>
  <w:style w:type="paragraph" w:styleId="BodyText">
    <w:name w:val="Body Text"/>
    <w:basedOn w:val="Normal"/>
    <w:link w:val="BodyTextChar0"/>
    <w:unhideWhenUsed/>
    <w:qFormat/>
    <w:pPr>
      <w:spacing w:after="120"/>
    </w:pPr>
  </w:style>
  <w:style w:type="character" w:customStyle="1" w:styleId="BodyTextChar0">
    <w:name w:val="Body Text Char"/>
    <w:basedOn w:val="DefaultParagraphFont"/>
    <w:link w:val="BodyText"/>
    <w:rPr>
      <w:rFonts w:ascii="EC Square Sans Pro" w:hAnsi="EC Square Sans Pro" w:cs="Times New Roman"/>
      <w:sz w:val="20"/>
      <w:lang w:val="en-GB"/>
    </w:rPr>
  </w:style>
  <w:style w:type="character" w:customStyle="1" w:styleId="Subtitle3blueChar">
    <w:name w:val="Subtitle 3 blue Char"/>
    <w:basedOn w:val="DefaultParagraphFont"/>
    <w:link w:val="Subtitle3blue"/>
    <w:rPr>
      <w:rFonts w:ascii="EC Square Sans Pro" w:hAnsi="EC Square Sans Pro" w:cs="Times New Roman"/>
      <w:b/>
      <w:color w:val="65BBC8"/>
      <w:sz w:val="20"/>
      <w:lang w:val="en-GB" w:eastAsia="zh-CN"/>
    </w:rPr>
  </w:style>
  <w:style w:type="paragraph" w:customStyle="1" w:styleId="TITLE3Blue">
    <w:name w:val="TITLE 3 Blue"/>
    <w:basedOn w:val="Normal"/>
    <w:link w:val="TITLE3BlueChar"/>
    <w:pPr>
      <w:ind w:left="644" w:hanging="360"/>
    </w:pPr>
    <w:rPr>
      <w:color w:val="65BBC8" w:themeColor="accent1"/>
      <w:lang w:eastAsia="zh-CN"/>
    </w:rPr>
  </w:style>
  <w:style w:type="paragraph" w:customStyle="1" w:styleId="TITLE1EXECUTIVESUMMARY">
    <w:name w:val="TITLE 1 / EXECUTIVE SUMMARY"/>
    <w:basedOn w:val="TITLE1Report"/>
    <w:link w:val="TITLE1EXECUTIVESUMMARYChar"/>
    <w:qFormat/>
    <w:rPr>
      <w:color w:val="08AA74" w:themeColor="accent3"/>
    </w:rPr>
  </w:style>
  <w:style w:type="character" w:customStyle="1" w:styleId="TITLE3BlueChar">
    <w:name w:val="TITLE 3 Blue Char"/>
    <w:basedOn w:val="TITLE3ExecutivesummaryChar"/>
    <w:link w:val="TITLE3Blue"/>
    <w:rPr>
      <w:rFonts w:ascii="EC Square Sans Pro" w:hAnsi="EC Square Sans Pro" w:cs="Times New Roman"/>
      <w:b w:val="0"/>
      <w:color w:val="65BBC8" w:themeColor="accent1"/>
      <w:sz w:val="20"/>
      <w:lang w:val="en-GB" w:eastAsia="zh-CN"/>
    </w:rPr>
  </w:style>
  <w:style w:type="paragraph" w:customStyle="1" w:styleId="Title2Report">
    <w:name w:val="Title 2 / Report"/>
    <w:basedOn w:val="Normal"/>
    <w:link w:val="Title2ReportChar"/>
    <w:qFormat/>
    <w:pPr>
      <w:pBdr>
        <w:top w:val="single" w:sz="12" w:space="1" w:color="65BBC8"/>
        <w:bottom w:val="single" w:sz="12" w:space="1" w:color="65BBC8"/>
      </w:pBdr>
      <w:spacing w:before="240" w:after="240" w:line="276" w:lineRule="auto"/>
      <w:ind w:left="-6" w:right="1"/>
      <w:outlineLvl w:val="1"/>
    </w:pPr>
    <w:rPr>
      <w:rFonts w:eastAsia="EC Square Sans Pro"/>
      <w:b/>
      <w:color w:val="65BBC8"/>
      <w:sz w:val="28"/>
      <w:szCs w:val="21"/>
      <w:lang w:eastAsia="zh-CN"/>
    </w:rPr>
  </w:style>
  <w:style w:type="character" w:customStyle="1" w:styleId="TITLE1EXECUTIVESUMMARYChar">
    <w:name w:val="TITLE 1 / EXECUTIVE SUMMARY Char"/>
    <w:basedOn w:val="TITLE1ReportChar"/>
    <w:link w:val="TITLE1EXECUTIVESUMMARY"/>
    <w:rPr>
      <w:rFonts w:ascii="EC Square Sans Pro" w:hAnsi="EC Square Sans Pro" w:cs="Times New Roman"/>
      <w:color w:val="08AA74" w:themeColor="accent3"/>
      <w:sz w:val="52"/>
      <w:lang w:val="en-GB"/>
    </w:rPr>
  </w:style>
  <w:style w:type="paragraph" w:customStyle="1" w:styleId="Title3Report">
    <w:name w:val="Title 3 / Report"/>
    <w:basedOn w:val="TITLE3Executivesummary"/>
    <w:link w:val="Title3ReportChar"/>
    <w:qFormat/>
    <w:pPr>
      <w:numPr>
        <w:numId w:val="0"/>
      </w:numPr>
      <w:ind w:left="142"/>
    </w:pPr>
    <w:rPr>
      <w:color w:val="65BBC8" w:themeColor="accent1"/>
    </w:rPr>
  </w:style>
  <w:style w:type="character" w:customStyle="1" w:styleId="Title2ReportChar">
    <w:name w:val="Title 2 / Report Char"/>
    <w:basedOn w:val="Title2ExecutivesummaryChar"/>
    <w:link w:val="Title2Report"/>
    <w:rPr>
      <w:rFonts w:ascii="EC Square Sans Pro" w:eastAsia="EC Square Sans Pro" w:hAnsi="EC Square Sans Pro" w:cs="Times New Roman"/>
      <w:b/>
      <w:color w:val="65BBC8"/>
      <w:sz w:val="28"/>
      <w:szCs w:val="21"/>
      <w:lang w:val="en-GB" w:eastAsia="zh-CN"/>
    </w:rPr>
  </w:style>
  <w:style w:type="paragraph" w:customStyle="1" w:styleId="QuoteReport">
    <w:name w:val="Quote Report"/>
    <w:basedOn w:val="QuotedText"/>
    <w:link w:val="QuoteReportChar"/>
    <w:qFormat/>
    <w:pPr>
      <w:ind w:left="41"/>
      <w:jc w:val="center"/>
    </w:pPr>
    <w:rPr>
      <w:rFonts w:eastAsia="Calibri"/>
      <w:color w:val="65BBC8" w:themeColor="accent1"/>
      <w:lang w:eastAsia="zh-CN"/>
    </w:rPr>
  </w:style>
  <w:style w:type="character" w:customStyle="1" w:styleId="Title3ReportChar">
    <w:name w:val="Title 3 / Report Char"/>
    <w:basedOn w:val="TITLE3ExecutivesummaryChar"/>
    <w:link w:val="Title3Report"/>
    <w:rPr>
      <w:rFonts w:ascii="EC Square Sans Pro" w:hAnsi="EC Square Sans Pro" w:cs="Times New Roman"/>
      <w:b/>
      <w:color w:val="65BBC8" w:themeColor="accent1"/>
      <w:sz w:val="24"/>
      <w:lang w:val="en-GB" w:eastAsia="zh-CN"/>
    </w:rPr>
  </w:style>
  <w:style w:type="paragraph" w:customStyle="1" w:styleId="Title1Corporate">
    <w:name w:val="Title 1 / Corporate"/>
    <w:basedOn w:val="TITLE1Report"/>
    <w:link w:val="Title1CorporateChar"/>
    <w:qFormat/>
    <w:rPr>
      <w:color w:val="1F4EA2" w:themeColor="background2"/>
    </w:rPr>
  </w:style>
  <w:style w:type="character" w:customStyle="1" w:styleId="QuotedTextChar">
    <w:name w:val="Quoted Text Char"/>
    <w:basedOn w:val="DefaultParagraphFont"/>
    <w:link w:val="QuotedText"/>
    <w:rPr>
      <w:rFonts w:ascii="EC Square Sans Pro" w:hAnsi="EC Square Sans Pro" w:cs="Times New Roman"/>
      <w:i/>
      <w:sz w:val="28"/>
      <w:lang w:val="en-GB"/>
    </w:rPr>
  </w:style>
  <w:style w:type="character" w:customStyle="1" w:styleId="QuoteReportChar">
    <w:name w:val="Quote Report Char"/>
    <w:basedOn w:val="QuotedTextChar"/>
    <w:link w:val="QuoteReport"/>
    <w:rPr>
      <w:rFonts w:ascii="EC Square Sans Pro" w:eastAsia="Calibri" w:hAnsi="EC Square Sans Pro" w:cs="Times New Roman"/>
      <w:i/>
      <w:color w:val="65BBC8" w:themeColor="accent1"/>
      <w:sz w:val="28"/>
      <w:lang w:val="en-GB" w:eastAsia="zh-CN"/>
    </w:rPr>
  </w:style>
  <w:style w:type="paragraph" w:customStyle="1" w:styleId="Datagraphs">
    <w:name w:val="Data graphs"/>
    <w:basedOn w:val="Forewordbodytext"/>
    <w:link w:val="DatagraphsChar"/>
    <w:qFormat/>
  </w:style>
  <w:style w:type="character" w:customStyle="1" w:styleId="Title1CorporateChar">
    <w:name w:val="Title 1 / Corporate Char"/>
    <w:basedOn w:val="TITLE1ReportChar"/>
    <w:link w:val="Title1Corporate"/>
    <w:rPr>
      <w:rFonts w:ascii="EC Square Sans Pro" w:hAnsi="EC Square Sans Pro" w:cs="Times New Roman"/>
      <w:color w:val="1F4EA2" w:themeColor="background2"/>
      <w:sz w:val="52"/>
      <w:lang w:val="en-GB"/>
    </w:rPr>
  </w:style>
  <w:style w:type="paragraph" w:customStyle="1" w:styleId="BOX3Blue">
    <w:name w:val="BOX 3 / Blue"/>
    <w:basedOn w:val="BOXE3GREEN"/>
    <w:link w:val="BOX3BlueChar"/>
    <w:qFormat/>
    <w:pPr>
      <w:pBdr>
        <w:top w:val="dashSmallGap" w:sz="12" w:space="1" w:color="65BBC8" w:themeColor="accent1"/>
        <w:left w:val="dashSmallGap" w:sz="12" w:space="4" w:color="65BBC8" w:themeColor="accent1"/>
        <w:bottom w:val="dashSmallGap" w:sz="12" w:space="1" w:color="65BBC8" w:themeColor="accent1"/>
        <w:right w:val="dashSmallGap" w:sz="12" w:space="4" w:color="65BBC8" w:themeColor="accent1"/>
      </w:pBdr>
    </w:pPr>
    <w:rPr>
      <w:b/>
      <w:color w:val="65BBC8"/>
    </w:rPr>
  </w:style>
  <w:style w:type="character" w:customStyle="1" w:styleId="DatagraphsChar">
    <w:name w:val="Data graphs Char"/>
    <w:basedOn w:val="ForewordbodytextChar"/>
    <w:link w:val="Datagraphs"/>
    <w:rPr>
      <w:rFonts w:ascii="EC Square Sans Pro" w:hAnsi="EC Square Sans Pro" w:cs="Times New Roman"/>
      <w:noProof/>
      <w:sz w:val="18"/>
      <w:lang w:val="en-GB" w:eastAsia="fr-BE"/>
    </w:rPr>
  </w:style>
  <w:style w:type="paragraph" w:customStyle="1" w:styleId="BOX2Blue">
    <w:name w:val="BOX 2 /Blue"/>
    <w:basedOn w:val="BOXE2GREEN"/>
    <w:link w:val="BOX2BlueChar"/>
    <w:qFormat/>
    <w:pPr>
      <w:shd w:val="clear" w:color="auto" w:fill="FBEFD5"/>
    </w:pPr>
  </w:style>
  <w:style w:type="character" w:customStyle="1" w:styleId="BOX3BlueChar">
    <w:name w:val="BOX 3 / Blue Char"/>
    <w:basedOn w:val="BOXE3GREENChar"/>
    <w:link w:val="BOX3Blue"/>
    <w:rPr>
      <w:rFonts w:ascii="EC Square Sans Pro" w:hAnsi="EC Square Sans Pro" w:cs="Times New Roman"/>
      <w:b/>
      <w:noProof/>
      <w:color w:val="65BBC8"/>
      <w:sz w:val="20"/>
      <w:lang w:val="en-GB" w:eastAsia="fr-BE"/>
    </w:rPr>
  </w:style>
  <w:style w:type="paragraph" w:customStyle="1" w:styleId="Title4Blue">
    <w:name w:val="Title 4 / Blue"/>
    <w:basedOn w:val="Title4Executivesummary"/>
    <w:link w:val="Title4BlueChar"/>
    <w:qFormat/>
    <w:pPr>
      <w:numPr>
        <w:ilvl w:val="0"/>
        <w:numId w:val="0"/>
      </w:numPr>
      <w:ind w:left="1440" w:hanging="360"/>
    </w:pPr>
    <w:rPr>
      <w:color w:val="65BBC8" w:themeColor="accent1"/>
    </w:rPr>
  </w:style>
  <w:style w:type="character" w:customStyle="1" w:styleId="BOX2BlueChar">
    <w:name w:val="BOX 2 /Blue Char"/>
    <w:basedOn w:val="BOXE2GREENChar"/>
    <w:link w:val="BOX2Blue"/>
    <w:rPr>
      <w:rFonts w:ascii="EC Square Sans Pro" w:hAnsi="EC Square Sans Pro" w:cs="Times New Roman"/>
      <w:noProof/>
      <w:color w:val="000000" w:themeColor="text1"/>
      <w:sz w:val="20"/>
      <w:shd w:val="clear" w:color="auto" w:fill="FBEFD5"/>
      <w:lang w:val="en-GB" w:eastAsia="fr-BE"/>
    </w:rPr>
  </w:style>
  <w:style w:type="character" w:customStyle="1" w:styleId="Title4BlueChar">
    <w:name w:val="Title 4 / Blue Char"/>
    <w:basedOn w:val="Title4ExecutivesummaryChar"/>
    <w:link w:val="Title4Blue"/>
    <w:rPr>
      <w:rFonts w:ascii="EC Square Sans Pro" w:hAnsi="EC Square Sans Pro" w:cs="Times New Roman"/>
      <w:noProof/>
      <w:color w:val="65BBC8" w:themeColor="accent1"/>
      <w:sz w:val="18"/>
      <w:szCs w:val="28"/>
      <w:lang w:val="en-GB" w:eastAsia="zh-CN"/>
    </w:rPr>
  </w:style>
  <w:style w:type="paragraph" w:customStyle="1" w:styleId="Title1Annexes">
    <w:name w:val="Title 1 / Annexes"/>
    <w:basedOn w:val="Annexetitle"/>
    <w:link w:val="Title1AnnexesChar"/>
    <w:qFormat/>
    <w:pPr>
      <w:keepNext/>
      <w:keepLines/>
      <w:pageBreakBefore/>
    </w:pPr>
    <w:rPr>
      <w:color w:val="E48C32" w:themeColor="accent5"/>
    </w:rPr>
  </w:style>
  <w:style w:type="paragraph" w:customStyle="1" w:styleId="Title1Endnotes">
    <w:name w:val="Title 1 / Endnotes"/>
    <w:basedOn w:val="Annexetitle"/>
    <w:link w:val="Title1EndnotesChar"/>
    <w:qFormat/>
    <w:rPr>
      <w:color w:val="EFC465" w:themeColor="accent6"/>
    </w:rPr>
  </w:style>
  <w:style w:type="character" w:customStyle="1" w:styleId="Title1AnnexesChar">
    <w:name w:val="Title 1 / Annexes Char"/>
    <w:basedOn w:val="AnnexetitleChar"/>
    <w:link w:val="Title1Annexes"/>
    <w:rPr>
      <w:rFonts w:ascii="EC Square Sans Pro" w:hAnsi="EC Square Sans Pro" w:cs="Times New Roman"/>
      <w:color w:val="E48C32" w:themeColor="accent5"/>
      <w:sz w:val="52"/>
      <w:lang w:val="en-GB" w:eastAsia="zh-CN"/>
    </w:rPr>
  </w:style>
  <w:style w:type="paragraph" w:customStyle="1" w:styleId="Title2Annexes">
    <w:name w:val="Title 2 / Annexes"/>
    <w:basedOn w:val="Subtitleannexe"/>
    <w:link w:val="Title2AnnexesChar"/>
    <w:qFormat/>
    <w:pPr>
      <w:keepNext/>
      <w:keepLines/>
      <w:pBdr>
        <w:top w:val="single" w:sz="12" w:space="1" w:color="E48C32"/>
        <w:bottom w:val="single" w:sz="12" w:space="1" w:color="E48C32"/>
      </w:pBdr>
      <w:ind w:right="0"/>
    </w:pPr>
    <w:rPr>
      <w:color w:val="E48C32" w:themeColor="accent5"/>
    </w:rPr>
  </w:style>
  <w:style w:type="character" w:customStyle="1" w:styleId="Title1EndnotesChar">
    <w:name w:val="Title 1 / Endnotes Char"/>
    <w:basedOn w:val="AnnexetitleChar"/>
    <w:link w:val="Title1Endnotes"/>
    <w:rPr>
      <w:rFonts w:ascii="EC Square Sans Pro" w:hAnsi="EC Square Sans Pro" w:cs="Times New Roman"/>
      <w:color w:val="EFC465" w:themeColor="accent6"/>
      <w:sz w:val="52"/>
      <w:lang w:val="en-GB" w:eastAsia="zh-CN"/>
    </w:rPr>
  </w:style>
  <w:style w:type="paragraph" w:customStyle="1" w:styleId="Title3Annexes">
    <w:name w:val="Title 3 / Annexes"/>
    <w:basedOn w:val="Title3Report"/>
    <w:link w:val="Title3AnnexesChar"/>
    <w:qFormat/>
    <w:pPr>
      <w:numPr>
        <w:numId w:val="18"/>
      </w:numPr>
    </w:pPr>
    <w:rPr>
      <w:color w:val="E48C32" w:themeColor="accent5"/>
    </w:rPr>
  </w:style>
  <w:style w:type="character" w:customStyle="1" w:styleId="Title2AnnexesChar">
    <w:name w:val="Title 2 / Annexes Char"/>
    <w:basedOn w:val="SubtitleannexeChar"/>
    <w:link w:val="Title2Annexes"/>
    <w:rPr>
      <w:rFonts w:ascii="EC Square Sans Pro" w:eastAsia="EC Square Sans Pro" w:hAnsi="EC Square Sans Pro" w:cs="Times New Roman"/>
      <w:b/>
      <w:color w:val="E48C32" w:themeColor="accent5"/>
      <w:sz w:val="28"/>
      <w:szCs w:val="21"/>
      <w:lang w:val="en-GB" w:eastAsia="zh-CN"/>
    </w:rPr>
  </w:style>
  <w:style w:type="paragraph" w:customStyle="1" w:styleId="Title4annexes">
    <w:name w:val="Title 4 / annexes"/>
    <w:basedOn w:val="Title3Annexes"/>
    <w:link w:val="Title4annexesChar"/>
    <w:qFormat/>
    <w:pPr>
      <w:numPr>
        <w:ilvl w:val="1"/>
      </w:numPr>
    </w:pPr>
    <w:rPr>
      <w:b w:val="0"/>
    </w:rPr>
  </w:style>
  <w:style w:type="character" w:customStyle="1" w:styleId="Title3AnnexesChar">
    <w:name w:val="Title 3 / Annexes Char"/>
    <w:basedOn w:val="Title3ReportChar"/>
    <w:link w:val="Title3Annexes"/>
    <w:rPr>
      <w:rFonts w:ascii="EC Square Sans Pro" w:hAnsi="EC Square Sans Pro" w:cs="Times New Roman"/>
      <w:b/>
      <w:color w:val="E48C32" w:themeColor="accent5"/>
      <w:sz w:val="24"/>
      <w:lang w:val="en-GB" w:eastAsia="zh-CN"/>
    </w:rPr>
  </w:style>
  <w:style w:type="paragraph" w:customStyle="1" w:styleId="AARText">
    <w:name w:val="AAR Text"/>
    <w:basedOn w:val="Normal"/>
    <w:link w:val="AARTextChar"/>
    <w:qFormat/>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Title4annexesChar">
    <w:name w:val="Title 4 / annexes Char"/>
    <w:basedOn w:val="Title3AnnexesChar"/>
    <w:link w:val="Title4annexes"/>
    <w:rPr>
      <w:rFonts w:ascii="EC Square Sans Pro" w:hAnsi="EC Square Sans Pro" w:cs="Times New Roman"/>
      <w:b w:val="0"/>
      <w:color w:val="E48C32" w:themeColor="accent5"/>
      <w:sz w:val="24"/>
      <w:lang w:val="en-GB" w:eastAsia="zh-CN"/>
    </w:rPr>
  </w:style>
  <w:style w:type="character" w:customStyle="1" w:styleId="AARTextChar">
    <w:name w:val="AAR Text Char"/>
    <w:link w:val="AARText"/>
    <w:rPr>
      <w:rFonts w:ascii="EC Square Sans Pro" w:eastAsia="Times New Roman" w:hAnsi="EC Square Sans Pro" w:cs="Times New Roman"/>
      <w:color w:val="7F7F7F" w:themeColor="text1" w:themeTint="80"/>
      <w:sz w:val="19"/>
      <w:szCs w:val="24"/>
      <w:lang w:val="en-GB" w:eastAsia="en-GB"/>
    </w:rPr>
  </w:style>
  <w:style w:type="paragraph" w:customStyle="1" w:styleId="1AMPRText">
    <w:name w:val="1 AMPR Text"/>
    <w:basedOn w:val="Normal"/>
    <w:link w:val="1AMPRTextChar"/>
    <w:qFormat/>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1AMPRTextChar">
    <w:name w:val="1 AMPR Text Char"/>
    <w:link w:val="1AMPRText"/>
    <w:rPr>
      <w:rFonts w:ascii="EC Square Sans Pro" w:eastAsia="Times New Roman" w:hAnsi="EC Square Sans Pro" w:cs="Times New Roman"/>
      <w:color w:val="7F7F7F" w:themeColor="text1" w:themeTint="80"/>
      <w:sz w:val="19"/>
      <w:szCs w:val="24"/>
      <w:lang w:val="en-GB" w:eastAsia="en-GB"/>
    </w:rPr>
  </w:style>
  <w:style w:type="paragraph" w:customStyle="1" w:styleId="tabletext">
    <w:name w:val="table text"/>
    <w:basedOn w:val="Normal"/>
    <w:link w:val="tabletextChar"/>
    <w:qFormat/>
    <w:pPr>
      <w:widowControl w:val="0"/>
      <w:autoSpaceDE w:val="0"/>
      <w:autoSpaceDN w:val="0"/>
      <w:adjustRightInd w:val="0"/>
      <w:jc w:val="center"/>
    </w:pPr>
    <w:rPr>
      <w:rFonts w:eastAsia="Calibri" w:cs="Arial"/>
      <w:color w:val="000000" w:themeColor="text1"/>
      <w:sz w:val="17"/>
      <w:szCs w:val="24"/>
      <w:u w:val="single"/>
      <w:lang w:eastAsia="en-GB"/>
    </w:rPr>
  </w:style>
  <w:style w:type="paragraph" w:customStyle="1" w:styleId="tabletext2">
    <w:name w:val="table text 2"/>
    <w:basedOn w:val="Normal"/>
    <w:link w:val="tabletext2Char"/>
    <w:qFormat/>
    <w:pPr>
      <w:widowControl w:val="0"/>
      <w:autoSpaceDE w:val="0"/>
      <w:autoSpaceDN w:val="0"/>
      <w:adjustRightInd w:val="0"/>
    </w:pPr>
    <w:rPr>
      <w:rFonts w:eastAsia="Times New Roman" w:cs="Arial"/>
      <w:b/>
      <w:color w:val="FFFFFF" w:themeColor="background1"/>
      <w:sz w:val="18"/>
      <w:szCs w:val="18"/>
      <w:lang w:eastAsia="zh-CN"/>
    </w:rPr>
  </w:style>
  <w:style w:type="character" w:customStyle="1" w:styleId="tabletextChar">
    <w:name w:val="table text Char"/>
    <w:basedOn w:val="DefaultParagraphFont"/>
    <w:link w:val="tabletext"/>
    <w:rPr>
      <w:rFonts w:ascii="EC Square Sans Pro" w:eastAsia="Calibri" w:hAnsi="EC Square Sans Pro" w:cs="Arial"/>
      <w:color w:val="000000" w:themeColor="text1"/>
      <w:sz w:val="17"/>
      <w:szCs w:val="24"/>
      <w:u w:val="single"/>
      <w:lang w:val="en-GB" w:eastAsia="en-GB"/>
    </w:rPr>
  </w:style>
  <w:style w:type="paragraph" w:customStyle="1" w:styleId="BulletsletteringAnnexes">
    <w:name w:val="Bullets lettering Annexes"/>
    <w:basedOn w:val="Normal"/>
    <w:link w:val="BulletsletteringAnnexesChar"/>
    <w:qFormat/>
    <w:pPr>
      <w:numPr>
        <w:numId w:val="11"/>
      </w:numPr>
      <w:spacing w:line="26" w:lineRule="atLeast"/>
      <w:contextualSpacing/>
      <w:jc w:val="both"/>
    </w:pPr>
    <w:rPr>
      <w:rFonts w:eastAsia="Times New Roman" w:cs="Arial"/>
      <w:szCs w:val="20"/>
      <w:lang w:eastAsia="en-GB"/>
    </w:rPr>
  </w:style>
  <w:style w:type="character" w:customStyle="1" w:styleId="tabletext2Char">
    <w:name w:val="table text 2 Char"/>
    <w:basedOn w:val="DefaultParagraphFont"/>
    <w:link w:val="tabletext2"/>
    <w:rPr>
      <w:rFonts w:ascii="EC Square Sans Pro" w:eastAsia="Times New Roman" w:hAnsi="EC Square Sans Pro" w:cs="Arial"/>
      <w:b/>
      <w:color w:val="FFFFFF" w:themeColor="background1"/>
      <w:sz w:val="18"/>
      <w:szCs w:val="18"/>
      <w:lang w:val="en-GB" w:eastAsia="zh-CN"/>
    </w:rPr>
  </w:style>
  <w:style w:type="paragraph" w:customStyle="1" w:styleId="endnotestext">
    <w:name w:val="endnotes text"/>
    <w:basedOn w:val="BodyText10"/>
    <w:link w:val="endnotestextChar"/>
    <w:qFormat/>
  </w:style>
  <w:style w:type="character" w:customStyle="1" w:styleId="BulletsletteringAnnexesChar">
    <w:name w:val="Bullets lettering Annexes Char"/>
    <w:basedOn w:val="DefaultParagraphFont"/>
    <w:link w:val="BulletsletteringAnnexes"/>
    <w:rPr>
      <w:rFonts w:ascii="EC Square Sans Pro" w:eastAsia="Times New Roman" w:hAnsi="EC Square Sans Pro" w:cs="Arial"/>
      <w:sz w:val="20"/>
      <w:szCs w:val="20"/>
      <w:lang w:val="en-GB" w:eastAsia="en-GB"/>
    </w:rPr>
  </w:style>
  <w:style w:type="paragraph" w:styleId="TOC1">
    <w:name w:val="toc 1"/>
    <w:basedOn w:val="Normal"/>
    <w:next w:val="Normal"/>
    <w:autoRedefine/>
    <w:uiPriority w:val="39"/>
    <w:unhideWhenUsed/>
    <w:qFormat/>
    <w:pPr>
      <w:tabs>
        <w:tab w:val="right" w:leader="dot" w:pos="9060"/>
      </w:tabs>
      <w:spacing w:before="120" w:after="100"/>
    </w:pPr>
  </w:style>
  <w:style w:type="character" w:customStyle="1" w:styleId="endnotestextChar">
    <w:name w:val="endnotes text Char"/>
    <w:basedOn w:val="BodytextChar"/>
    <w:link w:val="endnotestext"/>
    <w:rPr>
      <w:rFonts w:ascii="EC Square Sans Pro" w:hAnsi="EC Square Sans Pro" w:cs="Times New Roman"/>
      <w:noProof/>
      <w:color w:val="000000" w:themeColor="text1"/>
      <w:sz w:val="20"/>
      <w:lang w:val="en-GB" w:eastAsia="fr-BE"/>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lang w:val="en-GB"/>
    </w:rPr>
  </w:style>
  <w:style w:type="paragraph" w:customStyle="1" w:styleId="BOX1ORANGE">
    <w:name w:val="BOX 1/ ORANGE"/>
    <w:basedOn w:val="BOXE1GREEN"/>
    <w:link w:val="BOX1ORANGEChar"/>
    <w:qFormat/>
    <w:pPr>
      <w:pBdr>
        <w:top w:val="single" w:sz="12" w:space="1" w:color="E48C32" w:themeColor="accent5"/>
        <w:left w:val="single" w:sz="12" w:space="4" w:color="E48C32" w:themeColor="accent5"/>
        <w:bottom w:val="single" w:sz="12" w:space="1" w:color="E48C32" w:themeColor="accent5"/>
        <w:right w:val="single" w:sz="12" w:space="4" w:color="E48C32" w:themeColor="accent5"/>
      </w:pBdr>
    </w:pPr>
    <w:rPr>
      <w:color w:val="E48C32" w:themeColor="accent5"/>
    </w:rPr>
  </w:style>
  <w:style w:type="paragraph" w:customStyle="1" w:styleId="BOX3Orange">
    <w:name w:val="BOX 3 / Orange"/>
    <w:basedOn w:val="BOX3Blue"/>
    <w:link w:val="BOX3OrangeChar"/>
    <w:qFormat/>
    <w:pPr>
      <w:pBdr>
        <w:top w:val="dashSmallGap" w:sz="12" w:space="1" w:color="E48C32" w:themeColor="accent5"/>
        <w:left w:val="dashSmallGap" w:sz="12" w:space="4" w:color="E48C32" w:themeColor="accent5"/>
        <w:bottom w:val="dashSmallGap" w:sz="12" w:space="1" w:color="E48C32" w:themeColor="accent5"/>
        <w:right w:val="dashSmallGap" w:sz="12" w:space="4" w:color="E48C32" w:themeColor="accent5"/>
      </w:pBdr>
    </w:pPr>
    <w:rPr>
      <w:color w:val="E48C32" w:themeColor="accent5"/>
    </w:rPr>
  </w:style>
  <w:style w:type="character" w:customStyle="1" w:styleId="BOX1ORANGEChar">
    <w:name w:val="BOX 1/ ORANGE Char"/>
    <w:basedOn w:val="BOXE1GREENChar"/>
    <w:link w:val="BOX1ORANGE"/>
    <w:rPr>
      <w:rFonts w:ascii="EC Square Sans Pro" w:hAnsi="EC Square Sans Pro" w:cs="Times New Roman"/>
      <w:b/>
      <w:noProof/>
      <w:color w:val="E48C32" w:themeColor="accent5"/>
      <w:sz w:val="20"/>
      <w:lang w:val="en-GB" w:eastAsia="fr-BE"/>
    </w:rPr>
  </w:style>
  <w:style w:type="paragraph" w:customStyle="1" w:styleId="Box2Orange">
    <w:name w:val="Box 2 / Orange"/>
    <w:basedOn w:val="BodyText10"/>
    <w:link w:val="Box2OrangeChar"/>
    <w:qFormat/>
    <w:rPr>
      <w:shd w:val="clear" w:color="auto" w:fill="F4D0AC" w:themeFill="accent5" w:themeFillTint="66"/>
    </w:rPr>
  </w:style>
  <w:style w:type="character" w:customStyle="1" w:styleId="BOX3OrangeChar">
    <w:name w:val="BOX 3 / Orange Char"/>
    <w:basedOn w:val="BOX3BlueChar"/>
    <w:link w:val="BOX3Orange"/>
    <w:rPr>
      <w:rFonts w:ascii="EC Square Sans Pro" w:hAnsi="EC Square Sans Pro" w:cs="Times New Roman"/>
      <w:b/>
      <w:noProof/>
      <w:color w:val="E48C32" w:themeColor="accent5"/>
      <w:sz w:val="20"/>
      <w:lang w:val="en-GB" w:eastAsia="fr-BE"/>
    </w:rPr>
  </w:style>
  <w:style w:type="character" w:customStyle="1" w:styleId="Box2OrangeChar">
    <w:name w:val="Box 2 / Orange Char"/>
    <w:basedOn w:val="BodytextChar"/>
    <w:link w:val="Box2Orange"/>
    <w:rPr>
      <w:rFonts w:ascii="EC Square Sans Pro" w:hAnsi="EC Square Sans Pro" w:cs="Times New Roman"/>
      <w:noProof/>
      <w:color w:val="000000" w:themeColor="text1"/>
      <w:sz w:val="20"/>
      <w:lang w:val="en-GB" w:eastAsia="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b/>
      <w:sz w:val="32"/>
    </w:rPr>
  </w:style>
  <w:style w:type="character" w:customStyle="1" w:styleId="FooterSensitivityChar">
    <w:name w:val="Footer Sensitivity Char"/>
    <w:basedOn w:val="PagedecouvertureChar"/>
    <w:link w:val="FooterSensitivity"/>
    <w:rPr>
      <w:rFonts w:ascii="Times New Roman" w:hAnsi="Times New Roman" w:cs="Times New Roman"/>
      <w:b/>
      <w:sz w:val="32"/>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lang w:val="en-GB"/>
    </w:rPr>
  </w:style>
  <w:style w:type="character" w:customStyle="1" w:styleId="A4">
    <w:name w:val="A4"/>
    <w:uiPriority w:val="99"/>
    <w:rPr>
      <w:rFonts w:ascii="EC Square Sans Pro" w:hAnsi="EC Square Sans Pro" w:cs="EC Square Sans Pro"/>
      <w:b/>
      <w:bCs/>
      <w:color w:val="000000"/>
      <w:sz w:val="72"/>
      <w:szCs w:val="72"/>
      <w:lang w:val="en-GB"/>
    </w:r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color w:val="7F7F7F" w:themeColor="text1" w:themeTint="80"/>
      <w:sz w:val="19"/>
      <w:szCs w:val="24"/>
      <w:lang w:val="en-GB" w:eastAsia="en-GB"/>
    </w:rPr>
  </w:style>
  <w:style w:type="paragraph" w:customStyle="1" w:styleId="AMPRH2">
    <w:name w:val="AMPR H2"/>
    <w:basedOn w:val="Normal"/>
    <w:next w:val="Normal"/>
    <w:qFormat/>
    <w:pPr>
      <w:tabs>
        <w:tab w:val="left" w:pos="907"/>
      </w:tabs>
      <w:spacing w:before="600" w:after="360"/>
    </w:pPr>
    <w:rPr>
      <w:rFonts w:eastAsia="Times New Roman"/>
      <w:b/>
      <w:color w:val="0070C0"/>
      <w:sz w:val="28"/>
      <w:szCs w:val="24"/>
      <w:lang w:eastAsia="en-GB"/>
    </w:rPr>
  </w:style>
  <w:style w:type="paragraph" w:customStyle="1" w:styleId="AMPRTabletext">
    <w:name w:val="AMPR Table text"/>
    <w:basedOn w:val="AMPRText"/>
    <w:link w:val="AMPRTabletextChar"/>
    <w:qFormat/>
    <w:pPr>
      <w:spacing w:after="0" w:line="240" w:lineRule="auto"/>
    </w:pPr>
    <w:rPr>
      <w:sz w:val="17"/>
    </w:rPr>
  </w:style>
  <w:style w:type="character" w:customStyle="1" w:styleId="AMPRTabletextChar">
    <w:name w:val="AMPR Table text Char"/>
    <w:basedOn w:val="AMPRTextChar"/>
    <w:link w:val="AMPRTabletext"/>
    <w:rPr>
      <w:rFonts w:ascii="EC Square Sans Pro" w:eastAsia="Times New Roman" w:hAnsi="EC Square Sans Pro" w:cs="Times New Roman"/>
      <w:color w:val="7F7F7F" w:themeColor="text1" w:themeTint="80"/>
      <w:sz w:val="17"/>
      <w:szCs w:val="24"/>
      <w:lang w:val="en-GB" w:eastAsia="en-GB"/>
    </w:rPr>
  </w:style>
  <w:style w:type="character" w:styleId="FollowedHyperlink">
    <w:name w:val="FollowedHyperlink"/>
    <w:basedOn w:val="DefaultParagraphFont"/>
    <w:unhideWhenUsed/>
    <w:rPr>
      <w:rFonts w:ascii="EC Square Sans Pro" w:hAnsi="EC Square Sans Pro"/>
      <w:color w:val="F79646" w:themeColor="followedHyperlink"/>
      <w:u w:val="single"/>
      <w:lang w:val="en-GB"/>
    </w:rPr>
  </w:style>
  <w:style w:type="paragraph" w:styleId="Bibliography">
    <w:name w:val="Bibliography"/>
    <w:basedOn w:val="Normal"/>
    <w:next w:val="Normal"/>
    <w:uiPriority w:val="37"/>
    <w:semiHidden/>
    <w:unhideWhenUsed/>
  </w:style>
  <w:style w:type="paragraph" w:styleId="BlockText">
    <w:name w:val="Block Text"/>
    <w:basedOn w:val="Normal"/>
    <w:unhideWhenUsed/>
    <w:pPr>
      <w:pBdr>
        <w:top w:val="single" w:sz="2" w:space="10" w:color="65BBC8" w:themeColor="accent1" w:shadow="1" w:frame="1"/>
        <w:left w:val="single" w:sz="2" w:space="10" w:color="65BBC8" w:themeColor="accent1" w:shadow="1" w:frame="1"/>
        <w:bottom w:val="single" w:sz="2" w:space="10" w:color="65BBC8" w:themeColor="accent1" w:shadow="1" w:frame="1"/>
        <w:right w:val="single" w:sz="2" w:space="10" w:color="65BBC8" w:themeColor="accent1" w:shadow="1" w:frame="1"/>
      </w:pBdr>
      <w:ind w:left="1152" w:right="1152"/>
    </w:pPr>
    <w:rPr>
      <w:rFonts w:eastAsiaTheme="minorEastAsia" w:cstheme="minorBidi"/>
      <w:i/>
      <w:iCs/>
      <w:color w:val="65BBC8" w:themeColor="accent1"/>
    </w:rPr>
  </w:style>
  <w:style w:type="paragraph" w:styleId="BodyText2">
    <w:name w:val="Body Text 2"/>
    <w:basedOn w:val="Normal"/>
    <w:link w:val="BodyText2Char"/>
    <w:unhideWhenUsed/>
    <w:pPr>
      <w:spacing w:after="120" w:line="480" w:lineRule="auto"/>
    </w:pPr>
  </w:style>
  <w:style w:type="character" w:customStyle="1" w:styleId="BodyText2Char">
    <w:name w:val="Body Text 2 Char"/>
    <w:basedOn w:val="DefaultParagraphFont"/>
    <w:link w:val="BodyText2"/>
    <w:rPr>
      <w:rFonts w:ascii="EC Square Sans Pro" w:hAnsi="EC Square Sans Pro" w:cs="Times New Roman"/>
      <w:sz w:val="20"/>
      <w:lang w:val="en-GB"/>
    </w:rPr>
  </w:style>
  <w:style w:type="paragraph" w:styleId="BodyText3">
    <w:name w:val="Body Text 3"/>
    <w:basedOn w:val="Normal"/>
    <w:link w:val="BodyText3Char"/>
    <w:unhideWhenUsed/>
    <w:pPr>
      <w:spacing w:after="120"/>
    </w:pPr>
    <w:rPr>
      <w:sz w:val="16"/>
      <w:szCs w:val="16"/>
    </w:rPr>
  </w:style>
  <w:style w:type="character" w:customStyle="1" w:styleId="BodyText3Char">
    <w:name w:val="Body Text 3 Char"/>
    <w:basedOn w:val="DefaultParagraphFont"/>
    <w:link w:val="BodyText3"/>
    <w:rPr>
      <w:rFonts w:ascii="EC Square Sans Pro" w:hAnsi="EC Square Sans Pro" w:cs="Times New Roman"/>
      <w:sz w:val="16"/>
      <w:szCs w:val="16"/>
      <w:lang w:val="en-GB"/>
    </w:rPr>
  </w:style>
  <w:style w:type="paragraph" w:styleId="BodyTextFirstIndent">
    <w:name w:val="Body Text First Indent"/>
    <w:basedOn w:val="BodyText"/>
    <w:link w:val="BodyTextFirstIndentChar"/>
    <w:unhideWhenUsed/>
    <w:pPr>
      <w:spacing w:after="0"/>
      <w:ind w:firstLine="360"/>
    </w:pPr>
  </w:style>
  <w:style w:type="character" w:customStyle="1" w:styleId="BodyTextFirstIndentChar">
    <w:name w:val="Body Text First Indent Char"/>
    <w:basedOn w:val="BodyTextChar0"/>
    <w:link w:val="BodyTextFirstIndent"/>
    <w:rPr>
      <w:rFonts w:ascii="EC Square Sans Pro" w:hAnsi="EC Square Sans Pro" w:cs="Times New Roman"/>
      <w:sz w:val="20"/>
      <w:lang w:val="en-GB"/>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basedOn w:val="DefaultParagraphFont"/>
    <w:link w:val="BodyTextIndent"/>
    <w:rPr>
      <w:rFonts w:ascii="EC Square Sans Pro" w:hAnsi="EC Square Sans Pro" w:cs="Times New Roman"/>
      <w:sz w:val="20"/>
      <w:lang w:val="en-GB"/>
    </w:rPr>
  </w:style>
  <w:style w:type="paragraph" w:styleId="BodyTextFirstIndent2">
    <w:name w:val="Body Text First Indent 2"/>
    <w:basedOn w:val="BodyTextIndent"/>
    <w:link w:val="BodyTextFirstIndent2Char"/>
    <w:unhideWhenUsed/>
    <w:pPr>
      <w:spacing w:after="0"/>
      <w:ind w:left="360" w:firstLine="360"/>
    </w:pPr>
  </w:style>
  <w:style w:type="character" w:customStyle="1" w:styleId="BodyTextFirstIndent2Char">
    <w:name w:val="Body Text First Indent 2 Char"/>
    <w:basedOn w:val="BodyTextIndentChar"/>
    <w:link w:val="BodyTextFirstIndent2"/>
    <w:rPr>
      <w:rFonts w:ascii="EC Square Sans Pro" w:hAnsi="EC Square Sans Pro" w:cs="Times New Roman"/>
      <w:sz w:val="20"/>
      <w:lang w:val="en-GB"/>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rFonts w:ascii="EC Square Sans Pro" w:hAnsi="EC Square Sans Pro" w:cs="Times New Roman"/>
      <w:sz w:val="20"/>
      <w:lang w:val="en-GB"/>
    </w:rPr>
  </w:style>
  <w:style w:type="paragraph" w:styleId="BodyTextIndent3">
    <w:name w:val="Body Text Indent 3"/>
    <w:basedOn w:val="Normal"/>
    <w:link w:val="BodyTextIndent3Char"/>
    <w:unhideWhenUsed/>
    <w:pPr>
      <w:spacing w:after="120"/>
      <w:ind w:left="283"/>
    </w:pPr>
    <w:rPr>
      <w:sz w:val="16"/>
      <w:szCs w:val="16"/>
    </w:rPr>
  </w:style>
  <w:style w:type="character" w:customStyle="1" w:styleId="BodyTextIndent3Char">
    <w:name w:val="Body Text Indent 3 Char"/>
    <w:basedOn w:val="DefaultParagraphFont"/>
    <w:link w:val="BodyTextIndent3"/>
    <w:rPr>
      <w:rFonts w:ascii="EC Square Sans Pro" w:hAnsi="EC Square Sans Pro" w:cs="Times New Roman"/>
      <w:sz w:val="16"/>
      <w:szCs w:val="16"/>
      <w:lang w:val="en-GB"/>
    </w:rPr>
  </w:style>
  <w:style w:type="character" w:styleId="BookTitle">
    <w:name w:val="Book Title"/>
    <w:basedOn w:val="DefaultParagraphFont"/>
    <w:uiPriority w:val="33"/>
    <w:rPr>
      <w:rFonts w:ascii="EC Square Sans Pro" w:hAnsi="EC Square Sans Pro"/>
      <w:b/>
      <w:bCs/>
      <w:smallCaps/>
      <w:spacing w:val="5"/>
      <w:lang w:val="en-GB"/>
    </w:rPr>
  </w:style>
  <w:style w:type="paragraph" w:styleId="Closing">
    <w:name w:val="Closing"/>
    <w:basedOn w:val="Normal"/>
    <w:link w:val="ClosingChar"/>
    <w:unhideWhenUsed/>
    <w:pPr>
      <w:ind w:left="4252"/>
    </w:pPr>
  </w:style>
  <w:style w:type="character" w:customStyle="1" w:styleId="ClosingChar">
    <w:name w:val="Closing Char"/>
    <w:basedOn w:val="DefaultParagraphFont"/>
    <w:link w:val="Closing"/>
    <w:rPr>
      <w:rFonts w:ascii="EC Square Sans Pro" w:hAnsi="EC Square Sans Pro" w:cs="Times New Roman"/>
      <w:sz w:val="20"/>
      <w:lang w:val="en-GB"/>
    </w:rPr>
  </w:style>
  <w:style w:type="paragraph" w:styleId="Date">
    <w:name w:val="Date"/>
    <w:basedOn w:val="Normal"/>
    <w:next w:val="Normal"/>
    <w:link w:val="DateChar"/>
    <w:unhideWhenUsed/>
  </w:style>
  <w:style w:type="character" w:customStyle="1" w:styleId="DateChar">
    <w:name w:val="Date Char"/>
    <w:basedOn w:val="DefaultParagraphFont"/>
    <w:link w:val="Date"/>
    <w:rPr>
      <w:rFonts w:ascii="EC Square Sans Pro" w:hAnsi="EC Square Sans Pro" w:cs="Times New Roman"/>
      <w:sz w:val="20"/>
      <w:lang w:val="en-GB"/>
    </w:rPr>
  </w:style>
  <w:style w:type="paragraph" w:styleId="DocumentMap">
    <w:name w:val="Document Map"/>
    <w:basedOn w:val="Normal"/>
    <w:link w:val="DocumentMapChar"/>
    <w:unhideWhenUsed/>
    <w:rPr>
      <w:rFonts w:cs="Tahoma"/>
      <w:sz w:val="16"/>
      <w:szCs w:val="16"/>
    </w:rPr>
  </w:style>
  <w:style w:type="character" w:customStyle="1" w:styleId="DocumentMapChar">
    <w:name w:val="Document Map Char"/>
    <w:basedOn w:val="DefaultParagraphFont"/>
    <w:link w:val="DocumentMap"/>
    <w:rPr>
      <w:rFonts w:ascii="EC Square Sans Pro" w:hAnsi="EC Square Sans Pro" w:cs="Tahoma"/>
      <w:sz w:val="16"/>
      <w:szCs w:val="16"/>
      <w:lang w:val="en-GB"/>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rPr>
      <w:rFonts w:ascii="EC Square Sans Pro" w:hAnsi="EC Square Sans Pro" w:cs="Times New Roman"/>
      <w:sz w:val="20"/>
      <w:lang w:val="en-GB"/>
    </w:rPr>
  </w:style>
  <w:style w:type="paragraph" w:styleId="EnvelopeAddress">
    <w:name w:val="envelope address"/>
    <w:basedOn w:val="Normal"/>
    <w:unhideWhenUsed/>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nhideWhenUsed/>
    <w:rPr>
      <w:rFonts w:eastAsiaTheme="majorEastAsia" w:cstheme="majorBidi"/>
      <w:szCs w:val="20"/>
    </w:rPr>
  </w:style>
  <w:style w:type="character" w:customStyle="1" w:styleId="Heading5Char">
    <w:name w:val="Heading 5 Char"/>
    <w:basedOn w:val="DefaultParagraphFont"/>
    <w:link w:val="Heading5"/>
    <w:rPr>
      <w:rFonts w:ascii="EC Square Sans Pro" w:eastAsiaTheme="majorEastAsia" w:hAnsi="EC Square Sans Pro" w:cstheme="majorBidi"/>
      <w:color w:val="27646E" w:themeColor="accent1" w:themeShade="7F"/>
      <w:sz w:val="20"/>
      <w:lang w:val="en-GB"/>
    </w:rPr>
  </w:style>
  <w:style w:type="character" w:customStyle="1" w:styleId="Heading6Char">
    <w:name w:val="Heading 6 Char"/>
    <w:basedOn w:val="DefaultParagraphFont"/>
    <w:link w:val="Heading6"/>
    <w:rPr>
      <w:rFonts w:ascii="EC Square Sans Pro" w:eastAsiaTheme="majorEastAsia" w:hAnsi="EC Square Sans Pro" w:cstheme="majorBidi"/>
      <w:i/>
      <w:iCs/>
      <w:color w:val="27646E" w:themeColor="accent1" w:themeShade="7F"/>
      <w:sz w:val="20"/>
      <w:lang w:val="en-GB"/>
    </w:rPr>
  </w:style>
  <w:style w:type="character" w:customStyle="1" w:styleId="Heading7Char">
    <w:name w:val="Heading 7 Char"/>
    <w:basedOn w:val="DefaultParagraphFont"/>
    <w:link w:val="Heading7"/>
    <w:rPr>
      <w:rFonts w:ascii="EC Square Sans Pro" w:eastAsiaTheme="majorEastAsia" w:hAnsi="EC Square Sans Pro" w:cstheme="majorBidi"/>
      <w:i/>
      <w:iCs/>
      <w:color w:val="404040" w:themeColor="text1" w:themeTint="BF"/>
      <w:sz w:val="20"/>
      <w:lang w:val="en-GB"/>
    </w:rPr>
  </w:style>
  <w:style w:type="character" w:customStyle="1" w:styleId="Heading8Char">
    <w:name w:val="Heading 8 Char"/>
    <w:basedOn w:val="DefaultParagraphFont"/>
    <w:link w:val="Heading8"/>
    <w:rPr>
      <w:rFonts w:ascii="EC Square Sans Pro" w:eastAsiaTheme="majorEastAsia" w:hAnsi="EC Square Sans Pro" w:cstheme="majorBidi"/>
      <w:color w:val="404040" w:themeColor="text1" w:themeTint="BF"/>
      <w:sz w:val="20"/>
      <w:szCs w:val="20"/>
      <w:lang w:val="en-GB"/>
    </w:rPr>
  </w:style>
  <w:style w:type="character" w:customStyle="1" w:styleId="Heading9Char">
    <w:name w:val="Heading 9 Char"/>
    <w:basedOn w:val="DefaultParagraphFont"/>
    <w:link w:val="Heading9"/>
    <w:rPr>
      <w:rFonts w:ascii="EC Square Sans Pro" w:eastAsiaTheme="majorEastAsia" w:hAnsi="EC Square Sans Pro" w:cstheme="majorBidi"/>
      <w:i/>
      <w:iCs/>
      <w:color w:val="404040" w:themeColor="text1" w:themeTint="BF"/>
      <w:sz w:val="20"/>
      <w:szCs w:val="20"/>
      <w:lang w:val="en-GB"/>
    </w:rPr>
  </w:style>
  <w:style w:type="character" w:styleId="HTMLAcronym">
    <w:name w:val="HTML Acronym"/>
    <w:basedOn w:val="DefaultParagraphFont"/>
    <w:uiPriority w:val="99"/>
    <w:semiHidden/>
    <w:unhideWhenUsed/>
    <w:rPr>
      <w:rFonts w:ascii="EC Square Sans Pro" w:hAnsi="EC Square Sans Pro"/>
      <w:lang w:val="en-GB"/>
    </w:rPr>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rFonts w:ascii="EC Square Sans Pro" w:hAnsi="EC Square Sans Pro" w:cs="Times New Roman"/>
      <w:i/>
      <w:iCs/>
      <w:sz w:val="20"/>
      <w:lang w:val="en-GB"/>
    </w:rPr>
  </w:style>
  <w:style w:type="character" w:styleId="HTMLCite">
    <w:name w:val="HTML Cite"/>
    <w:basedOn w:val="DefaultParagraphFont"/>
    <w:uiPriority w:val="99"/>
    <w:unhideWhenUsed/>
    <w:rPr>
      <w:rFonts w:ascii="EC Square Sans Pro" w:hAnsi="EC Square Sans Pro"/>
      <w:i/>
      <w:iCs/>
      <w:lang w:val="en-GB"/>
    </w:rPr>
  </w:style>
  <w:style w:type="character" w:styleId="HTMLCode">
    <w:name w:val="HTML Code"/>
    <w:basedOn w:val="DefaultParagraphFont"/>
    <w:uiPriority w:val="99"/>
    <w:semiHidden/>
    <w:unhideWhenUsed/>
    <w:rPr>
      <w:rFonts w:ascii="EC Square Sans Pro" w:hAnsi="EC Square Sans Pro" w:cs="Consolas"/>
      <w:sz w:val="20"/>
      <w:szCs w:val="20"/>
      <w:lang w:val="en-GB"/>
    </w:rPr>
  </w:style>
  <w:style w:type="character" w:styleId="HTMLDefinition">
    <w:name w:val="HTML Definition"/>
    <w:basedOn w:val="DefaultParagraphFont"/>
    <w:uiPriority w:val="99"/>
    <w:semiHidden/>
    <w:unhideWhenUsed/>
    <w:rPr>
      <w:rFonts w:ascii="EC Square Sans Pro" w:hAnsi="EC Square Sans Pro"/>
      <w:i/>
      <w:iCs/>
      <w:lang w:val="en-GB"/>
    </w:rPr>
  </w:style>
  <w:style w:type="character" w:styleId="HTMLKeyboard">
    <w:name w:val="HTML Keyboard"/>
    <w:basedOn w:val="DefaultParagraphFont"/>
    <w:uiPriority w:val="99"/>
    <w:semiHidden/>
    <w:unhideWhenUsed/>
    <w:rPr>
      <w:rFonts w:ascii="EC Square Sans Pro" w:hAnsi="EC Square Sans Pro" w:cs="Consolas"/>
      <w:sz w:val="20"/>
      <w:szCs w:val="20"/>
      <w:lang w:val="en-GB"/>
    </w:rPr>
  </w:style>
  <w:style w:type="paragraph" w:styleId="HTMLPreformatted">
    <w:name w:val="HTML Preformatted"/>
    <w:basedOn w:val="Normal"/>
    <w:link w:val="HTMLPreformattedChar"/>
    <w:uiPriority w:val="99"/>
    <w:semiHidden/>
    <w:unhideWhenUsed/>
    <w:rPr>
      <w:rFonts w:cs="Consolas"/>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sz w:val="20"/>
      <w:szCs w:val="20"/>
      <w:lang w:val="en-GB"/>
    </w:rPr>
  </w:style>
  <w:style w:type="character" w:styleId="HTMLSample">
    <w:name w:val="HTML Sample"/>
    <w:basedOn w:val="DefaultParagraphFont"/>
    <w:uiPriority w:val="99"/>
    <w:semiHidden/>
    <w:unhideWhenUsed/>
    <w:rPr>
      <w:rFonts w:ascii="EC Square Sans Pro" w:hAnsi="EC Square Sans Pro" w:cs="Consolas"/>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sz w:val="20"/>
      <w:szCs w:val="20"/>
      <w:lang w:val="en-GB"/>
    </w:rPr>
  </w:style>
  <w:style w:type="character" w:styleId="HTMLVariable">
    <w:name w:val="HTML Variable"/>
    <w:basedOn w:val="DefaultParagraphFont"/>
    <w:uiPriority w:val="99"/>
    <w:semiHidden/>
    <w:unhideWhenUsed/>
    <w:rPr>
      <w:rFonts w:ascii="EC Square Sans Pro" w:hAnsi="EC Square Sans Pro"/>
      <w:i/>
      <w:iCs/>
      <w:lang w:val="en-GB"/>
    </w:rPr>
  </w:style>
  <w:style w:type="paragraph" w:styleId="Index1">
    <w:name w:val="index 1"/>
    <w:basedOn w:val="Normal"/>
    <w:next w:val="Normal"/>
    <w:autoRedefine/>
    <w:unhideWhenUsed/>
    <w:pPr>
      <w:ind w:left="200" w:hanging="200"/>
    </w:pPr>
  </w:style>
  <w:style w:type="paragraph" w:styleId="Index2">
    <w:name w:val="index 2"/>
    <w:basedOn w:val="Normal"/>
    <w:next w:val="Normal"/>
    <w:autoRedefine/>
    <w:unhideWhenUsed/>
    <w:pPr>
      <w:ind w:left="400" w:hanging="200"/>
    </w:pPr>
  </w:style>
  <w:style w:type="paragraph" w:styleId="Index3">
    <w:name w:val="index 3"/>
    <w:basedOn w:val="Normal"/>
    <w:next w:val="Normal"/>
    <w:autoRedefine/>
    <w:unhideWhenUsed/>
    <w:pPr>
      <w:ind w:left="600" w:hanging="200"/>
    </w:pPr>
  </w:style>
  <w:style w:type="paragraph" w:styleId="Index4">
    <w:name w:val="index 4"/>
    <w:basedOn w:val="Normal"/>
    <w:next w:val="Normal"/>
    <w:autoRedefine/>
    <w:unhideWhenUsed/>
    <w:pPr>
      <w:ind w:left="800" w:hanging="200"/>
    </w:pPr>
  </w:style>
  <w:style w:type="paragraph" w:styleId="Index5">
    <w:name w:val="index 5"/>
    <w:basedOn w:val="Normal"/>
    <w:next w:val="Normal"/>
    <w:autoRedefine/>
    <w:unhideWhenUsed/>
    <w:pPr>
      <w:ind w:left="1000" w:hanging="200"/>
    </w:pPr>
  </w:style>
  <w:style w:type="paragraph" w:styleId="Index6">
    <w:name w:val="index 6"/>
    <w:basedOn w:val="Normal"/>
    <w:next w:val="Normal"/>
    <w:autoRedefine/>
    <w:unhideWhenUsed/>
    <w:pPr>
      <w:ind w:left="1200" w:hanging="200"/>
    </w:pPr>
  </w:style>
  <w:style w:type="paragraph" w:styleId="Index7">
    <w:name w:val="index 7"/>
    <w:basedOn w:val="Normal"/>
    <w:next w:val="Normal"/>
    <w:autoRedefine/>
    <w:unhideWhenUsed/>
    <w:pPr>
      <w:ind w:left="1400" w:hanging="200"/>
    </w:pPr>
  </w:style>
  <w:style w:type="paragraph" w:styleId="Index8">
    <w:name w:val="index 8"/>
    <w:basedOn w:val="Normal"/>
    <w:next w:val="Normal"/>
    <w:autoRedefine/>
    <w:unhideWhenUsed/>
    <w:pPr>
      <w:ind w:left="1600" w:hanging="200"/>
    </w:pPr>
  </w:style>
  <w:style w:type="paragraph" w:styleId="Index9">
    <w:name w:val="index 9"/>
    <w:basedOn w:val="Normal"/>
    <w:next w:val="Normal"/>
    <w:autoRedefine/>
    <w:unhideWhenUsed/>
    <w:pPr>
      <w:ind w:left="1800" w:hanging="200"/>
    </w:pPr>
  </w:style>
  <w:style w:type="paragraph" w:styleId="IndexHeading">
    <w:name w:val="index heading"/>
    <w:basedOn w:val="Normal"/>
    <w:next w:val="Index1"/>
    <w:unhideWhenUsed/>
    <w:rPr>
      <w:rFonts w:eastAsiaTheme="majorEastAsia" w:cstheme="majorBidi"/>
      <w:b/>
      <w:bCs/>
    </w:rPr>
  </w:style>
  <w:style w:type="character" w:styleId="IntenseEmphasis">
    <w:name w:val="Intense Emphasis"/>
    <w:basedOn w:val="DefaultParagraphFont"/>
    <w:uiPriority w:val="21"/>
    <w:rPr>
      <w:rFonts w:ascii="EC Square Sans Pro" w:hAnsi="EC Square Sans Pro"/>
      <w:b/>
      <w:bCs/>
      <w:i/>
      <w:iCs/>
      <w:color w:val="65BBC8" w:themeColor="accent1"/>
      <w:lang w:val="en-GB"/>
    </w:rPr>
  </w:style>
  <w:style w:type="paragraph" w:styleId="IntenseQuote">
    <w:name w:val="Intense Quote"/>
    <w:basedOn w:val="Normal"/>
    <w:next w:val="Normal"/>
    <w:link w:val="IntenseQuoteChar"/>
    <w:uiPriority w:val="30"/>
    <w:pPr>
      <w:pBdr>
        <w:bottom w:val="single" w:sz="4" w:space="4" w:color="65BBC8" w:themeColor="accent1"/>
      </w:pBdr>
      <w:spacing w:before="200" w:after="280"/>
      <w:ind w:left="936" w:right="936"/>
    </w:pPr>
    <w:rPr>
      <w:b/>
      <w:bCs/>
      <w:i/>
      <w:iCs/>
      <w:color w:val="65BBC8" w:themeColor="accent1"/>
    </w:rPr>
  </w:style>
  <w:style w:type="character" w:customStyle="1" w:styleId="IntenseQuoteChar">
    <w:name w:val="Intense Quote Char"/>
    <w:basedOn w:val="DefaultParagraphFont"/>
    <w:link w:val="IntenseQuote"/>
    <w:uiPriority w:val="30"/>
    <w:rPr>
      <w:rFonts w:ascii="EC Square Sans Pro" w:hAnsi="EC Square Sans Pro" w:cs="Times New Roman"/>
      <w:b/>
      <w:bCs/>
      <w:i/>
      <w:iCs/>
      <w:color w:val="65BBC8" w:themeColor="accent1"/>
      <w:sz w:val="20"/>
      <w:lang w:val="en-GB"/>
    </w:rPr>
  </w:style>
  <w:style w:type="character" w:styleId="IntenseReference">
    <w:name w:val="Intense Reference"/>
    <w:basedOn w:val="DefaultParagraphFont"/>
    <w:uiPriority w:val="32"/>
    <w:rPr>
      <w:rFonts w:ascii="EC Square Sans Pro" w:hAnsi="EC Square Sans Pro"/>
      <w:b/>
      <w:bCs/>
      <w:smallCaps/>
      <w:color w:val="82D2E8" w:themeColor="accent2"/>
      <w:spacing w:val="5"/>
      <w:u w:val="single"/>
      <w:lang w:val="en-GB"/>
    </w:rPr>
  </w:style>
  <w:style w:type="character" w:styleId="LineNumber">
    <w:name w:val="line number"/>
    <w:basedOn w:val="DefaultParagraphFont"/>
    <w:uiPriority w:val="99"/>
    <w:semiHidden/>
    <w:unhideWhenUsed/>
    <w:rPr>
      <w:rFonts w:ascii="EC Square Sans Pro" w:hAnsi="EC Square Sans Pro"/>
      <w:lang w:val="en-GB"/>
    </w:rPr>
  </w:style>
  <w:style w:type="paragraph" w:styleId="List">
    <w:name w:val="List"/>
    <w:basedOn w:val="Normal"/>
    <w:unhideWhenUsed/>
    <w:pPr>
      <w:ind w:left="283" w:hanging="283"/>
      <w:contextualSpacing/>
    </w:pPr>
  </w:style>
  <w:style w:type="paragraph" w:styleId="List2">
    <w:name w:val="List 2"/>
    <w:basedOn w:val="Normal"/>
    <w:unhideWhenUsed/>
    <w:pPr>
      <w:ind w:left="566" w:hanging="283"/>
      <w:contextualSpacing/>
    </w:pPr>
  </w:style>
  <w:style w:type="paragraph" w:styleId="List3">
    <w:name w:val="List 3"/>
    <w:basedOn w:val="Normal"/>
    <w:unhideWhenUsed/>
    <w:pPr>
      <w:ind w:left="849" w:hanging="283"/>
      <w:contextualSpacing/>
    </w:pPr>
  </w:style>
  <w:style w:type="paragraph" w:styleId="List4">
    <w:name w:val="List 4"/>
    <w:basedOn w:val="Normal"/>
    <w:unhideWhenUsed/>
    <w:pPr>
      <w:ind w:left="1132" w:hanging="283"/>
      <w:contextualSpacing/>
    </w:pPr>
  </w:style>
  <w:style w:type="paragraph" w:styleId="List5">
    <w:name w:val="List 5"/>
    <w:basedOn w:val="Normal"/>
    <w:unhideWhenUsed/>
    <w:pPr>
      <w:ind w:left="1415" w:hanging="283"/>
      <w:contextualSpacing/>
    </w:pPr>
  </w:style>
  <w:style w:type="paragraph" w:styleId="ListBullet5">
    <w:name w:val="List Bullet 5"/>
    <w:basedOn w:val="Normal"/>
    <w:unhideWhenUsed/>
    <w:pPr>
      <w:numPr>
        <w:numId w:val="12"/>
      </w:numPr>
      <w:contextualSpacing/>
    </w:pPr>
  </w:style>
  <w:style w:type="paragraph" w:styleId="ListContinue">
    <w:name w:val="List Continue"/>
    <w:basedOn w:val="Normal"/>
    <w:unhideWhenUsed/>
    <w:pPr>
      <w:spacing w:after="120"/>
      <w:ind w:left="283"/>
      <w:contextualSpacing/>
    </w:pPr>
  </w:style>
  <w:style w:type="paragraph" w:styleId="ListContinue2">
    <w:name w:val="List Continue 2"/>
    <w:basedOn w:val="Normal"/>
    <w:unhideWhenUsed/>
    <w:pPr>
      <w:spacing w:after="120"/>
      <w:ind w:left="566"/>
      <w:contextualSpacing/>
    </w:pPr>
  </w:style>
  <w:style w:type="paragraph" w:styleId="ListContinue3">
    <w:name w:val="List Continue 3"/>
    <w:basedOn w:val="Normal"/>
    <w:unhideWhenUsed/>
    <w:pPr>
      <w:spacing w:after="120"/>
      <w:ind w:left="849"/>
      <w:contextualSpacing/>
    </w:pPr>
  </w:style>
  <w:style w:type="paragraph" w:styleId="ListContinue4">
    <w:name w:val="List Continue 4"/>
    <w:basedOn w:val="Normal"/>
    <w:unhideWhenUsed/>
    <w:pPr>
      <w:spacing w:after="120"/>
      <w:ind w:left="1132"/>
      <w:contextualSpacing/>
    </w:pPr>
  </w:style>
  <w:style w:type="paragraph" w:styleId="ListContinue5">
    <w:name w:val="List Continue 5"/>
    <w:basedOn w:val="Normal"/>
    <w:unhideWhenUsed/>
    <w:pPr>
      <w:spacing w:after="120"/>
      <w:ind w:left="1415"/>
      <w:contextualSpacing/>
    </w:pPr>
  </w:style>
  <w:style w:type="paragraph" w:styleId="ListNumber5">
    <w:name w:val="List Number 5"/>
    <w:basedOn w:val="Normal"/>
    <w:unhideWhenUsed/>
    <w:pPr>
      <w:numPr>
        <w:numId w:val="13"/>
      </w:numPr>
      <w:contextualSpacing/>
    </w:pPr>
  </w:style>
  <w:style w:type="paragraph" w:styleId="MacroText">
    <w:name w:val="macro"/>
    <w:link w:val="MacroTextChar"/>
    <w:unhideWhenUsed/>
    <w:pPr>
      <w:tabs>
        <w:tab w:val="left" w:pos="480"/>
        <w:tab w:val="left" w:pos="960"/>
        <w:tab w:val="left" w:pos="1440"/>
        <w:tab w:val="left" w:pos="1920"/>
        <w:tab w:val="left" w:pos="2400"/>
        <w:tab w:val="left" w:pos="2880"/>
        <w:tab w:val="left" w:pos="3360"/>
        <w:tab w:val="left" w:pos="3840"/>
        <w:tab w:val="left" w:pos="4320"/>
      </w:tabs>
    </w:pPr>
    <w:rPr>
      <w:rFonts w:ascii="EC Square Sans Pro" w:hAnsi="EC Square Sans Pro" w:cs="Consolas"/>
      <w:sz w:val="20"/>
      <w:szCs w:val="20"/>
      <w:lang w:val="en-GB"/>
    </w:rPr>
  </w:style>
  <w:style w:type="character" w:customStyle="1" w:styleId="MacroTextChar">
    <w:name w:val="Macro Text Char"/>
    <w:basedOn w:val="DefaultParagraphFont"/>
    <w:link w:val="MacroText"/>
    <w:rPr>
      <w:rFonts w:ascii="EC Square Sans Pro" w:hAnsi="EC Square Sans Pro" w:cs="Consolas"/>
      <w:sz w:val="20"/>
      <w:szCs w:val="20"/>
      <w:lang w:val="en-GB"/>
    </w:rPr>
  </w:style>
  <w:style w:type="paragraph" w:styleId="MessageHeader">
    <w:name w:val="Message Header"/>
    <w:basedOn w:val="Normal"/>
    <w:link w:val="MessageHeaderChar"/>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rPr>
      <w:rFonts w:ascii="EC Square Sans Pro" w:eastAsiaTheme="majorEastAsia" w:hAnsi="EC Square Sans Pro" w:cstheme="majorBidi"/>
      <w:sz w:val="24"/>
      <w:szCs w:val="24"/>
      <w:shd w:val="pct20" w:color="auto" w:fill="auto"/>
      <w:lang w:val="en-GB"/>
    </w:rPr>
  </w:style>
  <w:style w:type="paragraph" w:styleId="NoSpacing">
    <w:name w:val="No Spacing"/>
    <w:link w:val="NoSpacingChar"/>
    <w:uiPriority w:val="1"/>
    <w:qFormat/>
    <w:rPr>
      <w:rFonts w:ascii="EC Square Sans Pro" w:hAnsi="EC Square Sans Pro" w:cs="Times New Roman"/>
      <w:sz w:val="20"/>
      <w:lang w:val="en-GB"/>
    </w:rPr>
  </w:style>
  <w:style w:type="paragraph" w:styleId="NormalIndent">
    <w:name w:val="Normal Indent"/>
    <w:basedOn w:val="Normal"/>
    <w:unhideWhenUsed/>
    <w:pPr>
      <w:ind w:left="720"/>
    </w:pPr>
  </w:style>
  <w:style w:type="paragraph" w:styleId="NoteHeading">
    <w:name w:val="Note Heading"/>
    <w:basedOn w:val="Normal"/>
    <w:next w:val="Normal"/>
    <w:link w:val="NoteHeadingChar"/>
    <w:unhideWhenUsed/>
  </w:style>
  <w:style w:type="character" w:customStyle="1" w:styleId="NoteHeadingChar">
    <w:name w:val="Note Heading Char"/>
    <w:basedOn w:val="DefaultParagraphFont"/>
    <w:link w:val="NoteHeading"/>
    <w:rPr>
      <w:rFonts w:ascii="EC Square Sans Pro" w:hAnsi="EC Square Sans Pro" w:cs="Times New Roman"/>
      <w:sz w:val="20"/>
      <w:lang w:val="en-GB"/>
    </w:rPr>
  </w:style>
  <w:style w:type="character" w:styleId="PageNumber">
    <w:name w:val="page number"/>
    <w:basedOn w:val="DefaultParagraphFont"/>
    <w:unhideWhenUsed/>
    <w:rPr>
      <w:rFonts w:ascii="EC Square Sans Pro" w:hAnsi="EC Square Sans Pro"/>
      <w:lang w:val="en-GB"/>
    </w:rPr>
  </w:style>
  <w:style w:type="character" w:styleId="PlaceholderText">
    <w:name w:val="Placeholder Text"/>
    <w:basedOn w:val="DefaultParagraphFont"/>
    <w:uiPriority w:val="99"/>
    <w:semiHidden/>
    <w:rPr>
      <w:rFonts w:ascii="EC Square Sans Pro" w:hAnsi="EC Square Sans Pro"/>
      <w:color w:val="808080"/>
      <w:lang w:val="en-GB"/>
    </w:rPr>
  </w:style>
  <w:style w:type="paragraph" w:styleId="PlainText">
    <w:name w:val="Plain Text"/>
    <w:basedOn w:val="Normal"/>
    <w:link w:val="PlainTextChar"/>
    <w:uiPriority w:val="99"/>
    <w:unhideWhenUsed/>
    <w:rPr>
      <w:rFonts w:cs="Consolas"/>
      <w:sz w:val="21"/>
      <w:szCs w:val="21"/>
    </w:rPr>
  </w:style>
  <w:style w:type="character" w:customStyle="1" w:styleId="PlainTextChar">
    <w:name w:val="Plain Text Char"/>
    <w:basedOn w:val="DefaultParagraphFont"/>
    <w:link w:val="PlainText"/>
    <w:uiPriority w:val="99"/>
    <w:rPr>
      <w:rFonts w:ascii="EC Square Sans Pro" w:hAnsi="EC Square Sans Pro" w:cs="Consolas"/>
      <w:sz w:val="21"/>
      <w:szCs w:val="21"/>
      <w:lang w:val="en-GB"/>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EC Square Sans Pro" w:hAnsi="EC Square Sans Pro" w:cs="Times New Roman"/>
      <w:i/>
      <w:iCs/>
      <w:color w:val="000000" w:themeColor="text1"/>
      <w:sz w:val="20"/>
      <w:lang w:val="en-GB"/>
    </w:rPr>
  </w:style>
  <w:style w:type="paragraph" w:styleId="Salutation">
    <w:name w:val="Salutation"/>
    <w:basedOn w:val="Normal"/>
    <w:next w:val="Normal"/>
    <w:link w:val="SalutationChar"/>
    <w:unhideWhenUsed/>
  </w:style>
  <w:style w:type="character" w:customStyle="1" w:styleId="SalutationChar">
    <w:name w:val="Salutation Char"/>
    <w:basedOn w:val="DefaultParagraphFont"/>
    <w:link w:val="Salutation"/>
    <w:rPr>
      <w:rFonts w:ascii="EC Square Sans Pro" w:hAnsi="EC Square Sans Pro" w:cs="Times New Roman"/>
      <w:sz w:val="20"/>
      <w:lang w:val="en-GB"/>
    </w:rPr>
  </w:style>
  <w:style w:type="paragraph" w:styleId="Signature">
    <w:name w:val="Signature"/>
    <w:basedOn w:val="Normal"/>
    <w:link w:val="SignatureChar"/>
    <w:uiPriority w:val="99"/>
    <w:unhideWhenUsed/>
    <w:pPr>
      <w:ind w:left="4252"/>
    </w:pPr>
  </w:style>
  <w:style w:type="character" w:customStyle="1" w:styleId="SignatureChar">
    <w:name w:val="Signature Char"/>
    <w:basedOn w:val="DefaultParagraphFont"/>
    <w:link w:val="Signature"/>
    <w:uiPriority w:val="99"/>
    <w:rPr>
      <w:rFonts w:ascii="EC Square Sans Pro" w:hAnsi="EC Square Sans Pro" w:cs="Times New Roman"/>
      <w:sz w:val="20"/>
      <w:lang w:val="en-GB"/>
    </w:rPr>
  </w:style>
  <w:style w:type="paragraph" w:styleId="Subtitle">
    <w:name w:val="Subtitle"/>
    <w:basedOn w:val="Normal"/>
    <w:next w:val="Normal"/>
    <w:link w:val="SubtitleChar"/>
    <w:qFormat/>
    <w:pPr>
      <w:numPr>
        <w:ilvl w:val="1"/>
      </w:numPr>
    </w:pPr>
    <w:rPr>
      <w:rFonts w:eastAsiaTheme="majorEastAsia" w:cstheme="majorBidi"/>
      <w:i/>
      <w:iCs/>
      <w:color w:val="65BBC8" w:themeColor="accent1"/>
      <w:spacing w:val="15"/>
      <w:sz w:val="24"/>
      <w:szCs w:val="24"/>
    </w:rPr>
  </w:style>
  <w:style w:type="character" w:customStyle="1" w:styleId="SubtitleChar">
    <w:name w:val="Subtitle Char"/>
    <w:basedOn w:val="DefaultParagraphFont"/>
    <w:link w:val="Subtitle"/>
    <w:rPr>
      <w:rFonts w:ascii="EC Square Sans Pro" w:eastAsiaTheme="majorEastAsia" w:hAnsi="EC Square Sans Pro" w:cstheme="majorBidi"/>
      <w:i/>
      <w:iCs/>
      <w:color w:val="65BBC8" w:themeColor="accent1"/>
      <w:spacing w:val="15"/>
      <w:sz w:val="24"/>
      <w:szCs w:val="24"/>
      <w:lang w:val="en-GB"/>
    </w:rPr>
  </w:style>
  <w:style w:type="paragraph" w:styleId="TableofAuthorities">
    <w:name w:val="table of authorities"/>
    <w:basedOn w:val="Normal"/>
    <w:next w:val="Normal"/>
    <w:unhideWhenUsed/>
    <w:pPr>
      <w:ind w:left="200" w:hanging="200"/>
    </w:pPr>
  </w:style>
  <w:style w:type="paragraph" w:styleId="TOAHeading">
    <w:name w:val="toa heading"/>
    <w:basedOn w:val="Normal"/>
    <w:next w:val="Normal"/>
    <w:unhideWhenUsed/>
    <w:pPr>
      <w:spacing w:before="120"/>
    </w:pPr>
    <w:rPr>
      <w:rFonts w:eastAsiaTheme="majorEastAsia" w:cstheme="majorBidi"/>
      <w:b/>
      <w:bCs/>
      <w:sz w:val="24"/>
      <w:szCs w:val="24"/>
    </w:rPr>
  </w:style>
  <w:style w:type="paragraph" w:customStyle="1" w:styleId="BodyText1">
    <w:name w:val="Body Text 1"/>
    <w:basedOn w:val="Forewordbodytext"/>
    <w:next w:val="BodyText"/>
    <w:link w:val="BodyText1Char"/>
    <w:qFormat/>
    <w:rPr>
      <w:color w:val="000000" w:themeColor="text1"/>
      <w:sz w:val="20"/>
    </w:rPr>
  </w:style>
  <w:style w:type="character" w:customStyle="1" w:styleId="BodyText1Char">
    <w:name w:val="Body Text 1 Char"/>
    <w:basedOn w:val="ForewordbodytextChar"/>
    <w:link w:val="BodyText1"/>
    <w:rPr>
      <w:rFonts w:ascii="EC Square Sans Pro" w:hAnsi="EC Square Sans Pro" w:cs="Times New Roman"/>
      <w:noProof/>
      <w:color w:val="000000" w:themeColor="text1"/>
      <w:sz w:val="20"/>
      <w:lang w:val="en-GB" w:eastAsia="fr-BE"/>
    </w:rPr>
  </w:style>
  <w:style w:type="paragraph" w:customStyle="1" w:styleId="BodyText1spaceafter">
    <w:name w:val="Body Text 1 (space after)"/>
    <w:basedOn w:val="BodyText1"/>
    <w:next w:val="BodyText1"/>
    <w:pPr>
      <w:spacing w:after="240"/>
    </w:pPr>
    <w:rPr>
      <w:rFonts w:eastAsia="Calibri"/>
    </w:rPr>
  </w:style>
  <w:style w:type="paragraph" w:customStyle="1" w:styleId="BodyText1spacebeforeandafter">
    <w:name w:val="Body Text 1 (space before and after)"/>
    <w:basedOn w:val="BodyText1"/>
    <w:pPr>
      <w:spacing w:before="240" w:after="240"/>
    </w:pPr>
    <w:rPr>
      <w:rFonts w:eastAsia="Calibri"/>
    </w:rPr>
  </w:style>
  <w:style w:type="paragraph" w:customStyle="1" w:styleId="BodyText1spacebefore">
    <w:name w:val="Body Text 1 (space before)"/>
    <w:basedOn w:val="BodyText1"/>
    <w:pPr>
      <w:spacing w:before="240"/>
    </w:pPr>
    <w:rPr>
      <w:rFonts w:eastAsia="Calibri"/>
    </w:rPr>
  </w:style>
  <w:style w:type="character" w:customStyle="1" w:styleId="BOLDBLUECorporate">
    <w:name w:val="BOLD BLUE / Corporate"/>
    <w:rPr>
      <w:rFonts w:ascii="EC Square Sans Pro" w:hAnsi="EC Square Sans Pro"/>
      <w:b/>
      <w:color w:val="1F4EA2"/>
      <w:lang w:val="en-GB" w:eastAsia="fr-BE"/>
    </w:rPr>
  </w:style>
  <w:style w:type="character" w:customStyle="1" w:styleId="BOLDGREENExecutiveSummary">
    <w:name w:val="BOLD GREEN / Executive Summary"/>
    <w:rPr>
      <w:rFonts w:ascii="EC Square Sans Pro" w:eastAsia="Calibri" w:hAnsi="EC Square Sans Pro"/>
      <w:b/>
      <w:color w:val="08AA74"/>
      <w:lang w:val="en-GB" w:eastAsia="fr-BE"/>
    </w:rPr>
  </w:style>
  <w:style w:type="character" w:customStyle="1" w:styleId="BOLDLIGHTBLUEReport">
    <w:name w:val="BOLD LIGHT BLUE / Report"/>
    <w:basedOn w:val="DefaultParagraphFont"/>
    <w:rPr>
      <w:rFonts w:ascii="EC Square Sans Pro" w:eastAsia="Times New Roman" w:hAnsi="EC Square Sans Pro"/>
      <w:b/>
      <w:noProof/>
      <w:color w:val="65BBC8"/>
      <w:szCs w:val="20"/>
      <w:lang w:val="en-GB" w:eastAsia="en-GB"/>
    </w:rPr>
  </w:style>
  <w:style w:type="character" w:customStyle="1" w:styleId="BOLDUnderlinedLIGHTBLUEReport">
    <w:name w:val="BOLD Underlined  LIGHT BLUE / Report"/>
    <w:basedOn w:val="BOLDLIGHTBLUEReport"/>
    <w:uiPriority w:val="1"/>
    <w:rPr>
      <w:rFonts w:ascii="EC Square Sans Pro" w:eastAsia="Times New Roman" w:hAnsi="EC Square Sans Pro"/>
      <w:b/>
      <w:noProof/>
      <w:color w:val="65BBC8"/>
      <w:szCs w:val="20"/>
      <w:u w:val="single"/>
      <w:lang w:val="en-GB" w:eastAsia="en-GB"/>
    </w:rPr>
  </w:style>
  <w:style w:type="paragraph" w:customStyle="1" w:styleId="Box2BulletsBlueReport">
    <w:name w:val="Box 2 Bullets Blue / Report"/>
    <w:basedOn w:val="BOX2Blue"/>
    <w:pPr>
      <w:numPr>
        <w:numId w:val="14"/>
      </w:numPr>
    </w:pPr>
  </w:style>
  <w:style w:type="paragraph" w:customStyle="1" w:styleId="bulletsblue-spaceafter">
    <w:name w:val="bullets blue - (space after)"/>
    <w:basedOn w:val="bulletsblue"/>
    <w:pPr>
      <w:numPr>
        <w:numId w:val="0"/>
      </w:numPr>
      <w:spacing w:after="120"/>
    </w:pPr>
  </w:style>
  <w:style w:type="paragraph" w:customStyle="1" w:styleId="bulletsblue-consecutive">
    <w:name w:val="bullets blue - consecutive"/>
    <w:basedOn w:val="bulletsblue"/>
    <w:pPr>
      <w:numPr>
        <w:numId w:val="0"/>
      </w:numPr>
      <w:ind w:left="709"/>
    </w:pPr>
  </w:style>
  <w:style w:type="paragraph" w:customStyle="1" w:styleId="bulletsblue-consecutivespaceafter">
    <w:name w:val="bullets blue - consecutive (space after)"/>
    <w:basedOn w:val="bulletsblue-consecutive"/>
    <w:pPr>
      <w:spacing w:after="120"/>
    </w:pPr>
  </w:style>
  <w:style w:type="paragraph" w:customStyle="1" w:styleId="Title1Corporate-NoTOC">
    <w:name w:val="Title 1 / Corporate - No TOC"/>
    <w:basedOn w:val="Title1Corporate"/>
    <w:next w:val="BodyText1spaceafter"/>
    <w:pPr>
      <w:outlineLvl w:val="9"/>
    </w:pPr>
  </w:style>
  <w:style w:type="paragraph" w:customStyle="1" w:styleId="Title3Report-Numbered">
    <w:name w:val="Title 3 / Report - Numbered"/>
    <w:basedOn w:val="Title3Report"/>
    <w:next w:val="BodyText1spaceafter"/>
    <w:pPr>
      <w:numPr>
        <w:numId w:val="17"/>
      </w:numPr>
      <w:spacing w:line="276" w:lineRule="auto"/>
    </w:pPr>
  </w:style>
  <w:style w:type="character" w:customStyle="1" w:styleId="BOLDORANGEAnnexes">
    <w:name w:val="BOLD ORANGE / Annexes"/>
    <w:uiPriority w:val="1"/>
    <w:rPr>
      <w:b/>
      <w:color w:val="E48C32"/>
    </w:rPr>
  </w:style>
  <w:style w:type="character" w:customStyle="1" w:styleId="BOLDYELLOWEndnotes">
    <w:name w:val="BOLD YELLOW / Endnotes"/>
    <w:uiPriority w:val="1"/>
    <w:rPr>
      <w:b/>
      <w:color w:val="EFC465"/>
    </w:rPr>
  </w:style>
  <w:style w:type="paragraph" w:customStyle="1" w:styleId="bulletsorange">
    <w:name w:val="bullets orange"/>
    <w:basedOn w:val="bulletsblue"/>
    <w:pPr>
      <w:spacing w:after="240"/>
      <w:ind w:left="714" w:hanging="357"/>
      <w:contextualSpacing/>
    </w:pPr>
  </w:style>
  <w:style w:type="character" w:customStyle="1" w:styleId="BOLDITALICORANGEAnnexes">
    <w:name w:val="BOLD ITALIC ORANGE / Annexes"/>
    <w:basedOn w:val="BOLDORANGEAnnexes"/>
    <w:uiPriority w:val="1"/>
    <w:rPr>
      <w:b/>
      <w:i/>
      <w:color w:val="E48C32"/>
    </w:rPr>
  </w:style>
  <w:style w:type="character" w:customStyle="1" w:styleId="fnRef">
    <w:name w:val="fnRef"/>
    <w:uiPriority w:val="1"/>
    <w:rPr>
      <w:rFonts w:ascii="EC Square Sans Pro" w:hAnsi="EC Square Sans Pro"/>
      <w:b w:val="0"/>
      <w:i w:val="0"/>
      <w:bdr w:val="none" w:sz="0" w:space="0" w:color="auto"/>
      <w:shd w:val="clear" w:color="auto" w:fill="auto"/>
      <w:vertAlign w:val="baseline"/>
    </w:rPr>
  </w:style>
  <w:style w:type="character" w:customStyle="1" w:styleId="fnRefNo">
    <w:name w:val="fnRefNo"/>
    <w:uiPriority w:val="1"/>
    <w:qFormat/>
    <w:rPr>
      <w:rFonts w:ascii="EC Square Sans Pro" w:hAnsi="EC Square Sans Pro"/>
      <w:b w:val="0"/>
      <w:i w:val="0"/>
      <w:bdr w:val="none" w:sz="0" w:space="0" w:color="auto"/>
      <w:shd w:val="clear" w:color="auto" w:fill="auto"/>
      <w:vertAlign w:val="superscript"/>
    </w:rPr>
  </w:style>
  <w:style w:type="paragraph" w:customStyle="1" w:styleId="PSNormal">
    <w:name w:val="PS_Normal"/>
    <w:basedOn w:val="Normal"/>
    <w:pPr>
      <w:spacing w:after="100"/>
      <w:jc w:val="both"/>
    </w:pPr>
    <w:rPr>
      <w:rFonts w:eastAsia="Times New Roman"/>
      <w:color w:val="7F7F7F" w:themeColor="text1" w:themeTint="80"/>
      <w:sz w:val="18"/>
      <w:szCs w:val="20"/>
      <w:lang w:eastAsia="en-GB"/>
    </w:rPr>
  </w:style>
  <w:style w:type="paragraph" w:customStyle="1" w:styleId="Default">
    <w:name w:val="Default"/>
    <w:pPr>
      <w:autoSpaceDE w:val="0"/>
      <w:autoSpaceDN w:val="0"/>
      <w:adjustRightInd w:val="0"/>
    </w:pPr>
    <w:rPr>
      <w:rFonts w:ascii="Calibri" w:eastAsia="Calibri" w:hAnsi="Calibri" w:cs="Calibri"/>
      <w:color w:val="000000"/>
      <w:sz w:val="24"/>
      <w:szCs w:val="24"/>
      <w:lang w:val="bg-BG"/>
    </w:rPr>
  </w:style>
  <w:style w:type="character" w:customStyle="1" w:styleId="A2">
    <w:name w:val="A2"/>
    <w:uiPriority w:val="99"/>
    <w:rPr>
      <w:rFonts w:cs="EC Square Sans Pro"/>
      <w:color w:val="000000"/>
      <w:sz w:val="20"/>
      <w:szCs w:val="20"/>
    </w:rPr>
  </w:style>
  <w:style w:type="numbering" w:customStyle="1" w:styleId="Bullets">
    <w:name w:val="Bullets"/>
    <w:aliases w:val="NumbLstBTBullet,NumbLstBullet"/>
    <w:pPr>
      <w:numPr>
        <w:numId w:val="22"/>
      </w:numPr>
    </w:pPr>
  </w:style>
  <w:style w:type="paragraph" w:customStyle="1" w:styleId="Bullet2">
    <w:name w:val="Bullet 2"/>
    <w:aliases w:val="Bullet2,BTBullet2"/>
    <w:basedOn w:val="Normal"/>
    <w:qFormat/>
    <w:pPr>
      <w:tabs>
        <w:tab w:val="num" w:pos="1021"/>
      </w:tabs>
      <w:spacing w:before="120" w:after="120"/>
      <w:ind w:left="1021" w:hanging="341"/>
      <w:contextualSpacing/>
      <w:jc w:val="both"/>
    </w:pPr>
    <w:rPr>
      <w:rFonts w:eastAsia="Calibri"/>
      <w:color w:val="000000"/>
      <w:sz w:val="18"/>
    </w:rPr>
  </w:style>
  <w:style w:type="paragraph" w:customStyle="1" w:styleId="Bullet3">
    <w:name w:val="Bullet 3"/>
    <w:aliases w:val="Bullet3,BTBullet3"/>
    <w:basedOn w:val="Bullet2"/>
    <w:qFormat/>
    <w:pPr>
      <w:tabs>
        <w:tab w:val="clear" w:pos="1021"/>
        <w:tab w:val="num" w:pos="1361"/>
      </w:tabs>
      <w:ind w:left="1361" w:hanging="340"/>
    </w:pPr>
  </w:style>
  <w:style w:type="paragraph" w:customStyle="1" w:styleId="AARHintboxtitle">
    <w:name w:val="AAR Hintbox title"/>
    <w:basedOn w:val="Normal"/>
    <w:next w:val="Normal"/>
    <w:qFormat/>
    <w:pPr>
      <w:keepNext/>
      <w:numPr>
        <w:numId w:val="23"/>
      </w:numPr>
      <w:spacing w:before="120" w:after="100"/>
      <w:jc w:val="both"/>
    </w:pPr>
    <w:rPr>
      <w:rFonts w:eastAsia="Calibri"/>
      <w:b/>
      <w:bCs/>
      <w:i/>
      <w:color w:val="00B050"/>
      <w:sz w:val="22"/>
      <w:u w:val="single"/>
    </w:rPr>
  </w:style>
  <w:style w:type="character" w:customStyle="1" w:styleId="Corpsdutexte27">
    <w:name w:val="Corps du texte27"/>
    <w:uiPriority w:val="99"/>
    <w:rPr>
      <w:rFonts w:ascii="Arial" w:hAnsi="Arial" w:cs="Arial"/>
      <w:color w:val="1A171C"/>
      <w:sz w:val="21"/>
      <w:szCs w:val="21"/>
      <w:u w:val="none"/>
    </w:rPr>
  </w:style>
  <w:style w:type="paragraph" w:customStyle="1" w:styleId="FooterLandscape">
    <w:name w:val="FooterLandscape"/>
    <w:basedOn w:val="Normal"/>
    <w:pPr>
      <w:tabs>
        <w:tab w:val="center" w:pos="7285"/>
        <w:tab w:val="center" w:pos="10913"/>
        <w:tab w:val="right" w:pos="15137"/>
      </w:tabs>
      <w:spacing w:before="360"/>
      <w:ind w:left="-567" w:right="-567"/>
    </w:pPr>
    <w:rPr>
      <w:rFonts w:ascii="Times New Roman" w:hAnsi="Times New Roman"/>
      <w:sz w:val="24"/>
    </w:rPr>
  </w:style>
  <w:style w:type="paragraph" w:customStyle="1" w:styleId="ChapterTitle">
    <w:name w:val="ChapterTitle"/>
    <w:basedOn w:val="Normal"/>
    <w:next w:val="Normal"/>
    <w:pPr>
      <w:keepNext/>
      <w:spacing w:before="120" w:after="360"/>
      <w:jc w:val="center"/>
    </w:pPr>
    <w:rPr>
      <w:rFonts w:eastAsia="SimSun"/>
      <w:b/>
      <w:color w:val="7F7F7F" w:themeColor="text1" w:themeTint="80"/>
      <w:sz w:val="32"/>
      <w:szCs w:val="24"/>
    </w:rPr>
  </w:style>
  <w:style w:type="paragraph" w:customStyle="1" w:styleId="TOCHeading1">
    <w:name w:val="TOC Heading1"/>
    <w:basedOn w:val="Normal"/>
    <w:next w:val="Normal"/>
    <w:uiPriority w:val="39"/>
    <w:qFormat/>
    <w:pPr>
      <w:numPr>
        <w:numId w:val="33"/>
      </w:numPr>
      <w:spacing w:before="120" w:after="240"/>
      <w:jc w:val="center"/>
    </w:pPr>
    <w:rPr>
      <w:rFonts w:eastAsia="SimSun"/>
      <w:b/>
      <w:color w:val="7F7F7F" w:themeColor="text1" w:themeTint="80"/>
      <w:sz w:val="28"/>
      <w:szCs w:val="24"/>
    </w:rPr>
  </w:style>
  <w:style w:type="paragraph" w:customStyle="1" w:styleId="Bullet0">
    <w:name w:val="Bullet 0"/>
    <w:basedOn w:val="Normal"/>
    <w:pPr>
      <w:tabs>
        <w:tab w:val="num" w:pos="850"/>
      </w:tabs>
      <w:spacing w:before="120" w:after="120"/>
      <w:ind w:left="850" w:hanging="850"/>
      <w:jc w:val="both"/>
    </w:pPr>
    <w:rPr>
      <w:rFonts w:eastAsia="SimSun"/>
      <w:color w:val="7F7F7F" w:themeColor="text1" w:themeTint="80"/>
      <w:sz w:val="18"/>
      <w:szCs w:val="24"/>
    </w:rPr>
  </w:style>
  <w:style w:type="paragraph" w:customStyle="1" w:styleId="Bullet4">
    <w:name w:val="Bullet 4"/>
    <w:basedOn w:val="Normal"/>
    <w:pPr>
      <w:tabs>
        <w:tab w:val="num" w:pos="2551"/>
        <w:tab w:val="num" w:pos="3118"/>
      </w:tabs>
      <w:spacing w:before="120" w:after="120"/>
      <w:ind w:left="3118" w:hanging="567"/>
      <w:jc w:val="both"/>
    </w:pPr>
    <w:rPr>
      <w:rFonts w:eastAsia="SimSun"/>
      <w:color w:val="7F7F7F" w:themeColor="text1" w:themeTint="80"/>
      <w:sz w:val="18"/>
      <w:szCs w:val="24"/>
    </w:rPr>
  </w:style>
  <w:style w:type="paragraph" w:customStyle="1" w:styleId="Annexetitreexpos">
    <w:name w:val="Annexe titre (exposé)"/>
    <w:basedOn w:val="Normal"/>
    <w:next w:val="Normal"/>
    <w:pPr>
      <w:spacing w:before="120" w:after="120"/>
      <w:jc w:val="center"/>
    </w:pPr>
    <w:rPr>
      <w:rFonts w:eastAsia="SimSun"/>
      <w:b/>
      <w:color w:val="7F7F7F" w:themeColor="text1" w:themeTint="80"/>
      <w:sz w:val="18"/>
      <w:szCs w:val="24"/>
      <w:u w:val="single"/>
    </w:rPr>
  </w:style>
  <w:style w:type="paragraph" w:customStyle="1" w:styleId="Annexetitre">
    <w:name w:val="Annexe titre"/>
    <w:basedOn w:val="Normal"/>
    <w:next w:val="Normal"/>
    <w:autoRedefine/>
    <w:pPr>
      <w:tabs>
        <w:tab w:val="num" w:pos="1134"/>
      </w:tabs>
      <w:spacing w:before="120" w:after="120"/>
      <w:ind w:left="360"/>
      <w:jc w:val="both"/>
      <w:outlineLvl w:val="0"/>
    </w:pPr>
    <w:rPr>
      <w:rFonts w:eastAsia="SimSun"/>
      <w:b/>
      <w:color w:val="7F7F7F" w:themeColor="text1" w:themeTint="80"/>
      <w:sz w:val="18"/>
      <w:szCs w:val="24"/>
      <w:u w:val="single"/>
    </w:rPr>
  </w:style>
  <w:style w:type="paragraph" w:customStyle="1" w:styleId="Annexetitrefichefinancire">
    <w:name w:val="Annexe titre (fiche financière)"/>
    <w:basedOn w:val="Normal"/>
    <w:next w:val="Normal"/>
    <w:pPr>
      <w:spacing w:before="120" w:after="120"/>
      <w:jc w:val="center"/>
    </w:pPr>
    <w:rPr>
      <w:rFonts w:eastAsia="SimSun"/>
      <w:b/>
      <w:color w:val="7F7F7F" w:themeColor="text1" w:themeTint="80"/>
      <w:sz w:val="18"/>
      <w:szCs w:val="24"/>
      <w:u w:val="single"/>
    </w:rPr>
  </w:style>
  <w:style w:type="paragraph" w:customStyle="1" w:styleId="Applicationdirecte">
    <w:name w:val="Application directe"/>
    <w:basedOn w:val="Normal"/>
    <w:next w:val="Fait"/>
    <w:pPr>
      <w:spacing w:before="480" w:after="120"/>
      <w:jc w:val="both"/>
    </w:pPr>
    <w:rPr>
      <w:rFonts w:eastAsia="SimSun"/>
      <w:color w:val="7F7F7F" w:themeColor="text1" w:themeTint="80"/>
      <w:sz w:val="18"/>
      <w:szCs w:val="24"/>
    </w:rPr>
  </w:style>
  <w:style w:type="paragraph" w:customStyle="1" w:styleId="Fait">
    <w:name w:val="Fait à"/>
    <w:basedOn w:val="Normal"/>
    <w:next w:val="Institutionquisigne"/>
    <w:pPr>
      <w:keepNext/>
      <w:spacing w:before="120" w:after="240"/>
      <w:jc w:val="both"/>
    </w:pPr>
    <w:rPr>
      <w:rFonts w:eastAsia="SimSun"/>
      <w:color w:val="7F7F7F" w:themeColor="text1" w:themeTint="80"/>
      <w:sz w:val="18"/>
      <w:szCs w:val="24"/>
    </w:rPr>
  </w:style>
  <w:style w:type="paragraph" w:customStyle="1" w:styleId="Institutionquisigne">
    <w:name w:val="Institution qui signe"/>
    <w:basedOn w:val="Normal"/>
    <w:next w:val="Personnequisigne"/>
    <w:pPr>
      <w:keepNext/>
      <w:tabs>
        <w:tab w:val="left" w:pos="4252"/>
      </w:tabs>
      <w:spacing w:before="720" w:after="240"/>
      <w:jc w:val="both"/>
    </w:pPr>
    <w:rPr>
      <w:rFonts w:eastAsia="SimSun"/>
      <w:i/>
      <w:color w:val="7F7F7F" w:themeColor="text1" w:themeTint="80"/>
      <w:sz w:val="18"/>
      <w:szCs w:val="24"/>
    </w:rPr>
  </w:style>
  <w:style w:type="paragraph" w:customStyle="1" w:styleId="Avertissementtitre">
    <w:name w:val="Avertissement titre"/>
    <w:basedOn w:val="Normal"/>
    <w:next w:val="Normal"/>
    <w:pPr>
      <w:keepNext/>
      <w:spacing w:before="480" w:after="120"/>
      <w:jc w:val="both"/>
    </w:pPr>
    <w:rPr>
      <w:rFonts w:eastAsia="SimSun"/>
      <w:color w:val="7F7F7F" w:themeColor="text1" w:themeTint="80"/>
      <w:sz w:val="18"/>
      <w:szCs w:val="24"/>
      <w:u w:val="single"/>
    </w:rPr>
  </w:style>
  <w:style w:type="paragraph" w:customStyle="1" w:styleId="Confidence">
    <w:name w:val="Confidence"/>
    <w:basedOn w:val="Normal"/>
    <w:next w:val="Normal"/>
    <w:pPr>
      <w:spacing w:before="360" w:after="120"/>
      <w:jc w:val="center"/>
    </w:pPr>
    <w:rPr>
      <w:rFonts w:eastAsia="SimSun"/>
      <w:color w:val="7F7F7F" w:themeColor="text1" w:themeTint="80"/>
      <w:sz w:val="18"/>
      <w:szCs w:val="24"/>
    </w:rPr>
  </w:style>
  <w:style w:type="paragraph" w:customStyle="1" w:styleId="Confidentialit">
    <w:name w:val="Confidentialité"/>
    <w:basedOn w:val="Normal"/>
    <w:next w:val="TypedudocumentPagedecouverture"/>
    <w:pPr>
      <w:spacing w:before="240" w:after="240"/>
      <w:ind w:left="5103"/>
      <w:jc w:val="both"/>
    </w:pPr>
    <w:rPr>
      <w:rFonts w:eastAsia="SimSun"/>
      <w:color w:val="7F7F7F" w:themeColor="text1" w:themeTint="80"/>
      <w:sz w:val="18"/>
      <w:szCs w:val="24"/>
      <w:u w:val="single"/>
    </w:rPr>
  </w:style>
  <w:style w:type="paragraph" w:customStyle="1" w:styleId="Titreobjet">
    <w:name w:val="Titre objet"/>
    <w:basedOn w:val="Normal"/>
    <w:next w:val="Sous-titreobjet"/>
    <w:pPr>
      <w:spacing w:before="360" w:after="360"/>
      <w:jc w:val="center"/>
    </w:pPr>
    <w:rPr>
      <w:rFonts w:eastAsia="SimSun"/>
      <w:b/>
      <w:color w:val="7F7F7F" w:themeColor="text1" w:themeTint="80"/>
      <w:sz w:val="18"/>
      <w:szCs w:val="24"/>
    </w:rPr>
  </w:style>
  <w:style w:type="paragraph" w:customStyle="1" w:styleId="Sous-titreobjet">
    <w:name w:val="Sous-titre objet"/>
    <w:basedOn w:val="Normal"/>
    <w:pPr>
      <w:spacing w:after="240"/>
      <w:jc w:val="center"/>
    </w:pPr>
    <w:rPr>
      <w:rFonts w:eastAsia="SimSun"/>
      <w:b/>
      <w:color w:val="7F7F7F" w:themeColor="text1" w:themeTint="80"/>
      <w:sz w:val="18"/>
      <w:szCs w:val="24"/>
    </w:rPr>
  </w:style>
  <w:style w:type="paragraph" w:customStyle="1" w:styleId="TitreobjetPagedecouverture">
    <w:name w:val="Titre objet (Page de couverture)"/>
    <w:basedOn w:val="Titreobjet"/>
    <w:next w:val="Sous-titreobjetPagedecouverture"/>
  </w:style>
  <w:style w:type="paragraph" w:customStyle="1" w:styleId="Sous-titreobjetPagedecouverture">
    <w:name w:val="Sous-titre objet (Page de couverture)"/>
    <w:basedOn w:val="Sous-titreobjet"/>
  </w:style>
  <w:style w:type="paragraph" w:customStyle="1" w:styleId="Considrant">
    <w:name w:val="Considérant"/>
    <w:basedOn w:val="Normal"/>
    <w:pPr>
      <w:tabs>
        <w:tab w:val="num" w:pos="709"/>
        <w:tab w:val="num" w:pos="3118"/>
      </w:tabs>
      <w:spacing w:before="120" w:after="120"/>
      <w:ind w:left="709" w:hanging="709"/>
      <w:jc w:val="both"/>
    </w:pPr>
    <w:rPr>
      <w:rFonts w:eastAsia="SimSun"/>
      <w:color w:val="7F7F7F" w:themeColor="text1" w:themeTint="80"/>
      <w:sz w:val="18"/>
      <w:szCs w:val="24"/>
    </w:rPr>
  </w:style>
  <w:style w:type="paragraph" w:customStyle="1" w:styleId="Corrigendum">
    <w:name w:val="Corrigendum"/>
    <w:basedOn w:val="Normal"/>
    <w:next w:val="Normal"/>
    <w:pPr>
      <w:spacing w:after="240"/>
      <w:jc w:val="both"/>
    </w:pPr>
    <w:rPr>
      <w:rFonts w:eastAsia="SimSun"/>
      <w:color w:val="7F7F7F" w:themeColor="text1" w:themeTint="80"/>
      <w:sz w:val="18"/>
      <w:szCs w:val="24"/>
    </w:rPr>
  </w:style>
  <w:style w:type="paragraph" w:customStyle="1" w:styleId="Datedadoption">
    <w:name w:val="Date d'adoption"/>
    <w:basedOn w:val="Normal"/>
    <w:next w:val="Titreobjet"/>
    <w:pPr>
      <w:spacing w:before="360" w:after="240"/>
      <w:jc w:val="center"/>
    </w:pPr>
    <w:rPr>
      <w:rFonts w:eastAsia="SimSun"/>
      <w:b/>
      <w:color w:val="7F7F7F" w:themeColor="text1" w:themeTint="80"/>
      <w:sz w:val="18"/>
      <w:szCs w:val="24"/>
    </w:rPr>
  </w:style>
  <w:style w:type="paragraph" w:customStyle="1" w:styleId="Emission">
    <w:name w:val="Emission"/>
    <w:basedOn w:val="Normal"/>
    <w:next w:val="Rfrenceinstitutionnelle"/>
    <w:pPr>
      <w:spacing w:after="240"/>
      <w:ind w:left="5103"/>
      <w:jc w:val="both"/>
    </w:pPr>
    <w:rPr>
      <w:rFonts w:eastAsia="SimSun"/>
      <w:color w:val="7F7F7F" w:themeColor="text1" w:themeTint="80"/>
      <w:sz w:val="18"/>
      <w:szCs w:val="24"/>
    </w:rPr>
  </w:style>
  <w:style w:type="paragraph" w:customStyle="1" w:styleId="Exposdesmotifstitre">
    <w:name w:val="Exposé des motifs titre"/>
    <w:basedOn w:val="Normal"/>
    <w:next w:val="Normal"/>
    <w:pPr>
      <w:spacing w:before="120" w:after="120"/>
      <w:jc w:val="center"/>
    </w:pPr>
    <w:rPr>
      <w:rFonts w:eastAsia="SimSun"/>
      <w:b/>
      <w:color w:val="7F7F7F" w:themeColor="text1" w:themeTint="80"/>
      <w:sz w:val="18"/>
      <w:szCs w:val="24"/>
      <w:u w:val="single"/>
    </w:rPr>
  </w:style>
  <w:style w:type="paragraph" w:customStyle="1" w:styleId="Formuledadoption">
    <w:name w:val="Formule d'adoption"/>
    <w:basedOn w:val="Normal"/>
    <w:next w:val="Titrearticle"/>
    <w:pPr>
      <w:keepNext/>
      <w:spacing w:before="120" w:after="120"/>
      <w:jc w:val="both"/>
    </w:pPr>
    <w:rPr>
      <w:rFonts w:eastAsia="SimSun"/>
      <w:color w:val="7F7F7F" w:themeColor="text1" w:themeTint="80"/>
      <w:sz w:val="18"/>
      <w:szCs w:val="24"/>
    </w:rPr>
  </w:style>
  <w:style w:type="paragraph" w:customStyle="1" w:styleId="Institutionquiagit">
    <w:name w:val="Institution qui agit"/>
    <w:basedOn w:val="Normal"/>
    <w:next w:val="Normal"/>
    <w:pPr>
      <w:keepNext/>
      <w:spacing w:before="600" w:after="120"/>
      <w:jc w:val="both"/>
    </w:pPr>
    <w:rPr>
      <w:rFonts w:eastAsia="SimSun"/>
      <w:color w:val="7F7F7F" w:themeColor="text1" w:themeTint="80"/>
      <w:sz w:val="18"/>
      <w:szCs w:val="24"/>
    </w:rPr>
  </w:style>
  <w:style w:type="character" w:customStyle="1" w:styleId="Added">
    <w:name w:val="Added"/>
    <w:rPr>
      <w:rFonts w:cs="Times New Roman"/>
      <w:b/>
      <w:u w:val="single"/>
      <w:shd w:val="clear" w:color="auto" w:fill="auto"/>
    </w:rPr>
  </w:style>
  <w:style w:type="character" w:customStyle="1" w:styleId="Deleted">
    <w:name w:val="Deleted"/>
    <w:rPr>
      <w:rFonts w:cs="Times New Roman"/>
      <w:strike/>
      <w:shd w:val="clear" w:color="auto" w:fill="auto"/>
    </w:rPr>
  </w:style>
  <w:style w:type="paragraph" w:customStyle="1" w:styleId="Address">
    <w:name w:val="Address"/>
    <w:basedOn w:val="Normal"/>
    <w:next w:val="Normal"/>
    <w:pPr>
      <w:keepLines/>
      <w:spacing w:before="120" w:after="120" w:line="360" w:lineRule="auto"/>
      <w:ind w:left="3402"/>
      <w:jc w:val="both"/>
    </w:pPr>
    <w:rPr>
      <w:rFonts w:eastAsia="SimSun"/>
      <w:color w:val="7F7F7F" w:themeColor="text1" w:themeTint="80"/>
      <w:sz w:val="18"/>
      <w:szCs w:val="24"/>
    </w:rPr>
  </w:style>
  <w:style w:type="paragraph" w:customStyle="1" w:styleId="Fichefinanciretitre">
    <w:name w:val="Fiche financière titre"/>
    <w:basedOn w:val="Normal"/>
    <w:next w:val="Normal"/>
    <w:pPr>
      <w:spacing w:before="120" w:after="120"/>
      <w:jc w:val="center"/>
    </w:pPr>
    <w:rPr>
      <w:rFonts w:eastAsia="SimSun"/>
      <w:b/>
      <w:color w:val="7F7F7F" w:themeColor="text1" w:themeTint="80"/>
      <w:sz w:val="18"/>
      <w:szCs w:val="24"/>
      <w:u w:val="single"/>
    </w:rPr>
  </w:style>
  <w:style w:type="paragraph" w:customStyle="1" w:styleId="Accompagnant">
    <w:name w:val="Accompagnant"/>
    <w:basedOn w:val="Normal"/>
    <w:next w:val="Typeacteprincipal"/>
    <w:pPr>
      <w:spacing w:after="240"/>
      <w:jc w:val="center"/>
    </w:pPr>
    <w:rPr>
      <w:rFonts w:eastAsia="SimSun"/>
      <w:b/>
      <w:i/>
      <w:color w:val="7F7F7F" w:themeColor="text1" w:themeTint="80"/>
      <w:sz w:val="18"/>
      <w:szCs w:val="24"/>
    </w:rPr>
  </w:style>
  <w:style w:type="paragraph" w:customStyle="1" w:styleId="AccompagnantPagedecouverture">
    <w:name w:val="Accompagnant (Page de couverture)"/>
    <w:basedOn w:val="Accompagnant"/>
    <w:next w:val="TypeacteprincipalPagedecouverture"/>
  </w:style>
  <w:style w:type="paragraph" w:customStyle="1" w:styleId="ListBullet1">
    <w:name w:val="List Bullet 1"/>
    <w:basedOn w:val="Text1"/>
    <w:uiPriority w:val="99"/>
    <w:pPr>
      <w:numPr>
        <w:numId w:val="26"/>
      </w:numPr>
      <w:spacing w:before="0" w:after="240"/>
    </w:pPr>
    <w:rPr>
      <w:color w:val="7F7F7F" w:themeColor="text1" w:themeTint="80"/>
      <w:sz w:val="18"/>
      <w:szCs w:val="20"/>
    </w:rPr>
  </w:style>
  <w:style w:type="paragraph" w:customStyle="1" w:styleId="ListDash">
    <w:name w:val="List Dash"/>
    <w:basedOn w:val="Normal"/>
    <w:pPr>
      <w:numPr>
        <w:numId w:val="27"/>
      </w:numPr>
      <w:spacing w:after="240"/>
      <w:jc w:val="both"/>
    </w:pPr>
    <w:rPr>
      <w:rFonts w:eastAsia="Times New Roman"/>
      <w:color w:val="7F7F7F" w:themeColor="text1" w:themeTint="80"/>
      <w:sz w:val="18"/>
      <w:szCs w:val="20"/>
    </w:rPr>
  </w:style>
  <w:style w:type="paragraph" w:customStyle="1" w:styleId="ListDash1">
    <w:name w:val="List Dash 1"/>
    <w:basedOn w:val="Text1"/>
    <w:pPr>
      <w:numPr>
        <w:numId w:val="28"/>
      </w:numPr>
      <w:spacing w:before="0" w:after="240"/>
    </w:pPr>
    <w:rPr>
      <w:color w:val="7F7F7F" w:themeColor="text1" w:themeTint="80"/>
      <w:sz w:val="18"/>
      <w:szCs w:val="20"/>
    </w:rPr>
  </w:style>
  <w:style w:type="paragraph" w:customStyle="1" w:styleId="ListDash2">
    <w:name w:val="List Dash 2"/>
    <w:basedOn w:val="Text2"/>
    <w:pPr>
      <w:numPr>
        <w:numId w:val="29"/>
      </w:numPr>
      <w:tabs>
        <w:tab w:val="clear" w:pos="1485"/>
        <w:tab w:val="num" w:pos="283"/>
      </w:tabs>
      <w:spacing w:before="0" w:after="240"/>
    </w:pPr>
    <w:rPr>
      <w:rFonts w:eastAsia="Times New Roman"/>
      <w:color w:val="7F7F7F" w:themeColor="text1" w:themeTint="80"/>
      <w:sz w:val="18"/>
      <w:szCs w:val="20"/>
    </w:rPr>
  </w:style>
  <w:style w:type="paragraph" w:customStyle="1" w:styleId="ListDash3">
    <w:name w:val="List Dash 3"/>
    <w:basedOn w:val="Text3"/>
    <w:pPr>
      <w:numPr>
        <w:numId w:val="30"/>
      </w:numPr>
      <w:spacing w:before="0" w:after="240"/>
    </w:pPr>
    <w:rPr>
      <w:rFonts w:eastAsia="Times New Roman"/>
      <w:color w:val="7F7F7F" w:themeColor="text1" w:themeTint="80"/>
      <w:sz w:val="18"/>
      <w:szCs w:val="20"/>
    </w:rPr>
  </w:style>
  <w:style w:type="paragraph" w:customStyle="1" w:styleId="ListDash4">
    <w:name w:val="List Dash 4"/>
    <w:basedOn w:val="Text4"/>
    <w:pPr>
      <w:numPr>
        <w:numId w:val="31"/>
      </w:numPr>
      <w:spacing w:before="0" w:after="240"/>
    </w:pPr>
    <w:rPr>
      <w:rFonts w:eastAsia="Times New Roman"/>
      <w:color w:val="7F7F7F" w:themeColor="text1" w:themeTint="80"/>
      <w:sz w:val="18"/>
      <w:szCs w:val="20"/>
    </w:rPr>
  </w:style>
  <w:style w:type="paragraph" w:customStyle="1" w:styleId="ListNumber1">
    <w:name w:val="List Number 1"/>
    <w:basedOn w:val="Text1"/>
    <w:pPr>
      <w:numPr>
        <w:numId w:val="32"/>
      </w:numPr>
      <w:spacing w:before="0" w:after="240"/>
    </w:pPr>
    <w:rPr>
      <w:color w:val="7F7F7F" w:themeColor="text1" w:themeTint="80"/>
      <w:sz w:val="18"/>
      <w:szCs w:val="20"/>
    </w:rPr>
  </w:style>
  <w:style w:type="paragraph" w:customStyle="1" w:styleId="ListNumberLevel2">
    <w:name w:val="List Number (Level 2)"/>
    <w:basedOn w:val="Normal"/>
    <w:pPr>
      <w:tabs>
        <w:tab w:val="num" w:pos="1417"/>
      </w:tabs>
      <w:spacing w:after="240"/>
      <w:ind w:left="1417" w:hanging="708"/>
      <w:jc w:val="both"/>
    </w:pPr>
    <w:rPr>
      <w:rFonts w:eastAsia="Times New Roman"/>
      <w:color w:val="7F7F7F" w:themeColor="text1" w:themeTint="80"/>
      <w:sz w:val="18"/>
      <w:szCs w:val="20"/>
    </w:rPr>
  </w:style>
  <w:style w:type="paragraph" w:customStyle="1" w:styleId="ListNumber1Level2">
    <w:name w:val="List Number 1 (Level 2)"/>
    <w:basedOn w:val="Text1"/>
    <w:pPr>
      <w:numPr>
        <w:ilvl w:val="1"/>
        <w:numId w:val="32"/>
      </w:numPr>
      <w:spacing w:before="0" w:after="240"/>
    </w:pPr>
    <w:rPr>
      <w:color w:val="7F7F7F" w:themeColor="text1" w:themeTint="80"/>
      <w:sz w:val="18"/>
      <w:szCs w:val="20"/>
    </w:rPr>
  </w:style>
  <w:style w:type="paragraph" w:customStyle="1" w:styleId="ListNumber2Level2">
    <w:name w:val="List Number 2 (Level 2)"/>
    <w:basedOn w:val="Text2"/>
    <w:pPr>
      <w:tabs>
        <w:tab w:val="num" w:pos="360"/>
      </w:tabs>
      <w:spacing w:before="0" w:after="240"/>
      <w:ind w:left="2619" w:hanging="708"/>
    </w:pPr>
    <w:rPr>
      <w:rFonts w:eastAsia="Times New Roman"/>
      <w:color w:val="7F7F7F" w:themeColor="text1" w:themeTint="80"/>
      <w:sz w:val="18"/>
      <w:szCs w:val="20"/>
    </w:rPr>
  </w:style>
  <w:style w:type="paragraph" w:customStyle="1" w:styleId="ListNumber3Level2">
    <w:name w:val="List Number 3 (Level 2)"/>
    <w:basedOn w:val="Text3"/>
    <w:pPr>
      <w:tabs>
        <w:tab w:val="num" w:pos="2619"/>
      </w:tabs>
      <w:spacing w:before="0" w:after="240"/>
      <w:ind w:left="2619" w:hanging="708"/>
    </w:pPr>
    <w:rPr>
      <w:rFonts w:eastAsia="Times New Roman"/>
      <w:color w:val="7F7F7F" w:themeColor="text1" w:themeTint="80"/>
      <w:sz w:val="18"/>
      <w:szCs w:val="20"/>
    </w:rPr>
  </w:style>
  <w:style w:type="paragraph" w:customStyle="1" w:styleId="ListNumber4Level2">
    <w:name w:val="List Number 4 (Level 2)"/>
    <w:basedOn w:val="Text4"/>
    <w:pPr>
      <w:tabs>
        <w:tab w:val="num" w:pos="2619"/>
      </w:tabs>
      <w:spacing w:before="0" w:after="240"/>
      <w:ind w:left="2619" w:hanging="708"/>
    </w:pPr>
    <w:rPr>
      <w:rFonts w:eastAsia="Times New Roman"/>
      <w:color w:val="7F7F7F" w:themeColor="text1" w:themeTint="80"/>
      <w:sz w:val="18"/>
      <w:szCs w:val="20"/>
    </w:rPr>
  </w:style>
  <w:style w:type="paragraph" w:customStyle="1" w:styleId="ListNumberLevel3">
    <w:name w:val="List Number (Level 3)"/>
    <w:basedOn w:val="Normal"/>
    <w:pPr>
      <w:tabs>
        <w:tab w:val="num" w:pos="2126"/>
      </w:tabs>
      <w:spacing w:after="240"/>
      <w:ind w:left="2126" w:hanging="709"/>
      <w:jc w:val="both"/>
    </w:pPr>
    <w:rPr>
      <w:rFonts w:eastAsia="Times New Roman"/>
      <w:color w:val="7F7F7F" w:themeColor="text1" w:themeTint="80"/>
      <w:sz w:val="18"/>
      <w:szCs w:val="20"/>
    </w:rPr>
  </w:style>
  <w:style w:type="paragraph" w:customStyle="1" w:styleId="ListNumber1Level3">
    <w:name w:val="List Number 1 (Level 3)"/>
    <w:basedOn w:val="Text1"/>
    <w:pPr>
      <w:numPr>
        <w:ilvl w:val="2"/>
        <w:numId w:val="32"/>
      </w:numPr>
      <w:spacing w:before="0" w:after="240"/>
    </w:pPr>
    <w:rPr>
      <w:color w:val="7F7F7F" w:themeColor="text1" w:themeTint="80"/>
      <w:sz w:val="18"/>
      <w:szCs w:val="20"/>
    </w:rPr>
  </w:style>
  <w:style w:type="paragraph" w:customStyle="1" w:styleId="ListNumber2Level3">
    <w:name w:val="List Number 2 (Level 3)"/>
    <w:basedOn w:val="Text2"/>
    <w:pPr>
      <w:tabs>
        <w:tab w:val="num" w:pos="360"/>
      </w:tabs>
      <w:spacing w:before="0" w:after="240"/>
      <w:ind w:left="3328" w:hanging="709"/>
    </w:pPr>
    <w:rPr>
      <w:rFonts w:eastAsia="Times New Roman"/>
      <w:color w:val="7F7F7F" w:themeColor="text1" w:themeTint="80"/>
      <w:sz w:val="18"/>
      <w:szCs w:val="20"/>
    </w:rPr>
  </w:style>
  <w:style w:type="paragraph" w:customStyle="1" w:styleId="ListNumber3Level3">
    <w:name w:val="List Number 3 (Level 3)"/>
    <w:basedOn w:val="Text3"/>
    <w:pPr>
      <w:tabs>
        <w:tab w:val="num" w:pos="3328"/>
      </w:tabs>
      <w:spacing w:before="0" w:after="240"/>
      <w:ind w:left="3328" w:hanging="709"/>
    </w:pPr>
    <w:rPr>
      <w:rFonts w:eastAsia="Times New Roman"/>
      <w:color w:val="7F7F7F" w:themeColor="text1" w:themeTint="80"/>
      <w:sz w:val="18"/>
      <w:szCs w:val="20"/>
    </w:rPr>
  </w:style>
  <w:style w:type="paragraph" w:customStyle="1" w:styleId="ListNumber4Level3">
    <w:name w:val="List Number 4 (Level 3)"/>
    <w:basedOn w:val="Text4"/>
    <w:pPr>
      <w:tabs>
        <w:tab w:val="num" w:pos="3328"/>
      </w:tabs>
      <w:spacing w:before="0" w:after="240"/>
      <w:ind w:left="3328" w:hanging="709"/>
    </w:pPr>
    <w:rPr>
      <w:rFonts w:eastAsia="Times New Roman"/>
      <w:color w:val="7F7F7F" w:themeColor="text1" w:themeTint="80"/>
      <w:sz w:val="18"/>
      <w:szCs w:val="20"/>
    </w:rPr>
  </w:style>
  <w:style w:type="paragraph" w:customStyle="1" w:styleId="ListNumberLevel4">
    <w:name w:val="List Number (Level 4)"/>
    <w:basedOn w:val="Normal"/>
    <w:pPr>
      <w:tabs>
        <w:tab w:val="num" w:pos="2835"/>
      </w:tabs>
      <w:spacing w:after="240"/>
      <w:ind w:left="2835" w:hanging="709"/>
      <w:jc w:val="both"/>
    </w:pPr>
    <w:rPr>
      <w:rFonts w:eastAsia="Times New Roman"/>
      <w:color w:val="7F7F7F" w:themeColor="text1" w:themeTint="80"/>
      <w:sz w:val="18"/>
      <w:szCs w:val="20"/>
    </w:rPr>
  </w:style>
  <w:style w:type="paragraph" w:customStyle="1" w:styleId="ListNumber1Level4">
    <w:name w:val="List Number 1 (Level 4)"/>
    <w:basedOn w:val="Text1"/>
    <w:pPr>
      <w:numPr>
        <w:ilvl w:val="3"/>
        <w:numId w:val="32"/>
      </w:numPr>
      <w:spacing w:before="0" w:after="240"/>
    </w:pPr>
    <w:rPr>
      <w:color w:val="7F7F7F" w:themeColor="text1" w:themeTint="80"/>
      <w:sz w:val="18"/>
      <w:szCs w:val="20"/>
    </w:rPr>
  </w:style>
  <w:style w:type="paragraph" w:customStyle="1" w:styleId="ListNumber2Level4">
    <w:name w:val="List Number 2 (Level 4)"/>
    <w:basedOn w:val="Text2"/>
    <w:pPr>
      <w:tabs>
        <w:tab w:val="num" w:pos="360"/>
      </w:tabs>
      <w:spacing w:before="0" w:after="240"/>
      <w:ind w:left="4037" w:hanging="709"/>
    </w:pPr>
    <w:rPr>
      <w:rFonts w:eastAsia="Times New Roman"/>
      <w:color w:val="7F7F7F" w:themeColor="text1" w:themeTint="80"/>
      <w:sz w:val="18"/>
      <w:szCs w:val="20"/>
    </w:rPr>
  </w:style>
  <w:style w:type="paragraph" w:customStyle="1" w:styleId="ListNumber3Level4">
    <w:name w:val="List Number 3 (Level 4)"/>
    <w:basedOn w:val="Text3"/>
    <w:pPr>
      <w:tabs>
        <w:tab w:val="num" w:pos="4037"/>
      </w:tabs>
      <w:spacing w:before="0" w:after="240"/>
      <w:ind w:left="4037" w:hanging="709"/>
    </w:pPr>
    <w:rPr>
      <w:rFonts w:eastAsia="Times New Roman"/>
      <w:color w:val="7F7F7F" w:themeColor="text1" w:themeTint="80"/>
      <w:sz w:val="18"/>
      <w:szCs w:val="20"/>
    </w:rPr>
  </w:style>
  <w:style w:type="paragraph" w:customStyle="1" w:styleId="ListNumber4Level4">
    <w:name w:val="List Number 4 (Level 4)"/>
    <w:basedOn w:val="Text4"/>
    <w:pPr>
      <w:tabs>
        <w:tab w:val="num" w:pos="4037"/>
      </w:tabs>
      <w:spacing w:before="0" w:after="240"/>
      <w:ind w:left="4037" w:hanging="709"/>
    </w:pPr>
    <w:rPr>
      <w:rFonts w:eastAsia="Times New Roman"/>
      <w:color w:val="7F7F7F" w:themeColor="text1" w:themeTint="80"/>
      <w:sz w:val="18"/>
      <w:szCs w:val="20"/>
    </w:rPr>
  </w:style>
  <w:style w:type="paragraph" w:customStyle="1" w:styleId="Rfrenceinterinstitutionelleprliminaire">
    <w:name w:val="Référence interinstitutionelle (préliminaire)"/>
    <w:basedOn w:val="Normal"/>
    <w:next w:val="Normal"/>
    <w:pPr>
      <w:spacing w:after="240"/>
      <w:ind w:left="5103"/>
      <w:jc w:val="both"/>
    </w:pPr>
    <w:rPr>
      <w:rFonts w:eastAsia="SimSun"/>
      <w:color w:val="7F7F7F" w:themeColor="text1" w:themeTint="80"/>
      <w:sz w:val="18"/>
      <w:szCs w:val="24"/>
      <w:lang w:eastAsia="de-DE"/>
    </w:rPr>
  </w:style>
  <w:style w:type="paragraph" w:customStyle="1" w:styleId="Sous-titreobjetprliminaire">
    <w:name w:val="Sous-titre objet (préliminaire)"/>
    <w:basedOn w:val="Normal"/>
    <w:pPr>
      <w:spacing w:after="240"/>
      <w:jc w:val="center"/>
    </w:pPr>
    <w:rPr>
      <w:rFonts w:eastAsia="SimSun"/>
      <w:b/>
      <w:color w:val="7F7F7F" w:themeColor="text1" w:themeTint="80"/>
      <w:sz w:val="18"/>
      <w:szCs w:val="24"/>
      <w:lang w:eastAsia="de-DE"/>
    </w:rPr>
  </w:style>
  <w:style w:type="paragraph" w:customStyle="1" w:styleId="Statutprliminaire">
    <w:name w:val="Statut (préliminaire)"/>
    <w:basedOn w:val="Normal"/>
    <w:next w:val="Normal"/>
    <w:pPr>
      <w:spacing w:before="360" w:after="240"/>
      <w:jc w:val="center"/>
    </w:pPr>
    <w:rPr>
      <w:rFonts w:eastAsia="SimSun"/>
      <w:color w:val="7F7F7F" w:themeColor="text1" w:themeTint="80"/>
      <w:sz w:val="18"/>
      <w:szCs w:val="24"/>
      <w:lang w:eastAsia="de-DE"/>
    </w:rPr>
  </w:style>
  <w:style w:type="paragraph" w:customStyle="1" w:styleId="Titreobjetprliminaire">
    <w:name w:val="Titre objet (préliminaire)"/>
    <w:basedOn w:val="Normal"/>
    <w:next w:val="Normal"/>
    <w:pPr>
      <w:numPr>
        <w:numId w:val="25"/>
      </w:numPr>
      <w:tabs>
        <w:tab w:val="clear" w:pos="850"/>
      </w:tabs>
      <w:spacing w:before="360" w:after="360"/>
      <w:jc w:val="center"/>
    </w:pPr>
    <w:rPr>
      <w:rFonts w:eastAsia="SimSun"/>
      <w:b/>
      <w:color w:val="7F7F7F" w:themeColor="text1" w:themeTint="80"/>
      <w:sz w:val="18"/>
      <w:szCs w:val="24"/>
      <w:lang w:eastAsia="de-DE"/>
    </w:rPr>
  </w:style>
  <w:style w:type="paragraph" w:customStyle="1" w:styleId="Typedudocumentprliminaire">
    <w:name w:val="Type du document (préliminaire)"/>
    <w:basedOn w:val="Normal"/>
    <w:next w:val="Normal"/>
    <w:pPr>
      <w:spacing w:before="360" w:after="240"/>
      <w:jc w:val="center"/>
    </w:pPr>
    <w:rPr>
      <w:rFonts w:eastAsia="SimSun"/>
      <w:b/>
      <w:color w:val="7F7F7F" w:themeColor="text1" w:themeTint="80"/>
      <w:sz w:val="18"/>
      <w:szCs w:val="24"/>
      <w:lang w:eastAsia="de-DE"/>
    </w:rPr>
  </w:style>
  <w:style w:type="paragraph" w:customStyle="1" w:styleId="FootnoteText1">
    <w:name w:val="Footnote Text1"/>
    <w:basedOn w:val="FootnoteText"/>
    <w:autoRedefine/>
    <w:pPr>
      <w:tabs>
        <w:tab w:val="clear" w:pos="426"/>
      </w:tabs>
      <w:spacing w:after="240"/>
      <w:ind w:left="244" w:hanging="244"/>
      <w:jc w:val="both"/>
    </w:pPr>
    <w:rPr>
      <w:rFonts w:eastAsia="SimSun"/>
      <w:noProof w:val="0"/>
      <w:color w:val="7F7F7F" w:themeColor="text1" w:themeTint="80"/>
      <w:sz w:val="18"/>
      <w:lang w:eastAsia="en-US"/>
    </w:rPr>
  </w:style>
  <w:style w:type="paragraph" w:customStyle="1" w:styleId="References">
    <w:name w:val="References"/>
    <w:basedOn w:val="Normal"/>
    <w:next w:val="Normal"/>
    <w:link w:val="ReferencesChar"/>
    <w:uiPriority w:val="99"/>
    <w:pPr>
      <w:spacing w:after="240"/>
      <w:ind w:left="5103"/>
      <w:jc w:val="both"/>
    </w:pPr>
    <w:rPr>
      <w:rFonts w:eastAsia="SimSun"/>
      <w:color w:val="7F7F7F" w:themeColor="text1" w:themeTint="80"/>
      <w:sz w:val="18"/>
      <w:szCs w:val="20"/>
    </w:rPr>
  </w:style>
  <w:style w:type="paragraph" w:customStyle="1" w:styleId="Prliminairetitre">
    <w:name w:val="Préliminaire titre"/>
    <w:basedOn w:val="Normal"/>
    <w:next w:val="Normal"/>
    <w:pPr>
      <w:spacing w:before="360" w:after="360"/>
      <w:jc w:val="center"/>
    </w:pPr>
    <w:rPr>
      <w:rFonts w:eastAsia="SimSun"/>
      <w:b/>
      <w:color w:val="7F7F7F" w:themeColor="text1" w:themeTint="80"/>
      <w:sz w:val="18"/>
      <w:szCs w:val="24"/>
      <w:lang w:eastAsia="de-DE"/>
    </w:rPr>
  </w:style>
  <w:style w:type="paragraph" w:customStyle="1" w:styleId="Prliminairetype">
    <w:name w:val="Préliminaire type"/>
    <w:basedOn w:val="Normal"/>
    <w:next w:val="Normal"/>
    <w:pPr>
      <w:spacing w:before="360" w:after="240"/>
      <w:jc w:val="center"/>
    </w:pPr>
    <w:rPr>
      <w:rFonts w:eastAsia="SimSun"/>
      <w:b/>
      <w:color w:val="7F7F7F" w:themeColor="text1" w:themeTint="80"/>
      <w:sz w:val="18"/>
      <w:szCs w:val="24"/>
      <w:lang w:eastAsia="de-DE"/>
    </w:rPr>
  </w:style>
  <w:style w:type="paragraph" w:customStyle="1" w:styleId="Annexetitreacte">
    <w:name w:val="Annexe titre (acte)"/>
    <w:basedOn w:val="Normal"/>
    <w:next w:val="Normal"/>
    <w:pPr>
      <w:spacing w:before="120" w:after="120"/>
      <w:jc w:val="center"/>
    </w:pPr>
    <w:rPr>
      <w:rFonts w:eastAsia="SimSun"/>
      <w:b/>
      <w:color w:val="7F7F7F" w:themeColor="text1" w:themeTint="80"/>
      <w:sz w:val="18"/>
      <w:szCs w:val="24"/>
      <w:u w:val="single"/>
      <w:lang w:eastAsia="de-DE"/>
    </w:rPr>
  </w:style>
  <w:style w:type="paragraph" w:customStyle="1" w:styleId="CM1">
    <w:name w:val="CM1"/>
    <w:basedOn w:val="Default"/>
    <w:next w:val="Default"/>
    <w:rPr>
      <w:rFonts w:ascii="EUAlbertina" w:eastAsia="SimSun" w:hAnsi="EUAlbertina" w:cs="Times New Roman"/>
      <w:color w:val="auto"/>
      <w:lang w:val="en-GB" w:eastAsia="ko-KR"/>
    </w:rPr>
  </w:style>
  <w:style w:type="paragraph" w:customStyle="1" w:styleId="CM3">
    <w:name w:val="CM3"/>
    <w:basedOn w:val="Default"/>
    <w:next w:val="Default"/>
    <w:rPr>
      <w:rFonts w:ascii="EUAlbertina" w:eastAsia="SimSun" w:hAnsi="EUAlbertina" w:cs="Times New Roman"/>
      <w:color w:val="auto"/>
      <w:lang w:val="en-GB" w:eastAsia="ko-KR"/>
    </w:rPr>
  </w:style>
  <w:style w:type="paragraph" w:customStyle="1" w:styleId="NormalJustified">
    <w:name w:val="Normal + Justified"/>
    <w:basedOn w:val="Normal"/>
    <w:pPr>
      <w:spacing w:after="240"/>
      <w:jc w:val="both"/>
    </w:pPr>
    <w:rPr>
      <w:rFonts w:eastAsia="SimSun"/>
      <w:noProof/>
      <w:color w:val="7F7F7F" w:themeColor="text1" w:themeTint="80"/>
      <w:sz w:val="18"/>
      <w:szCs w:val="24"/>
      <w:lang w:eastAsia="en-GB"/>
    </w:rPr>
  </w:style>
  <w:style w:type="paragraph" w:customStyle="1" w:styleId="Rfrenceinstitutionelle">
    <w:name w:val="Référence institutionelle"/>
    <w:basedOn w:val="Normal"/>
    <w:next w:val="Statut"/>
    <w:pPr>
      <w:spacing w:after="240"/>
      <w:ind w:left="5103"/>
      <w:jc w:val="both"/>
    </w:pPr>
    <w:rPr>
      <w:rFonts w:eastAsia="SimSun"/>
      <w:color w:val="7F7F7F" w:themeColor="text1" w:themeTint="80"/>
      <w:sz w:val="18"/>
      <w:szCs w:val="24"/>
      <w:lang w:eastAsia="de-DE"/>
    </w:rPr>
  </w:style>
  <w:style w:type="paragraph" w:customStyle="1" w:styleId="Rfrenceinterinstitutionelle">
    <w:name w:val="Référence interinstitutionelle"/>
    <w:basedOn w:val="Normal"/>
    <w:next w:val="Statut"/>
    <w:pPr>
      <w:spacing w:after="240"/>
      <w:ind w:left="5103"/>
      <w:jc w:val="both"/>
    </w:pPr>
    <w:rPr>
      <w:rFonts w:eastAsia="SimSun"/>
      <w:color w:val="7F7F7F" w:themeColor="text1" w:themeTint="80"/>
      <w:sz w:val="18"/>
      <w:szCs w:val="24"/>
      <w:lang w:eastAsia="de-DE"/>
    </w:rPr>
  </w:style>
  <w:style w:type="character" w:customStyle="1" w:styleId="ReferencesChar">
    <w:name w:val="References Char"/>
    <w:link w:val="References"/>
    <w:uiPriority w:val="99"/>
    <w:rPr>
      <w:rFonts w:ascii="EC Square Sans Pro" w:eastAsia="SimSun" w:hAnsi="EC Square Sans Pro" w:cs="Times New Roman"/>
      <w:color w:val="7F7F7F" w:themeColor="text1" w:themeTint="80"/>
      <w:sz w:val="18"/>
      <w:szCs w:val="20"/>
      <w:lang w:val="en-GB"/>
    </w:rPr>
  </w:style>
  <w:style w:type="character" w:customStyle="1" w:styleId="FootnotetextChar0">
    <w:name w:val="Footnote text Char"/>
    <w:rPr>
      <w:rFonts w:ascii="EC Square Sans Pro" w:eastAsia="SimSun" w:hAnsi="EC Square Sans Pro" w:cs="Times New Roman"/>
      <w:color w:val="7F7F7F" w:themeColor="text1" w:themeTint="80"/>
      <w:sz w:val="18"/>
      <w:szCs w:val="20"/>
      <w:lang w:val="en-GB"/>
    </w:rPr>
  </w:style>
  <w:style w:type="character" w:customStyle="1" w:styleId="Text2Char">
    <w:name w:val="Text 2 Char"/>
    <w:link w:val="Text2"/>
    <w:rPr>
      <w:rFonts w:ascii="EC Square Sans Pro" w:hAnsi="EC Square Sans Pro" w:cs="Times New Roman"/>
      <w:sz w:val="24"/>
      <w:lang w:val="en-GB"/>
    </w:rPr>
  </w:style>
  <w:style w:type="paragraph" w:customStyle="1" w:styleId="Footnoo">
    <w:name w:val="Footnoo"/>
    <w:basedOn w:val="Normal"/>
    <w:link w:val="FootnooChar"/>
    <w:pPr>
      <w:spacing w:after="240"/>
      <w:jc w:val="both"/>
    </w:pPr>
    <w:rPr>
      <w:rFonts w:eastAsia="SimSun"/>
      <w:color w:val="7F7F7F" w:themeColor="text1" w:themeTint="80"/>
      <w:sz w:val="18"/>
      <w:szCs w:val="24"/>
      <w:lang w:eastAsia="en-GB"/>
    </w:rPr>
  </w:style>
  <w:style w:type="character" w:customStyle="1" w:styleId="FootnooChar">
    <w:name w:val="Footnoo Char"/>
    <w:link w:val="Footnoo"/>
    <w:rPr>
      <w:rFonts w:ascii="EC Square Sans Pro" w:eastAsia="SimSun" w:hAnsi="EC Square Sans Pro" w:cs="Times New Roman"/>
      <w:color w:val="7F7F7F" w:themeColor="text1" w:themeTint="80"/>
      <w:sz w:val="18"/>
      <w:szCs w:val="24"/>
      <w:lang w:val="en-GB" w:eastAsia="en-GB"/>
    </w:rPr>
  </w:style>
  <w:style w:type="character" w:customStyle="1" w:styleId="Corpsdutexte">
    <w:name w:val="Corps du texte_"/>
    <w:uiPriority w:val="99"/>
    <w:locked/>
    <w:rPr>
      <w:sz w:val="23"/>
      <w:szCs w:val="23"/>
      <w:shd w:val="clear" w:color="auto" w:fill="FFFFFF"/>
    </w:rPr>
  </w:style>
  <w:style w:type="paragraph" w:customStyle="1" w:styleId="Corpsdutexte1">
    <w:name w:val="Corps du texte1"/>
    <w:basedOn w:val="Normal"/>
    <w:uiPriority w:val="99"/>
    <w:pPr>
      <w:widowControl w:val="0"/>
      <w:shd w:val="clear" w:color="auto" w:fill="FFFFFF"/>
      <w:spacing w:before="180" w:after="900" w:line="240" w:lineRule="atLeast"/>
      <w:ind w:hanging="2160"/>
      <w:jc w:val="both"/>
    </w:pPr>
    <w:rPr>
      <w:rFonts w:asciiTheme="minorHAnsi" w:hAnsiTheme="minorHAnsi" w:cstheme="minorBidi"/>
      <w:sz w:val="23"/>
      <w:szCs w:val="23"/>
      <w:lang w:val="fr-BE"/>
    </w:rPr>
  </w:style>
  <w:style w:type="paragraph" w:customStyle="1" w:styleId="ZCom">
    <w:name w:val="Z_Com"/>
    <w:basedOn w:val="Normal"/>
    <w:next w:val="ZDGName"/>
    <w:pPr>
      <w:widowControl w:val="0"/>
      <w:autoSpaceDE w:val="0"/>
      <w:autoSpaceDN w:val="0"/>
      <w:spacing w:after="240"/>
      <w:ind w:right="85"/>
      <w:jc w:val="both"/>
    </w:pPr>
    <w:rPr>
      <w:rFonts w:ascii="Arial" w:eastAsia="SimSun" w:hAnsi="Arial" w:cs="Arial"/>
      <w:color w:val="7F7F7F" w:themeColor="text1" w:themeTint="80"/>
      <w:sz w:val="18"/>
      <w:szCs w:val="24"/>
      <w:lang w:eastAsia="en-GB"/>
    </w:rPr>
  </w:style>
  <w:style w:type="paragraph" w:customStyle="1" w:styleId="ZDGName">
    <w:name w:val="Z_DGName"/>
    <w:basedOn w:val="Normal"/>
    <w:pPr>
      <w:widowControl w:val="0"/>
      <w:autoSpaceDE w:val="0"/>
      <w:autoSpaceDN w:val="0"/>
      <w:spacing w:after="240"/>
      <w:ind w:right="85"/>
      <w:jc w:val="both"/>
    </w:pPr>
    <w:rPr>
      <w:rFonts w:ascii="Arial" w:eastAsia="SimSun" w:hAnsi="Arial" w:cs="Arial"/>
      <w:color w:val="7F7F7F" w:themeColor="text1" w:themeTint="80"/>
      <w:sz w:val="16"/>
      <w:szCs w:val="16"/>
      <w:lang w:eastAsia="en-GB"/>
    </w:rPr>
  </w:style>
  <w:style w:type="numbering" w:customStyle="1" w:styleId="Style1">
    <w:name w:val="Style1"/>
    <w:pPr>
      <w:numPr>
        <w:numId w:val="23"/>
      </w:numPr>
    </w:pPr>
  </w:style>
  <w:style w:type="numbering" w:customStyle="1" w:styleId="Style2">
    <w:name w:val="Style2"/>
    <w:pPr>
      <w:numPr>
        <w:numId w:val="24"/>
      </w:numPr>
    </w:pPr>
  </w:style>
  <w:style w:type="paragraph" w:customStyle="1" w:styleId="FootnoteJAL">
    <w:name w:val="FootnoteJAL"/>
    <w:basedOn w:val="FootnoteText"/>
    <w:link w:val="FootnoteJALChar"/>
    <w:qFormat/>
    <w:pPr>
      <w:tabs>
        <w:tab w:val="clear" w:pos="426"/>
      </w:tabs>
      <w:spacing w:after="120"/>
      <w:ind w:left="357" w:hanging="357"/>
      <w:jc w:val="both"/>
    </w:pPr>
    <w:rPr>
      <w:rFonts w:ascii="Calibri" w:eastAsia="SimSun" w:hAnsi="Calibri"/>
      <w:i/>
      <w:iCs/>
      <w:noProof w:val="0"/>
      <w:color w:val="7F7F7F" w:themeColor="text1" w:themeTint="80"/>
      <w:sz w:val="24"/>
      <w:szCs w:val="24"/>
      <w:lang w:eastAsia="en-US"/>
    </w:rPr>
  </w:style>
  <w:style w:type="character" w:customStyle="1" w:styleId="FootnoteJALChar">
    <w:name w:val="FootnoteJAL Char"/>
    <w:link w:val="FootnoteJAL"/>
    <w:rPr>
      <w:rFonts w:ascii="Calibri" w:eastAsia="SimSun" w:hAnsi="Calibri" w:cs="Times New Roman"/>
      <w:i/>
      <w:iCs/>
      <w:color w:val="7F7F7F" w:themeColor="text1" w:themeTint="80"/>
      <w:sz w:val="24"/>
      <w:szCs w:val="24"/>
      <w:lang w:val="en-GB"/>
    </w:rPr>
  </w:style>
  <w:style w:type="paragraph" w:customStyle="1" w:styleId="ColorfulShading-Accent11">
    <w:name w:val="Colorful Shading - Accent 11"/>
    <w:hidden/>
    <w:uiPriority w:val="71"/>
    <w:rPr>
      <w:rFonts w:ascii="Times New Roman" w:eastAsia="SimSun" w:hAnsi="Times New Roman" w:cs="Times New Roman"/>
      <w:sz w:val="24"/>
      <w:szCs w:val="24"/>
      <w:lang w:val="en-GB" w:eastAsia="en-GB"/>
    </w:rPr>
  </w:style>
  <w:style w:type="paragraph" w:customStyle="1" w:styleId="font0">
    <w:name w:val="font0"/>
    <w:basedOn w:val="Normal"/>
    <w:pPr>
      <w:spacing w:before="100" w:beforeAutospacing="1" w:after="100" w:afterAutospacing="1"/>
      <w:jc w:val="both"/>
    </w:pPr>
    <w:rPr>
      <w:rFonts w:ascii="Calibri" w:eastAsia="SimSun" w:hAnsi="Calibri"/>
      <w:color w:val="000000"/>
      <w:sz w:val="22"/>
      <w:lang w:eastAsia="en-GB"/>
    </w:rPr>
  </w:style>
  <w:style w:type="paragraph" w:customStyle="1" w:styleId="font5">
    <w:name w:val="font5"/>
    <w:basedOn w:val="Normal"/>
    <w:pPr>
      <w:spacing w:before="100" w:beforeAutospacing="1" w:after="100" w:afterAutospacing="1"/>
      <w:jc w:val="both"/>
    </w:pPr>
    <w:rPr>
      <w:rFonts w:ascii="Calibri" w:eastAsia="SimSun" w:hAnsi="Calibri"/>
      <w:color w:val="000000"/>
      <w:sz w:val="22"/>
      <w:lang w:eastAsia="en-GB"/>
    </w:rPr>
  </w:style>
  <w:style w:type="paragraph" w:customStyle="1" w:styleId="font6">
    <w:name w:val="font6"/>
    <w:basedOn w:val="Normal"/>
    <w:pPr>
      <w:spacing w:before="100" w:beforeAutospacing="1" w:after="100" w:afterAutospacing="1"/>
      <w:jc w:val="both"/>
    </w:pPr>
    <w:rPr>
      <w:rFonts w:ascii="Tahoma" w:eastAsia="SimSun" w:hAnsi="Tahoma" w:cs="Tahoma"/>
      <w:color w:val="000000"/>
      <w:sz w:val="18"/>
      <w:szCs w:val="18"/>
      <w:lang w:eastAsia="en-GB"/>
    </w:rPr>
  </w:style>
  <w:style w:type="paragraph" w:customStyle="1" w:styleId="font7">
    <w:name w:val="font7"/>
    <w:basedOn w:val="Normal"/>
    <w:pPr>
      <w:spacing w:before="100" w:beforeAutospacing="1" w:after="100" w:afterAutospacing="1"/>
      <w:jc w:val="both"/>
    </w:pPr>
    <w:rPr>
      <w:rFonts w:ascii="Tahoma" w:eastAsia="SimSun" w:hAnsi="Tahoma" w:cs="Tahoma"/>
      <w:b/>
      <w:bCs/>
      <w:color w:val="000000"/>
      <w:sz w:val="18"/>
      <w:szCs w:val="18"/>
      <w:lang w:eastAsia="en-GB"/>
    </w:rPr>
  </w:style>
  <w:style w:type="paragraph" w:customStyle="1" w:styleId="font8">
    <w:name w:val="font8"/>
    <w:basedOn w:val="Normal"/>
    <w:pPr>
      <w:spacing w:before="100" w:beforeAutospacing="1" w:after="100" w:afterAutospacing="1"/>
      <w:jc w:val="both"/>
    </w:pPr>
    <w:rPr>
      <w:rFonts w:ascii="Calibri" w:eastAsia="SimSun" w:hAnsi="Calibri"/>
      <w:color w:val="000000"/>
      <w:sz w:val="22"/>
      <w:lang w:eastAsia="en-GB"/>
    </w:rPr>
  </w:style>
  <w:style w:type="paragraph" w:customStyle="1" w:styleId="xl63">
    <w:name w:val="xl63"/>
    <w:basedOn w:val="Normal"/>
    <w:pP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64">
    <w:name w:val="xl64"/>
    <w:basedOn w:val="Normal"/>
    <w:pPr>
      <w:pBdr>
        <w:top w:val="single" w:sz="4"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65">
    <w:name w:val="xl65"/>
    <w:basedOn w:val="Normal"/>
    <w:pP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66">
    <w:name w:val="xl66"/>
    <w:basedOn w:val="Normal"/>
    <w:pPr>
      <w:pBdr>
        <w:bottom w:val="single" w:sz="12"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67">
    <w:name w:val="xl67"/>
    <w:basedOn w:val="Normal"/>
    <w:pPr>
      <w:pBdr>
        <w:bottom w:val="single" w:sz="8"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68">
    <w:name w:val="xl68"/>
    <w:basedOn w:val="Normal"/>
    <w:pPr>
      <w:pBdr>
        <w:bottom w:val="single" w:sz="8" w:space="0" w:color="auto"/>
      </w:pBdr>
      <w:shd w:val="clear" w:color="000000" w:fill="FFFF00"/>
      <w:spacing w:before="100" w:beforeAutospacing="1" w:after="100" w:afterAutospacing="1"/>
      <w:jc w:val="both"/>
      <w:textAlignment w:val="top"/>
    </w:pPr>
    <w:rPr>
      <w:rFonts w:eastAsia="SimSun"/>
      <w:color w:val="FF0000"/>
      <w:sz w:val="18"/>
      <w:szCs w:val="24"/>
      <w:lang w:eastAsia="en-GB"/>
    </w:rPr>
  </w:style>
  <w:style w:type="paragraph" w:customStyle="1" w:styleId="xl69">
    <w:name w:val="xl69"/>
    <w:basedOn w:val="Normal"/>
    <w:pP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70">
    <w:name w:val="xl70"/>
    <w:basedOn w:val="Normal"/>
    <w:pPr>
      <w:pBdr>
        <w:bottom w:val="single" w:sz="12"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71">
    <w:name w:val="xl71"/>
    <w:basedOn w:val="Normal"/>
    <w:pP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72">
    <w:name w:val="xl72"/>
    <w:basedOn w:val="Normal"/>
    <w:pPr>
      <w:pBdr>
        <w:bottom w:val="single" w:sz="12"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73">
    <w:name w:val="xl73"/>
    <w:basedOn w:val="Normal"/>
    <w:pPr>
      <w:pBdr>
        <w:bottom w:val="single" w:sz="8"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74">
    <w:name w:val="xl74"/>
    <w:basedOn w:val="Normal"/>
    <w:pPr>
      <w:pBdr>
        <w:bottom w:val="single" w:sz="8" w:space="0" w:color="auto"/>
      </w:pBdr>
      <w:shd w:val="clear" w:color="000000" w:fill="FFFF00"/>
      <w:spacing w:before="100" w:beforeAutospacing="1" w:after="100" w:afterAutospacing="1"/>
      <w:jc w:val="center"/>
      <w:textAlignment w:val="top"/>
    </w:pPr>
    <w:rPr>
      <w:rFonts w:eastAsia="SimSun"/>
      <w:color w:val="FF0000"/>
      <w:sz w:val="18"/>
      <w:szCs w:val="24"/>
      <w:lang w:eastAsia="en-GB"/>
    </w:rPr>
  </w:style>
  <w:style w:type="paragraph" w:customStyle="1" w:styleId="xl75">
    <w:name w:val="xl75"/>
    <w:basedOn w:val="Normal"/>
    <w:pPr>
      <w:pBdr>
        <w:top w:val="single" w:sz="4" w:space="0" w:color="auto"/>
        <w:left w:val="single" w:sz="4"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76">
    <w:name w:val="xl76"/>
    <w:basedOn w:val="Normal"/>
    <w:pPr>
      <w:pBdr>
        <w:left w:val="single" w:sz="4"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77">
    <w:name w:val="xl77"/>
    <w:basedOn w:val="Normal"/>
    <w:pPr>
      <w:pBdr>
        <w:left w:val="single" w:sz="4" w:space="0" w:color="auto"/>
        <w:bottom w:val="single" w:sz="12"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78">
    <w:name w:val="xl78"/>
    <w:basedOn w:val="Normal"/>
    <w:pPr>
      <w:pBdr>
        <w:bottom w:val="single" w:sz="12"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79">
    <w:name w:val="xl79"/>
    <w:basedOn w:val="Normal"/>
    <w:pP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80">
    <w:name w:val="xl80"/>
    <w:basedOn w:val="Normal"/>
    <w:pP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81">
    <w:name w:val="xl81"/>
    <w:basedOn w:val="Normal"/>
    <w:pPr>
      <w:pBdr>
        <w:bottom w:val="single" w:sz="12"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82">
    <w:name w:val="xl82"/>
    <w:basedOn w:val="Normal"/>
    <w:pPr>
      <w:pBdr>
        <w:bottom w:val="single" w:sz="12"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83">
    <w:name w:val="xl83"/>
    <w:basedOn w:val="Normal"/>
    <w:pPr>
      <w:pBdr>
        <w:bottom w:val="single" w:sz="8"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84">
    <w:name w:val="xl84"/>
    <w:basedOn w:val="Normal"/>
    <w:pPr>
      <w:pBdr>
        <w:bottom w:val="single" w:sz="8" w:space="0" w:color="auto"/>
      </w:pBd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85">
    <w:name w:val="xl85"/>
    <w:basedOn w:val="Normal"/>
    <w:pPr>
      <w:pBdr>
        <w:bottom w:val="single" w:sz="8" w:space="0" w:color="auto"/>
      </w:pBdr>
      <w:shd w:val="clear" w:color="000000" w:fill="FFFF00"/>
      <w:spacing w:before="100" w:beforeAutospacing="1" w:after="100" w:afterAutospacing="1"/>
      <w:jc w:val="both"/>
      <w:textAlignment w:val="top"/>
    </w:pPr>
    <w:rPr>
      <w:rFonts w:eastAsia="SimSun"/>
      <w:color w:val="FF0000"/>
      <w:sz w:val="18"/>
      <w:szCs w:val="24"/>
      <w:lang w:eastAsia="en-GB"/>
    </w:rPr>
  </w:style>
  <w:style w:type="paragraph" w:customStyle="1" w:styleId="xl86">
    <w:name w:val="xl86"/>
    <w:basedOn w:val="Normal"/>
    <w:pPr>
      <w:shd w:val="clear" w:color="000000" w:fill="FFFF00"/>
      <w:spacing w:before="100" w:beforeAutospacing="1" w:after="100" w:afterAutospacing="1"/>
      <w:jc w:val="both"/>
      <w:textAlignment w:val="top"/>
    </w:pPr>
    <w:rPr>
      <w:rFonts w:eastAsia="SimSun"/>
      <w:color w:val="7F7F7F" w:themeColor="text1" w:themeTint="80"/>
      <w:sz w:val="18"/>
      <w:szCs w:val="24"/>
      <w:lang w:eastAsia="en-GB"/>
    </w:rPr>
  </w:style>
  <w:style w:type="paragraph" w:customStyle="1" w:styleId="xl87">
    <w:name w:val="xl87"/>
    <w:basedOn w:val="Normal"/>
    <w:pPr>
      <w:pBdr>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88">
    <w:name w:val="xl88"/>
    <w:basedOn w:val="Normal"/>
    <w:pPr>
      <w:pBdr>
        <w:top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89">
    <w:name w:val="xl89"/>
    <w:basedOn w:val="Normal"/>
    <w:pPr>
      <w:pBdr>
        <w:top w:val="single" w:sz="4" w:space="0" w:color="auto"/>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0">
    <w:name w:val="xl90"/>
    <w:basedOn w:val="Normal"/>
    <w:pPr>
      <w:pBdr>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1">
    <w:name w:val="xl91"/>
    <w:basedOn w:val="Normal"/>
    <w:pPr>
      <w:pBdr>
        <w:bottom w:val="single" w:sz="12" w:space="0" w:color="auto"/>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2">
    <w:name w:val="xl92"/>
    <w:basedOn w:val="Normal"/>
    <w:pP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3">
    <w:name w:val="xl93"/>
    <w:basedOn w:val="Normal"/>
    <w:pPr>
      <w:pBdr>
        <w:bottom w:val="single" w:sz="12" w:space="0" w:color="auto"/>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4">
    <w:name w:val="xl94"/>
    <w:basedOn w:val="Normal"/>
    <w:pP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5">
    <w:name w:val="xl95"/>
    <w:basedOn w:val="Normal"/>
    <w:pPr>
      <w:pBdr>
        <w:bottom w:val="single" w:sz="12"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6">
    <w:name w:val="xl96"/>
    <w:basedOn w:val="Normal"/>
    <w:pPr>
      <w:pBdr>
        <w:bottom w:val="single" w:sz="12" w:space="0" w:color="auto"/>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7">
    <w:name w:val="xl97"/>
    <w:basedOn w:val="Normal"/>
    <w:pPr>
      <w:pBdr>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8">
    <w:name w:val="xl98"/>
    <w:basedOn w:val="Normal"/>
    <w:pPr>
      <w:pBdr>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99">
    <w:name w:val="xl99"/>
    <w:basedOn w:val="Normal"/>
    <w:pP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100">
    <w:name w:val="xl100"/>
    <w:basedOn w:val="Normal"/>
    <w:pPr>
      <w:pBdr>
        <w:bottom w:val="single" w:sz="12"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101">
    <w:name w:val="xl101"/>
    <w:basedOn w:val="Normal"/>
    <w:pP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102">
    <w:name w:val="xl102"/>
    <w:basedOn w:val="Normal"/>
    <w:pPr>
      <w:pBdr>
        <w:bottom w:val="single" w:sz="8"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103">
    <w:name w:val="xl103"/>
    <w:basedOn w:val="Normal"/>
    <w:pPr>
      <w:pBdr>
        <w:bottom w:val="single" w:sz="8" w:space="0" w:color="auto"/>
        <w:right w:val="single" w:sz="4"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104">
    <w:name w:val="xl104"/>
    <w:basedOn w:val="Normal"/>
    <w:pPr>
      <w:pBdr>
        <w:bottom w:val="single" w:sz="8"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105">
    <w:name w:val="xl105"/>
    <w:basedOn w:val="Normal"/>
    <w:pPr>
      <w:pBdr>
        <w:bottom w:val="single" w:sz="8" w:space="0" w:color="auto"/>
      </w:pBdr>
      <w:shd w:val="clear" w:color="000000" w:fill="FFFF00"/>
      <w:spacing w:before="100" w:beforeAutospacing="1" w:after="100" w:afterAutospacing="1"/>
      <w:jc w:val="center"/>
      <w:textAlignment w:val="top"/>
    </w:pPr>
    <w:rPr>
      <w:rFonts w:eastAsia="SimSun"/>
      <w:color w:val="7F7F7F" w:themeColor="text1" w:themeTint="80"/>
      <w:sz w:val="18"/>
      <w:szCs w:val="24"/>
      <w:lang w:eastAsia="en-GB"/>
    </w:rPr>
  </w:style>
  <w:style w:type="paragraph" w:customStyle="1" w:styleId="xl106">
    <w:name w:val="xl106"/>
    <w:basedOn w:val="Normal"/>
    <w:pPr>
      <w:pBdr>
        <w:bottom w:val="single" w:sz="8" w:space="0" w:color="auto"/>
        <w:right w:val="single" w:sz="4" w:space="0" w:color="auto"/>
      </w:pBdr>
      <w:shd w:val="clear" w:color="000000" w:fill="FFFF00"/>
      <w:spacing w:before="100" w:beforeAutospacing="1" w:after="100" w:afterAutospacing="1"/>
      <w:jc w:val="center"/>
      <w:textAlignment w:val="top"/>
    </w:pPr>
    <w:rPr>
      <w:rFonts w:eastAsia="SimSun"/>
      <w:color w:val="FF0000"/>
      <w:sz w:val="18"/>
      <w:szCs w:val="24"/>
      <w:lang w:eastAsia="en-GB"/>
    </w:rPr>
  </w:style>
  <w:style w:type="table" w:styleId="TableClassic3">
    <w:name w:val="Table Classic 3"/>
    <w:basedOn w:val="TableNormal"/>
    <w:pPr>
      <w:spacing w:after="240"/>
      <w:jc w:val="both"/>
    </w:pPr>
    <w:rPr>
      <w:rFonts w:ascii="Times New Roman" w:eastAsia="SimSu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240"/>
      <w:jc w:val="both"/>
    </w:pPr>
    <w:rPr>
      <w:rFonts w:ascii="Times New Roman" w:eastAsia="SimSu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pPr>
      <w:spacing w:after="240"/>
      <w:jc w:val="both"/>
    </w:pPr>
    <w:rPr>
      <w:rFonts w:ascii="Times New Roman" w:eastAsia="SimSu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4">
    <w:name w:val="Table List 4"/>
    <w:basedOn w:val="TableNormal"/>
    <w:pPr>
      <w:spacing w:after="240"/>
      <w:jc w:val="both"/>
    </w:pPr>
    <w:rPr>
      <w:rFonts w:ascii="Times New Roman" w:eastAsia="SimSu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tact">
    <w:name w:val="Contact"/>
    <w:basedOn w:val="Normal"/>
    <w:next w:val="Normal"/>
    <w:uiPriority w:val="99"/>
    <w:pPr>
      <w:spacing w:after="480"/>
      <w:ind w:left="567" w:hanging="567"/>
      <w:jc w:val="both"/>
    </w:pPr>
    <w:rPr>
      <w:rFonts w:eastAsia="Times New Roman"/>
      <w:color w:val="7F7F7F" w:themeColor="text1" w:themeTint="80"/>
      <w:sz w:val="18"/>
      <w:szCs w:val="20"/>
    </w:rPr>
  </w:style>
  <w:style w:type="paragraph" w:customStyle="1" w:styleId="Tablecharttitle">
    <w:name w:val="Table/chart title"/>
    <w:basedOn w:val="Normal"/>
    <w:pPr>
      <w:keepNext/>
      <w:spacing w:after="120"/>
      <w:jc w:val="both"/>
    </w:pPr>
    <w:rPr>
      <w:rFonts w:ascii="Cambria" w:eastAsia="SimSun" w:hAnsi="Cambria"/>
      <w:color w:val="7F7F7F" w:themeColor="text1" w:themeTint="80"/>
      <w:sz w:val="18"/>
      <w:szCs w:val="20"/>
    </w:rPr>
  </w:style>
  <w:style w:type="table" w:styleId="TableColumns1">
    <w:name w:val="Table Columns 1"/>
    <w:basedOn w:val="TableNormal"/>
    <w:pPr>
      <w:spacing w:after="240"/>
      <w:jc w:val="both"/>
    </w:pPr>
    <w:rPr>
      <w:rFonts w:ascii="Times New Roman" w:eastAsia="SimSu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Accent1">
    <w:name w:val="Light List Accent 1"/>
    <w:basedOn w:val="TableNormal"/>
    <w:uiPriority w:val="61"/>
    <w:rPr>
      <w:rFonts w:ascii="Calibri" w:eastAsia="Calibri" w:hAnsi="Calibri"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Tonny">
    <w:name w:val="Heading 2 Tonny"/>
    <w:basedOn w:val="Heading2"/>
    <w:link w:val="Heading2TonnyChar"/>
    <w:qFormat/>
    <w:pPr>
      <w:tabs>
        <w:tab w:val="clear" w:pos="850"/>
      </w:tabs>
      <w:spacing w:before="360" w:after="100"/>
      <w:ind w:left="0" w:firstLine="0"/>
    </w:pPr>
    <w:rPr>
      <w:rFonts w:ascii="Arial" w:eastAsia="Calibri" w:hAnsi="Arial" w:cs="Arial"/>
      <w:iCs/>
      <w:color w:val="0070C0"/>
      <w:szCs w:val="28"/>
    </w:rPr>
  </w:style>
  <w:style w:type="character" w:customStyle="1" w:styleId="Heading2TonnyChar">
    <w:name w:val="Heading 2 Tonny Char"/>
    <w:basedOn w:val="Heading2Char"/>
    <w:link w:val="Heading2Tonny"/>
    <w:rPr>
      <w:rFonts w:ascii="Arial" w:eastAsia="Calibri" w:hAnsi="Arial" w:cs="Arial"/>
      <w:b/>
      <w:bCs/>
      <w:iCs/>
      <w:color w:val="0070C0"/>
      <w:sz w:val="24"/>
      <w:szCs w:val="28"/>
      <w:lang w:val="en-GB"/>
    </w:rPr>
  </w:style>
  <w:style w:type="character" w:customStyle="1" w:styleId="st1">
    <w:name w:val="st1"/>
    <w:basedOn w:val="DefaultParagraphFont"/>
  </w:style>
  <w:style w:type="paragraph" w:customStyle="1" w:styleId="Pa19">
    <w:name w:val="Pa19"/>
    <w:basedOn w:val="Default"/>
    <w:next w:val="Default"/>
    <w:uiPriority w:val="99"/>
    <w:pPr>
      <w:spacing w:line="321" w:lineRule="atLeast"/>
    </w:pPr>
    <w:rPr>
      <w:rFonts w:ascii="EC Square Sans Pro" w:eastAsiaTheme="minorHAnsi" w:hAnsi="EC Square Sans Pro" w:cstheme="minorBidi"/>
      <w:color w:val="auto"/>
      <w:lang w:val="en-GB"/>
    </w:rPr>
  </w:style>
  <w:style w:type="character" w:customStyle="1" w:styleId="NoSpacingChar">
    <w:name w:val="No Spacing Char"/>
    <w:basedOn w:val="DefaultParagraphFont"/>
    <w:link w:val="NoSpacing"/>
    <w:uiPriority w:val="1"/>
    <w:rPr>
      <w:rFonts w:ascii="EC Square Sans Pro" w:hAnsi="EC Square Sans Pro" w:cs="Times New Roman"/>
      <w:sz w:val="20"/>
      <w:lang w:val="en-GB"/>
    </w:rPr>
  </w:style>
  <w:style w:type="paragraph" w:customStyle="1" w:styleId="AMPRBox">
    <w:name w:val="AMPR Box"/>
    <w:basedOn w:val="PSParagraphText"/>
    <w:link w:val="AMPRBoxChar"/>
    <w:autoRedefine/>
    <w:qFormat/>
    <w:pPr>
      <w:keepLines/>
      <w:pBdr>
        <w:top w:val="single" w:sz="4" w:space="1" w:color="auto"/>
        <w:left w:val="single" w:sz="4" w:space="4" w:color="auto"/>
        <w:bottom w:val="single" w:sz="4" w:space="1" w:color="auto"/>
        <w:right w:val="single" w:sz="4" w:space="4" w:color="auto"/>
      </w:pBdr>
      <w:shd w:val="clear" w:color="auto" w:fill="F7F7F7" w:themeFill="text2" w:themeFillTint="33"/>
      <w:spacing w:line="276" w:lineRule="auto"/>
    </w:pPr>
    <w:rPr>
      <w:rFonts w:eastAsia="Calibri"/>
      <w:i/>
      <w:color w:val="7F7F7F" w:themeColor="text1" w:themeTint="80"/>
      <w:szCs w:val="18"/>
      <w:lang w:val="en"/>
    </w:rPr>
  </w:style>
  <w:style w:type="character" w:customStyle="1" w:styleId="AMPRBoxChar">
    <w:name w:val="AMPR Box Char"/>
    <w:basedOn w:val="PSParagraphTextChar"/>
    <w:link w:val="AMPRBox"/>
    <w:rPr>
      <w:rFonts w:ascii="EC Square Sans Pro" w:eastAsia="Calibri" w:hAnsi="EC Square Sans Pro" w:cs="Times New Roman"/>
      <w:i/>
      <w:color w:val="7F7F7F" w:themeColor="text1" w:themeTint="80"/>
      <w:sz w:val="20"/>
      <w:szCs w:val="18"/>
      <w:shd w:val="clear" w:color="auto" w:fill="F7F7F7" w:themeFill="text2" w:themeFillTint="33"/>
      <w:lang w:val="en" w:eastAsia="en-GB"/>
    </w:rPr>
  </w:style>
  <w:style w:type="paragraph" w:customStyle="1" w:styleId="AMPRTABLECHART">
    <w:name w:val="AMPR TABLECHART"/>
    <w:basedOn w:val="Normal"/>
    <w:link w:val="AMPRTABLECHARTChar"/>
    <w:autoRedefine/>
    <w:qFormat/>
    <w:pPr>
      <w:spacing w:after="240"/>
      <w:ind w:firstLine="40"/>
      <w:jc w:val="both"/>
    </w:pPr>
    <w:rPr>
      <w:rFonts w:ascii="EC Square Sans Pro Thin" w:eastAsia="Times New Roman" w:hAnsi="EC Square Sans Pro Thin"/>
      <w:b/>
      <w:i/>
      <w:noProof/>
      <w:sz w:val="18"/>
      <w:szCs w:val="18"/>
      <w:lang w:eastAsia="en-GB"/>
    </w:rPr>
  </w:style>
  <w:style w:type="character" w:customStyle="1" w:styleId="AMPRTABLECHARTChar">
    <w:name w:val="AMPR TABLECHART Char"/>
    <w:basedOn w:val="DefaultParagraphFont"/>
    <w:link w:val="AMPRTABLECHART"/>
    <w:rPr>
      <w:rFonts w:ascii="EC Square Sans Pro Thin" w:eastAsia="Times New Roman" w:hAnsi="EC Square Sans Pro Thin" w:cs="Times New Roman"/>
      <w:b/>
      <w:i/>
      <w:noProof/>
      <w:sz w:val="18"/>
      <w:szCs w:val="18"/>
      <w:lang w:val="en-GB" w:eastAsia="en-GB"/>
    </w:rPr>
  </w:style>
  <w:style w:type="numbering" w:customStyle="1" w:styleId="NoList1">
    <w:name w:val="No List1"/>
    <w:next w:val="NoList"/>
    <w:uiPriority w:val="99"/>
    <w:semiHidden/>
    <w:unhideWhenUsed/>
  </w:style>
  <w:style w:type="numbering" w:customStyle="1" w:styleId="NoList2">
    <w:name w:val="No List2"/>
    <w:next w:val="NoList"/>
    <w:uiPriority w:val="99"/>
    <w:semiHidden/>
    <w:unhideWhenUsed/>
  </w:style>
  <w:style w:type="numbering" w:customStyle="1" w:styleId="NumbLstBullet1">
    <w:name w:val="NumbLstBullet1"/>
  </w:style>
  <w:style w:type="numbering" w:customStyle="1" w:styleId="Style11">
    <w:name w:val="Style11"/>
  </w:style>
  <w:style w:type="numbering" w:customStyle="1" w:styleId="Style21">
    <w:name w:val="Style21"/>
  </w:style>
  <w:style w:type="paragraph" w:customStyle="1" w:styleId="ConsideredContent">
    <w:name w:val="Considered Content"/>
    <w:basedOn w:val="Normal"/>
    <w:link w:val="ConsideredContentChar"/>
    <w:qFormat/>
    <w:pPr>
      <w:ind w:left="720"/>
      <w:jc w:val="both"/>
    </w:pPr>
    <w:rPr>
      <w:rFonts w:ascii="Times New Roman" w:eastAsia="Times New Roman" w:hAnsi="Times New Roman"/>
      <w:color w:val="BFBFBF" w:themeColor="background1" w:themeShade="BF"/>
      <w:sz w:val="24"/>
      <w:szCs w:val="24"/>
      <w:lang w:eastAsia="en-GB"/>
    </w:rPr>
  </w:style>
  <w:style w:type="character" w:customStyle="1" w:styleId="ConsideredContentChar">
    <w:name w:val="Considered Content Char"/>
    <w:basedOn w:val="DefaultParagraphFont"/>
    <w:link w:val="ConsideredContent"/>
    <w:rPr>
      <w:rFonts w:ascii="Times New Roman" w:eastAsia="Times New Roman" w:hAnsi="Times New Roman" w:cs="Times New Roman"/>
      <w:color w:val="BFBFBF" w:themeColor="background1" w:themeShade="BF"/>
      <w:sz w:val="24"/>
      <w:szCs w:val="24"/>
      <w:lang w:val="en-GB" w:eastAsia="en-GB"/>
    </w:rPr>
  </w:style>
  <w:style w:type="paragraph" w:customStyle="1" w:styleId="Pa14">
    <w:name w:val="Pa14"/>
    <w:basedOn w:val="Default"/>
    <w:next w:val="Default"/>
    <w:uiPriority w:val="99"/>
    <w:pPr>
      <w:spacing w:line="241" w:lineRule="atLeast"/>
    </w:pPr>
    <w:rPr>
      <w:rFonts w:ascii="EC Square Sans Pro" w:eastAsiaTheme="minorHAnsi" w:hAnsi="EC Square Sans Pro" w:cstheme="minorBidi"/>
      <w:color w:val="auto"/>
      <w:lang w:val="en-GB"/>
    </w:rPr>
  </w:style>
  <w:style w:type="paragraph" w:customStyle="1" w:styleId="AMPRRunningTitle">
    <w:name w:val="AMPR Running Title"/>
    <w:basedOn w:val="Normal"/>
    <w:link w:val="AMPRRunningTitleChar"/>
    <w:qFormat/>
    <w:pPr>
      <w:spacing w:line="312" w:lineRule="auto"/>
      <w:jc w:val="both"/>
    </w:pPr>
    <w:rPr>
      <w:rFonts w:eastAsia="Times New Roman" w:cs="Arial"/>
      <w:b/>
      <w:color w:val="313131"/>
      <w:szCs w:val="24"/>
      <w:lang w:eastAsia="en-GB"/>
    </w:rPr>
  </w:style>
  <w:style w:type="character" w:customStyle="1" w:styleId="AMPRRunningTitleChar">
    <w:name w:val="AMPR Running Title Char"/>
    <w:basedOn w:val="DefaultParagraphFont"/>
    <w:link w:val="AMPRRunningTitle"/>
    <w:rPr>
      <w:rFonts w:ascii="EC Square Sans Pro" w:eastAsia="Times New Roman" w:hAnsi="EC Square Sans Pro" w:cs="Arial"/>
      <w:b/>
      <w:color w:val="313131"/>
      <w:sz w:val="20"/>
      <w:szCs w:val="24"/>
      <w:lang w:val="en-GB" w:eastAsia="en-GB"/>
    </w:rPr>
  </w:style>
  <w:style w:type="paragraph" w:customStyle="1" w:styleId="AMPRCall-out">
    <w:name w:val="AMPR Call-out"/>
    <w:basedOn w:val="Normal"/>
    <w:link w:val="AMPRCall-outChar"/>
    <w:qFormat/>
    <w:pPr>
      <w:pBdr>
        <w:top w:val="single" w:sz="12" w:space="0" w:color="002060"/>
        <w:left w:val="single" w:sz="12" w:space="2" w:color="002060"/>
        <w:bottom w:val="single" w:sz="12" w:space="0" w:color="002060"/>
        <w:right w:val="single" w:sz="12" w:space="2" w:color="002060"/>
      </w:pBdr>
      <w:shd w:val="clear" w:color="auto" w:fill="0070C0"/>
      <w:spacing w:after="100"/>
      <w:jc w:val="center"/>
    </w:pPr>
    <w:rPr>
      <w:rFonts w:eastAsia="SimSun"/>
      <w:i/>
      <w:color w:val="FFFFFF" w:themeColor="background1"/>
      <w:sz w:val="24"/>
      <w:szCs w:val="32"/>
      <w:lang w:eastAsia="en-GB"/>
    </w:rPr>
  </w:style>
  <w:style w:type="character" w:customStyle="1" w:styleId="AMPRCall-outChar">
    <w:name w:val="AMPR Call-out Char"/>
    <w:basedOn w:val="DefaultParagraphFont"/>
    <w:link w:val="AMPRCall-out"/>
    <w:rPr>
      <w:rFonts w:ascii="EC Square Sans Pro" w:eastAsia="SimSun" w:hAnsi="EC Square Sans Pro" w:cs="Times New Roman"/>
      <w:i/>
      <w:color w:val="FFFFFF" w:themeColor="background1"/>
      <w:sz w:val="24"/>
      <w:szCs w:val="32"/>
      <w:shd w:val="clear" w:color="auto" w:fill="0070C0"/>
      <w:lang w:val="en-GB" w:eastAsia="en-GB"/>
    </w:rPr>
  </w:style>
  <w:style w:type="numbering" w:customStyle="1" w:styleId="NoList3">
    <w:name w:val="No List3"/>
    <w:next w:val="NoList"/>
    <w:uiPriority w:val="99"/>
    <w:semiHidden/>
    <w:unhideWhenUsed/>
  </w:style>
  <w:style w:type="paragraph" w:customStyle="1" w:styleId="AddressTL">
    <w:name w:val="AddressTL"/>
    <w:basedOn w:val="Normal"/>
    <w:next w:val="Normal"/>
    <w:pPr>
      <w:spacing w:after="720"/>
    </w:pPr>
    <w:rPr>
      <w:rFonts w:ascii="Times New Roman" w:eastAsia="Times New Roman" w:hAnsi="Times New Roman"/>
      <w:sz w:val="24"/>
      <w:szCs w:val="20"/>
    </w:rPr>
  </w:style>
  <w:style w:type="paragraph" w:customStyle="1" w:styleId="AddressTR">
    <w:name w:val="AddressTR"/>
    <w:basedOn w:val="Normal"/>
    <w:next w:val="Normal"/>
    <w:pPr>
      <w:spacing w:after="720"/>
      <w:ind w:left="5103"/>
    </w:pPr>
    <w:rPr>
      <w:rFonts w:ascii="Times New Roman" w:eastAsia="Times New Roman" w:hAnsi="Times New Roman"/>
      <w:sz w:val="24"/>
      <w:szCs w:val="20"/>
    </w:rPr>
  </w:style>
  <w:style w:type="paragraph" w:customStyle="1" w:styleId="Enclosures">
    <w:name w:val="Enclosures"/>
    <w:basedOn w:val="Normal"/>
    <w:next w:val="Participants"/>
    <w:pPr>
      <w:keepNext/>
      <w:keepLines/>
      <w:tabs>
        <w:tab w:val="left" w:pos="5670"/>
      </w:tabs>
      <w:spacing w:before="480"/>
      <w:ind w:left="1985" w:hanging="1985"/>
    </w:pPr>
    <w:rPr>
      <w:rFonts w:ascii="Times New Roman" w:eastAsia="Times New Roman" w:hAnsi="Times New Roman"/>
      <w:sz w:val="24"/>
      <w:szCs w:val="20"/>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ind w:left="1985" w:hanging="1985"/>
    </w:pPr>
    <w:rPr>
      <w:rFonts w:ascii="Times New Roman" w:eastAsia="Times New Roman" w:hAnsi="Times New Roman"/>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ind w:left="1985" w:hanging="1985"/>
    </w:pPr>
    <w:rPr>
      <w:rFonts w:ascii="Times New Roman" w:eastAsia="Times New Roman" w:hAnsi="Times New Roman"/>
      <w:sz w:val="24"/>
      <w:szCs w:val="20"/>
    </w:rPr>
  </w:style>
  <w:style w:type="paragraph" w:customStyle="1" w:styleId="DoubSign">
    <w:name w:val="DoubSign"/>
    <w:basedOn w:val="Normal"/>
    <w:next w:val="Contact"/>
    <w:pPr>
      <w:tabs>
        <w:tab w:val="left" w:pos="5103"/>
      </w:tabs>
      <w:spacing w:before="1200"/>
    </w:pPr>
    <w:rPr>
      <w:rFonts w:ascii="Times New Roman" w:eastAsia="Times New Roman" w:hAnsi="Times New Roman"/>
      <w:sz w:val="24"/>
      <w:szCs w:val="20"/>
    </w:rPr>
  </w:style>
  <w:style w:type="paragraph" w:customStyle="1" w:styleId="NoteHead">
    <w:name w:val="NoteHead"/>
    <w:basedOn w:val="Normal"/>
    <w:next w:val="Subject"/>
    <w:pPr>
      <w:spacing w:before="720" w:after="720"/>
      <w:jc w:val="center"/>
    </w:pPr>
    <w:rPr>
      <w:rFonts w:ascii="Times New Roman" w:eastAsia="Times New Roman" w:hAnsi="Times New Roman"/>
      <w:b/>
      <w:smallCaps/>
      <w:sz w:val="24"/>
      <w:szCs w:val="20"/>
    </w:rPr>
  </w:style>
  <w:style w:type="paragraph" w:customStyle="1" w:styleId="Subject">
    <w:name w:val="Subject"/>
    <w:basedOn w:val="Normal"/>
    <w:next w:val="Normal"/>
    <w:pPr>
      <w:spacing w:after="480"/>
      <w:ind w:left="1531" w:hanging="1531"/>
    </w:pPr>
    <w:rPr>
      <w:rFonts w:ascii="Times New Roman" w:eastAsia="Times New Roman" w:hAnsi="Times New Roman"/>
      <w:b/>
      <w:sz w:val="24"/>
      <w:szCs w:val="20"/>
    </w:rPr>
  </w:style>
  <w:style w:type="paragraph" w:customStyle="1" w:styleId="NoteList">
    <w:name w:val="NoteList"/>
    <w:basedOn w:val="Normal"/>
    <w:next w:val="Subject"/>
    <w:pPr>
      <w:tabs>
        <w:tab w:val="left" w:pos="5823"/>
      </w:tabs>
      <w:spacing w:before="720" w:after="720"/>
      <w:ind w:left="5104" w:hanging="3119"/>
    </w:pPr>
    <w:rPr>
      <w:rFonts w:ascii="Times New Roman" w:eastAsia="Times New Roman" w:hAnsi="Times New Roman"/>
      <w:b/>
      <w:smallCaps/>
      <w:sz w:val="24"/>
      <w:szCs w:val="20"/>
    </w:rPr>
  </w:style>
  <w:style w:type="paragraph" w:customStyle="1" w:styleId="YReferences">
    <w:name w:val="YReferences"/>
    <w:basedOn w:val="Normal"/>
    <w:next w:val="Normal"/>
    <w:pPr>
      <w:spacing w:after="480"/>
      <w:ind w:left="1531" w:hanging="1531"/>
      <w:jc w:val="both"/>
    </w:pPr>
    <w:rPr>
      <w:rFonts w:ascii="Times New Roman" w:eastAsia="Times New Roman" w:hAnsi="Times New Roman"/>
      <w:sz w:val="24"/>
      <w:szCs w:val="20"/>
    </w:rPr>
  </w:style>
  <w:style w:type="paragraph" w:customStyle="1" w:styleId="DisclaimerNotice">
    <w:name w:val="Disclaimer Notice"/>
    <w:basedOn w:val="Normal"/>
    <w:next w:val="AddressTR"/>
    <w:pPr>
      <w:spacing w:after="240"/>
      <w:ind w:left="5103"/>
    </w:pPr>
    <w:rPr>
      <w:rFonts w:ascii="Times New Roman" w:eastAsia="Times New Roman" w:hAnsi="Times New Roman"/>
      <w:i/>
      <w:szCs w:val="20"/>
    </w:rPr>
  </w:style>
  <w:style w:type="paragraph" w:customStyle="1" w:styleId="DisclaimerSJ">
    <w:name w:val="Disclaimer_SJ"/>
    <w:basedOn w:val="Normal"/>
    <w:next w:val="Normal"/>
    <w:pPr>
      <w:jc w:val="both"/>
    </w:pPr>
    <w:rPr>
      <w:rFonts w:ascii="Arial" w:eastAsia="Times New Roman" w:hAnsi="Arial"/>
      <w:b/>
      <w:sz w:val="16"/>
      <w:szCs w:val="20"/>
    </w:rPr>
  </w:style>
  <w:style w:type="paragraph" w:customStyle="1" w:styleId="Designator">
    <w:name w:val="Designator"/>
    <w:basedOn w:val="Normal"/>
    <w:pPr>
      <w:jc w:val="center"/>
    </w:pPr>
    <w:rPr>
      <w:rFonts w:ascii="Times New Roman" w:eastAsia="Times New Roman" w:hAnsi="Times New Roman"/>
      <w:b/>
      <w:caps/>
      <w:sz w:val="32"/>
      <w:szCs w:val="20"/>
    </w:rPr>
  </w:style>
  <w:style w:type="paragraph" w:customStyle="1" w:styleId="Releasable">
    <w:name w:val="Releasable"/>
    <w:basedOn w:val="Normal"/>
    <w:qFormat/>
    <w:pPr>
      <w:jc w:val="center"/>
    </w:pPr>
    <w:rPr>
      <w:rFonts w:ascii="Times New Roman" w:eastAsia="Times New Roman" w:hAnsi="Times New Roman"/>
      <w:b/>
      <w:caps/>
      <w:sz w:val="32"/>
      <w:szCs w:val="20"/>
      <w:lang w:val="de-DE"/>
    </w:rPr>
  </w:style>
  <w:style w:type="paragraph" w:customStyle="1" w:styleId="RUE">
    <w:name w:val="RUE"/>
    <w:basedOn w:val="Normal"/>
    <w:pPr>
      <w:jc w:val="center"/>
    </w:pPr>
    <w:rPr>
      <w:rFonts w:ascii="Times New Roman" w:eastAsia="Times New Roman" w:hAnsi="Times New Roman"/>
      <w:b/>
      <w:caps/>
      <w:sz w:val="32"/>
      <w:szCs w:val="20"/>
      <w:bdr w:val="single" w:sz="18" w:space="0" w:color="auto"/>
      <w:lang w:val="de-DE"/>
    </w:rPr>
  </w:style>
  <w:style w:type="paragraph" w:customStyle="1" w:styleId="ConfidentialUE">
    <w:name w:val="Confidential UE"/>
    <w:basedOn w:val="Normal"/>
    <w:pPr>
      <w:jc w:val="center"/>
    </w:pPr>
    <w:rPr>
      <w:rFonts w:ascii="Times New Roman" w:eastAsia="Times New Roman" w:hAnsi="Times New Roman"/>
      <w:b/>
      <w:caps/>
      <w:sz w:val="32"/>
      <w:szCs w:val="20"/>
      <w:bdr w:val="single" w:sz="18" w:space="0" w:color="auto"/>
    </w:rPr>
  </w:style>
  <w:style w:type="paragraph" w:customStyle="1" w:styleId="TrsSecretUE">
    <w:name w:val="Très Secret UE"/>
    <w:basedOn w:val="Normal"/>
    <w:pPr>
      <w:jc w:val="center"/>
    </w:pPr>
    <w:rPr>
      <w:rFonts w:ascii="Times New Roman" w:eastAsia="Times New Roman" w:hAnsi="Times New Roman"/>
      <w:b/>
      <w:caps/>
      <w:color w:val="FF0000"/>
      <w:sz w:val="32"/>
      <w:szCs w:val="20"/>
      <w:bdr w:val="single" w:sz="18" w:space="0" w:color="FF0000"/>
    </w:rPr>
  </w:style>
  <w:style w:type="paragraph" w:customStyle="1" w:styleId="SecretUE">
    <w:name w:val="Secret UE"/>
    <w:basedOn w:val="Normal"/>
    <w:pPr>
      <w:jc w:val="center"/>
    </w:pPr>
    <w:rPr>
      <w:rFonts w:ascii="Times New Roman" w:eastAsia="Times New Roman" w:hAnsi="Times New Roman"/>
      <w:b/>
      <w:caps/>
      <w:color w:val="FF0000"/>
      <w:sz w:val="32"/>
      <w:szCs w:val="20"/>
      <w:bdr w:val="single" w:sz="18" w:space="0" w:color="FF0000"/>
    </w:rPr>
  </w:style>
  <w:style w:type="paragraph" w:customStyle="1" w:styleId="Style10">
    <w:name w:val="Style 1"/>
    <w:basedOn w:val="Normal"/>
    <w:pPr>
      <w:widowControl w:val="0"/>
      <w:autoSpaceDE w:val="0"/>
      <w:autoSpaceDN w:val="0"/>
      <w:adjustRightInd w:val="0"/>
    </w:pPr>
    <w:rPr>
      <w:rFonts w:ascii="Times New Roman" w:eastAsia="Times New Roman" w:hAnsi="Times New Roman"/>
      <w:szCs w:val="24"/>
      <w:lang w:val="en-US"/>
    </w:rPr>
  </w:style>
  <w:style w:type="paragraph" w:customStyle="1" w:styleId="ADPPuce1">
    <w:name w:val="ADP Puce 1"/>
    <w:basedOn w:val="Normal"/>
    <w:pPr>
      <w:numPr>
        <w:numId w:val="34"/>
      </w:numPr>
      <w:jc w:val="both"/>
    </w:pPr>
    <w:rPr>
      <w:rFonts w:ascii="Arial" w:eastAsia="Times New Roman" w:hAnsi="Arial"/>
      <w:szCs w:val="24"/>
    </w:rPr>
  </w:style>
  <w:style w:type="table" w:customStyle="1" w:styleId="TableGrid2">
    <w:name w:val="Table Grid2"/>
    <w:basedOn w:val="TableNormal"/>
    <w:next w:val="TableGrid"/>
    <w:uiPriority w:val="59"/>
    <w:pPr>
      <w:spacing w:after="120"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pPr>
      <w:jc w:val="both"/>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pPr>
      <w:numPr>
        <w:numId w:val="35"/>
      </w:numPr>
    </w:pPr>
  </w:style>
  <w:style w:type="paragraph" w:customStyle="1" w:styleId="Annexetitreexposglobal">
    <w:name w:val="Annexe titre (exposé global)"/>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Annexetitrefichefinacte">
    <w:name w:val="Annexe titre (fiche fin. acte)"/>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Annexetitrefichefinglobale">
    <w:name w:val="Annexe titre (fiche fin. globale)"/>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Annexetitreglobale">
    <w:name w:val="Annexe titre (globale)"/>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Exposdesmotifstitreglobal">
    <w:name w:val="Exposé des motifs titre (global)"/>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Langueoriginale">
    <w:name w:val="Langue originale"/>
    <w:basedOn w:val="Normal"/>
    <w:next w:val="Phrasefinale"/>
    <w:pPr>
      <w:spacing w:before="360" w:after="120"/>
      <w:jc w:val="center"/>
    </w:pPr>
    <w:rPr>
      <w:rFonts w:ascii="Times New Roman" w:eastAsia="Times New Roman" w:hAnsi="Times New Roman"/>
      <w:caps/>
      <w:sz w:val="24"/>
      <w:szCs w:val="24"/>
      <w:lang w:eastAsia="de-DE"/>
    </w:rPr>
  </w:style>
  <w:style w:type="paragraph" w:customStyle="1" w:styleId="Phrasefinale">
    <w:name w:val="Phrase finale"/>
    <w:basedOn w:val="Normal"/>
    <w:next w:val="Normal"/>
    <w:pPr>
      <w:spacing w:before="360"/>
      <w:jc w:val="center"/>
    </w:pPr>
    <w:rPr>
      <w:rFonts w:ascii="Times New Roman" w:eastAsia="Times New Roman" w:hAnsi="Times New Roman"/>
      <w:sz w:val="24"/>
      <w:szCs w:val="24"/>
      <w:lang w:eastAsia="de-DE"/>
    </w:rPr>
  </w:style>
  <w:style w:type="paragraph" w:customStyle="1" w:styleId="Fichefinancirestandardtitre">
    <w:name w:val="Fiche financière (standard) titre"/>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Fichefinancirestandardtitreacte">
    <w:name w:val="Fiche financière (standard) titre (acte)"/>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Fichefinanciretravailtitre">
    <w:name w:val="Fiche financière (travail) titre"/>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Fichefinanciretravailtitreacte">
    <w:name w:val="Fiche financière (travail) titre (acte)"/>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Fichefinancireattributiontitre">
    <w:name w:val="Fiche financière (attribution) titre"/>
    <w:basedOn w:val="Normal"/>
    <w:next w:val="Normal"/>
    <w:pPr>
      <w:spacing w:before="120" w:after="120"/>
      <w:jc w:val="center"/>
    </w:pPr>
    <w:rPr>
      <w:rFonts w:ascii="Times New Roman" w:eastAsia="Times New Roman" w:hAnsi="Times New Roman"/>
      <w:b/>
      <w:sz w:val="24"/>
      <w:szCs w:val="24"/>
      <w:u w:val="single"/>
      <w:lang w:eastAsia="de-DE"/>
    </w:rPr>
  </w:style>
  <w:style w:type="paragraph" w:customStyle="1" w:styleId="Fichefinancireattributiontitreacte">
    <w:name w:val="Fiche financière (attribution) titre (acte)"/>
    <w:basedOn w:val="Normal"/>
    <w:next w:val="Normal"/>
    <w:pPr>
      <w:spacing w:before="120" w:after="120"/>
      <w:jc w:val="center"/>
    </w:pPr>
    <w:rPr>
      <w:rFonts w:ascii="Times New Roman" w:eastAsia="Times New Roman" w:hAnsi="Times New Roman"/>
      <w:b/>
      <w:sz w:val="24"/>
      <w:szCs w:val="24"/>
      <w:u w:val="single"/>
      <w:lang w:eastAsia="de-DE"/>
    </w:rPr>
  </w:style>
  <w:style w:type="character" w:customStyle="1" w:styleId="titlebold1">
    <w:name w:val="titlebold1"/>
    <w:rPr>
      <w:rFonts w:ascii="Tahoma" w:hAnsi="Tahoma" w:cs="Tahoma" w:hint="default"/>
      <w:b/>
      <w:bCs/>
      <w:color w:val="006699"/>
      <w:sz w:val="24"/>
      <w:szCs w:val="24"/>
    </w:rPr>
  </w:style>
  <w:style w:type="character" w:customStyle="1" w:styleId="numerique2">
    <w:name w:val="numerique2"/>
  </w:style>
  <w:style w:type="character" w:customStyle="1" w:styleId="alpha2">
    <w:name w:val="alpha2"/>
  </w:style>
  <w:style w:type="paragraph" w:customStyle="1" w:styleId="CM4">
    <w:name w:val="CM4"/>
    <w:basedOn w:val="Default"/>
    <w:next w:val="Default"/>
    <w:uiPriority w:val="99"/>
    <w:rPr>
      <w:rFonts w:ascii="Times New Roman" w:eastAsia="Times New Roman" w:hAnsi="Times New Roman" w:cs="Times New Roman"/>
      <w:color w:val="auto"/>
      <w:lang w:val="en-GB" w:eastAsia="en-GB"/>
    </w:rPr>
  </w:style>
  <w:style w:type="paragraph" w:customStyle="1" w:styleId="Para2">
    <w:name w:val="Para_2"/>
    <w:basedOn w:val="Normal"/>
    <w:link w:val="Para2Char1"/>
    <w:pPr>
      <w:numPr>
        <w:ilvl w:val="1"/>
        <w:numId w:val="36"/>
      </w:numPr>
      <w:spacing w:after="240" w:line="360" w:lineRule="auto"/>
    </w:pPr>
    <w:rPr>
      <w:rFonts w:ascii="Arial" w:eastAsia="Times New Roman" w:hAnsi="Arial"/>
      <w:noProof/>
      <w:sz w:val="24"/>
      <w:szCs w:val="20"/>
      <w:lang w:val="x-none"/>
    </w:rPr>
  </w:style>
  <w:style w:type="paragraph" w:customStyle="1" w:styleId="Para3">
    <w:name w:val="Para_3"/>
    <w:basedOn w:val="Normal"/>
    <w:pPr>
      <w:numPr>
        <w:ilvl w:val="2"/>
        <w:numId w:val="36"/>
      </w:numPr>
      <w:tabs>
        <w:tab w:val="left" w:pos="992"/>
      </w:tabs>
      <w:spacing w:after="240" w:line="360" w:lineRule="auto"/>
    </w:pPr>
    <w:rPr>
      <w:rFonts w:ascii="Arial" w:eastAsia="Times New Roman" w:hAnsi="Arial"/>
      <w:noProof/>
      <w:sz w:val="24"/>
      <w:szCs w:val="20"/>
    </w:rPr>
  </w:style>
  <w:style w:type="paragraph" w:customStyle="1" w:styleId="Para4">
    <w:name w:val="Para_4"/>
    <w:basedOn w:val="Normal"/>
    <w:pPr>
      <w:numPr>
        <w:ilvl w:val="3"/>
        <w:numId w:val="36"/>
      </w:numPr>
      <w:spacing w:after="240" w:line="360" w:lineRule="auto"/>
    </w:pPr>
    <w:rPr>
      <w:rFonts w:ascii="Arial" w:eastAsia="Times New Roman" w:hAnsi="Arial"/>
      <w:sz w:val="24"/>
      <w:szCs w:val="20"/>
    </w:rPr>
  </w:style>
  <w:style w:type="paragraph" w:customStyle="1" w:styleId="Para5">
    <w:name w:val="Para_5"/>
    <w:basedOn w:val="Normal"/>
    <w:pPr>
      <w:numPr>
        <w:ilvl w:val="4"/>
        <w:numId w:val="36"/>
      </w:numPr>
      <w:tabs>
        <w:tab w:val="left" w:pos="567"/>
      </w:tabs>
      <w:spacing w:after="240" w:line="360" w:lineRule="auto"/>
    </w:pPr>
    <w:rPr>
      <w:rFonts w:ascii="Arial" w:eastAsia="Times New Roman" w:hAnsi="Arial"/>
      <w:sz w:val="24"/>
      <w:szCs w:val="20"/>
    </w:rPr>
  </w:style>
  <w:style w:type="character" w:customStyle="1" w:styleId="Para2Char1">
    <w:name w:val="Para_2 Char1"/>
    <w:link w:val="Para2"/>
    <w:rPr>
      <w:rFonts w:ascii="Arial" w:eastAsia="Times New Roman" w:hAnsi="Arial" w:cs="Times New Roman"/>
      <w:noProof/>
      <w:sz w:val="24"/>
      <w:szCs w:val="20"/>
      <w:lang w:val="x-none"/>
    </w:rPr>
  </w:style>
  <w:style w:type="paragraph" w:customStyle="1" w:styleId="Textstand-alone">
    <w:name w:val="Text_stand-alone"/>
    <w:basedOn w:val="Normal"/>
    <w:qFormat/>
    <w:pPr>
      <w:spacing w:before="240" w:after="240"/>
      <w:jc w:val="both"/>
    </w:pPr>
    <w:rPr>
      <w:rFonts w:ascii="Verdana" w:eastAsia="Times New Roman" w:hAnsi="Verdana"/>
      <w:noProof/>
      <w:sz w:val="18"/>
      <w:szCs w:val="18"/>
    </w:rPr>
  </w:style>
  <w:style w:type="paragraph" w:customStyle="1" w:styleId="TableText0">
    <w:name w:val="TableText"/>
    <w:basedOn w:val="Normal"/>
    <w:pPr>
      <w:keepNext/>
      <w:spacing w:before="60" w:after="60"/>
      <w:ind w:left="10"/>
    </w:pPr>
    <w:rPr>
      <w:rFonts w:ascii="Arial" w:hAnsi="Arial" w:cs="Arial"/>
      <w:sz w:val="16"/>
      <w:szCs w:val="16"/>
    </w:rPr>
  </w:style>
  <w:style w:type="numbering" w:customStyle="1" w:styleId="NoList4">
    <w:name w:val="No List4"/>
    <w:next w:val="NoList"/>
    <w:uiPriority w:val="99"/>
    <w:semiHidden/>
    <w:unhideWhenUsed/>
  </w:style>
  <w:style w:type="table" w:customStyle="1" w:styleId="TableGrid5">
    <w:name w:val="Table Grid5"/>
    <w:basedOn w:val="TableNormal"/>
    <w:next w:val="TableGrid"/>
    <w:uiPriority w:val="59"/>
    <w:pPr>
      <w:spacing w:after="120"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
    <w:name w:val="Table Elegant1"/>
    <w:basedOn w:val="TableNormal"/>
    <w:next w:val="TableElegant"/>
    <w:pPr>
      <w:jc w:val="both"/>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12"/>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style>
  <w:style w:type="paragraph" w:customStyle="1" w:styleId="Declassification">
    <w:name w:val="Declassification"/>
    <w:basedOn w:val="Normal"/>
    <w:next w:val="Normal"/>
    <w:pPr>
      <w:jc w:val="both"/>
    </w:pPr>
    <w:rPr>
      <w:rFonts w:ascii="Times New Roman" w:hAnsi="Times New Roman"/>
      <w:sz w:val="24"/>
    </w:rPr>
  </w:style>
  <w:style w:type="character" w:customStyle="1" w:styleId="tgc">
    <w:name w:val="_tgc"/>
  </w:style>
  <w:style w:type="numbering" w:customStyle="1" w:styleId="NoList5">
    <w:name w:val="No List5"/>
    <w:next w:val="NoList"/>
    <w:uiPriority w:val="99"/>
    <w:semiHidden/>
    <w:unhideWhenUsed/>
  </w:style>
  <w:style w:type="table" w:customStyle="1" w:styleId="TableGrid6">
    <w:name w:val="Table Grid6"/>
    <w:basedOn w:val="TableNormal"/>
    <w:next w:val="TableGrid"/>
    <w:uiPriority w:val="59"/>
    <w:pPr>
      <w:spacing w:after="120"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
    <w:name w:val="Table Elegant2"/>
    <w:basedOn w:val="TableNormal"/>
    <w:next w:val="TableElegant"/>
    <w:pPr>
      <w:jc w:val="both"/>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
    <w:name w:val="Table Grid13"/>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style>
  <w:style w:type="paragraph" w:customStyle="1" w:styleId="AMPRINDICATOR">
    <w:name w:val="AMPRINDICATOR"/>
    <w:basedOn w:val="AMPRText"/>
    <w:link w:val="AMPRINDICATORChar"/>
    <w:qFormat/>
    <w:rPr>
      <w:rFonts w:ascii="Arial" w:eastAsia="Calibri" w:hAnsi="Arial"/>
      <w:color w:val="FFFFFF" w:themeColor="background1"/>
    </w:rPr>
  </w:style>
  <w:style w:type="character" w:customStyle="1" w:styleId="AMPRINDICATORChar">
    <w:name w:val="AMPRINDICATOR Char"/>
    <w:basedOn w:val="AMPRTextChar"/>
    <w:link w:val="AMPRINDICATOR"/>
    <w:rPr>
      <w:rFonts w:ascii="Arial" w:eastAsia="Calibri" w:hAnsi="Arial" w:cs="Times New Roman"/>
      <w:color w:val="FFFFFF" w:themeColor="background1"/>
      <w:sz w:val="19"/>
      <w:szCs w:val="24"/>
      <w:lang w:val="en-GB" w:eastAsia="en-GB"/>
    </w:rPr>
  </w:style>
  <w:style w:type="paragraph" w:customStyle="1" w:styleId="AMPRRUNNINGKLEIN">
    <w:name w:val="AMPRRUNNINGKLEIN"/>
    <w:basedOn w:val="AMPRRunningTitle"/>
    <w:link w:val="AMPRRUNNINGKLEINChar"/>
    <w:qFormat/>
    <w:rPr>
      <w:rFonts w:ascii="Verdana" w:hAnsi="Verdana"/>
      <w:color w:val="0070C0"/>
    </w:rPr>
  </w:style>
  <w:style w:type="character" w:customStyle="1" w:styleId="AMPRRUNNINGKLEINChar">
    <w:name w:val="AMPRRUNNINGKLEIN Char"/>
    <w:basedOn w:val="AMPRRunningTitleChar"/>
    <w:link w:val="AMPRRUNNINGKLEIN"/>
    <w:rPr>
      <w:rFonts w:ascii="Verdana" w:eastAsia="Times New Roman" w:hAnsi="Verdana" w:cs="Arial"/>
      <w:b/>
      <w:color w:val="0070C0"/>
      <w:sz w:val="20"/>
      <w:szCs w:val="24"/>
      <w:lang w:val="en-GB" w:eastAsia="en-GB"/>
    </w:rPr>
  </w:style>
  <w:style w:type="character" w:customStyle="1" w:styleId="Bodytext20">
    <w:name w:val="Body text (2)_"/>
    <w:basedOn w:val="DefaultParagraphFont"/>
    <w:rPr>
      <w:rFonts w:ascii="Arial" w:eastAsia="Arial" w:hAnsi="Arial" w:cs="Arial"/>
      <w:b w:val="0"/>
      <w:bCs w:val="0"/>
      <w:i w:val="0"/>
      <w:iCs w:val="0"/>
      <w:smallCaps w:val="0"/>
      <w:strike w:val="0"/>
      <w:sz w:val="17"/>
      <w:szCs w:val="17"/>
      <w:u w:val="none"/>
    </w:rPr>
  </w:style>
  <w:style w:type="character" w:customStyle="1" w:styleId="Bodytext21">
    <w:name w:val="Body text (2)"/>
    <w:basedOn w:val="Bodytext20"/>
    <w:rPr>
      <w:rFonts w:ascii="Arial" w:eastAsia="Arial" w:hAnsi="Arial" w:cs="Arial"/>
      <w:b w:val="0"/>
      <w:bCs w:val="0"/>
      <w:i w:val="0"/>
      <w:iCs w:val="0"/>
      <w:smallCaps w:val="0"/>
      <w:strike w:val="0"/>
      <w:color w:val="7F7F7F"/>
      <w:spacing w:val="0"/>
      <w:w w:val="100"/>
      <w:position w:val="0"/>
      <w:sz w:val="17"/>
      <w:szCs w:val="17"/>
      <w:u w:val="none"/>
      <w:lang w:val="en-US" w:eastAsia="en-US" w:bidi="en-US"/>
    </w:rPr>
  </w:style>
  <w:style w:type="character" w:customStyle="1" w:styleId="Bodytext2Bold">
    <w:name w:val="Body text (2) + Bold"/>
    <w:basedOn w:val="Bodytext20"/>
    <w:rPr>
      <w:rFonts w:ascii="Arial" w:eastAsia="Arial" w:hAnsi="Arial" w:cs="Arial"/>
      <w:b/>
      <w:bCs/>
      <w:i w:val="0"/>
      <w:iCs w:val="0"/>
      <w:smallCaps w:val="0"/>
      <w:strike w:val="0"/>
      <w:color w:val="0070C0"/>
      <w:spacing w:val="0"/>
      <w:w w:val="100"/>
      <w:position w:val="0"/>
      <w:sz w:val="17"/>
      <w:szCs w:val="17"/>
      <w:u w:val="none"/>
      <w:lang w:val="en-US" w:eastAsia="en-US" w:bidi="en-US"/>
    </w:rPr>
  </w:style>
  <w:style w:type="character" w:customStyle="1" w:styleId="Tablecaption">
    <w:name w:val="Table caption_"/>
    <w:basedOn w:val="DefaultParagraphFont"/>
    <w:rPr>
      <w:rFonts w:ascii="Arial" w:eastAsia="Arial" w:hAnsi="Arial" w:cs="Arial"/>
      <w:b w:val="0"/>
      <w:bCs w:val="0"/>
      <w:i/>
      <w:iCs/>
      <w:smallCaps w:val="0"/>
      <w:strike w:val="0"/>
      <w:sz w:val="14"/>
      <w:szCs w:val="14"/>
      <w:u w:val="none"/>
    </w:rPr>
  </w:style>
  <w:style w:type="character" w:customStyle="1" w:styleId="Tablecaption0">
    <w:name w:val="Table caption"/>
    <w:basedOn w:val="Tablecaption"/>
    <w:rPr>
      <w:rFonts w:ascii="Arial" w:eastAsia="Arial" w:hAnsi="Arial" w:cs="Arial"/>
      <w:b w:val="0"/>
      <w:bCs w:val="0"/>
      <w:i/>
      <w:iCs/>
      <w:smallCaps w:val="0"/>
      <w:strike w:val="0"/>
      <w:color w:val="7F7F7F"/>
      <w:spacing w:val="0"/>
      <w:w w:val="100"/>
      <w:position w:val="0"/>
      <w:sz w:val="14"/>
      <w:szCs w:val="14"/>
      <w:u w:val="none"/>
      <w:lang w:val="en-US" w:eastAsia="en-US" w:bidi="en-US"/>
    </w:rPr>
  </w:style>
  <w:style w:type="character" w:customStyle="1" w:styleId="Tablecaption65ptNotItalic">
    <w:name w:val="Table caption + 6.5 pt;Not Italic"/>
    <w:basedOn w:val="Tablecaption"/>
    <w:rPr>
      <w:rFonts w:ascii="Arial" w:eastAsia="Arial" w:hAnsi="Arial" w:cs="Arial"/>
      <w:b w:val="0"/>
      <w:bCs w:val="0"/>
      <w:i/>
      <w:iCs/>
      <w:smallCaps w:val="0"/>
      <w:strike w:val="0"/>
      <w:color w:val="7F7F7F"/>
      <w:spacing w:val="0"/>
      <w:w w:val="100"/>
      <w:position w:val="0"/>
      <w:sz w:val="13"/>
      <w:szCs w:val="13"/>
      <w:u w:val="none"/>
      <w:lang w:val="en-US" w:eastAsia="en-US" w:bidi="en-US"/>
    </w:rPr>
  </w:style>
  <w:style w:type="character" w:customStyle="1" w:styleId="Bodytext30">
    <w:name w:val="Body text (3)_"/>
    <w:basedOn w:val="DefaultParagraphFont"/>
    <w:rPr>
      <w:rFonts w:ascii="Arial" w:eastAsia="Arial" w:hAnsi="Arial" w:cs="Arial"/>
      <w:b/>
      <w:bCs/>
      <w:i w:val="0"/>
      <w:iCs w:val="0"/>
      <w:smallCaps w:val="0"/>
      <w:strike w:val="0"/>
      <w:sz w:val="17"/>
      <w:szCs w:val="17"/>
      <w:u w:val="none"/>
    </w:rPr>
  </w:style>
  <w:style w:type="character" w:customStyle="1" w:styleId="Bodytext3NotBold">
    <w:name w:val="Body text (3) + Not Bold"/>
    <w:basedOn w:val="Bodytext30"/>
    <w:rPr>
      <w:rFonts w:ascii="Arial" w:eastAsia="Arial" w:hAnsi="Arial" w:cs="Arial"/>
      <w:b/>
      <w:bCs/>
      <w:i w:val="0"/>
      <w:iCs w:val="0"/>
      <w:smallCaps w:val="0"/>
      <w:strike w:val="0"/>
      <w:color w:val="7F7F7F"/>
      <w:spacing w:val="0"/>
      <w:w w:val="100"/>
      <w:position w:val="0"/>
      <w:sz w:val="17"/>
      <w:szCs w:val="17"/>
      <w:u w:val="none"/>
      <w:lang w:val="en-US" w:eastAsia="en-US" w:bidi="en-US"/>
    </w:rPr>
  </w:style>
  <w:style w:type="character" w:customStyle="1" w:styleId="Bodytext31">
    <w:name w:val="Body text (3)"/>
    <w:basedOn w:val="Bodytext30"/>
    <w:rPr>
      <w:rFonts w:ascii="Arial" w:eastAsia="Arial" w:hAnsi="Arial" w:cs="Arial"/>
      <w:b/>
      <w:bCs/>
      <w:i w:val="0"/>
      <w:iCs w:val="0"/>
      <w:smallCaps w:val="0"/>
      <w:strike w:val="0"/>
      <w:color w:val="0070C0"/>
      <w:spacing w:val="0"/>
      <w:w w:val="100"/>
      <w:position w:val="0"/>
      <w:sz w:val="17"/>
      <w:szCs w:val="17"/>
      <w:u w:val="none"/>
      <w:lang w:val="en-US" w:eastAsia="en-US" w:bidi="en-US"/>
    </w:rPr>
  </w:style>
  <w:style w:type="character" w:customStyle="1" w:styleId="Heading30">
    <w:name w:val="Heading #3_"/>
    <w:basedOn w:val="DefaultParagraphFont"/>
    <w:rPr>
      <w:rFonts w:ascii="Arial" w:eastAsia="Arial" w:hAnsi="Arial" w:cs="Arial"/>
      <w:b/>
      <w:bCs/>
      <w:i w:val="0"/>
      <w:iCs w:val="0"/>
      <w:smallCaps w:val="0"/>
      <w:strike w:val="0"/>
      <w:sz w:val="17"/>
      <w:szCs w:val="17"/>
      <w:u w:val="none"/>
    </w:rPr>
  </w:style>
  <w:style w:type="character" w:customStyle="1" w:styleId="Heading31">
    <w:name w:val="Heading #3"/>
    <w:basedOn w:val="Heading30"/>
    <w:rPr>
      <w:rFonts w:ascii="Arial" w:eastAsia="Arial" w:hAnsi="Arial" w:cs="Arial"/>
      <w:b/>
      <w:bCs/>
      <w:i w:val="0"/>
      <w:iCs w:val="0"/>
      <w:smallCaps w:val="0"/>
      <w:strike w:val="0"/>
      <w:color w:val="0070C0"/>
      <w:spacing w:val="0"/>
      <w:w w:val="100"/>
      <w:position w:val="0"/>
      <w:sz w:val="17"/>
      <w:szCs w:val="17"/>
      <w:u w:val="none"/>
      <w:lang w:val="en-US" w:eastAsia="en-US" w:bidi="en-US"/>
    </w:rPr>
  </w:style>
  <w:style w:type="character" w:customStyle="1" w:styleId="Heading3NotBold">
    <w:name w:val="Heading #3 + Not Bold"/>
    <w:basedOn w:val="Heading30"/>
    <w:rPr>
      <w:rFonts w:ascii="Arial" w:eastAsia="Arial" w:hAnsi="Arial" w:cs="Arial"/>
      <w:b/>
      <w:bCs/>
      <w:i w:val="0"/>
      <w:iCs w:val="0"/>
      <w:smallCaps w:val="0"/>
      <w:strike w:val="0"/>
      <w:color w:val="7F7F7F"/>
      <w:spacing w:val="0"/>
      <w:w w:val="100"/>
      <w:position w:val="0"/>
      <w:sz w:val="17"/>
      <w:szCs w:val="17"/>
      <w:u w:val="none"/>
      <w:lang w:val="en-US" w:eastAsia="en-US" w:bidi="en-US"/>
    </w:rPr>
  </w:style>
  <w:style w:type="character" w:customStyle="1" w:styleId="Bodytext2Italic">
    <w:name w:val="Body text (2) + Italic"/>
    <w:basedOn w:val="Bodytext20"/>
    <w:rPr>
      <w:rFonts w:ascii="Arial" w:eastAsia="Arial" w:hAnsi="Arial" w:cs="Arial"/>
      <w:b w:val="0"/>
      <w:bCs w:val="0"/>
      <w:i/>
      <w:iCs/>
      <w:smallCaps w:val="0"/>
      <w:strike w:val="0"/>
      <w:color w:val="7F7F7F"/>
      <w:spacing w:val="0"/>
      <w:w w:val="100"/>
      <w:position w:val="0"/>
      <w:sz w:val="17"/>
      <w:szCs w:val="17"/>
      <w:u w:val="none"/>
      <w:lang w:val="en-US" w:eastAsia="en-US" w:bidi="en-US"/>
    </w:rPr>
  </w:style>
  <w:style w:type="character" w:customStyle="1" w:styleId="highlight">
    <w:name w:val="highlight"/>
    <w:basedOn w:val="DefaultParagraphFont"/>
  </w:style>
  <w:style w:type="paragraph" w:customStyle="1" w:styleId="AMPRTabletext-source">
    <w:name w:val="AMPR Table text - source"/>
    <w:rPr>
      <w:rFonts w:ascii="EC Square Sans Pro" w:eastAsia="Times New Roman" w:hAnsi="EC Square Sans Pro" w:cs="Times New Roman"/>
      <w:color w:val="000000" w:themeColor="text1"/>
      <w:sz w:val="18"/>
      <w:szCs w:val="18"/>
      <w:lang w:val="en-GB" w:eastAsia="en-GB"/>
    </w:rPr>
  </w:style>
  <w:style w:type="character" w:customStyle="1" w:styleId="hyperlinkunderlined">
    <w:name w:val="hyperlink underlined"/>
    <w:uiPriority w:val="1"/>
    <w:rPr>
      <w:u w:val="single"/>
    </w:rPr>
  </w:style>
  <w:style w:type="character" w:customStyle="1" w:styleId="italics">
    <w:name w:val="italics"/>
    <w:uiPriority w:val="1"/>
    <w:rPr>
      <w:i/>
    </w:rPr>
  </w:style>
  <w:style w:type="paragraph" w:customStyle="1" w:styleId="AnnexTabletitle">
    <w:name w:val="Annex Table title"/>
    <w:pPr>
      <w:spacing w:before="240" w:after="120" w:line="26" w:lineRule="atLeast"/>
    </w:pPr>
    <w:rPr>
      <w:rFonts w:ascii="EC Square Sans Pro" w:hAnsi="EC Square Sans Pro" w:cs="Times New Roman"/>
      <w:b/>
      <w:sz w:val="20"/>
      <w:lang w:val="en-GB"/>
    </w:rPr>
  </w:style>
  <w:style w:type="paragraph" w:customStyle="1" w:styleId="BOX3BluedashedborderBluetext">
    <w:name w:val="BOX 3 / Blue dashed border / Blue text"/>
    <w:basedOn w:val="Normal"/>
    <w:pPr>
      <w:keepLines/>
      <w:pBdr>
        <w:top w:val="dashSmallGap" w:sz="12" w:space="1" w:color="65BBC8"/>
        <w:left w:val="dashSmallGap" w:sz="12" w:space="4" w:color="65BBC8"/>
        <w:bottom w:val="dashSmallGap" w:sz="12" w:space="1" w:color="65BBC8"/>
        <w:right w:val="dashSmallGap" w:sz="12" w:space="4" w:color="65BBC8"/>
      </w:pBdr>
      <w:spacing w:after="120"/>
      <w:jc w:val="both"/>
    </w:pPr>
    <w:rPr>
      <w:noProof/>
      <w:color w:val="65BBC8"/>
      <w:lang w:eastAsia="fr-BE"/>
    </w:rPr>
  </w:style>
  <w:style w:type="character" w:customStyle="1" w:styleId="fontsmall3">
    <w:name w:val="fontsmall3"/>
    <w:basedOn w:val="DefaultParagraphFont"/>
    <w:rPr>
      <w:sz w:val="16"/>
      <w:szCs w:val="16"/>
    </w:rPr>
  </w:style>
  <w:style w:type="character" w:customStyle="1" w:styleId="update">
    <w:name w:val="update"/>
    <w:basedOn w:val="DefaultParagraphFont"/>
  </w:style>
  <w:style w:type="character" w:customStyle="1" w:styleId="update1">
    <w:name w:val="update1"/>
    <w:basedOn w:val="DefaultParagraphFont"/>
    <w:rPr>
      <w:color w:val="006666"/>
    </w:rPr>
  </w:style>
  <w:style w:type="paragraph" w:customStyle="1" w:styleId="BOX2Orange-new">
    <w:name w:val="BOX 2 / Orange - new"/>
    <w:basedOn w:val="BOX2Blue"/>
    <w:pPr>
      <w:pBdr>
        <w:top w:val="single" w:sz="4" w:space="4" w:color="FCDC85"/>
        <w:left w:val="single" w:sz="4" w:space="4" w:color="FCDC85"/>
        <w:bottom w:val="single" w:sz="4" w:space="4" w:color="FCDC85"/>
        <w:right w:val="single" w:sz="4" w:space="4" w:color="FCDC85"/>
      </w:pBdr>
      <w:shd w:val="clear" w:color="auto" w:fill="FCDC85"/>
    </w:pPr>
  </w:style>
  <w:style w:type="paragraph" w:customStyle="1" w:styleId="Source-Table-Chart-PhotoCaption">
    <w:name w:val="Source-Table-Chart-PhotoCaption"/>
    <w:pPr>
      <w:spacing w:before="40"/>
    </w:pPr>
    <w:rPr>
      <w:rFonts w:ascii="EC Square Sans Pro" w:eastAsia="Calibri" w:hAnsi="EC Square Sans Pro" w:cs="Times New Roman"/>
      <w:iCs/>
      <w:sz w:val="16"/>
      <w:szCs w:val="16"/>
      <w:lang w:val="en-GB" w:eastAsia="fr-BE"/>
    </w:rPr>
  </w:style>
  <w:style w:type="paragraph" w:customStyle="1" w:styleId="BOX3BluedashedborderOrangetext">
    <w:name w:val="BOX 3 / Blue dashed border / Orange text"/>
    <w:basedOn w:val="BOX3BluedashedborderBluetext"/>
    <w:pPr>
      <w:pBdr>
        <w:top w:val="dashSmallGap" w:sz="12" w:space="1" w:color="E48C32"/>
        <w:left w:val="dashSmallGap" w:sz="12" w:space="4" w:color="E48C32"/>
        <w:bottom w:val="dashSmallGap" w:sz="12" w:space="1" w:color="E48C32"/>
        <w:right w:val="dashSmallGap" w:sz="12" w:space="4" w:color="E48C32"/>
      </w:pBdr>
    </w:pPr>
    <w:rPr>
      <w:color w:val="E48C32"/>
    </w:rPr>
  </w:style>
  <w:style w:type="paragraph" w:customStyle="1" w:styleId="Annex4-subheading1">
    <w:name w:val="Annex 4 - subheading 1"/>
    <w:basedOn w:val="BodyText"/>
    <w:pPr>
      <w:keepNext/>
      <w:spacing w:before="360" w:after="240"/>
    </w:pPr>
    <w:rPr>
      <w:rFonts w:eastAsia="Calibri"/>
      <w:b/>
      <w:color w:val="E48C32" w:themeColor="accent5"/>
      <w:sz w:val="24"/>
      <w:lang w:eastAsia="fr-BE"/>
    </w:rPr>
  </w:style>
  <w:style w:type="paragraph" w:customStyle="1" w:styleId="Annex4-subheading2">
    <w:name w:val="Annex 4 - subheading 2"/>
    <w:basedOn w:val="BodyText"/>
    <w:pPr>
      <w:keepNext/>
    </w:pPr>
    <w:rPr>
      <w:b/>
      <w:color w:val="E48C32"/>
    </w:rPr>
  </w:style>
  <w:style w:type="paragraph" w:customStyle="1" w:styleId="Annex4-H2">
    <w:name w:val="Annex 4 - H2"/>
    <w:basedOn w:val="Heading2Tonny"/>
    <w:rPr>
      <w:rFonts w:ascii="EC Square Sans Pro" w:hAnsi="EC Square Sans Pro" w:cs="Times New Roman"/>
      <w:bCs w:val="0"/>
      <w:iCs w:val="0"/>
      <w:noProof/>
      <w:color w:val="E48C32" w:themeColor="accent5"/>
      <w:szCs w:val="24"/>
      <w:lang w:eastAsia="fr-BE"/>
    </w:rPr>
  </w:style>
  <w:style w:type="paragraph" w:customStyle="1" w:styleId="Annex4-H3">
    <w:name w:val="Annex 4 - H3"/>
    <w:basedOn w:val="Heading2Tonny"/>
    <w:pPr>
      <w:spacing w:after="240"/>
      <w:outlineLvl w:val="2"/>
    </w:pPr>
    <w:rPr>
      <w:rFonts w:ascii="EC Square Sans Pro" w:hAnsi="EC Square Sans Pro" w:cs="Times New Roman"/>
      <w:bCs w:val="0"/>
      <w:iCs w:val="0"/>
      <w:noProof/>
      <w:color w:val="E48C32" w:themeColor="accent5"/>
      <w:szCs w:val="24"/>
      <w:lang w:eastAsia="fr-BE"/>
    </w:rPr>
  </w:style>
  <w:style w:type="paragraph" w:customStyle="1" w:styleId="Annex4-H4">
    <w:name w:val="Annex 4 - H4"/>
    <w:next w:val="BodyText1spaceafter"/>
    <w:pPr>
      <w:spacing w:before="240" w:after="240"/>
      <w:outlineLvl w:val="3"/>
    </w:pPr>
    <w:rPr>
      <w:rFonts w:ascii="EC Square Sans Pro" w:eastAsiaTheme="majorEastAsia" w:hAnsi="EC Square Sans Pro" w:cstheme="majorBidi"/>
      <w:b/>
      <w:color w:val="E48C32" w:themeColor="accent5"/>
      <w:sz w:val="24"/>
      <w:szCs w:val="24"/>
      <w:lang w:val="en-GB"/>
    </w:rPr>
  </w:style>
  <w:style w:type="paragraph" w:customStyle="1" w:styleId="Annex1Tableseparator">
    <w:name w:val="Annex 1 Table separator"/>
    <w:pPr>
      <w:spacing w:after="320"/>
    </w:pPr>
    <w:rPr>
      <w:rFonts w:ascii="EC Square Sans Pro" w:hAnsi="EC Square Sans Pro" w:cs="Times New Roman"/>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8377">
      <w:bodyDiv w:val="1"/>
      <w:marLeft w:val="0"/>
      <w:marRight w:val="0"/>
      <w:marTop w:val="0"/>
      <w:marBottom w:val="0"/>
      <w:divBdr>
        <w:top w:val="none" w:sz="0" w:space="0" w:color="auto"/>
        <w:left w:val="none" w:sz="0" w:space="0" w:color="auto"/>
        <w:bottom w:val="none" w:sz="0" w:space="0" w:color="auto"/>
        <w:right w:val="none" w:sz="0" w:space="0" w:color="auto"/>
      </w:divBdr>
    </w:div>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124474031">
      <w:bodyDiv w:val="1"/>
      <w:marLeft w:val="0"/>
      <w:marRight w:val="0"/>
      <w:marTop w:val="0"/>
      <w:marBottom w:val="0"/>
      <w:divBdr>
        <w:top w:val="none" w:sz="0" w:space="0" w:color="auto"/>
        <w:left w:val="none" w:sz="0" w:space="0" w:color="auto"/>
        <w:bottom w:val="none" w:sz="0" w:space="0" w:color="auto"/>
        <w:right w:val="none" w:sz="0" w:space="0" w:color="auto"/>
      </w:divBdr>
    </w:div>
    <w:div w:id="182984693">
      <w:bodyDiv w:val="1"/>
      <w:marLeft w:val="0"/>
      <w:marRight w:val="0"/>
      <w:marTop w:val="0"/>
      <w:marBottom w:val="0"/>
      <w:divBdr>
        <w:top w:val="none" w:sz="0" w:space="0" w:color="auto"/>
        <w:left w:val="none" w:sz="0" w:space="0" w:color="auto"/>
        <w:bottom w:val="none" w:sz="0" w:space="0" w:color="auto"/>
        <w:right w:val="none" w:sz="0" w:space="0" w:color="auto"/>
      </w:divBdr>
    </w:div>
    <w:div w:id="251816919">
      <w:bodyDiv w:val="1"/>
      <w:marLeft w:val="0"/>
      <w:marRight w:val="0"/>
      <w:marTop w:val="0"/>
      <w:marBottom w:val="0"/>
      <w:divBdr>
        <w:top w:val="none" w:sz="0" w:space="0" w:color="auto"/>
        <w:left w:val="none" w:sz="0" w:space="0" w:color="auto"/>
        <w:bottom w:val="none" w:sz="0" w:space="0" w:color="auto"/>
        <w:right w:val="none" w:sz="0" w:space="0" w:color="auto"/>
      </w:divBdr>
    </w:div>
    <w:div w:id="256796035">
      <w:bodyDiv w:val="1"/>
      <w:marLeft w:val="0"/>
      <w:marRight w:val="0"/>
      <w:marTop w:val="0"/>
      <w:marBottom w:val="0"/>
      <w:divBdr>
        <w:top w:val="none" w:sz="0" w:space="0" w:color="auto"/>
        <w:left w:val="none" w:sz="0" w:space="0" w:color="auto"/>
        <w:bottom w:val="none" w:sz="0" w:space="0" w:color="auto"/>
        <w:right w:val="none" w:sz="0" w:space="0" w:color="auto"/>
      </w:divBdr>
    </w:div>
    <w:div w:id="306596134">
      <w:bodyDiv w:val="1"/>
      <w:marLeft w:val="0"/>
      <w:marRight w:val="0"/>
      <w:marTop w:val="0"/>
      <w:marBottom w:val="0"/>
      <w:divBdr>
        <w:top w:val="none" w:sz="0" w:space="0" w:color="auto"/>
        <w:left w:val="none" w:sz="0" w:space="0" w:color="auto"/>
        <w:bottom w:val="none" w:sz="0" w:space="0" w:color="auto"/>
        <w:right w:val="none" w:sz="0" w:space="0" w:color="auto"/>
      </w:divBdr>
    </w:div>
    <w:div w:id="308438651">
      <w:bodyDiv w:val="1"/>
      <w:marLeft w:val="0"/>
      <w:marRight w:val="0"/>
      <w:marTop w:val="0"/>
      <w:marBottom w:val="0"/>
      <w:divBdr>
        <w:top w:val="none" w:sz="0" w:space="0" w:color="auto"/>
        <w:left w:val="none" w:sz="0" w:space="0" w:color="auto"/>
        <w:bottom w:val="none" w:sz="0" w:space="0" w:color="auto"/>
        <w:right w:val="none" w:sz="0" w:space="0" w:color="auto"/>
      </w:divBdr>
    </w:div>
    <w:div w:id="362098488">
      <w:bodyDiv w:val="1"/>
      <w:marLeft w:val="0"/>
      <w:marRight w:val="0"/>
      <w:marTop w:val="0"/>
      <w:marBottom w:val="0"/>
      <w:divBdr>
        <w:top w:val="none" w:sz="0" w:space="0" w:color="auto"/>
        <w:left w:val="none" w:sz="0" w:space="0" w:color="auto"/>
        <w:bottom w:val="none" w:sz="0" w:space="0" w:color="auto"/>
        <w:right w:val="none" w:sz="0" w:space="0" w:color="auto"/>
      </w:divBdr>
    </w:div>
    <w:div w:id="485367911">
      <w:bodyDiv w:val="1"/>
      <w:marLeft w:val="0"/>
      <w:marRight w:val="0"/>
      <w:marTop w:val="0"/>
      <w:marBottom w:val="0"/>
      <w:divBdr>
        <w:top w:val="none" w:sz="0" w:space="0" w:color="auto"/>
        <w:left w:val="none" w:sz="0" w:space="0" w:color="auto"/>
        <w:bottom w:val="none" w:sz="0" w:space="0" w:color="auto"/>
        <w:right w:val="none" w:sz="0" w:space="0" w:color="auto"/>
      </w:divBdr>
    </w:div>
    <w:div w:id="500703562">
      <w:bodyDiv w:val="1"/>
      <w:marLeft w:val="0"/>
      <w:marRight w:val="0"/>
      <w:marTop w:val="0"/>
      <w:marBottom w:val="0"/>
      <w:divBdr>
        <w:top w:val="none" w:sz="0" w:space="0" w:color="auto"/>
        <w:left w:val="none" w:sz="0" w:space="0" w:color="auto"/>
        <w:bottom w:val="none" w:sz="0" w:space="0" w:color="auto"/>
        <w:right w:val="none" w:sz="0" w:space="0" w:color="auto"/>
      </w:divBdr>
    </w:div>
    <w:div w:id="502821650">
      <w:bodyDiv w:val="1"/>
      <w:marLeft w:val="0"/>
      <w:marRight w:val="0"/>
      <w:marTop w:val="0"/>
      <w:marBottom w:val="0"/>
      <w:divBdr>
        <w:top w:val="none" w:sz="0" w:space="0" w:color="auto"/>
        <w:left w:val="none" w:sz="0" w:space="0" w:color="auto"/>
        <w:bottom w:val="none" w:sz="0" w:space="0" w:color="auto"/>
        <w:right w:val="none" w:sz="0" w:space="0" w:color="auto"/>
      </w:divBdr>
    </w:div>
    <w:div w:id="525022587">
      <w:bodyDiv w:val="1"/>
      <w:marLeft w:val="0"/>
      <w:marRight w:val="0"/>
      <w:marTop w:val="0"/>
      <w:marBottom w:val="0"/>
      <w:divBdr>
        <w:top w:val="none" w:sz="0" w:space="0" w:color="auto"/>
        <w:left w:val="none" w:sz="0" w:space="0" w:color="auto"/>
        <w:bottom w:val="none" w:sz="0" w:space="0" w:color="auto"/>
        <w:right w:val="none" w:sz="0" w:space="0" w:color="auto"/>
      </w:divBdr>
    </w:div>
    <w:div w:id="542406315">
      <w:bodyDiv w:val="1"/>
      <w:marLeft w:val="0"/>
      <w:marRight w:val="0"/>
      <w:marTop w:val="0"/>
      <w:marBottom w:val="0"/>
      <w:divBdr>
        <w:top w:val="none" w:sz="0" w:space="0" w:color="auto"/>
        <w:left w:val="none" w:sz="0" w:space="0" w:color="auto"/>
        <w:bottom w:val="none" w:sz="0" w:space="0" w:color="auto"/>
        <w:right w:val="none" w:sz="0" w:space="0" w:color="auto"/>
      </w:divBdr>
    </w:div>
    <w:div w:id="607810853">
      <w:bodyDiv w:val="1"/>
      <w:marLeft w:val="0"/>
      <w:marRight w:val="0"/>
      <w:marTop w:val="0"/>
      <w:marBottom w:val="0"/>
      <w:divBdr>
        <w:top w:val="none" w:sz="0" w:space="0" w:color="auto"/>
        <w:left w:val="none" w:sz="0" w:space="0" w:color="auto"/>
        <w:bottom w:val="none" w:sz="0" w:space="0" w:color="auto"/>
        <w:right w:val="none" w:sz="0" w:space="0" w:color="auto"/>
      </w:divBdr>
    </w:div>
    <w:div w:id="673456627">
      <w:bodyDiv w:val="1"/>
      <w:marLeft w:val="0"/>
      <w:marRight w:val="0"/>
      <w:marTop w:val="0"/>
      <w:marBottom w:val="0"/>
      <w:divBdr>
        <w:top w:val="none" w:sz="0" w:space="0" w:color="auto"/>
        <w:left w:val="none" w:sz="0" w:space="0" w:color="auto"/>
        <w:bottom w:val="none" w:sz="0" w:space="0" w:color="auto"/>
        <w:right w:val="none" w:sz="0" w:space="0" w:color="auto"/>
      </w:divBdr>
    </w:div>
    <w:div w:id="707343200">
      <w:bodyDiv w:val="1"/>
      <w:marLeft w:val="0"/>
      <w:marRight w:val="0"/>
      <w:marTop w:val="0"/>
      <w:marBottom w:val="0"/>
      <w:divBdr>
        <w:top w:val="none" w:sz="0" w:space="0" w:color="auto"/>
        <w:left w:val="none" w:sz="0" w:space="0" w:color="auto"/>
        <w:bottom w:val="none" w:sz="0" w:space="0" w:color="auto"/>
        <w:right w:val="none" w:sz="0" w:space="0" w:color="auto"/>
      </w:divBdr>
    </w:div>
    <w:div w:id="732387652">
      <w:bodyDiv w:val="1"/>
      <w:marLeft w:val="0"/>
      <w:marRight w:val="0"/>
      <w:marTop w:val="0"/>
      <w:marBottom w:val="0"/>
      <w:divBdr>
        <w:top w:val="none" w:sz="0" w:space="0" w:color="auto"/>
        <w:left w:val="none" w:sz="0" w:space="0" w:color="auto"/>
        <w:bottom w:val="none" w:sz="0" w:space="0" w:color="auto"/>
        <w:right w:val="none" w:sz="0" w:space="0" w:color="auto"/>
      </w:divBdr>
    </w:div>
    <w:div w:id="836118116">
      <w:bodyDiv w:val="1"/>
      <w:marLeft w:val="0"/>
      <w:marRight w:val="0"/>
      <w:marTop w:val="0"/>
      <w:marBottom w:val="0"/>
      <w:divBdr>
        <w:top w:val="none" w:sz="0" w:space="0" w:color="auto"/>
        <w:left w:val="none" w:sz="0" w:space="0" w:color="auto"/>
        <w:bottom w:val="none" w:sz="0" w:space="0" w:color="auto"/>
        <w:right w:val="none" w:sz="0" w:space="0" w:color="auto"/>
      </w:divBdr>
      <w:divsChild>
        <w:div w:id="1816333134">
          <w:marLeft w:val="0"/>
          <w:marRight w:val="0"/>
          <w:marTop w:val="0"/>
          <w:marBottom w:val="0"/>
          <w:divBdr>
            <w:top w:val="single" w:sz="2" w:space="0" w:color="CCCCCC"/>
            <w:left w:val="single" w:sz="6" w:space="0" w:color="CCCCCC"/>
            <w:bottom w:val="single" w:sz="6" w:space="0" w:color="CCCCCC"/>
            <w:right w:val="single" w:sz="6" w:space="0" w:color="CCCCCC"/>
          </w:divBdr>
          <w:divsChild>
            <w:div w:id="243033381">
              <w:marLeft w:val="0"/>
              <w:marRight w:val="0"/>
              <w:marTop w:val="0"/>
              <w:marBottom w:val="0"/>
              <w:divBdr>
                <w:top w:val="none" w:sz="0" w:space="0" w:color="auto"/>
                <w:left w:val="none" w:sz="0" w:space="0" w:color="auto"/>
                <w:bottom w:val="none" w:sz="0" w:space="0" w:color="auto"/>
                <w:right w:val="none" w:sz="0" w:space="0" w:color="auto"/>
              </w:divBdr>
              <w:divsChild>
                <w:div w:id="693309435">
                  <w:marLeft w:val="-180"/>
                  <w:marRight w:val="-180"/>
                  <w:marTop w:val="0"/>
                  <w:marBottom w:val="0"/>
                  <w:divBdr>
                    <w:top w:val="none" w:sz="0" w:space="0" w:color="auto"/>
                    <w:left w:val="none" w:sz="0" w:space="0" w:color="auto"/>
                    <w:bottom w:val="none" w:sz="0" w:space="0" w:color="auto"/>
                    <w:right w:val="none" w:sz="0" w:space="0" w:color="auto"/>
                  </w:divBdr>
                  <w:divsChild>
                    <w:div w:id="826286987">
                      <w:marLeft w:val="0"/>
                      <w:marRight w:val="0"/>
                      <w:marTop w:val="0"/>
                      <w:marBottom w:val="0"/>
                      <w:divBdr>
                        <w:top w:val="none" w:sz="0" w:space="0" w:color="auto"/>
                        <w:left w:val="none" w:sz="0" w:space="0" w:color="auto"/>
                        <w:bottom w:val="none" w:sz="0" w:space="0" w:color="auto"/>
                        <w:right w:val="none" w:sz="0" w:space="0" w:color="auto"/>
                      </w:divBdr>
                      <w:divsChild>
                        <w:div w:id="699743034">
                          <w:marLeft w:val="-180"/>
                          <w:marRight w:val="-180"/>
                          <w:marTop w:val="0"/>
                          <w:marBottom w:val="0"/>
                          <w:divBdr>
                            <w:top w:val="none" w:sz="0" w:space="0" w:color="auto"/>
                            <w:left w:val="none" w:sz="0" w:space="0" w:color="auto"/>
                            <w:bottom w:val="none" w:sz="0" w:space="0" w:color="auto"/>
                            <w:right w:val="none" w:sz="0" w:space="0" w:color="auto"/>
                          </w:divBdr>
                          <w:divsChild>
                            <w:div w:id="230701301">
                              <w:marLeft w:val="0"/>
                              <w:marRight w:val="0"/>
                              <w:marTop w:val="0"/>
                              <w:marBottom w:val="0"/>
                              <w:divBdr>
                                <w:top w:val="none" w:sz="0" w:space="0" w:color="auto"/>
                                <w:left w:val="none" w:sz="0" w:space="0" w:color="auto"/>
                                <w:bottom w:val="none" w:sz="0" w:space="0" w:color="auto"/>
                                <w:right w:val="none" w:sz="0" w:space="0" w:color="auto"/>
                              </w:divBdr>
                              <w:divsChild>
                                <w:div w:id="921640175">
                                  <w:marLeft w:val="0"/>
                                  <w:marRight w:val="0"/>
                                  <w:marTop w:val="0"/>
                                  <w:marBottom w:val="0"/>
                                  <w:divBdr>
                                    <w:top w:val="none" w:sz="0" w:space="0" w:color="auto"/>
                                    <w:left w:val="none" w:sz="0" w:space="0" w:color="auto"/>
                                    <w:bottom w:val="none" w:sz="0" w:space="0" w:color="auto"/>
                                    <w:right w:val="none" w:sz="0" w:space="0" w:color="auto"/>
                                  </w:divBdr>
                                  <w:divsChild>
                                    <w:div w:id="382753246">
                                      <w:marLeft w:val="0"/>
                                      <w:marRight w:val="0"/>
                                      <w:marTop w:val="0"/>
                                      <w:marBottom w:val="0"/>
                                      <w:divBdr>
                                        <w:top w:val="none" w:sz="0" w:space="0" w:color="auto"/>
                                        <w:left w:val="none" w:sz="0" w:space="0" w:color="auto"/>
                                        <w:bottom w:val="none" w:sz="0" w:space="0" w:color="auto"/>
                                        <w:right w:val="none" w:sz="0" w:space="0" w:color="auto"/>
                                      </w:divBdr>
                                      <w:divsChild>
                                        <w:div w:id="383716176">
                                          <w:marLeft w:val="0"/>
                                          <w:marRight w:val="0"/>
                                          <w:marTop w:val="0"/>
                                          <w:marBottom w:val="0"/>
                                          <w:divBdr>
                                            <w:top w:val="none" w:sz="0" w:space="0" w:color="auto"/>
                                            <w:left w:val="none" w:sz="0" w:space="0" w:color="auto"/>
                                            <w:bottom w:val="none" w:sz="0" w:space="0" w:color="auto"/>
                                            <w:right w:val="none" w:sz="0" w:space="0" w:color="auto"/>
                                          </w:divBdr>
                                          <w:divsChild>
                                            <w:div w:id="1240797192">
                                              <w:marLeft w:val="0"/>
                                              <w:marRight w:val="0"/>
                                              <w:marTop w:val="0"/>
                                              <w:marBottom w:val="0"/>
                                              <w:divBdr>
                                                <w:top w:val="none" w:sz="0" w:space="0" w:color="auto"/>
                                                <w:left w:val="none" w:sz="0" w:space="0" w:color="auto"/>
                                                <w:bottom w:val="none" w:sz="0" w:space="0" w:color="auto"/>
                                                <w:right w:val="none" w:sz="0" w:space="0" w:color="auto"/>
                                              </w:divBdr>
                                              <w:divsChild>
                                                <w:div w:id="1932661072">
                                                  <w:marLeft w:val="0"/>
                                                  <w:marRight w:val="0"/>
                                                  <w:marTop w:val="0"/>
                                                  <w:marBottom w:val="0"/>
                                                  <w:divBdr>
                                                    <w:top w:val="none" w:sz="0" w:space="0" w:color="auto"/>
                                                    <w:left w:val="none" w:sz="0" w:space="0" w:color="auto"/>
                                                    <w:bottom w:val="none" w:sz="0" w:space="0" w:color="auto"/>
                                                    <w:right w:val="none" w:sz="0" w:space="0" w:color="auto"/>
                                                  </w:divBdr>
                                                  <w:divsChild>
                                                    <w:div w:id="1928880898">
                                                      <w:marLeft w:val="0"/>
                                                      <w:marRight w:val="0"/>
                                                      <w:marTop w:val="0"/>
                                                      <w:marBottom w:val="0"/>
                                                      <w:divBdr>
                                                        <w:top w:val="none" w:sz="0" w:space="0" w:color="auto"/>
                                                        <w:left w:val="none" w:sz="0" w:space="0" w:color="auto"/>
                                                        <w:bottom w:val="none" w:sz="0" w:space="0" w:color="auto"/>
                                                        <w:right w:val="none" w:sz="0" w:space="0" w:color="auto"/>
                                                      </w:divBdr>
                                                      <w:divsChild>
                                                        <w:div w:id="623077403">
                                                          <w:marLeft w:val="-180"/>
                                                          <w:marRight w:val="-180"/>
                                                          <w:marTop w:val="0"/>
                                                          <w:marBottom w:val="0"/>
                                                          <w:divBdr>
                                                            <w:top w:val="none" w:sz="0" w:space="0" w:color="auto"/>
                                                            <w:left w:val="none" w:sz="0" w:space="0" w:color="auto"/>
                                                            <w:bottom w:val="none" w:sz="0" w:space="0" w:color="auto"/>
                                                            <w:right w:val="none" w:sz="0" w:space="0" w:color="auto"/>
                                                          </w:divBdr>
                                                          <w:divsChild>
                                                            <w:div w:id="442504384">
                                                              <w:marLeft w:val="0"/>
                                                              <w:marRight w:val="0"/>
                                                              <w:marTop w:val="0"/>
                                                              <w:marBottom w:val="0"/>
                                                              <w:divBdr>
                                                                <w:top w:val="none" w:sz="0" w:space="0" w:color="auto"/>
                                                                <w:left w:val="none" w:sz="0" w:space="0" w:color="auto"/>
                                                                <w:bottom w:val="none" w:sz="0" w:space="0" w:color="auto"/>
                                                                <w:right w:val="none" w:sz="0" w:space="0" w:color="auto"/>
                                                              </w:divBdr>
                                                              <w:divsChild>
                                                                <w:div w:id="14696957">
                                                                  <w:marLeft w:val="0"/>
                                                                  <w:marRight w:val="0"/>
                                                                  <w:marTop w:val="0"/>
                                                                  <w:marBottom w:val="0"/>
                                                                  <w:divBdr>
                                                                    <w:top w:val="none" w:sz="0" w:space="0" w:color="auto"/>
                                                                    <w:left w:val="none" w:sz="0" w:space="0" w:color="auto"/>
                                                                    <w:bottom w:val="none" w:sz="0" w:space="0" w:color="auto"/>
                                                                    <w:right w:val="none" w:sz="0" w:space="0" w:color="auto"/>
                                                                  </w:divBdr>
                                                                  <w:divsChild>
                                                                    <w:div w:id="1590653096">
                                                                      <w:marLeft w:val="0"/>
                                                                      <w:marRight w:val="0"/>
                                                                      <w:marTop w:val="0"/>
                                                                      <w:marBottom w:val="0"/>
                                                                      <w:divBdr>
                                                                        <w:top w:val="none" w:sz="0" w:space="0" w:color="auto"/>
                                                                        <w:left w:val="none" w:sz="0" w:space="0" w:color="auto"/>
                                                                        <w:bottom w:val="none" w:sz="0" w:space="0" w:color="auto"/>
                                                                        <w:right w:val="none" w:sz="0" w:space="0" w:color="auto"/>
                                                                      </w:divBdr>
                                                                      <w:divsChild>
                                                                        <w:div w:id="106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576547">
      <w:bodyDiv w:val="1"/>
      <w:marLeft w:val="0"/>
      <w:marRight w:val="0"/>
      <w:marTop w:val="0"/>
      <w:marBottom w:val="0"/>
      <w:divBdr>
        <w:top w:val="none" w:sz="0" w:space="0" w:color="auto"/>
        <w:left w:val="none" w:sz="0" w:space="0" w:color="auto"/>
        <w:bottom w:val="none" w:sz="0" w:space="0" w:color="auto"/>
        <w:right w:val="none" w:sz="0" w:space="0" w:color="auto"/>
      </w:divBdr>
    </w:div>
    <w:div w:id="922907523">
      <w:bodyDiv w:val="1"/>
      <w:marLeft w:val="0"/>
      <w:marRight w:val="0"/>
      <w:marTop w:val="0"/>
      <w:marBottom w:val="0"/>
      <w:divBdr>
        <w:top w:val="none" w:sz="0" w:space="0" w:color="auto"/>
        <w:left w:val="none" w:sz="0" w:space="0" w:color="auto"/>
        <w:bottom w:val="none" w:sz="0" w:space="0" w:color="auto"/>
        <w:right w:val="none" w:sz="0" w:space="0" w:color="auto"/>
      </w:divBdr>
    </w:div>
    <w:div w:id="946235517">
      <w:bodyDiv w:val="1"/>
      <w:marLeft w:val="0"/>
      <w:marRight w:val="0"/>
      <w:marTop w:val="0"/>
      <w:marBottom w:val="0"/>
      <w:divBdr>
        <w:top w:val="none" w:sz="0" w:space="0" w:color="auto"/>
        <w:left w:val="none" w:sz="0" w:space="0" w:color="auto"/>
        <w:bottom w:val="none" w:sz="0" w:space="0" w:color="auto"/>
        <w:right w:val="none" w:sz="0" w:space="0" w:color="auto"/>
      </w:divBdr>
    </w:div>
    <w:div w:id="956910310">
      <w:bodyDiv w:val="1"/>
      <w:marLeft w:val="0"/>
      <w:marRight w:val="0"/>
      <w:marTop w:val="0"/>
      <w:marBottom w:val="0"/>
      <w:divBdr>
        <w:top w:val="none" w:sz="0" w:space="0" w:color="auto"/>
        <w:left w:val="none" w:sz="0" w:space="0" w:color="auto"/>
        <w:bottom w:val="none" w:sz="0" w:space="0" w:color="auto"/>
        <w:right w:val="none" w:sz="0" w:space="0" w:color="auto"/>
      </w:divBdr>
    </w:div>
    <w:div w:id="963928851">
      <w:bodyDiv w:val="1"/>
      <w:marLeft w:val="0"/>
      <w:marRight w:val="0"/>
      <w:marTop w:val="0"/>
      <w:marBottom w:val="0"/>
      <w:divBdr>
        <w:top w:val="none" w:sz="0" w:space="0" w:color="auto"/>
        <w:left w:val="none" w:sz="0" w:space="0" w:color="auto"/>
        <w:bottom w:val="none" w:sz="0" w:space="0" w:color="auto"/>
        <w:right w:val="none" w:sz="0" w:space="0" w:color="auto"/>
      </w:divBdr>
    </w:div>
    <w:div w:id="968630805">
      <w:bodyDiv w:val="1"/>
      <w:marLeft w:val="0"/>
      <w:marRight w:val="0"/>
      <w:marTop w:val="0"/>
      <w:marBottom w:val="0"/>
      <w:divBdr>
        <w:top w:val="none" w:sz="0" w:space="0" w:color="auto"/>
        <w:left w:val="none" w:sz="0" w:space="0" w:color="auto"/>
        <w:bottom w:val="none" w:sz="0" w:space="0" w:color="auto"/>
        <w:right w:val="none" w:sz="0" w:space="0" w:color="auto"/>
      </w:divBdr>
    </w:div>
    <w:div w:id="999119181">
      <w:bodyDiv w:val="1"/>
      <w:marLeft w:val="0"/>
      <w:marRight w:val="0"/>
      <w:marTop w:val="0"/>
      <w:marBottom w:val="0"/>
      <w:divBdr>
        <w:top w:val="none" w:sz="0" w:space="0" w:color="auto"/>
        <w:left w:val="none" w:sz="0" w:space="0" w:color="auto"/>
        <w:bottom w:val="none" w:sz="0" w:space="0" w:color="auto"/>
        <w:right w:val="none" w:sz="0" w:space="0" w:color="auto"/>
      </w:divBdr>
    </w:div>
    <w:div w:id="1034117773">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089471907">
      <w:bodyDiv w:val="1"/>
      <w:marLeft w:val="0"/>
      <w:marRight w:val="0"/>
      <w:marTop w:val="0"/>
      <w:marBottom w:val="0"/>
      <w:divBdr>
        <w:top w:val="none" w:sz="0" w:space="0" w:color="auto"/>
        <w:left w:val="none" w:sz="0" w:space="0" w:color="auto"/>
        <w:bottom w:val="none" w:sz="0" w:space="0" w:color="auto"/>
        <w:right w:val="none" w:sz="0" w:space="0" w:color="auto"/>
      </w:divBdr>
    </w:div>
    <w:div w:id="1115906899">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152714501">
      <w:bodyDiv w:val="1"/>
      <w:marLeft w:val="0"/>
      <w:marRight w:val="0"/>
      <w:marTop w:val="0"/>
      <w:marBottom w:val="0"/>
      <w:divBdr>
        <w:top w:val="none" w:sz="0" w:space="0" w:color="auto"/>
        <w:left w:val="none" w:sz="0" w:space="0" w:color="auto"/>
        <w:bottom w:val="none" w:sz="0" w:space="0" w:color="auto"/>
        <w:right w:val="none" w:sz="0" w:space="0" w:color="auto"/>
      </w:divBdr>
    </w:div>
    <w:div w:id="1170027898">
      <w:bodyDiv w:val="1"/>
      <w:marLeft w:val="0"/>
      <w:marRight w:val="0"/>
      <w:marTop w:val="0"/>
      <w:marBottom w:val="0"/>
      <w:divBdr>
        <w:top w:val="none" w:sz="0" w:space="0" w:color="auto"/>
        <w:left w:val="none" w:sz="0" w:space="0" w:color="auto"/>
        <w:bottom w:val="none" w:sz="0" w:space="0" w:color="auto"/>
        <w:right w:val="none" w:sz="0" w:space="0" w:color="auto"/>
      </w:divBdr>
    </w:div>
    <w:div w:id="1174496443">
      <w:bodyDiv w:val="1"/>
      <w:marLeft w:val="0"/>
      <w:marRight w:val="0"/>
      <w:marTop w:val="0"/>
      <w:marBottom w:val="0"/>
      <w:divBdr>
        <w:top w:val="none" w:sz="0" w:space="0" w:color="auto"/>
        <w:left w:val="none" w:sz="0" w:space="0" w:color="auto"/>
        <w:bottom w:val="none" w:sz="0" w:space="0" w:color="auto"/>
        <w:right w:val="none" w:sz="0" w:space="0" w:color="auto"/>
      </w:divBdr>
    </w:div>
    <w:div w:id="1175148365">
      <w:bodyDiv w:val="1"/>
      <w:marLeft w:val="0"/>
      <w:marRight w:val="0"/>
      <w:marTop w:val="0"/>
      <w:marBottom w:val="0"/>
      <w:divBdr>
        <w:top w:val="none" w:sz="0" w:space="0" w:color="auto"/>
        <w:left w:val="none" w:sz="0" w:space="0" w:color="auto"/>
        <w:bottom w:val="none" w:sz="0" w:space="0" w:color="auto"/>
        <w:right w:val="none" w:sz="0" w:space="0" w:color="auto"/>
      </w:divBdr>
    </w:div>
    <w:div w:id="1202474947">
      <w:bodyDiv w:val="1"/>
      <w:marLeft w:val="0"/>
      <w:marRight w:val="0"/>
      <w:marTop w:val="0"/>
      <w:marBottom w:val="0"/>
      <w:divBdr>
        <w:top w:val="none" w:sz="0" w:space="0" w:color="auto"/>
        <w:left w:val="none" w:sz="0" w:space="0" w:color="auto"/>
        <w:bottom w:val="none" w:sz="0" w:space="0" w:color="auto"/>
        <w:right w:val="none" w:sz="0" w:space="0" w:color="auto"/>
      </w:divBdr>
    </w:div>
    <w:div w:id="1283537708">
      <w:bodyDiv w:val="1"/>
      <w:marLeft w:val="0"/>
      <w:marRight w:val="0"/>
      <w:marTop w:val="0"/>
      <w:marBottom w:val="0"/>
      <w:divBdr>
        <w:top w:val="none" w:sz="0" w:space="0" w:color="auto"/>
        <w:left w:val="none" w:sz="0" w:space="0" w:color="auto"/>
        <w:bottom w:val="none" w:sz="0" w:space="0" w:color="auto"/>
        <w:right w:val="none" w:sz="0" w:space="0" w:color="auto"/>
      </w:divBdr>
    </w:div>
    <w:div w:id="1297103018">
      <w:bodyDiv w:val="1"/>
      <w:marLeft w:val="0"/>
      <w:marRight w:val="0"/>
      <w:marTop w:val="0"/>
      <w:marBottom w:val="0"/>
      <w:divBdr>
        <w:top w:val="none" w:sz="0" w:space="0" w:color="auto"/>
        <w:left w:val="none" w:sz="0" w:space="0" w:color="auto"/>
        <w:bottom w:val="none" w:sz="0" w:space="0" w:color="auto"/>
        <w:right w:val="none" w:sz="0" w:space="0" w:color="auto"/>
      </w:divBdr>
    </w:div>
    <w:div w:id="1304235338">
      <w:bodyDiv w:val="1"/>
      <w:marLeft w:val="0"/>
      <w:marRight w:val="0"/>
      <w:marTop w:val="0"/>
      <w:marBottom w:val="0"/>
      <w:divBdr>
        <w:top w:val="none" w:sz="0" w:space="0" w:color="auto"/>
        <w:left w:val="none" w:sz="0" w:space="0" w:color="auto"/>
        <w:bottom w:val="none" w:sz="0" w:space="0" w:color="auto"/>
        <w:right w:val="none" w:sz="0" w:space="0" w:color="auto"/>
      </w:divBdr>
    </w:div>
    <w:div w:id="1326978577">
      <w:bodyDiv w:val="1"/>
      <w:marLeft w:val="0"/>
      <w:marRight w:val="0"/>
      <w:marTop w:val="0"/>
      <w:marBottom w:val="0"/>
      <w:divBdr>
        <w:top w:val="none" w:sz="0" w:space="0" w:color="auto"/>
        <w:left w:val="none" w:sz="0" w:space="0" w:color="auto"/>
        <w:bottom w:val="none" w:sz="0" w:space="0" w:color="auto"/>
        <w:right w:val="none" w:sz="0" w:space="0" w:color="auto"/>
      </w:divBdr>
    </w:div>
    <w:div w:id="1357733554">
      <w:bodyDiv w:val="1"/>
      <w:marLeft w:val="0"/>
      <w:marRight w:val="0"/>
      <w:marTop w:val="0"/>
      <w:marBottom w:val="0"/>
      <w:divBdr>
        <w:top w:val="none" w:sz="0" w:space="0" w:color="auto"/>
        <w:left w:val="none" w:sz="0" w:space="0" w:color="auto"/>
        <w:bottom w:val="none" w:sz="0" w:space="0" w:color="auto"/>
        <w:right w:val="none" w:sz="0" w:space="0" w:color="auto"/>
      </w:divBdr>
    </w:div>
    <w:div w:id="1362894796">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490950157">
      <w:bodyDiv w:val="1"/>
      <w:marLeft w:val="0"/>
      <w:marRight w:val="0"/>
      <w:marTop w:val="0"/>
      <w:marBottom w:val="0"/>
      <w:divBdr>
        <w:top w:val="none" w:sz="0" w:space="0" w:color="auto"/>
        <w:left w:val="none" w:sz="0" w:space="0" w:color="auto"/>
        <w:bottom w:val="none" w:sz="0" w:space="0" w:color="auto"/>
        <w:right w:val="none" w:sz="0" w:space="0" w:color="auto"/>
      </w:divBdr>
    </w:div>
    <w:div w:id="1539122319">
      <w:bodyDiv w:val="1"/>
      <w:marLeft w:val="0"/>
      <w:marRight w:val="0"/>
      <w:marTop w:val="0"/>
      <w:marBottom w:val="0"/>
      <w:divBdr>
        <w:top w:val="none" w:sz="0" w:space="0" w:color="auto"/>
        <w:left w:val="none" w:sz="0" w:space="0" w:color="auto"/>
        <w:bottom w:val="none" w:sz="0" w:space="0" w:color="auto"/>
        <w:right w:val="none" w:sz="0" w:space="0" w:color="auto"/>
      </w:divBdr>
    </w:div>
    <w:div w:id="1558858962">
      <w:bodyDiv w:val="1"/>
      <w:marLeft w:val="0"/>
      <w:marRight w:val="0"/>
      <w:marTop w:val="0"/>
      <w:marBottom w:val="0"/>
      <w:divBdr>
        <w:top w:val="none" w:sz="0" w:space="0" w:color="auto"/>
        <w:left w:val="none" w:sz="0" w:space="0" w:color="auto"/>
        <w:bottom w:val="none" w:sz="0" w:space="0" w:color="auto"/>
        <w:right w:val="none" w:sz="0" w:space="0" w:color="auto"/>
      </w:divBdr>
    </w:div>
    <w:div w:id="1562906534">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620839400">
      <w:bodyDiv w:val="1"/>
      <w:marLeft w:val="0"/>
      <w:marRight w:val="0"/>
      <w:marTop w:val="0"/>
      <w:marBottom w:val="0"/>
      <w:divBdr>
        <w:top w:val="none" w:sz="0" w:space="0" w:color="auto"/>
        <w:left w:val="none" w:sz="0" w:space="0" w:color="auto"/>
        <w:bottom w:val="none" w:sz="0" w:space="0" w:color="auto"/>
        <w:right w:val="none" w:sz="0" w:space="0" w:color="auto"/>
      </w:divBdr>
    </w:div>
    <w:div w:id="1674410561">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1820879658">
      <w:bodyDiv w:val="1"/>
      <w:marLeft w:val="0"/>
      <w:marRight w:val="0"/>
      <w:marTop w:val="0"/>
      <w:marBottom w:val="0"/>
      <w:divBdr>
        <w:top w:val="none" w:sz="0" w:space="0" w:color="auto"/>
        <w:left w:val="none" w:sz="0" w:space="0" w:color="auto"/>
        <w:bottom w:val="none" w:sz="0" w:space="0" w:color="auto"/>
        <w:right w:val="none" w:sz="0" w:space="0" w:color="auto"/>
      </w:divBdr>
    </w:div>
    <w:div w:id="1829976105">
      <w:bodyDiv w:val="1"/>
      <w:marLeft w:val="0"/>
      <w:marRight w:val="0"/>
      <w:marTop w:val="0"/>
      <w:marBottom w:val="0"/>
      <w:divBdr>
        <w:top w:val="none" w:sz="0" w:space="0" w:color="auto"/>
        <w:left w:val="none" w:sz="0" w:space="0" w:color="auto"/>
        <w:bottom w:val="none" w:sz="0" w:space="0" w:color="auto"/>
        <w:right w:val="none" w:sz="0" w:space="0" w:color="auto"/>
      </w:divBdr>
    </w:div>
    <w:div w:id="1857621644">
      <w:bodyDiv w:val="1"/>
      <w:marLeft w:val="0"/>
      <w:marRight w:val="0"/>
      <w:marTop w:val="0"/>
      <w:marBottom w:val="0"/>
      <w:divBdr>
        <w:top w:val="none" w:sz="0" w:space="0" w:color="auto"/>
        <w:left w:val="none" w:sz="0" w:space="0" w:color="auto"/>
        <w:bottom w:val="none" w:sz="0" w:space="0" w:color="auto"/>
        <w:right w:val="none" w:sz="0" w:space="0" w:color="auto"/>
      </w:divBdr>
    </w:div>
    <w:div w:id="1938515457">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 w:id="21056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2.jpg"/><Relationship Id="rId117" Type="http://schemas.openxmlformats.org/officeDocument/2006/relationships/header" Target="header34.xml"/><Relationship Id="rId21" Type="http://schemas.openxmlformats.org/officeDocument/2006/relationships/header" Target="header5.xml"/><Relationship Id="rId42" Type="http://schemas.openxmlformats.org/officeDocument/2006/relationships/footer" Target="footer14.xml"/><Relationship Id="rId47" Type="http://schemas.openxmlformats.org/officeDocument/2006/relationships/hyperlink" Target="http://appsso.eurostat.ec.europa.eu/nui/show.do?query=BOOKMARK_DS-591613_QID_-147FA462_UID_-3F171EB0&amp;layout=TIME,C,X,0;GEO,L,Y,0;SEX,L,Z,0;AGE,L,Z,1;UNIT,L,Z,2;ISCED11,L,Z,3;INDICATORS,C,Z,4;&amp;zSelection=DS-591613SEX,T;DS-591613UNIT,PC;DS-591613ISCED11,ED5-8;DS-591613INDICATORS,OBS_FLAG;DS-591613AGE,Y30-34;&amp;rankName1=ISCED11_1_2_-1_2&amp;rankName2=UNIT_1_2_-1_2&amp;rankName3=AGE_1_2_-1_2&amp;rankName4=INDICATORS_1_2_-1_2&amp;rankName5=SEX_1_2_-1_2&amp;rankName6=TIME_1_0_0_0&amp;rankName7=GEO_1_2_0_1&amp;sortC=ASC_-1_FIRST&amp;rStp=&amp;cStp=&amp;rDCh=&amp;cDCh=&amp;rDM=true&amp;cDM=true&amp;footnes=false&amp;empty=false&amp;wai=false&amp;time_mode=ROLLING&amp;time_most_recent=false&amp;lang=EN&amp;cfo=%23%23%23%2C%23%23%23.%23%23%23" TargetMode="External"/><Relationship Id="rId63" Type="http://schemas.openxmlformats.org/officeDocument/2006/relationships/hyperlink" Target="http://appsso.eurostat.ec.europa.eu/nui/show.do?query=BOOKMARK_DS-053416_QID_762482D9_UID_-3F171EB0&amp;layout=TIME,C,X,0;GEO,L,Y,0;INDIC_IL,L,Z,0;AGE,L,Z,1;SEX,L,Z,2;INDICATORS,C,Z,3;&amp;zSelection=DS-053416INDIC_IL,S80_S20;DS-053416SEX,T;DS-053416INDICATORS,OBS_FLAG;DS-053416AGE,TOTAL;&amp;rankName1=INDIC-IL_1_2_-1_2&amp;rankName2=AGE_1_2_-1_2&amp;rankName3=INDICATORS_1_2_-1_2&amp;rankName4=SEX_1_2_-1_2&amp;rankName5=TIME_1_0_0_0&amp;rankName6=GEO_1_2_0_1&amp;sortC=ASC_-1_FIRST&amp;rStp=&amp;cStp=&amp;rDCh=&amp;cDCh=&amp;rDM=true&amp;cDM=true&amp;footnes=false&amp;empty=false&amp;wai=false&amp;time_mode=ROLLING&amp;time_most_recent=false&amp;lang=EN&amp;cfo=%23%23%23%2C%23%23%23.%23%23%23" TargetMode="External"/><Relationship Id="rId68" Type="http://schemas.openxmlformats.org/officeDocument/2006/relationships/hyperlink" Target="http://ec.europa.eu/trade/policy/countries-and-regions/negotiations-and-agreements/" TargetMode="External"/><Relationship Id="rId84" Type="http://schemas.openxmlformats.org/officeDocument/2006/relationships/header" Target="header20.xml"/><Relationship Id="rId89" Type="http://schemas.openxmlformats.org/officeDocument/2006/relationships/header" Target="header22.xml"/><Relationship Id="rId112" Type="http://schemas.openxmlformats.org/officeDocument/2006/relationships/header" Target="header32.xml"/><Relationship Id="rId133" Type="http://schemas.openxmlformats.org/officeDocument/2006/relationships/footer" Target="footer41.xml"/><Relationship Id="rId138" Type="http://schemas.openxmlformats.org/officeDocument/2006/relationships/footer" Target="footer43.xml"/><Relationship Id="rId154" Type="http://schemas.openxmlformats.org/officeDocument/2006/relationships/header" Target="header52.xml"/><Relationship Id="rId159" Type="http://schemas.openxmlformats.org/officeDocument/2006/relationships/footer" Target="footer54.xml"/><Relationship Id="rId175" Type="http://schemas.openxmlformats.org/officeDocument/2006/relationships/footer" Target="footer62.xml"/><Relationship Id="rId170" Type="http://schemas.openxmlformats.org/officeDocument/2006/relationships/header" Target="header60.xml"/><Relationship Id="rId16" Type="http://schemas.openxmlformats.org/officeDocument/2006/relationships/footer" Target="footer1.xml"/><Relationship Id="rId107" Type="http://schemas.openxmlformats.org/officeDocument/2006/relationships/footer" Target="footer30.xml"/><Relationship Id="rId11" Type="http://schemas.openxmlformats.org/officeDocument/2006/relationships/footnotes" Target="footnotes.xml"/><Relationship Id="rId32" Type="http://schemas.openxmlformats.org/officeDocument/2006/relationships/footer" Target="footer9.xml"/><Relationship Id="rId37" Type="http://schemas.openxmlformats.org/officeDocument/2006/relationships/header" Target="header12.xml"/><Relationship Id="rId53" Type="http://schemas.openxmlformats.org/officeDocument/2006/relationships/hyperlink" Target="http://appsso.eurostat.ec.europa.eu/nui/show.do?query=BOOKMARK_DS-402882_QID_-7799F508_UID_-3F171EB0&amp;layout=TIME,C,X,0;GEO,L,Y,0;UNIT,L,Z,0;INDICATORS,C,Z,1;&amp;zSelection=DS-402882UNIT,EUR_KG_CLV10;DS-402882INDICATORS,OBS_FLAG;&amp;rankName1=UNIT_1_2_-1_2&amp;rankName2=INDICATORS_1_2_-1_2&amp;rankName3=TIME_1_0_0_0&amp;rankName4=GEO_1_0_0_1&amp;sortR=ASC_-1_FIRST&amp;sortC=ASC_-1_FIRST&amp;rStp=&amp;cStp=&amp;rDCh=&amp;cDCh=&amp;rDM=true&amp;cDM=true&amp;footnes=false&amp;empty=false&amp;wai=false&amp;time_mode=ROLLING&amp;time_most_recent=false&amp;lang=EN&amp;cfo=%23%23%23%2C%23%23%23.%23%23%23" TargetMode="External"/><Relationship Id="rId58" Type="http://schemas.openxmlformats.org/officeDocument/2006/relationships/hyperlink" Target="http://appsso.eurostat.ec.europa.eu/nui/show.do?query=BOOKMARK_DS-406765_QID_-23AF4F55_UID_-3F171EB0&amp;layout=TIME,C,X,0;GEO,L,Y,0;UNIT,L,Z,0;NACE_R2,L,Z,1;NA_ITEM,L,Z,2;INDICATORS,C,Z,3;&amp;zSelection=DS-406765NA_ITEM,B1G;DS-406765NACE_R2,B-E;DS-406765UNIT,PC_GDP;DS-406765INDICATORS,OBS_FLAG;&amp;rankName1=UNIT_1_2_-1_2&amp;rankName2=INDICATORS_1_2_-1_2&amp;rankName3=NA-ITEM_1_2_-1_2&amp;rankName4=NACE-R2_1_2_-1_2&amp;rankName5=TIME_1_0_0_0&amp;rankName6=GEO_1_2_0_1&amp;sortC=ASC_-1_FIRST&amp;rStp=&amp;cStp=&amp;rDCh=&amp;cDCh=&amp;rDM=true&amp;cDM=true&amp;footnes=false&amp;empty=false&amp;wai=false&amp;time_mode=ROLLING&amp;time_most_recent=false&amp;lang=EN&amp;cfo=%23%23%23%2C%23%23%23.%23%23%23" TargetMode="External"/><Relationship Id="rId74" Type="http://schemas.openxmlformats.org/officeDocument/2006/relationships/hyperlink" Target="http://appsso.eurostat.ec.europa.eu/nui/show.do?query=BOOKMARK_DS-055846_QID_-797B2D34_UID_-3F171EB0&amp;layout=TIME,C,X,0;CITIZEN,C,Y,0;GEO,C,Y,1;SEX,C,Z,0;AGE,C,Z,1;UNIT,C,Z,2;INDICATORS,C,Z,3;&amp;zSelection=DS-055846SEX,T;DS-055846AGE,Y20-64;DS-055846INDICATORS,OBS_FLAG;DS-055846UNIT,PC;&amp;rankName1=UNIT_1_2_-1_2&amp;rankName2=AGE_1_2_-1_2&amp;rankName3=INDICATORS_1_2_-1_2&amp;rankName4=SEX_1_2_-1_2&amp;rankName5=TIME_1_0_0_0&amp;rankName6=CITIZEN_1_2_0_1&amp;rankName7=GEO_1_0_1_1&amp;sortC=ASC_-1_FIRST&amp;rStp=&amp;cStp=&amp;rDCh=&amp;cDCh=&amp;rDM=true&amp;cDM=true&amp;footnes=false&amp;empty=false&amp;wai=false&amp;time_mode=ROLLING&amp;time_most_recent=false&amp;lang=EN&amp;cfo=%23%23%23%2C%23%23%23.%23%23%23" TargetMode="External"/><Relationship Id="rId79" Type="http://schemas.openxmlformats.org/officeDocument/2006/relationships/footer" Target="footer17.xml"/><Relationship Id="rId102" Type="http://schemas.openxmlformats.org/officeDocument/2006/relationships/header" Target="header28.xml"/><Relationship Id="rId123" Type="http://schemas.openxmlformats.org/officeDocument/2006/relationships/header" Target="header37.xml"/><Relationship Id="rId128" Type="http://schemas.openxmlformats.org/officeDocument/2006/relationships/footer" Target="footer39.xml"/><Relationship Id="rId144" Type="http://schemas.openxmlformats.org/officeDocument/2006/relationships/footer" Target="footer46.xml"/><Relationship Id="rId149" Type="http://schemas.openxmlformats.org/officeDocument/2006/relationships/header" Target="header50.xml"/><Relationship Id="rId5" Type="http://schemas.openxmlformats.org/officeDocument/2006/relationships/customXml" Target="../customXml/item4.xml"/><Relationship Id="rId90" Type="http://schemas.openxmlformats.org/officeDocument/2006/relationships/header" Target="header23.xml"/><Relationship Id="rId95" Type="http://schemas.openxmlformats.org/officeDocument/2006/relationships/header" Target="header25.xml"/><Relationship Id="rId160" Type="http://schemas.openxmlformats.org/officeDocument/2006/relationships/header" Target="header55.xml"/><Relationship Id="rId165" Type="http://schemas.openxmlformats.org/officeDocument/2006/relationships/footer" Target="footer57.xml"/><Relationship Id="rId181" Type="http://schemas.openxmlformats.org/officeDocument/2006/relationships/footer" Target="footer65.xml"/><Relationship Id="rId186" Type="http://schemas.microsoft.com/office/2011/relationships/people" Target="people.xml"/><Relationship Id="rId22" Type="http://schemas.openxmlformats.org/officeDocument/2006/relationships/footer" Target="footer4.xml"/><Relationship Id="rId27" Type="http://schemas.openxmlformats.org/officeDocument/2006/relationships/header" Target="header7.xml"/><Relationship Id="rId43" Type="http://schemas.openxmlformats.org/officeDocument/2006/relationships/header" Target="header15.xml"/><Relationship Id="rId48" Type="http://schemas.openxmlformats.org/officeDocument/2006/relationships/hyperlink" Target="http://appsso.eurostat.ec.europa.eu/nui/show.do?query=BOOKMARK_DS-108805_QID_771F203C_UID_-3F171EB0&amp;layout=TIME,C,X,0;GEO,L,Y,0;SEX,L,Z,0;WSTATUS,L,Z,1;UNIT,L,Z,2;AGE,L,Z,3;INDICATORS,C,Z,4;&amp;zSelection=DS-108805WSTATUS,POP;DS-108805SEX,T;DS-108805UNIT,PC;DS-108805INDICATORS,OBS_FLAG;DS-108805AGE,Y18-24;&amp;rankName1=WSTATUS_1_2_-1_2&amp;rankName2=UNIT_1_2_-1_2&amp;rankName3=AGE_1_2_-1_2&amp;rankName4=INDICATORS_1_2_-1_2&amp;rankName5=SEX_1_2_-1_2&amp;rankName6=TIME_1_0_0_0&amp;rankName7=GEO_1_2_0_1&amp;sortC=ASC_-1_FIRST&amp;rStp=&amp;cStp=&amp;rDCh=&amp;cDCh=&amp;rDM=true&amp;cDM=true&amp;footnes=false&amp;empty=false&amp;wai=false&amp;time_mode=ROLLING&amp;time_most_recent=false&amp;lang=EN&amp;cfo=%23%23%23%2C%23%23%23.%23%23%23" TargetMode="External"/><Relationship Id="rId64" Type="http://schemas.openxmlformats.org/officeDocument/2006/relationships/hyperlink" Target="http://ec.europa.eu/trade/policy/countries-and-regions/negotiations-and-agreements/" TargetMode="External"/><Relationship Id="rId69" Type="http://schemas.openxmlformats.org/officeDocument/2006/relationships/hyperlink" Target="http://appsso.eurostat.ec.europa.eu/nui/show.do?query=BOOKMARK_DS-057360_QID_7953B3CB_UID_-3F171EB0&amp;layout=TIME,C,X,0;GEO,L,Y,0;UNIT,L,Z,0;NACE_R2,L,Z,1;INDICATORS,C,Z,2;&amp;zSelection=DS-057360INDICATORS,OBS_FLAG;DS-057360UNIT,PC;DS-057360NACE_R2,B-S_X_O;&amp;rankName1=TIME_1_0_0_0&amp;rankName2=UNIT_1_2_-1_2&amp;rankName3=GEO_1_2_0_1&amp;rankName4=INDICATORS_1_2_-1_2&amp;rankName5=NACE-R2_1_2_-1_2&amp;sortR=ASC_-1_FIRST&amp;pprRK=FIRST&amp;pprSO=PROTOCOL&amp;ppcRK=FIRST&amp;ppcSO=ASC&amp;sortC=ASC_-1_FIRST&amp;rStp=&amp;cStp=&amp;rDCh=&amp;cDCh=&amp;rDM=true&amp;cDM=true&amp;footnes=false&amp;empty=false&amp;wai=false&amp;time_mode=ROLLING&amp;time_most_recent=false&amp;lang=EN&amp;cfo=%23%23%23%2C%23%23%23.%23%23%23" TargetMode="External"/><Relationship Id="rId113" Type="http://schemas.openxmlformats.org/officeDocument/2006/relationships/footer" Target="footer31.xml"/><Relationship Id="rId118" Type="http://schemas.openxmlformats.org/officeDocument/2006/relationships/header" Target="header35.xml"/><Relationship Id="rId134" Type="http://schemas.openxmlformats.org/officeDocument/2006/relationships/header" Target="header42.xml"/><Relationship Id="rId139" Type="http://schemas.openxmlformats.org/officeDocument/2006/relationships/footer" Target="footer44.xml"/><Relationship Id="rId80" Type="http://schemas.openxmlformats.org/officeDocument/2006/relationships/header" Target="header18.xml"/><Relationship Id="rId85" Type="http://schemas.openxmlformats.org/officeDocument/2006/relationships/footer" Target="footer19.xml"/><Relationship Id="rId150" Type="http://schemas.openxmlformats.org/officeDocument/2006/relationships/footer" Target="footer49.xml"/><Relationship Id="rId155" Type="http://schemas.openxmlformats.org/officeDocument/2006/relationships/header" Target="header53.xml"/><Relationship Id="rId171" Type="http://schemas.openxmlformats.org/officeDocument/2006/relationships/footer" Target="footer60.xml"/><Relationship Id="rId176" Type="http://schemas.openxmlformats.org/officeDocument/2006/relationships/header" Target="header63.xm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header" Target="header10.xml"/><Relationship Id="rId38" Type="http://schemas.openxmlformats.org/officeDocument/2006/relationships/footer" Target="footer12.xml"/><Relationship Id="rId59" Type="http://schemas.openxmlformats.org/officeDocument/2006/relationships/hyperlink" Target="http://appsso.eurostat.ec.europa.eu/nui/show.do?query=BOOKMARK_DS-424374_QID_152B08F2_UID_-3F171EB0&amp;layout=TIME,C,X,0;BOP_ITEM,L,Y,0;UNIT,L,Z,0;S_ADJ,L,Z,1;STK_FLOW,L,Z,2;GEO,L,Z,3;PARTNER,L,Z,4;INDICATORS,C,Z,5;&amp;zSelection=DS-424374INDICATORS,OBS_FLAG;DS-424374PARTNER,EU28;DS-424374S_ADJ,NSA;DS-424374GEO,EU28;DS-424374UNIT,PC_GDP;DS-424374STK_FLOW,CRE_DEB_AVG;&amp;rankName1=STK-FLOW_1_2_-1_2&amp;rankName2=UNIT_1_2_-1_2&amp;rankName3=INDICATORS_1_2_-1_2&amp;rankName4=S-ADJ_1_2_-1_2&amp;rankName5=GEO_1_2_1_1&amp;rankName6=PARTNER_1_2_1_1&amp;rankName7=TIME_1_0_0_0&amp;rankName8=BOP-ITEM_1_2_0_1&amp;ppcRK=FIRST&amp;ppcSO=ASC&amp;sortC=ASC_-1_FIRST&amp;rStp=&amp;cStp=&amp;rDCh=&amp;cDCh=&amp;rDM=true&amp;cDM=true&amp;footnes=false&amp;empty=false&amp;wai=false&amp;time_mode=ROLLING&amp;time_most_recent=false&amp;lang=EN&amp;cfo=%23%23%23%2C%23%23%23.%23%23%23" TargetMode="External"/><Relationship Id="rId103" Type="http://schemas.openxmlformats.org/officeDocument/2006/relationships/header" Target="header29.xml"/><Relationship Id="rId108" Type="http://schemas.openxmlformats.org/officeDocument/2006/relationships/chart" Target="charts/chart2.xml"/><Relationship Id="rId124" Type="http://schemas.openxmlformats.org/officeDocument/2006/relationships/header" Target="header38.xml"/><Relationship Id="rId129" Type="http://schemas.openxmlformats.org/officeDocument/2006/relationships/chart" Target="charts/chart5.xml"/><Relationship Id="rId54" Type="http://schemas.openxmlformats.org/officeDocument/2006/relationships/hyperlink" Target="https://ec.europa.eu/digital-single-market/en/desi" TargetMode="External"/><Relationship Id="rId70" Type="http://schemas.openxmlformats.org/officeDocument/2006/relationships/hyperlink" Target="http://appsso.eurostat.ec.europa.eu/nui/show.do?query=BOOKMARK_DS-062355_QID_18C64A70_UID_-3F171EB0&amp;layout=TIME,C,X,0;GEO,L,Y,0;UNIT,L,Z,0;CITIZEN,L,Z,1;AGE,L,Z,2;SEX,L,Z,3;INDICATORS,C,Z,4;&amp;zSelection=DS-062355UNIT,PER;DS-062355INDICATORS,OBS_FLAG;DS-062355SEX,T;DS-062355AGE,TOTAL;DS-062355CITIZEN,TOTAL;&amp;rankName1=UNIT_1_2_-1_2&amp;rankName2=AGE_1_2_-1_2&amp;rankName3=CITIZEN_1_2_-1_2&amp;rankName4=INDICATORS_1_2_-1_2&amp;rankName5=SEX_1_2_-1_2&amp;rankName6=TIME_1_0_0_0&amp;rankName7=GEO_1_2_0_1&amp;ppcRK=FIRST&amp;ppcSO=ASC&amp;sortC=ASC_-1_FIRST&amp;rStp=&amp;cStp=&amp;rDCh=&amp;cDCh=&amp;rDM=true&amp;cDM=true&amp;footnes=false&amp;empty=false&amp;wai=false&amp;time_mode=ROLLING&amp;time_most_recent=false&amp;lang=EN&amp;cfo=%23%23%23%2C%23%23%23.%23%23%23" TargetMode="External"/><Relationship Id="rId75" Type="http://schemas.openxmlformats.org/officeDocument/2006/relationships/hyperlink" Target="http://appsso.eurostat.ec.europa.eu/nui/show.do?query=BOOKMARK_DS-053404_QID_6C12E3EA_UID_-3F171EB0&amp;layout=TIME,C,X,0;GEO,L,Y,0;NA_ITEM,L,Z,0;PPP_CAT,L,Z,1;INDICATORS,C,Z,2;&amp;zSelection=DS-053404PPP_CAT,GDP;DS-053404INDICATORS,OBS_FLAG;DS-053404NA_ITEM,VI_PPS_EU28_HAB;&amp;rankName1=PPP-CAT_1_2_-1_2&amp;rankName2=INDICATORS_1_2_-1_2&amp;rankName3=NA-ITEM_1_2_-1_2&amp;rankName4=TIME_1_0_0_0&amp;rankName5=GEO_1_2_0_1&amp;sortC=ASC_-1_FIRST&amp;rStp=&amp;cStp=&amp;rDCh=&amp;cDCh=&amp;rDM=true&amp;cDM=true&amp;footnes=false&amp;empty=false&amp;wai=false&amp;time_mode=ROLLING&amp;time_most_recent=false&amp;lang=EN&amp;cfo=%23%23%23%2C%23%23%23.%23%23%23" TargetMode="External"/><Relationship Id="rId91" Type="http://schemas.openxmlformats.org/officeDocument/2006/relationships/footer" Target="footer22.xml"/><Relationship Id="rId96" Type="http://schemas.openxmlformats.org/officeDocument/2006/relationships/header" Target="header26.xml"/><Relationship Id="rId140" Type="http://schemas.openxmlformats.org/officeDocument/2006/relationships/header" Target="header45.xml"/><Relationship Id="rId145" Type="http://schemas.openxmlformats.org/officeDocument/2006/relationships/footer" Target="footer47.xml"/><Relationship Id="rId161" Type="http://schemas.openxmlformats.org/officeDocument/2006/relationships/header" Target="header56.xml"/><Relationship Id="rId166" Type="http://schemas.openxmlformats.org/officeDocument/2006/relationships/header" Target="header58.xml"/><Relationship Id="rId182" Type="http://schemas.openxmlformats.org/officeDocument/2006/relationships/header" Target="header66.xm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footer" Target="footer5.xml"/><Relationship Id="rId28" Type="http://schemas.openxmlformats.org/officeDocument/2006/relationships/header" Target="header8.xml"/><Relationship Id="rId49" Type="http://schemas.openxmlformats.org/officeDocument/2006/relationships/hyperlink" Target="http://appsso.eurostat.ec.europa.eu/nui/show.do?query=BOOKMARK_DS-127829_QID_1973570_UID_-3F171EB0&amp;layout=TIME,C,X,0;GEO,L,Y,0;UNIT,L,Z,0;AGE,L,Z,1;SEX,L,Z,2;INDICATORS,C,Z,3;&amp;zSelection=DS-127829UNIT,THS_PER;DS-127829AGE,TOTAL;DS-127829SEX,T;DS-127829INDICATORS,OBS_FLAG;&amp;rankName1=UNIT_1_2_-1_2&amp;rankName2=AGE_1_2_-1_2&amp;rankName3=INDICATORS_1_2_-1_2&amp;rankName4=SEX_1_2_-1_2&amp;rankName5=TIME_1_0_0_0&amp;rankName6=GEO_1_2_0_1&amp;sortC=ASC_-1_FIRST&amp;rStp=&amp;cStp=&amp;rDCh=&amp;cDCh=&amp;rDM=true&amp;cDM=true&amp;footnes=false&amp;empty=false&amp;wai=false&amp;time_mode=ROLLING&amp;time_most_recent=false&amp;lang=EN&amp;cfo=%23%23%23%2C%23%23%23.%23%23%23" TargetMode="External"/><Relationship Id="rId114" Type="http://schemas.openxmlformats.org/officeDocument/2006/relationships/footer" Target="footer32.xml"/><Relationship Id="rId119" Type="http://schemas.openxmlformats.org/officeDocument/2006/relationships/footer" Target="footer34.xml"/><Relationship Id="rId44" Type="http://schemas.openxmlformats.org/officeDocument/2006/relationships/footer" Target="footer15.xml"/><Relationship Id="rId60" Type="http://schemas.openxmlformats.org/officeDocument/2006/relationships/hyperlink" Target="http://appsso.eurostat.ec.europa.eu/nui/show.do?query=BOOKMARK_DS-424374_QID_152B08F2_UID_-3F171EB0&amp;layout=TIME,C,X,0;BOP_ITEM,L,Y,0;UNIT,L,Z,0;S_ADJ,L,Z,1;STK_FLOW,L,Z,2;GEO,L,Z,3;PARTNER,L,Z,4;INDICATORS,C,Z,5;&amp;zSelection=DS-424374INDICATORS,OBS_FLAG;DS-424374PARTNER,EU28;DS-424374S_ADJ,NSA;DS-424374GEO,EU28;DS-424374UNIT,PC_GDP;DS-424374STK_FLOW,CRE_DEB_AVG;&amp;rankName1=STK-FLOW_1_2_-1_2&amp;rankName2=UNIT_1_2_-1_2&amp;rankName3=INDICATORS_1_2_-1_2&amp;rankName4=S-ADJ_1_2_-1_2&amp;rankName5=GEO_1_2_1_1&amp;rankName6=PARTNER_1_2_1_1&amp;rankName7=TIME_1_0_0_0&amp;rankName8=BOP-ITEM_1_2_0_1&amp;ppcRK=FIRST&amp;ppcSO=ASC&amp;sortC=ASC_-1_FIRST&amp;rStp=&amp;cStp=&amp;rDCh=&amp;cDCh=&amp;rDM=true&amp;cDM=true&amp;footnes=false&amp;empty=false&amp;wai=false&amp;time_mode=ROLLING&amp;time_most_recent=false&amp;lang=EN&amp;cfo=%23%23%23%2C%23%23%23.%23%23%23" TargetMode="External"/><Relationship Id="rId65" Type="http://schemas.openxmlformats.org/officeDocument/2006/relationships/hyperlink" Target="http://appsso.eurostat.ec.europa.eu/nui/show.do?query=BOOKMARK_DS-063317_QID_-36F9A406_UID_-3F171EB0&amp;layout=TIME,C,X,0;PARTNER,L,Y,0;INDIC_ET,L,Y,1;GEO,L,Z,0;SITC06,L,Z,1;INDICATORS,C,Z,2;&amp;zSelection=DS-063317INDICATORS,OBS_FLAG;DS-063317SITC06,TOTAL;DS-063317GEO,EU28;&amp;rankName1=SITC06_1_2_-1_2&amp;rankName2=INDICATORS_1_2_-1_2&amp;rankName3=GEO_1_2_0_1&amp;rankName4=TIME_1_0_0_0&amp;rankName5=PARTNER_1_2_0_1&amp;rankName6=INDIC-ET_1_2_1_1&amp;sortC=ASC_-1_FIRST&amp;rStp=&amp;cStp=&amp;rDCh=&amp;cDCh=&amp;rDM=true&amp;cDM=true&amp;footnes=false&amp;empty=false&amp;wai=false&amp;time_mode=ROLLING&amp;time_most_recent=false&amp;lang=EN&amp;cfo=%23%23%23%2C%23%23%23.%23%23%23" TargetMode="External"/><Relationship Id="rId81" Type="http://schemas.openxmlformats.org/officeDocument/2006/relationships/footer" Target="footer18.xml"/><Relationship Id="rId86" Type="http://schemas.openxmlformats.org/officeDocument/2006/relationships/footer" Target="footer20.xml"/><Relationship Id="rId130" Type="http://schemas.openxmlformats.org/officeDocument/2006/relationships/header" Target="header40.xml"/><Relationship Id="rId135" Type="http://schemas.openxmlformats.org/officeDocument/2006/relationships/footer" Target="footer42.xml"/><Relationship Id="rId151" Type="http://schemas.openxmlformats.org/officeDocument/2006/relationships/footer" Target="footer50.xml"/><Relationship Id="rId156" Type="http://schemas.openxmlformats.org/officeDocument/2006/relationships/footer" Target="footer52.xml"/><Relationship Id="rId177" Type="http://schemas.openxmlformats.org/officeDocument/2006/relationships/footer" Target="footer63.xml"/><Relationship Id="rId4" Type="http://schemas.openxmlformats.org/officeDocument/2006/relationships/customXml" Target="../customXml/item3.xml"/><Relationship Id="rId9" Type="http://schemas.openxmlformats.org/officeDocument/2006/relationships/settings" Target="settings.xml"/><Relationship Id="rId172" Type="http://schemas.openxmlformats.org/officeDocument/2006/relationships/header" Target="header61.xml"/><Relationship Id="rId180" Type="http://schemas.openxmlformats.org/officeDocument/2006/relationships/footer" Target="footer64.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header" Target="header13.xml"/><Relationship Id="rId109" Type="http://schemas.openxmlformats.org/officeDocument/2006/relationships/chart" Target="charts/chart3.xml"/><Relationship Id="rId34" Type="http://schemas.openxmlformats.org/officeDocument/2006/relationships/header" Target="header11.xml"/><Relationship Id="rId50" Type="http://schemas.openxmlformats.org/officeDocument/2006/relationships/hyperlink" Target="http://appsso.eurostat.ec.europa.eu/nui/show.do?query=BOOKMARK_DS-406763_QID_6882F39A_UID_-3F171EB0&amp;layout=TIME,C,X,0;GEO,L,Y,0;UNIT,L,Z,0;NA_ITEM,L,Z,1;INDICATORS,C,Z,2;&amp;zSelection=DS-406763UNIT,CLV_PCH_PRE;DS-406763INDICATORS,OBS_FLAG;DS-406763NA_ITEM,B1GQ;&amp;rankName1=UNIT_1_2_-1_2&amp;rankName2=INDICATORS_1_2_-1_2&amp;rankName3=NA-ITEM_1_2_-1_2&amp;rankName4=TIME_1_0_0_0&amp;rankName5=GEO_1_2_0_1&amp;sortC=ASC_-1_FIRST&amp;rStp=&amp;cStp=&amp;rDCh=&amp;cDCh=&amp;rDM=true&amp;cDM=true&amp;footnes=false&amp;empty=false&amp;wai=false&amp;time_mode=ROLLING&amp;time_most_recent=false&amp;lang=EN&amp;cfo=%23%23%23%2C%23%23%23.%23%23%23" TargetMode="External"/><Relationship Id="rId55" Type="http://schemas.openxmlformats.org/officeDocument/2006/relationships/hyperlink" Target="http://appsso.eurostat.ec.europa.eu/nui/show.do?query=BOOKMARK_DS-253950_QID_-4C60BF2F_UID_-3F171EB0&amp;layout=TIME,C,X,0;GEO,L,Y,0;UNIT,L,Z,0;INDIC_EN,L,Z,1;INDICATORS,C,Z,2;&amp;zSelection=DS-253950UNIT,PC;DS-253950INDICATORS,OBS_FLAG;DS-253950INDIC_EN,119800;&amp;rankName1=UNIT_1_2_-1_2&amp;rankName2=INDICATORS_1_2_-1_2&amp;rankName3=INDIC-EN_1_2_-1_2&amp;rankName4=TIME_1_0_0_0&amp;rankName5=GEO_1_2_0_1&amp;sortC=ASC_-1_FIRST&amp;rStp=&amp;cStp=&amp;rDCh=&amp;cDCh=&amp;rDM=true&amp;cDM=true&amp;footnes=false&amp;empty=false&amp;wai=false&amp;time_mode=ROLLING&amp;time_most_recent=false&amp;lang=EN&amp;cfo=%23%23%23%2C%23%23%23.%23%23%23" TargetMode="External"/><Relationship Id="rId76" Type="http://schemas.openxmlformats.org/officeDocument/2006/relationships/header" Target="header16.xml"/><Relationship Id="rId97" Type="http://schemas.openxmlformats.org/officeDocument/2006/relationships/footer" Target="footer25.xml"/><Relationship Id="rId104" Type="http://schemas.openxmlformats.org/officeDocument/2006/relationships/footer" Target="footer28.xml"/><Relationship Id="rId120" Type="http://schemas.openxmlformats.org/officeDocument/2006/relationships/footer" Target="footer35.xml"/><Relationship Id="rId125" Type="http://schemas.openxmlformats.org/officeDocument/2006/relationships/footer" Target="footer37.xml"/><Relationship Id="rId141" Type="http://schemas.openxmlformats.org/officeDocument/2006/relationships/footer" Target="footer45.xml"/><Relationship Id="rId146" Type="http://schemas.openxmlformats.org/officeDocument/2006/relationships/header" Target="header48.xml"/><Relationship Id="rId167" Type="http://schemas.openxmlformats.org/officeDocument/2006/relationships/header" Target="header59.xml"/><Relationship Id="rId7" Type="http://schemas.openxmlformats.org/officeDocument/2006/relationships/styles" Target="styles.xml"/><Relationship Id="rId71" Type="http://schemas.openxmlformats.org/officeDocument/2006/relationships/hyperlink" Target="http://appsso.eurostat.ec.europa.eu/nui/show.do?query=BOOKMARK_DS-062361_QID_-83C81BD_UID_-3F171EB0&amp;layout=TIME,C,X,0;GEO,L,Y,0;CITIZEN,L,Z,0;INDIC_MG,L,Z,1;UNIT,L,Z,2;INDICATORS,C,Z,3;&amp;zSelection=DS-062361UNIT,PER;DS-062361CITIZEN,TOTAL;DS-062361INDIC_MG,TOT_RET;DS-062361INDICATORS,OBS_FLAG;&amp;rankName1=INDIC-MG_1_2_-1_2&amp;rankName2=UNIT_1_2_-1_2&amp;rankName3=CITIZEN_1_2_-1_2&amp;rankName4=INDICATORS_1_2_-1_2&amp;rankName5=TIME_1_0_0_0&amp;rankName6=GEO_1_2_0_1&amp;ppcRK=FIRST&amp;ppcSO=ASC&amp;sortC=ASC_-1_FIRST&amp;rStp=&amp;cStp=&amp;rDCh=&amp;cDCh=&amp;rDM=true&amp;cDM=true&amp;footnes=false&amp;empty=false&amp;wai=false&amp;time_mode=ROLLING&amp;time_most_recent=false&amp;lang=EN&amp;cfo=%23%23%23%2C%23%23%23.%23%23%23" TargetMode="External"/><Relationship Id="rId92" Type="http://schemas.openxmlformats.org/officeDocument/2006/relationships/footer" Target="footer23.xml"/><Relationship Id="rId162" Type="http://schemas.openxmlformats.org/officeDocument/2006/relationships/footer" Target="footer55.xml"/><Relationship Id="rId183" Type="http://schemas.openxmlformats.org/officeDocument/2006/relationships/footer" Target="footer66.xml"/><Relationship Id="rId2" Type="http://schemas.openxmlformats.org/officeDocument/2006/relationships/customXml" Target="../customXml/item1.xml"/><Relationship Id="rId29" Type="http://schemas.openxmlformats.org/officeDocument/2006/relationships/footer" Target="footer7.xml"/><Relationship Id="rId24" Type="http://schemas.openxmlformats.org/officeDocument/2006/relationships/header" Target="header6.xml"/><Relationship Id="rId40" Type="http://schemas.openxmlformats.org/officeDocument/2006/relationships/header" Target="header14.xml"/><Relationship Id="rId45" Type="http://schemas.openxmlformats.org/officeDocument/2006/relationships/hyperlink" Target="http://appsso.eurostat.ec.europa.eu/nui/show.do?query=BOOKMARK_DS-053382_QID_-5B5460E7_UID_-3F171EB0&amp;layout=TIME,C,X,0;GEO,L,Y,0;SECTPERF,L,Z,0;UNIT,L,Z,1;INDICATORS,C,Z,2;&amp;zSelection=DS-053382SECTPERF,TOTAL;DS-053382INDICATORS,OBS_FLAG;DS-053382UNIT,PC_GDP;&amp;rankName1=UNIT_1_2_-1_2&amp;rankName2=INDICATORS_1_2_-1_2&amp;rankName3=SECTPERF_1_2_-1_2&amp;rankName4=TIME_1_0_0_0&amp;rankName5=GEO_1_2_0_1&amp;sortC=ASC_-1_FIRST&amp;rStp=&amp;cStp=&amp;rDCh=&amp;cDCh=&amp;rDM=true&amp;cDM=true&amp;footnes=false&amp;empty=false&amp;wai=false&amp;time_mode=ROLLING&amp;time_most_recent=false&amp;lang=EN&amp;cfo=%23%23%23%2C%23%23%23.%23%23%23" TargetMode="External"/><Relationship Id="rId66" Type="http://schemas.openxmlformats.org/officeDocument/2006/relationships/hyperlink" Target="http://appsso.eurostat.ec.europa.eu/nui/show.do?query=BOOKMARK_DS-446943_QID_-13795CFB_UID_-3F171EB0&amp;layout=TIME,C,X,0;STK_FLOW,L,Y,0;PARTNER,L,Y,1;CURRENCY,L,Z,0;BOP_ITEM,L,Z,1;GEO,L,Z,2;INDICATORS,C,Z,3;&amp;zSelection=DS-446943BOP_ITEM,S;DS-446943INDICATORS,OBS_FLAG;DS-446943GEO,EU28;DS-446943CURRENCY,MIO_EUR;&amp;rankName1=BOP-ITEM_1_2_-1_2&amp;rankName2=CURRENCY_1_2_-1_2&amp;rankName3=INDICATORS_1_2_-1_2&amp;rankName4=GEO_1_2_1_1&amp;rankName5=TIME_1_0_0_0&amp;rankName6=STK-FLOW_1_2_0_1&amp;rankName7=PARTNER_1_2_1_1&amp;sortC=ASC_-1_FIRST&amp;rStp=&amp;cStp=&amp;rDCh=&amp;cDCh=&amp;rDM=true&amp;cDM=true&amp;footnes=false&amp;empty=false&amp;wai=false&amp;time_mode=ROLLING&amp;time_most_recent=false&amp;lang=EN&amp;cfo=%23%23%23%2C%23%23%23.%23%23%23" TargetMode="External"/><Relationship Id="rId87" Type="http://schemas.openxmlformats.org/officeDocument/2006/relationships/header" Target="header21.xml"/><Relationship Id="rId110" Type="http://schemas.openxmlformats.org/officeDocument/2006/relationships/chart" Target="charts/chart4.xml"/><Relationship Id="rId115" Type="http://schemas.openxmlformats.org/officeDocument/2006/relationships/header" Target="header33.xml"/><Relationship Id="rId131" Type="http://schemas.openxmlformats.org/officeDocument/2006/relationships/header" Target="header41.xml"/><Relationship Id="rId136" Type="http://schemas.openxmlformats.org/officeDocument/2006/relationships/header" Target="header43.xml"/><Relationship Id="rId157" Type="http://schemas.openxmlformats.org/officeDocument/2006/relationships/footer" Target="footer53.xml"/><Relationship Id="rId178" Type="http://schemas.openxmlformats.org/officeDocument/2006/relationships/header" Target="header64.xml"/><Relationship Id="rId61" Type="http://schemas.openxmlformats.org/officeDocument/2006/relationships/hyperlink" Target="http://appsso.eurostat.ec.europa.eu/nui/show.do?query=BOOKMARK_DS-055860_QID_-2C82DB19_UID_-3F171EB0&amp;layout=TIME,C,X,0;CITIZEN,L,Y,0;SEX,L,Z,0;AGE,L,Z,1;UNIT,L,Z,2;WSTATUS,L,Z,3;GEO,L,Z,4;INDICATORS,C,Z,5;&amp;zSelection=DS-055860AGE,Y15-64;DS-055860WSTATUS,ACT;DS-055860UNIT,THS;DS-055860INDICATORS,OBS_FLAG;DS-055860GEO,EU28;DS-055860SEX,T;&amp;rankName1=WSTATUS_1_2_-1_2&amp;rankName2=UNIT_1_2_-1_2&amp;rankName3=GEO_1_2_-1_2&amp;rankName4=AGE_1_2_-1_2&amp;rankName5=INDICATORS_1_2_-1_2&amp;rankName6=SEX_1_2_-1_2&amp;rankName7=TIME_1_0_0_0&amp;rankName8=CITIZEN_1_0_0_1&amp;sortR=ASC_-1_FIRST&amp;sortC=ASC_-1_FIRST&amp;rStp=&amp;cStp=&amp;rDCh=&amp;cDCh=&amp;rDM=true&amp;cDM=true&amp;footnes=false&amp;empty=false&amp;wai=false&amp;time_mode=ROLLING&amp;time_most_recent=false&amp;lang=EN&amp;cfo=%23%23%23%2C%23%23%23.%23%23%23" TargetMode="External"/><Relationship Id="rId82" Type="http://schemas.openxmlformats.org/officeDocument/2006/relationships/image" Target="media/image3.png"/><Relationship Id="rId152" Type="http://schemas.openxmlformats.org/officeDocument/2006/relationships/header" Target="header51.xml"/><Relationship Id="rId173" Type="http://schemas.openxmlformats.org/officeDocument/2006/relationships/header" Target="header62.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hyperlink" Target="http://appsso.eurostat.ec.europa.eu/nui/show.do?query=BOOKMARK_DS-247504_QID_-6E74944B_UID_-3F171EB0&amp;layout=TIME,C,X,0;GEO,L,Y,0;INDIC_NRG,L,Z,0;UNIT,L,Z,1;INDICATORS,C,Z,2;&amp;zSelection=DS-247504INDIC_NRG,B_100910;DS-247504INDICATORS,OBS_FLAG;DS-247504UNIT,MTOE;&amp;rankName1=UNIT_1_2_-1_2&amp;rankName2=INDICATORS_1_2_-1_2&amp;rankName3=INDIC-NRG_1_2_-1_2&amp;rankName4=TIME_1_0_0_0&amp;rankName5=GEO_1_2_0_1&amp;sortC=ASC_-1_FIRST&amp;rStp=&amp;cStp=&amp;rDCh=&amp;cDCh=&amp;rDM=true&amp;cDM=true&amp;footnes=false&amp;empty=false&amp;wai=false&amp;time_mode=ROLLING&amp;time_most_recent=false&amp;lang=EN&amp;cfo=%23%23%23%2C%23%23%23.%23%23%23" TargetMode="External"/><Relationship Id="rId77" Type="http://schemas.openxmlformats.org/officeDocument/2006/relationships/header" Target="header17.xml"/><Relationship Id="rId100" Type="http://schemas.openxmlformats.org/officeDocument/2006/relationships/footer" Target="footer27.xml"/><Relationship Id="rId105" Type="http://schemas.openxmlformats.org/officeDocument/2006/relationships/footer" Target="footer29.xml"/><Relationship Id="rId126" Type="http://schemas.openxmlformats.org/officeDocument/2006/relationships/footer" Target="footer38.xml"/><Relationship Id="rId147" Type="http://schemas.openxmlformats.org/officeDocument/2006/relationships/footer" Target="footer48.xml"/><Relationship Id="rId168" Type="http://schemas.openxmlformats.org/officeDocument/2006/relationships/footer" Target="footer58.xml"/><Relationship Id="rId8" Type="http://schemas.microsoft.com/office/2007/relationships/stylesWithEffects" Target="stylesWithEffects.xml"/><Relationship Id="rId51" Type="http://schemas.openxmlformats.org/officeDocument/2006/relationships/hyperlink" Target="http://appsso.eurostat.ec.europa.eu/nui/show.do?query=BOOKMARK_DS-406763_QID_6FFD4A76_UID_-3F171EB0&amp;layout=TIME,C,X,0;GEO,L,Y,0;UNIT,L,Z,0;NA_ITEM,L,Z,1;INDICATORS,C,Z,2;&amp;zSelection=DS-406763UNIT,PC_GDP;DS-406763INDICATORS,OBS_FLAG;DS-406763NA_ITEM,P51G;&amp;rankName1=UNIT_1_2_-1_2&amp;rankName2=INDICATORS_1_2_-1_2&amp;rankName3=NA-ITEM_1_2_-1_2&amp;rankName4=TIME_1_0_0_0&amp;rankName5=GEO_1_2_0_1&amp;sortC=ASC_-1_FIRST&amp;rStp=&amp;cStp=&amp;rDCh=&amp;cDCh=&amp;rDM=true&amp;cDM=true&amp;footnes=false&amp;empty=false&amp;wai=false&amp;time_mode=ROLLING&amp;time_most_recent=false&amp;lang=EN&amp;cfo=%23%23%23%2C%23%23%23.%23%23%23" TargetMode="External"/><Relationship Id="rId72" Type="http://schemas.openxmlformats.org/officeDocument/2006/relationships/hyperlink" Target="http://appsso.eurostat.ec.europa.eu/nui/show.do?query=BOOKMARK_DS-062355_QID_18C64A70_UID_-3F171EB0&amp;layout=TIME,C,X,0;GEO,L,Y,0;UNIT,L,Z,0;CITIZEN,L,Z,1;AGE,L,Z,2;SEX,L,Z,3;INDICATORS,C,Z,4;&amp;zSelection=DS-062355UNIT,PER;DS-062355INDICATORS,OBS_FLAG;DS-062355SEX,T;DS-062355AGE,TOTAL;DS-062355CITIZEN,TOTAL;&amp;rankName1=UNIT_1_2_-1_2&amp;rankName2=AGE_1_2_-1_2&amp;rankName3=CITIZEN_1_2_-1_2&amp;rankName4=INDICATORS_1_2_-1_2&amp;rankName5=SEX_1_2_-1_2&amp;rankName6=TIME_1_0_0_0&amp;rankName7=GEO_1_2_0_1&amp;ppcRK=FIRST&amp;ppcSO=ASC&amp;sortC=ASC_-1_FIRST&amp;rStp=&amp;cStp=&amp;rDCh=&amp;cDCh=&amp;rDM=true&amp;cDM=true&amp;footnes=false&amp;empty=false&amp;wai=false&amp;time_mode=ROLLING&amp;time_most_recent=false&amp;lang=EN&amp;cfo=%23%23%23%2C%23%23%23.%23%23%23" TargetMode="External"/><Relationship Id="rId93" Type="http://schemas.openxmlformats.org/officeDocument/2006/relationships/header" Target="header24.xml"/><Relationship Id="rId98" Type="http://schemas.openxmlformats.org/officeDocument/2006/relationships/footer" Target="footer26.xml"/><Relationship Id="rId121" Type="http://schemas.openxmlformats.org/officeDocument/2006/relationships/header" Target="header36.xml"/><Relationship Id="rId142" Type="http://schemas.openxmlformats.org/officeDocument/2006/relationships/header" Target="header46.xml"/><Relationship Id="rId163" Type="http://schemas.openxmlformats.org/officeDocument/2006/relationships/footer" Target="footer56.xml"/><Relationship Id="rId184" Type="http://schemas.openxmlformats.org/officeDocument/2006/relationships/fontTable" Target="fontTable.xml"/><Relationship Id="rId3" Type="http://schemas.openxmlformats.org/officeDocument/2006/relationships/customXml" Target="../customXml/item2.xml"/><Relationship Id="rId25" Type="http://schemas.openxmlformats.org/officeDocument/2006/relationships/footer" Target="footer6.xml"/><Relationship Id="rId46" Type="http://schemas.openxmlformats.org/officeDocument/2006/relationships/hyperlink" Target="http://appsso.eurostat.ec.europa.eu/nui/show.do?query=BOOKMARK_DS-053312_QID_-4B4BDA1F_UID_-3F171EB0&amp;layout=TIME,C,X,0;GEO,L,Y,0;AGE,L,Z,0;UNIT,L,Z,1;SEX,L,Z,2;INDIC_EM,L,Z,3;INDICATORS,C,Z,4;&amp;zSelection=DS-053312INDIC_EM,EMP_LFS;DS-053312UNIT,PC_POP;DS-053312SEX,T;DS-053312INDICATORS,OBS_FLAG;DS-053312AGE,Y20-64;&amp;rankName1=UNIT_1_2_-1_2&amp;rankName2=AGE_1_2_-1_2&amp;rankName3=INDICATORS_1_2_-1_2&amp;rankName4=SEX_1_2_-1_2&amp;rankName5=INDIC-EM_1_2_-1_2&amp;rankName6=TIME_1_0_0_0&amp;rankName7=GEO_1_2_0_1&amp;sortC=ASC_-1_FIRST&amp;rStp=&amp;cStp=&amp;rDCh=&amp;cDCh=&amp;rDM=true&amp;cDM=true&amp;footnes=false&amp;empty=false&amp;wai=false&amp;time_mode=ROLLING&amp;time_most_recent=false&amp;lang=EN&amp;cfo=%23%23%23%2C%23%23%23.%23%23%23" TargetMode="External"/><Relationship Id="rId67" Type="http://schemas.openxmlformats.org/officeDocument/2006/relationships/hyperlink" Target="http://appsso.eurostat.ec.europa.eu/nui/show.do?query=BOOKMARK_DS-662088_QID_-29B84DC7_UID_-3F171EB0&amp;layout=TIME,C,X,0;PARTNER,L,Y,0;FDI_ITEM,L,Y,1;INDIC_BP,L,Z,0;GEO,L,Z,1;CURRENCY,L,Z,2;INDICATORS,C,Z,3;&amp;zSelection=DS-662088CURRENCY,MIO_EUR;DS-662088INDICATORS,OBS_FLAG;DS-662088GEO,EU28;DS-662088INDIC_BP,STOCKS;&amp;rankName1=CURRENCY_1_2_-1_2&amp;rankName2=INDICATORS_1_2_-1_2&amp;rankName3=INDIC-BP_1_2_-1_2&amp;rankName4=GEO_1_2_0_1&amp;rankName5=TIME_1_0_0_0&amp;rankName6=PARTNER_1_2_0_1&amp;rankName7=FDI-ITEM_1_2_1_1&amp;sortC=ASC_-1_FIRST&amp;rStp=&amp;cStp=&amp;rDCh=&amp;cDCh=&amp;rDM=true&amp;cDM=true&amp;footnes=false&amp;empty=false&amp;wai=false&amp;time_mode=ROLLING&amp;time_most_recent=false&amp;lang=EN&amp;cfo=%23%23%23%2C%23%23%23.%23%23%23" TargetMode="External"/><Relationship Id="rId116" Type="http://schemas.openxmlformats.org/officeDocument/2006/relationships/footer" Target="footer33.xml"/><Relationship Id="rId137" Type="http://schemas.openxmlformats.org/officeDocument/2006/relationships/header" Target="header44.xml"/><Relationship Id="rId158" Type="http://schemas.openxmlformats.org/officeDocument/2006/relationships/header" Target="header54.xml"/><Relationship Id="rId20" Type="http://schemas.openxmlformats.org/officeDocument/2006/relationships/header" Target="header4.xml"/><Relationship Id="rId41" Type="http://schemas.openxmlformats.org/officeDocument/2006/relationships/footer" Target="footer13.xml"/><Relationship Id="rId62" Type="http://schemas.openxmlformats.org/officeDocument/2006/relationships/hyperlink" Target="http://appsso.eurostat.ec.europa.eu/nui/show.do?query=BOOKMARK_DS-053342_QID_-38BFD802_UID_-3F171EB0&amp;layout=TIME,C,X,0;GEO,L,Y,0;STATINFO,L,Z,0;PPP_CAT,L,Z,1;UNIT,L,Z,2;INDICATORS,C,Z,3;&amp;zSelection=DS-053342PPP_CAT,GDP;DS-053342INDICATORS,OBS_FLAG;DS-053342UNIT,PC;DS-053342STATINFO,CV_VI_HAB;&amp;rankName1=PPP-CAT_1_2_-1_2&amp;rankName2=UNIT_1_2_-1_2&amp;rankName3=INDICATORS_1_2_-1_2&amp;rankName4=STATINFO_1_2_-1_2&amp;rankName5=TIME_1_0_0_0&amp;rankName6=GEO_1_2_0_1&amp;ppcRK=FIRST&amp;ppcSO=ASC&amp;sortC=ASC_-1_FIRST&amp;rStp=&amp;cStp=&amp;rDCh=&amp;cDCh=&amp;rDM=true&amp;cDM=true&amp;footnes=false&amp;empty=false&amp;wai=false&amp;time_mode=ROLLING&amp;time_most_recent=false&amp;lang=EN&amp;cfo=%23%23%23%2C%23%23%23.%23%23%23" TargetMode="External"/><Relationship Id="rId83" Type="http://schemas.openxmlformats.org/officeDocument/2006/relationships/header" Target="header19.xml"/><Relationship Id="rId88" Type="http://schemas.openxmlformats.org/officeDocument/2006/relationships/footer" Target="footer21.xml"/><Relationship Id="rId111" Type="http://schemas.openxmlformats.org/officeDocument/2006/relationships/header" Target="header31.xml"/><Relationship Id="rId132" Type="http://schemas.openxmlformats.org/officeDocument/2006/relationships/footer" Target="footer40.xml"/><Relationship Id="rId153" Type="http://schemas.openxmlformats.org/officeDocument/2006/relationships/footer" Target="footer51.xml"/><Relationship Id="rId174" Type="http://schemas.openxmlformats.org/officeDocument/2006/relationships/footer" Target="footer61.xml"/><Relationship Id="rId179" Type="http://schemas.openxmlformats.org/officeDocument/2006/relationships/header" Target="header65.xml"/><Relationship Id="rId15" Type="http://schemas.openxmlformats.org/officeDocument/2006/relationships/header" Target="header2.xml"/><Relationship Id="rId36" Type="http://schemas.openxmlformats.org/officeDocument/2006/relationships/footer" Target="footer11.xml"/><Relationship Id="rId57" Type="http://schemas.openxmlformats.org/officeDocument/2006/relationships/hyperlink" Target="http://appsso.eurostat.ec.europa.eu/nui/show.do?query=BOOKMARK_DS-247504_QID_-34F223C7_UID_-3F171EB0&amp;layout=TIME,C,X,0;GEO,L,Y,0;INDIC_NRG,L,Z,0;UNIT,L,Z,1;INDICATORS,C,Z,2;&amp;zSelection=DS-247504INDICATORS,OBS_FLAG;DS-247504UNIT,MTOE;DS-247504INDIC_NRG,B_101700;&amp;rankName1=UNIT_1_2_-1_2&amp;rankName2=INDICATORS_1_2_-1_2&amp;rankName3=INDIC-NRG_1_2_-1_2&amp;rankName4=TIME_1_0_0_0&amp;rankName5=GEO_1_2_0_1&amp;sortC=ASC_-1_FIRST&amp;rStp=&amp;cStp=&amp;rDCh=&amp;cDCh=&amp;rDM=true&amp;cDM=true&amp;footnes=false&amp;empty=false&amp;wai=false&amp;time_mode=ROLLING&amp;time_most_recent=false&amp;lang=EN&amp;cfo=%23%23%23%2C%23%23%23.%23%23%23" TargetMode="External"/><Relationship Id="rId106" Type="http://schemas.openxmlformats.org/officeDocument/2006/relationships/header" Target="header30.xml"/><Relationship Id="rId127" Type="http://schemas.openxmlformats.org/officeDocument/2006/relationships/header" Target="header39.xml"/><Relationship Id="rId10" Type="http://schemas.openxmlformats.org/officeDocument/2006/relationships/webSettings" Target="webSettings.xml"/><Relationship Id="rId31" Type="http://schemas.openxmlformats.org/officeDocument/2006/relationships/header" Target="header9.xml"/><Relationship Id="rId52" Type="http://schemas.openxmlformats.org/officeDocument/2006/relationships/hyperlink" Target="http://ec.europa.eu/economy_finance/ameco/user/serie/SelectSerie.cfm" TargetMode="External"/><Relationship Id="rId73" Type="http://schemas.openxmlformats.org/officeDocument/2006/relationships/hyperlink" Target="http://appsso.eurostat.ec.europa.eu/nui/show.do?query=BOOKMARK_DS-062361_QID_264D57A0_UID_-3F171EB0&amp;layout=TIME,C,X,0;GEO,L,Y,0;CITIZEN,L,Z,0;INDIC_MG,L,Z,1;UNIT,L,Z,2;INDICATORS,C,Z,3;&amp;zSelection=DS-062361UNIT,PER;DS-062361CITIZEN,TOTAL;DS-062361INDIC_MG,TOT_RET;DS-062361INDICATORS,OBS_FLAG;&amp;rankName1=INDIC-MG_1_2_-1_2&amp;rankName2=UNIT_1_2_-1_2&amp;rankName3=CITIZEN_1_2_-1_2&amp;rankName4=INDICATORS_1_2_-1_2&amp;rankName5=TIME_1_0_0_0&amp;rankName6=GEO_1_0_0_1&amp;sortR=ASC_-1_FIRST&amp;pprRK=FIRST&amp;pprSO=ASC&amp;ppcRK=FIRST&amp;ppcSO=ASC&amp;sortC=ASC_-1_FIRST&amp;rStp=&amp;cStp=&amp;rDCh=&amp;cDCh=&amp;rDM=true&amp;cDM=true&amp;footnes=false&amp;empty=false&amp;wai=false&amp;time_mode=ROLLING&amp;time_most_recent=false&amp;lang=EN&amp;cfo=%23%23%23%2C%23%23%23.%23%23%23" TargetMode="External"/><Relationship Id="rId78" Type="http://schemas.openxmlformats.org/officeDocument/2006/relationships/footer" Target="footer16.xml"/><Relationship Id="rId94" Type="http://schemas.openxmlformats.org/officeDocument/2006/relationships/footer" Target="footer24.xml"/><Relationship Id="rId99" Type="http://schemas.openxmlformats.org/officeDocument/2006/relationships/header" Target="header27.xml"/><Relationship Id="rId101" Type="http://schemas.openxmlformats.org/officeDocument/2006/relationships/chart" Target="charts/chart1.xml"/><Relationship Id="rId122" Type="http://schemas.openxmlformats.org/officeDocument/2006/relationships/footer" Target="footer36.xml"/><Relationship Id="rId143" Type="http://schemas.openxmlformats.org/officeDocument/2006/relationships/header" Target="header47.xml"/><Relationship Id="rId148" Type="http://schemas.openxmlformats.org/officeDocument/2006/relationships/header" Target="header49.xml"/><Relationship Id="rId164" Type="http://schemas.openxmlformats.org/officeDocument/2006/relationships/header" Target="header57.xml"/><Relationship Id="rId169" Type="http://schemas.openxmlformats.org/officeDocument/2006/relationships/footer" Target="footer59.xml"/><Relationship Id="rId18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t1.cec.eu.int\BUDG\C\C02\Financial%20corrections%20and%20recoveries\Communication%20on%20Recoveries\2018_AMPR\2018_AMPR_Section_2.3.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et1.cec.eu.int\BUDG\C\C02\Financial%20corrections%20and%20recoveries\Communication%20on%20Recoveries\2018_AMPR\2018_AMPR_Section_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BUDG\C\C02\Financial%20corrections%20and%20recoveries\Communication%20on%20Recoveries\2018_AMPR\2018_Net%20impact_FINAL.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net1.cec.eu.int\BUDG\C\C02\Financial%20corrections%20and%20recoveries\Communication%20on%20Recoveries\2018_AMPR\Cumulative_multiannual\2018%20Cumulative%20EAGF.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net1.cec.eu.int\BUDG\C\C02\Financial%20corrections%20and%20recoveries\Communication%20on%20Recoveries\2018_AMPR\Cumulative_multiannual\2018%20Cumulative%20%20ESF_ERDF%202007-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01052420628349"/>
          <c:y val="9.2612947877192583E-2"/>
          <c:w val="0.59488876607036845"/>
          <c:h val="0.76920844238264796"/>
        </c:manualLayout>
      </c:layout>
      <c:lineChart>
        <c:grouping val="standard"/>
        <c:varyColors val="0"/>
        <c:ser>
          <c:idx val="1"/>
          <c:order val="0"/>
          <c:tx>
            <c:strRef>
              <c:f>'Graphs_7-yrs_avg'!$B$28</c:f>
              <c:strCache>
                <c:ptCount val="1"/>
                <c:pt idx="0">
                  <c:v>Cohesion</c:v>
                </c:pt>
              </c:strCache>
            </c:strRef>
          </c:tx>
          <c:cat>
            <c:numRef>
              <c:f>'Graphs_7-yrs_avg'!$F$23:$L$23</c:f>
              <c:numCache>
                <c:formatCode>General</c:formatCode>
                <c:ptCount val="7"/>
                <c:pt idx="0">
                  <c:v>2012</c:v>
                </c:pt>
                <c:pt idx="1">
                  <c:v>2013</c:v>
                </c:pt>
                <c:pt idx="2">
                  <c:v>2014</c:v>
                </c:pt>
                <c:pt idx="3">
                  <c:v>2015</c:v>
                </c:pt>
                <c:pt idx="4">
                  <c:v>2016</c:v>
                </c:pt>
                <c:pt idx="5">
                  <c:v>2017</c:v>
                </c:pt>
                <c:pt idx="6">
                  <c:v>2018</c:v>
                </c:pt>
              </c:numCache>
            </c:numRef>
          </c:cat>
          <c:val>
            <c:numRef>
              <c:f>'Graphs_7-yrs_avg'!$F$28:$L$28</c:f>
              <c:numCache>
                <c:formatCode>0.000</c:formatCode>
                <c:ptCount val="7"/>
                <c:pt idx="0">
                  <c:v>1.641</c:v>
                </c:pt>
                <c:pt idx="1">
                  <c:v>1.4849999999999999</c:v>
                </c:pt>
                <c:pt idx="2">
                  <c:v>2.0499999999999998</c:v>
                </c:pt>
                <c:pt idx="3">
                  <c:v>1.744</c:v>
                </c:pt>
                <c:pt idx="4">
                  <c:v>1.2042138677064183</c:v>
                </c:pt>
                <c:pt idx="5">
                  <c:v>0.51475930422783711</c:v>
                </c:pt>
                <c:pt idx="6">
                  <c:v>0.41384588010889839</c:v>
                </c:pt>
              </c:numCache>
            </c:numRef>
          </c:val>
          <c:smooth val="0"/>
          <c:extLst xmlns:c16r2="http://schemas.microsoft.com/office/drawing/2015/06/chart">
            <c:ext xmlns:c16="http://schemas.microsoft.com/office/drawing/2014/chart" uri="{C3380CC4-5D6E-409C-BE32-E72D297353CC}">
              <c16:uniqueId val="{00000000-1188-4597-9FDF-B9F1CEBC79B7}"/>
            </c:ext>
          </c:extLst>
        </c:ser>
        <c:ser>
          <c:idx val="2"/>
          <c:order val="1"/>
          <c:tx>
            <c:strRef>
              <c:f>'Graphs_7-yrs_avg'!$B$35</c:f>
              <c:strCache>
                <c:ptCount val="1"/>
                <c:pt idx="0">
                  <c:v>Internal policies</c:v>
                </c:pt>
              </c:strCache>
            </c:strRef>
          </c:tx>
          <c:cat>
            <c:numRef>
              <c:f>'Graphs_7-yrs_avg'!$F$23:$L$23</c:f>
              <c:numCache>
                <c:formatCode>General</c:formatCode>
                <c:ptCount val="7"/>
                <c:pt idx="0">
                  <c:v>2012</c:v>
                </c:pt>
                <c:pt idx="1">
                  <c:v>2013</c:v>
                </c:pt>
                <c:pt idx="2">
                  <c:v>2014</c:v>
                </c:pt>
                <c:pt idx="3">
                  <c:v>2015</c:v>
                </c:pt>
                <c:pt idx="4">
                  <c:v>2016</c:v>
                </c:pt>
                <c:pt idx="5">
                  <c:v>2017</c:v>
                </c:pt>
                <c:pt idx="6">
                  <c:v>2018</c:v>
                </c:pt>
              </c:numCache>
            </c:numRef>
          </c:cat>
          <c:val>
            <c:numRef>
              <c:f>'Graphs_7-yrs_avg'!$F$35:$L$35</c:f>
              <c:numCache>
                <c:formatCode>0.000</c:formatCode>
                <c:ptCount val="7"/>
                <c:pt idx="0">
                  <c:v>0.253</c:v>
                </c:pt>
                <c:pt idx="1">
                  <c:v>0.39600000000000002</c:v>
                </c:pt>
                <c:pt idx="2">
                  <c:v>0.29799999999999999</c:v>
                </c:pt>
                <c:pt idx="3">
                  <c:v>0.32600000000000001</c:v>
                </c:pt>
                <c:pt idx="4">
                  <c:v>0.30879057473999894</c:v>
                </c:pt>
                <c:pt idx="5">
                  <c:v>0.3914345393599995</c:v>
                </c:pt>
                <c:pt idx="6">
                  <c:v>0.24902305510999986</c:v>
                </c:pt>
              </c:numCache>
            </c:numRef>
          </c:val>
          <c:smooth val="0"/>
          <c:extLst xmlns:c16r2="http://schemas.microsoft.com/office/drawing/2015/06/chart">
            <c:ext xmlns:c16="http://schemas.microsoft.com/office/drawing/2014/chart" uri="{C3380CC4-5D6E-409C-BE32-E72D297353CC}">
              <c16:uniqueId val="{00000001-1188-4597-9FDF-B9F1CEBC79B7}"/>
            </c:ext>
          </c:extLst>
        </c:ser>
        <c:ser>
          <c:idx val="0"/>
          <c:order val="2"/>
          <c:tx>
            <c:strRef>
              <c:f>'Graphs_7-yrs_avg'!$B$25</c:f>
              <c:strCache>
                <c:ptCount val="1"/>
                <c:pt idx="0">
                  <c:v>Agriculture</c:v>
                </c:pt>
              </c:strCache>
            </c:strRef>
          </c:tx>
          <c:cat>
            <c:numRef>
              <c:f>'Graphs_7-yrs_avg'!$F$23:$L$23</c:f>
              <c:numCache>
                <c:formatCode>General</c:formatCode>
                <c:ptCount val="7"/>
                <c:pt idx="0">
                  <c:v>2012</c:v>
                </c:pt>
                <c:pt idx="1">
                  <c:v>2013</c:v>
                </c:pt>
                <c:pt idx="2">
                  <c:v>2014</c:v>
                </c:pt>
                <c:pt idx="3">
                  <c:v>2015</c:v>
                </c:pt>
                <c:pt idx="4">
                  <c:v>2016</c:v>
                </c:pt>
                <c:pt idx="5">
                  <c:v>2017</c:v>
                </c:pt>
                <c:pt idx="6">
                  <c:v>2018</c:v>
                </c:pt>
              </c:numCache>
            </c:numRef>
          </c:cat>
          <c:val>
            <c:numRef>
              <c:f>'Graphs_7-yrs_avg'!$F$25:$L$25</c:f>
              <c:numCache>
                <c:formatCode>0.000</c:formatCode>
                <c:ptCount val="7"/>
                <c:pt idx="0">
                  <c:v>0.85899999999999999</c:v>
                </c:pt>
                <c:pt idx="1">
                  <c:v>1.456</c:v>
                </c:pt>
                <c:pt idx="2">
                  <c:v>2.2469999999999999</c:v>
                </c:pt>
                <c:pt idx="3">
                  <c:v>1.2930000000000001</c:v>
                </c:pt>
                <c:pt idx="4">
                  <c:v>2.0867716267800001</c:v>
                </c:pt>
                <c:pt idx="5">
                  <c:v>1.5181992055</c:v>
                </c:pt>
                <c:pt idx="6">
                  <c:v>0.81729995748999984</c:v>
                </c:pt>
              </c:numCache>
            </c:numRef>
          </c:val>
          <c:smooth val="0"/>
          <c:extLst xmlns:c16r2="http://schemas.microsoft.com/office/drawing/2015/06/chart">
            <c:ext xmlns:c16="http://schemas.microsoft.com/office/drawing/2014/chart" uri="{C3380CC4-5D6E-409C-BE32-E72D297353CC}">
              <c16:uniqueId val="{00000002-1188-4597-9FDF-B9F1CEBC79B7}"/>
            </c:ext>
          </c:extLst>
        </c:ser>
        <c:ser>
          <c:idx val="3"/>
          <c:order val="3"/>
          <c:tx>
            <c:strRef>
              <c:f>'Graphs_7-yrs_avg'!$B$36</c:f>
              <c:strCache>
                <c:ptCount val="1"/>
                <c:pt idx="0">
                  <c:v>External policies</c:v>
                </c:pt>
              </c:strCache>
            </c:strRef>
          </c:tx>
          <c:cat>
            <c:numRef>
              <c:f>'Graphs_7-yrs_avg'!$F$23:$L$23</c:f>
              <c:numCache>
                <c:formatCode>General</c:formatCode>
                <c:ptCount val="7"/>
                <c:pt idx="0">
                  <c:v>2012</c:v>
                </c:pt>
                <c:pt idx="1">
                  <c:v>2013</c:v>
                </c:pt>
                <c:pt idx="2">
                  <c:v>2014</c:v>
                </c:pt>
                <c:pt idx="3">
                  <c:v>2015</c:v>
                </c:pt>
                <c:pt idx="4">
                  <c:v>2016</c:v>
                </c:pt>
                <c:pt idx="5">
                  <c:v>2017</c:v>
                </c:pt>
                <c:pt idx="6">
                  <c:v>2018</c:v>
                </c:pt>
              </c:numCache>
            </c:numRef>
          </c:cat>
          <c:val>
            <c:numRef>
              <c:f>'Graphs_7-yrs_avg'!$F$36:$L$36</c:f>
              <c:numCache>
                <c:formatCode>0.000</c:formatCode>
                <c:ptCount val="7"/>
                <c:pt idx="0">
                  <c:v>0.107</c:v>
                </c:pt>
                <c:pt idx="1">
                  <c:v>9.2999999999999999E-2</c:v>
                </c:pt>
                <c:pt idx="2">
                  <c:v>0.127</c:v>
                </c:pt>
                <c:pt idx="3">
                  <c:v>0.13200000000000001</c:v>
                </c:pt>
                <c:pt idx="4">
                  <c:v>0.17304647003032819</c:v>
                </c:pt>
                <c:pt idx="5">
                  <c:v>0.23424808372910383</c:v>
                </c:pt>
                <c:pt idx="6">
                  <c:v>0.18767749305224515</c:v>
                </c:pt>
              </c:numCache>
            </c:numRef>
          </c:val>
          <c:smooth val="0"/>
          <c:extLst xmlns:c16r2="http://schemas.microsoft.com/office/drawing/2015/06/chart">
            <c:ext xmlns:c16="http://schemas.microsoft.com/office/drawing/2014/chart" uri="{C3380CC4-5D6E-409C-BE32-E72D297353CC}">
              <c16:uniqueId val="{00000003-1188-4597-9FDF-B9F1CEBC79B7}"/>
            </c:ext>
          </c:extLst>
        </c:ser>
        <c:ser>
          <c:idx val="4"/>
          <c:order val="4"/>
          <c:tx>
            <c:strRef>
              <c:f>'Graphs_7-yrs_avg'!$B$37</c:f>
              <c:strCache>
                <c:ptCount val="1"/>
                <c:pt idx="0">
                  <c:v>Administration</c:v>
                </c:pt>
              </c:strCache>
            </c:strRef>
          </c:tx>
          <c:cat>
            <c:numRef>
              <c:f>'Graphs_7-yrs_avg'!$F$23:$L$23</c:f>
              <c:numCache>
                <c:formatCode>General</c:formatCode>
                <c:ptCount val="7"/>
                <c:pt idx="0">
                  <c:v>2012</c:v>
                </c:pt>
                <c:pt idx="1">
                  <c:v>2013</c:v>
                </c:pt>
                <c:pt idx="2">
                  <c:v>2014</c:v>
                </c:pt>
                <c:pt idx="3">
                  <c:v>2015</c:v>
                </c:pt>
                <c:pt idx="4">
                  <c:v>2016</c:v>
                </c:pt>
                <c:pt idx="5">
                  <c:v>2017</c:v>
                </c:pt>
                <c:pt idx="6">
                  <c:v>2018</c:v>
                </c:pt>
              </c:numCache>
            </c:numRef>
          </c:cat>
          <c:val>
            <c:numRef>
              <c:f>'Graphs_7-yrs_avg'!$E$37:$K$37</c:f>
              <c:numCache>
                <c:formatCode>0.000</c:formatCode>
                <c:ptCount val="7"/>
                <c:pt idx="0">
                  <c:v>8.0000000000000002E-3</c:v>
                </c:pt>
                <c:pt idx="1">
                  <c:v>7.0000000000000001E-3</c:v>
                </c:pt>
                <c:pt idx="2">
                  <c:v>6.0000000000000001E-3</c:v>
                </c:pt>
                <c:pt idx="3">
                  <c:v>5.0000000000000001E-3</c:v>
                </c:pt>
                <c:pt idx="4">
                  <c:v>5.0000000000000001E-3</c:v>
                </c:pt>
                <c:pt idx="5">
                  <c:v>4.0053480899999976E-3</c:v>
                </c:pt>
                <c:pt idx="6">
                  <c:v>3.2276561800000021E-3</c:v>
                </c:pt>
              </c:numCache>
            </c:numRef>
          </c:val>
          <c:smooth val="0"/>
          <c:extLst xmlns:c16r2="http://schemas.microsoft.com/office/drawing/2015/06/chart">
            <c:ext xmlns:c16="http://schemas.microsoft.com/office/drawing/2014/chart" uri="{C3380CC4-5D6E-409C-BE32-E72D297353CC}">
              <c16:uniqueId val="{00000004-1188-4597-9FDF-B9F1CEBC79B7}"/>
            </c:ext>
          </c:extLst>
        </c:ser>
        <c:ser>
          <c:idx val="5"/>
          <c:order val="5"/>
          <c:tx>
            <c:strRef>
              <c:f>'Graphs_7-yrs_avg'!$B$38</c:f>
              <c:strCache>
                <c:ptCount val="1"/>
                <c:pt idx="0">
                  <c:v>Total confirmed</c:v>
                </c:pt>
              </c:strCache>
            </c:strRef>
          </c:tx>
          <c:trendline>
            <c:spPr>
              <a:ln w="25400" cmpd="sng">
                <a:solidFill>
                  <a:schemeClr val="tx1"/>
                </a:solidFill>
              </a:ln>
            </c:spPr>
            <c:trendlineType val="linear"/>
            <c:dispRSqr val="0"/>
            <c:dispEq val="0"/>
          </c:trendline>
          <c:cat>
            <c:numRef>
              <c:f>'Graphs_7-yrs_avg'!$F$23:$L$23</c:f>
              <c:numCache>
                <c:formatCode>General</c:formatCode>
                <c:ptCount val="7"/>
                <c:pt idx="0">
                  <c:v>2012</c:v>
                </c:pt>
                <c:pt idx="1">
                  <c:v>2013</c:v>
                </c:pt>
                <c:pt idx="2">
                  <c:v>2014</c:v>
                </c:pt>
                <c:pt idx="3">
                  <c:v>2015</c:v>
                </c:pt>
                <c:pt idx="4">
                  <c:v>2016</c:v>
                </c:pt>
                <c:pt idx="5">
                  <c:v>2017</c:v>
                </c:pt>
                <c:pt idx="6">
                  <c:v>2018</c:v>
                </c:pt>
              </c:numCache>
            </c:numRef>
          </c:cat>
          <c:val>
            <c:numRef>
              <c:f>'Graphs_7-yrs_avg'!$F$38:$L$38</c:f>
              <c:numCache>
                <c:formatCode>0.000</c:formatCode>
                <c:ptCount val="7"/>
                <c:pt idx="0">
                  <c:v>2.8670000000000004</c:v>
                </c:pt>
                <c:pt idx="1">
                  <c:v>3.4359999999999995</c:v>
                </c:pt>
                <c:pt idx="2">
                  <c:v>4.7269999999999994</c:v>
                </c:pt>
                <c:pt idx="3">
                  <c:v>3.5</c:v>
                </c:pt>
                <c:pt idx="4">
                  <c:v>3.7768278873467453</c:v>
                </c:pt>
                <c:pt idx="5">
                  <c:v>2.6618687889969403</c:v>
                </c:pt>
                <c:pt idx="6">
                  <c:v>1.6708318219311431</c:v>
                </c:pt>
              </c:numCache>
            </c:numRef>
          </c:val>
          <c:smooth val="0"/>
          <c:extLst xmlns:c16r2="http://schemas.microsoft.com/office/drawing/2015/06/chart">
            <c:ext xmlns:c16="http://schemas.microsoft.com/office/drawing/2014/chart" uri="{C3380CC4-5D6E-409C-BE32-E72D297353CC}">
              <c16:uniqueId val="{00000005-1188-4597-9FDF-B9F1CEBC79B7}"/>
            </c:ext>
          </c:extLst>
        </c:ser>
        <c:dLbls>
          <c:showLegendKey val="0"/>
          <c:showVal val="0"/>
          <c:showCatName val="0"/>
          <c:showSerName val="0"/>
          <c:showPercent val="0"/>
          <c:showBubbleSize val="0"/>
        </c:dLbls>
        <c:marker val="1"/>
        <c:smooth val="0"/>
        <c:axId val="99961472"/>
        <c:axId val="99963264"/>
      </c:lineChart>
      <c:catAx>
        <c:axId val="99961472"/>
        <c:scaling>
          <c:orientation val="minMax"/>
        </c:scaling>
        <c:delete val="0"/>
        <c:axPos val="b"/>
        <c:numFmt formatCode="General" sourceLinked="1"/>
        <c:majorTickMark val="out"/>
        <c:minorTickMark val="none"/>
        <c:tickLblPos val="nextTo"/>
        <c:crossAx val="99963264"/>
        <c:crosses val="autoZero"/>
        <c:auto val="1"/>
        <c:lblAlgn val="ctr"/>
        <c:lblOffset val="100"/>
        <c:noMultiLvlLbl val="0"/>
      </c:catAx>
      <c:valAx>
        <c:axId val="99963264"/>
        <c:scaling>
          <c:orientation val="minMax"/>
          <c:max val="5"/>
          <c:min val="0"/>
        </c:scaling>
        <c:delete val="0"/>
        <c:axPos val="l"/>
        <c:majorGridlines>
          <c:spPr>
            <a:ln>
              <a:solidFill>
                <a:schemeClr val="accent6">
                  <a:lumMod val="60000"/>
                  <a:lumOff val="40000"/>
                </a:schemeClr>
              </a:solidFill>
            </a:ln>
          </c:spPr>
        </c:majorGridlines>
        <c:numFmt formatCode="0.0" sourceLinked="0"/>
        <c:majorTickMark val="out"/>
        <c:minorTickMark val="none"/>
        <c:tickLblPos val="nextTo"/>
        <c:crossAx val="99961472"/>
        <c:crosses val="autoZero"/>
        <c:crossBetween val="between"/>
      </c:valAx>
    </c:plotArea>
    <c:legend>
      <c:legendPos val="r"/>
      <c:layout>
        <c:manualLayout>
          <c:xMode val="edge"/>
          <c:yMode val="edge"/>
          <c:x val="0.75955441693136372"/>
          <c:y val="9.40901074954789E-2"/>
          <c:w val="0.22391005089121566"/>
          <c:h val="0.79435789142619651"/>
        </c:manualLayout>
      </c:layout>
      <c:overlay val="0"/>
      <c:txPr>
        <a:bodyPr/>
        <a:lstStyle/>
        <a:p>
          <a:pPr>
            <a:defRPr sz="1000"/>
          </a:pPr>
          <a:endParaRPr lang="en-US"/>
        </a:p>
      </c:txPr>
    </c:legend>
    <c:plotVisOnly val="1"/>
    <c:dispBlanksAs val="gap"/>
    <c:showDLblsOverMax val="0"/>
  </c:chart>
  <c:spPr>
    <a:ln>
      <a:solidFill>
        <a:srgbClr val="D9D9D9"/>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81490427193535"/>
          <c:y val="9.2612897686854559E-2"/>
          <c:w val="0.57594956024965949"/>
          <c:h val="0.79013787723592088"/>
        </c:manualLayout>
      </c:layout>
      <c:lineChart>
        <c:grouping val="standard"/>
        <c:varyColors val="0"/>
        <c:ser>
          <c:idx val="1"/>
          <c:order val="0"/>
          <c:tx>
            <c:strRef>
              <c:f>'Graphs_7-yrs_avg'!$B$78</c:f>
              <c:strCache>
                <c:ptCount val="1"/>
                <c:pt idx="0">
                  <c:v>Cohesion</c:v>
                </c:pt>
              </c:strCache>
            </c:strRef>
          </c:tx>
          <c:cat>
            <c:numRef>
              <c:f>'Graphs_7-yrs_avg'!$F$73:$L$73</c:f>
              <c:numCache>
                <c:formatCode>General</c:formatCode>
                <c:ptCount val="7"/>
                <c:pt idx="0">
                  <c:v>2012</c:v>
                </c:pt>
                <c:pt idx="1">
                  <c:v>2013</c:v>
                </c:pt>
                <c:pt idx="2">
                  <c:v>2014</c:v>
                </c:pt>
                <c:pt idx="3">
                  <c:v>2015</c:v>
                </c:pt>
                <c:pt idx="4">
                  <c:v>2016</c:v>
                </c:pt>
                <c:pt idx="5">
                  <c:v>2017</c:v>
                </c:pt>
                <c:pt idx="6">
                  <c:v>2018</c:v>
                </c:pt>
              </c:numCache>
            </c:numRef>
          </c:cat>
          <c:val>
            <c:numRef>
              <c:f>'Graphs_7-yrs_avg'!$F$78:$L$78</c:f>
              <c:numCache>
                <c:formatCode>0.000</c:formatCode>
                <c:ptCount val="7"/>
                <c:pt idx="0">
                  <c:v>3.085</c:v>
                </c:pt>
                <c:pt idx="1">
                  <c:v>1.8399224663625844</c:v>
                </c:pt>
                <c:pt idx="2">
                  <c:v>1.6942791882565313</c:v>
                </c:pt>
                <c:pt idx="3">
                  <c:v>1.8080000000000001</c:v>
                </c:pt>
                <c:pt idx="4">
                  <c:v>0.94335928591283036</c:v>
                </c:pt>
                <c:pt idx="5">
                  <c:v>0.53944725994851017</c:v>
                </c:pt>
                <c:pt idx="6">
                  <c:v>1.0702443468854337</c:v>
                </c:pt>
              </c:numCache>
            </c:numRef>
          </c:val>
          <c:smooth val="0"/>
          <c:extLst xmlns:c16r2="http://schemas.microsoft.com/office/drawing/2015/06/chart">
            <c:ext xmlns:c16="http://schemas.microsoft.com/office/drawing/2014/chart" uri="{C3380CC4-5D6E-409C-BE32-E72D297353CC}">
              <c16:uniqueId val="{00000000-08A5-4B33-88AC-06104280780B}"/>
            </c:ext>
          </c:extLst>
        </c:ser>
        <c:ser>
          <c:idx val="2"/>
          <c:order val="1"/>
          <c:tx>
            <c:strRef>
              <c:f>'Graphs_7-yrs_avg'!$B$85</c:f>
              <c:strCache>
                <c:ptCount val="1"/>
                <c:pt idx="0">
                  <c:v>Internal policies</c:v>
                </c:pt>
              </c:strCache>
            </c:strRef>
          </c:tx>
          <c:cat>
            <c:numRef>
              <c:f>'Graphs_7-yrs_avg'!$F$73:$L$73</c:f>
              <c:numCache>
                <c:formatCode>General</c:formatCode>
                <c:ptCount val="7"/>
                <c:pt idx="0">
                  <c:v>2012</c:v>
                </c:pt>
                <c:pt idx="1">
                  <c:v>2013</c:v>
                </c:pt>
                <c:pt idx="2">
                  <c:v>2014</c:v>
                </c:pt>
                <c:pt idx="3">
                  <c:v>2015</c:v>
                </c:pt>
                <c:pt idx="4">
                  <c:v>2016</c:v>
                </c:pt>
                <c:pt idx="5">
                  <c:v>2017</c:v>
                </c:pt>
                <c:pt idx="6">
                  <c:v>2018</c:v>
                </c:pt>
              </c:numCache>
            </c:numRef>
          </c:cat>
          <c:val>
            <c:numRef>
              <c:f>'Graphs_7-yrs_avg'!$F$85:$L$85</c:f>
              <c:numCache>
                <c:formatCode>0.000</c:formatCode>
                <c:ptCount val="7"/>
                <c:pt idx="0">
                  <c:v>0.23</c:v>
                </c:pt>
                <c:pt idx="1">
                  <c:v>0.40100000000000002</c:v>
                </c:pt>
                <c:pt idx="2">
                  <c:v>0.27910668693112678</c:v>
                </c:pt>
                <c:pt idx="3">
                  <c:v>0.317</c:v>
                </c:pt>
                <c:pt idx="4">
                  <c:v>0.31841809669999888</c:v>
                </c:pt>
                <c:pt idx="5">
                  <c:v>0.38001031604999952</c:v>
                </c:pt>
                <c:pt idx="6">
                  <c:v>0.24251405913999988</c:v>
                </c:pt>
              </c:numCache>
            </c:numRef>
          </c:val>
          <c:smooth val="0"/>
          <c:extLst xmlns:c16r2="http://schemas.microsoft.com/office/drawing/2015/06/chart">
            <c:ext xmlns:c16="http://schemas.microsoft.com/office/drawing/2014/chart" uri="{C3380CC4-5D6E-409C-BE32-E72D297353CC}">
              <c16:uniqueId val="{00000001-08A5-4B33-88AC-06104280780B}"/>
            </c:ext>
          </c:extLst>
        </c:ser>
        <c:ser>
          <c:idx val="0"/>
          <c:order val="2"/>
          <c:tx>
            <c:strRef>
              <c:f>'Graphs_7-yrs_avg'!$B$75</c:f>
              <c:strCache>
                <c:ptCount val="1"/>
                <c:pt idx="0">
                  <c:v>Agriculture</c:v>
                </c:pt>
              </c:strCache>
            </c:strRef>
          </c:tx>
          <c:cat>
            <c:numRef>
              <c:f>'Graphs_7-yrs_avg'!$F$73:$L$73</c:f>
              <c:numCache>
                <c:formatCode>General</c:formatCode>
                <c:ptCount val="7"/>
                <c:pt idx="0">
                  <c:v>2012</c:v>
                </c:pt>
                <c:pt idx="1">
                  <c:v>2013</c:v>
                </c:pt>
                <c:pt idx="2">
                  <c:v>2014</c:v>
                </c:pt>
                <c:pt idx="3">
                  <c:v>2015</c:v>
                </c:pt>
                <c:pt idx="4">
                  <c:v>2016</c:v>
                </c:pt>
                <c:pt idx="5">
                  <c:v>2017</c:v>
                </c:pt>
                <c:pt idx="6">
                  <c:v>2018</c:v>
                </c:pt>
              </c:numCache>
            </c:numRef>
          </c:cat>
          <c:val>
            <c:numRef>
              <c:f>'Graphs_7-yrs_avg'!$F$75:$L$75</c:f>
              <c:numCache>
                <c:formatCode>0.000</c:formatCode>
                <c:ptCount val="7"/>
                <c:pt idx="0">
                  <c:v>0.996</c:v>
                </c:pt>
                <c:pt idx="1">
                  <c:v>0.99501625809000005</c:v>
                </c:pt>
                <c:pt idx="2">
                  <c:v>1.19855215522</c:v>
                </c:pt>
                <c:pt idx="3">
                  <c:v>1.587</c:v>
                </c:pt>
                <c:pt idx="4">
                  <c:v>1.94830638295</c:v>
                </c:pt>
                <c:pt idx="5">
                  <c:v>1.6790244838799999</c:v>
                </c:pt>
                <c:pt idx="6">
                  <c:v>1.66581998845</c:v>
                </c:pt>
              </c:numCache>
            </c:numRef>
          </c:val>
          <c:smooth val="0"/>
          <c:extLst xmlns:c16r2="http://schemas.microsoft.com/office/drawing/2015/06/chart">
            <c:ext xmlns:c16="http://schemas.microsoft.com/office/drawing/2014/chart" uri="{C3380CC4-5D6E-409C-BE32-E72D297353CC}">
              <c16:uniqueId val="{00000002-08A5-4B33-88AC-06104280780B}"/>
            </c:ext>
          </c:extLst>
        </c:ser>
        <c:ser>
          <c:idx val="3"/>
          <c:order val="3"/>
          <c:tx>
            <c:strRef>
              <c:f>'Graphs_7-yrs_avg'!$B$86</c:f>
              <c:strCache>
                <c:ptCount val="1"/>
                <c:pt idx="0">
                  <c:v>External policies</c:v>
                </c:pt>
              </c:strCache>
            </c:strRef>
          </c:tx>
          <c:cat>
            <c:numRef>
              <c:f>'Graphs_7-yrs_avg'!$F$73:$L$73</c:f>
              <c:numCache>
                <c:formatCode>General</c:formatCode>
                <c:ptCount val="7"/>
                <c:pt idx="0">
                  <c:v>2012</c:v>
                </c:pt>
                <c:pt idx="1">
                  <c:v>2013</c:v>
                </c:pt>
                <c:pt idx="2">
                  <c:v>2014</c:v>
                </c:pt>
                <c:pt idx="3">
                  <c:v>2015</c:v>
                </c:pt>
                <c:pt idx="4">
                  <c:v>2016</c:v>
                </c:pt>
                <c:pt idx="5">
                  <c:v>2017</c:v>
                </c:pt>
                <c:pt idx="6">
                  <c:v>2018</c:v>
                </c:pt>
              </c:numCache>
            </c:numRef>
          </c:cat>
          <c:val>
            <c:numRef>
              <c:f>'Graphs_7-yrs_avg'!$F$86:$L$86</c:f>
              <c:numCache>
                <c:formatCode>0.000</c:formatCode>
                <c:ptCount val="7"/>
                <c:pt idx="0">
                  <c:v>9.9000000000000005E-2</c:v>
                </c:pt>
                <c:pt idx="1">
                  <c:v>9.2999999999999999E-2</c:v>
                </c:pt>
                <c:pt idx="2">
                  <c:v>0.10812785099806048</c:v>
                </c:pt>
                <c:pt idx="3">
                  <c:v>0.13600000000000001</c:v>
                </c:pt>
                <c:pt idx="4">
                  <c:v>0.17480305141032818</c:v>
                </c:pt>
                <c:pt idx="5">
                  <c:v>0.24368534210910384</c:v>
                </c:pt>
                <c:pt idx="6">
                  <c:v>0.17906451976224513</c:v>
                </c:pt>
              </c:numCache>
            </c:numRef>
          </c:val>
          <c:smooth val="0"/>
          <c:extLst xmlns:c16r2="http://schemas.microsoft.com/office/drawing/2015/06/chart">
            <c:ext xmlns:c16="http://schemas.microsoft.com/office/drawing/2014/chart" uri="{C3380CC4-5D6E-409C-BE32-E72D297353CC}">
              <c16:uniqueId val="{00000003-08A5-4B33-88AC-06104280780B}"/>
            </c:ext>
          </c:extLst>
        </c:ser>
        <c:ser>
          <c:idx val="4"/>
          <c:order val="4"/>
          <c:tx>
            <c:strRef>
              <c:f>'Graphs_7-yrs_avg'!$B$87</c:f>
              <c:strCache>
                <c:ptCount val="1"/>
                <c:pt idx="0">
                  <c:v>Administration</c:v>
                </c:pt>
              </c:strCache>
            </c:strRef>
          </c:tx>
          <c:cat>
            <c:numRef>
              <c:f>'Graphs_7-yrs_avg'!$F$73:$L$73</c:f>
              <c:numCache>
                <c:formatCode>General</c:formatCode>
                <c:ptCount val="7"/>
                <c:pt idx="0">
                  <c:v>2012</c:v>
                </c:pt>
                <c:pt idx="1">
                  <c:v>2013</c:v>
                </c:pt>
                <c:pt idx="2">
                  <c:v>2014</c:v>
                </c:pt>
                <c:pt idx="3">
                  <c:v>2015</c:v>
                </c:pt>
                <c:pt idx="4">
                  <c:v>2016</c:v>
                </c:pt>
                <c:pt idx="5">
                  <c:v>2017</c:v>
                </c:pt>
                <c:pt idx="6">
                  <c:v>2018</c:v>
                </c:pt>
              </c:numCache>
            </c:numRef>
          </c:cat>
          <c:val>
            <c:numRef>
              <c:f>'Graphs_7-yrs_avg'!$F$87:$L$87</c:f>
              <c:numCache>
                <c:formatCode>0.000</c:formatCode>
                <c:ptCount val="7"/>
                <c:pt idx="0">
                  <c:v>8.9999999999999993E-3</c:v>
                </c:pt>
                <c:pt idx="1">
                  <c:v>6.0000000000000001E-3</c:v>
                </c:pt>
                <c:pt idx="2">
                  <c:v>5.1061282000000041E-3</c:v>
                </c:pt>
                <c:pt idx="3">
                  <c:v>5.0000000000000001E-3</c:v>
                </c:pt>
                <c:pt idx="4">
                  <c:v>3.9614975199999975E-3</c:v>
                </c:pt>
                <c:pt idx="5">
                  <c:v>3.2676145800000019E-3</c:v>
                </c:pt>
                <c:pt idx="6">
                  <c:v>3.0652903700000003E-3</c:v>
                </c:pt>
              </c:numCache>
            </c:numRef>
          </c:val>
          <c:smooth val="0"/>
          <c:extLst xmlns:c16r2="http://schemas.microsoft.com/office/drawing/2015/06/chart">
            <c:ext xmlns:c16="http://schemas.microsoft.com/office/drawing/2014/chart" uri="{C3380CC4-5D6E-409C-BE32-E72D297353CC}">
              <c16:uniqueId val="{00000004-08A5-4B33-88AC-06104280780B}"/>
            </c:ext>
          </c:extLst>
        </c:ser>
        <c:ser>
          <c:idx val="5"/>
          <c:order val="5"/>
          <c:tx>
            <c:strRef>
              <c:f>'Graphs_7-yrs_avg'!$B$88</c:f>
              <c:strCache>
                <c:ptCount val="1"/>
                <c:pt idx="0">
                  <c:v>Total implemented</c:v>
                </c:pt>
              </c:strCache>
            </c:strRef>
          </c:tx>
          <c:trendline>
            <c:spPr>
              <a:ln w="25400"/>
            </c:spPr>
            <c:trendlineType val="linear"/>
            <c:dispRSqr val="0"/>
            <c:dispEq val="0"/>
          </c:trendline>
          <c:cat>
            <c:numRef>
              <c:f>'Graphs_7-yrs_avg'!$F$73:$L$73</c:f>
              <c:numCache>
                <c:formatCode>General</c:formatCode>
                <c:ptCount val="7"/>
                <c:pt idx="0">
                  <c:v>2012</c:v>
                </c:pt>
                <c:pt idx="1">
                  <c:v>2013</c:v>
                </c:pt>
                <c:pt idx="2">
                  <c:v>2014</c:v>
                </c:pt>
                <c:pt idx="3">
                  <c:v>2015</c:v>
                </c:pt>
                <c:pt idx="4">
                  <c:v>2016</c:v>
                </c:pt>
                <c:pt idx="5">
                  <c:v>2017</c:v>
                </c:pt>
                <c:pt idx="6">
                  <c:v>2018</c:v>
                </c:pt>
              </c:numCache>
            </c:numRef>
          </c:cat>
          <c:val>
            <c:numRef>
              <c:f>'Graphs_7-yrs_avg'!$F$88:$L$88</c:f>
              <c:numCache>
                <c:formatCode>0.000</c:formatCode>
                <c:ptCount val="7"/>
                <c:pt idx="0">
                  <c:v>4.4190000000000005</c:v>
                </c:pt>
                <c:pt idx="1">
                  <c:v>3.3349387244525839</c:v>
                </c:pt>
                <c:pt idx="2">
                  <c:v>3.2851720096057186</c:v>
                </c:pt>
                <c:pt idx="3">
                  <c:v>3.8530000000000002</c:v>
                </c:pt>
                <c:pt idx="4">
                  <c:v>3.388848314493158</c:v>
                </c:pt>
                <c:pt idx="5">
                  <c:v>2.8454350165676132</c:v>
                </c:pt>
                <c:pt idx="6">
                  <c:v>3.1607082046076789</c:v>
                </c:pt>
              </c:numCache>
            </c:numRef>
          </c:val>
          <c:smooth val="0"/>
          <c:extLst xmlns:c16r2="http://schemas.microsoft.com/office/drawing/2015/06/chart">
            <c:ext xmlns:c16="http://schemas.microsoft.com/office/drawing/2014/chart" uri="{C3380CC4-5D6E-409C-BE32-E72D297353CC}">
              <c16:uniqueId val="{00000005-08A5-4B33-88AC-06104280780B}"/>
            </c:ext>
          </c:extLst>
        </c:ser>
        <c:dLbls>
          <c:showLegendKey val="0"/>
          <c:showVal val="0"/>
          <c:showCatName val="0"/>
          <c:showSerName val="0"/>
          <c:showPercent val="0"/>
          <c:showBubbleSize val="0"/>
        </c:dLbls>
        <c:marker val="1"/>
        <c:smooth val="0"/>
        <c:axId val="101541760"/>
        <c:axId val="101543296"/>
      </c:lineChart>
      <c:catAx>
        <c:axId val="101541760"/>
        <c:scaling>
          <c:orientation val="minMax"/>
        </c:scaling>
        <c:delete val="0"/>
        <c:axPos val="b"/>
        <c:numFmt formatCode="General" sourceLinked="1"/>
        <c:majorTickMark val="out"/>
        <c:minorTickMark val="none"/>
        <c:tickLblPos val="nextTo"/>
        <c:crossAx val="101543296"/>
        <c:crosses val="autoZero"/>
        <c:auto val="1"/>
        <c:lblAlgn val="ctr"/>
        <c:lblOffset val="100"/>
        <c:noMultiLvlLbl val="0"/>
      </c:catAx>
      <c:valAx>
        <c:axId val="101543296"/>
        <c:scaling>
          <c:orientation val="minMax"/>
        </c:scaling>
        <c:delete val="0"/>
        <c:axPos val="l"/>
        <c:majorGridlines>
          <c:spPr>
            <a:ln>
              <a:solidFill>
                <a:schemeClr val="accent6">
                  <a:lumMod val="40000"/>
                  <a:lumOff val="60000"/>
                </a:schemeClr>
              </a:solidFill>
            </a:ln>
          </c:spPr>
        </c:majorGridlines>
        <c:numFmt formatCode="0.0" sourceLinked="0"/>
        <c:majorTickMark val="out"/>
        <c:minorTickMark val="none"/>
        <c:tickLblPos val="nextTo"/>
        <c:crossAx val="101541760"/>
        <c:crosses val="autoZero"/>
        <c:crossBetween val="between"/>
        <c:majorUnit val="0.5"/>
      </c:valAx>
    </c:plotArea>
    <c:legend>
      <c:legendPos val="r"/>
      <c:layout>
        <c:manualLayout>
          <c:xMode val="edge"/>
          <c:yMode val="edge"/>
          <c:x val="0.7321663469870805"/>
          <c:y val="0.16351991247198697"/>
          <c:w val="0.21505015471383654"/>
          <c:h val="0.70172157214241826"/>
        </c:manualLayout>
      </c:layout>
      <c:overlay val="0"/>
    </c:legend>
    <c:plotVisOnly val="1"/>
    <c:dispBlanksAs val="gap"/>
    <c:showDLblsOverMax val="0"/>
  </c:chart>
  <c:spPr>
    <a:ln>
      <a:solidFill>
        <a:srgbClr val="D9D9D9"/>
      </a:solidFill>
    </a:ln>
  </c:spPr>
  <c:txPr>
    <a:bodyPr/>
    <a:lstStyle/>
    <a:p>
      <a:pPr>
        <a:defRPr>
          <a:ln>
            <a:noFill/>
          </a:ln>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Total impact on the EU budget of EUR 1</a:t>
            </a:r>
            <a:r>
              <a:rPr lang="en-US" sz="1200" baseline="0"/>
              <a:t> 678 </a:t>
            </a:r>
            <a:r>
              <a:rPr lang="en-US" sz="1200"/>
              <a:t>million:</a:t>
            </a:r>
          </a:p>
        </c:rich>
      </c:tx>
      <c:overlay val="0"/>
    </c:title>
    <c:autoTitleDeleted val="0"/>
    <c:plotArea>
      <c:layout/>
      <c:doughnutChart>
        <c:varyColors val="1"/>
        <c:ser>
          <c:idx val="0"/>
          <c:order val="0"/>
          <c:tx>
            <c:strRef>
              <c:f>'Graph 1.3.1_EUR'!$D$3</c:f>
              <c:strCache>
                <c:ptCount val="1"/>
                <c:pt idx="0">
                  <c:v>Total impact on the EU budget of EUR 1 678 million:</c:v>
                </c:pt>
              </c:strCache>
            </c:strRef>
          </c:tx>
          <c:dPt>
            <c:idx val="0"/>
            <c:bubble3D val="0"/>
            <c:spPr>
              <a:solidFill>
                <a:schemeClr val="bg2">
                  <a:lumMod val="40000"/>
                  <a:lumOff val="60000"/>
                </a:schemeClr>
              </a:solidFill>
            </c:spPr>
            <c:extLst xmlns:c16r2="http://schemas.microsoft.com/office/drawing/2015/06/chart">
              <c:ext xmlns:c16="http://schemas.microsoft.com/office/drawing/2014/chart" uri="{C3380CC4-5D6E-409C-BE32-E72D297353CC}">
                <c16:uniqueId val="{00000001-3355-4124-89AB-10C264AAB5E6}"/>
              </c:ext>
            </c:extLst>
          </c:dPt>
          <c:dPt>
            <c:idx val="1"/>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3-3355-4124-89AB-10C264AAB5E6}"/>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'Graph 1.3.1_EUR'!$C$4:$C$5</c:f>
              <c:strCache>
                <c:ptCount val="2"/>
                <c:pt idx="0">
                  <c:v>Net financial corrections implemented* 
EUR 1 228 million</c:v>
                </c:pt>
                <c:pt idx="1">
                  <c:v>Recoveries implemented**  
EUR 450 million</c:v>
                </c:pt>
              </c:strCache>
            </c:strRef>
          </c:cat>
          <c:val>
            <c:numRef>
              <c:f>'Graph 1.3.1_EUR'!$D$4:$D$5</c:f>
              <c:numCache>
                <c:formatCode>#\ ##0</c:formatCode>
                <c:ptCount val="2"/>
                <c:pt idx="0">
                  <c:v>1228.1775363249999</c:v>
                </c:pt>
                <c:pt idx="1">
                  <c:v>449.65167498999995</c:v>
                </c:pt>
              </c:numCache>
            </c:numRef>
          </c:val>
          <c:extLst xmlns:c16r2="http://schemas.microsoft.com/office/drawing/2015/06/chart">
            <c:ext xmlns:c16="http://schemas.microsoft.com/office/drawing/2014/chart" uri="{C3380CC4-5D6E-409C-BE32-E72D297353CC}">
              <c16:uniqueId val="{00000004-3355-4124-89AB-10C264AAB5E6}"/>
            </c:ext>
          </c:extLst>
        </c:ser>
        <c:dLbls>
          <c:showLegendKey val="0"/>
          <c:showVal val="0"/>
          <c:showCatName val="0"/>
          <c:showSerName val="0"/>
          <c:showPercent val="1"/>
          <c:showBubbleSize val="0"/>
          <c:showLeaderLines val="1"/>
        </c:dLbls>
        <c:firstSliceAng val="0"/>
        <c:holeSize val="50"/>
      </c:doughnutChart>
    </c:plotArea>
    <c:legend>
      <c:legendPos val="b"/>
      <c:layout>
        <c:manualLayout>
          <c:xMode val="edge"/>
          <c:yMode val="edge"/>
          <c:x val="0.20441021514027555"/>
          <c:y val="0.79089875837805079"/>
          <c:w val="0.71670573947734795"/>
          <c:h val="0.18132327209098861"/>
        </c:manualLayout>
      </c:layout>
      <c:overlay val="0"/>
      <c:txPr>
        <a:bodyPr/>
        <a:lstStyle/>
        <a:p>
          <a:pPr rtl="0">
            <a:defRPr/>
          </a:pPr>
          <a:endParaRPr lang="en-US"/>
        </a:p>
      </c:txPr>
    </c:legend>
    <c:plotVisOnly val="1"/>
    <c:dispBlanksAs val="gap"/>
    <c:showDLblsOverMax val="0"/>
  </c:chart>
  <c:spPr>
    <a:ln>
      <a:solidFill>
        <a:srgbClr val="D9D9D9"/>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Cumulative EAGF clearance decisions 1999-2018</a:t>
            </a:r>
          </a:p>
        </c:rich>
      </c:tx>
      <c:overlay val="0"/>
    </c:title>
    <c:autoTitleDeleted val="0"/>
    <c:plotArea>
      <c:layout>
        <c:manualLayout>
          <c:layoutTarget val="inner"/>
          <c:xMode val="edge"/>
          <c:yMode val="edge"/>
          <c:x val="0.11607559753476419"/>
          <c:y val="0.1339419672893053"/>
          <c:w val="0.74344454498199952"/>
          <c:h val="0.57400289329901588"/>
        </c:manualLayout>
      </c:layout>
      <c:barChart>
        <c:barDir val="col"/>
        <c:grouping val="clustered"/>
        <c:varyColors val="0"/>
        <c:ser>
          <c:idx val="0"/>
          <c:order val="0"/>
          <c:tx>
            <c:strRef>
              <c:f>'Graph 2.4 2018'!$A$3</c:f>
              <c:strCache>
                <c:ptCount val="1"/>
                <c:pt idx="0">
                  <c:v>Total amount of financial corrections</c:v>
                </c:pt>
              </c:strCache>
            </c:strRef>
          </c:tx>
          <c:spPr>
            <a:solidFill>
              <a:srgbClr val="C00000"/>
            </a:solidFill>
          </c:spPr>
          <c:invertIfNegative val="0"/>
          <c:cat>
            <c:strRef>
              <c:f>'Graph 2.4 2018'!$C$4:$C$31</c:f>
              <c:strCache>
                <c:ptCount val="28"/>
                <c:pt idx="0">
                  <c:v>Greece</c:v>
                </c:pt>
                <c:pt idx="1">
                  <c:v>Portugal</c:v>
                </c:pt>
                <c:pt idx="2">
                  <c:v>Italy</c:v>
                </c:pt>
                <c:pt idx="3">
                  <c:v>France</c:v>
                </c:pt>
                <c:pt idx="4">
                  <c:v>United Kingdom</c:v>
                </c:pt>
                <c:pt idx="5">
                  <c:v>Cyprus</c:v>
                </c:pt>
                <c:pt idx="6">
                  <c:v>Spain</c:v>
                </c:pt>
                <c:pt idx="7">
                  <c:v>Slovenia</c:v>
                </c:pt>
                <c:pt idx="8">
                  <c:v>Bulgaria</c:v>
                </c:pt>
                <c:pt idx="9">
                  <c:v>Romania</c:v>
                </c:pt>
                <c:pt idx="10">
                  <c:v>Netherlands</c:v>
                </c:pt>
                <c:pt idx="11">
                  <c:v>Poland</c:v>
                </c:pt>
                <c:pt idx="12">
                  <c:v>Sweden</c:v>
                </c:pt>
                <c:pt idx="13">
                  <c:v>Hungary</c:v>
                </c:pt>
                <c:pt idx="14">
                  <c:v>Denmark</c:v>
                </c:pt>
                <c:pt idx="15">
                  <c:v>Luxembourg</c:v>
                </c:pt>
                <c:pt idx="16">
                  <c:v>Lithuania</c:v>
                </c:pt>
                <c:pt idx="17">
                  <c:v>Belgium</c:v>
                </c:pt>
                <c:pt idx="18">
                  <c:v>Czechia</c:v>
                </c:pt>
                <c:pt idx="19">
                  <c:v>Slovakia</c:v>
                </c:pt>
                <c:pt idx="20">
                  <c:v>Ireland</c:v>
                </c:pt>
                <c:pt idx="21">
                  <c:v>Finland</c:v>
                </c:pt>
                <c:pt idx="22">
                  <c:v>Germany</c:v>
                </c:pt>
                <c:pt idx="23">
                  <c:v>Malta</c:v>
                </c:pt>
                <c:pt idx="24">
                  <c:v>Austria</c:v>
                </c:pt>
                <c:pt idx="25">
                  <c:v>Estonia</c:v>
                </c:pt>
                <c:pt idx="26">
                  <c:v>Croatia</c:v>
                </c:pt>
                <c:pt idx="27">
                  <c:v>Latvia</c:v>
                </c:pt>
              </c:strCache>
            </c:strRef>
          </c:cat>
          <c:val>
            <c:numRef>
              <c:f>'Graph 2.4 2018'!$A$4:$A$31</c:f>
              <c:numCache>
                <c:formatCode>#\ ##0</c:formatCode>
                <c:ptCount val="28"/>
                <c:pt idx="0">
                  <c:v>49011.243946750677</c:v>
                </c:pt>
                <c:pt idx="1">
                  <c:v>14052.009893015458</c:v>
                </c:pt>
                <c:pt idx="2">
                  <c:v>90496.328413785552</c:v>
                </c:pt>
                <c:pt idx="3">
                  <c:v>172399.80227090744</c:v>
                </c:pt>
                <c:pt idx="4">
                  <c:v>70862.957173798306</c:v>
                </c:pt>
                <c:pt idx="5">
                  <c:v>626.38625690830395</c:v>
                </c:pt>
                <c:pt idx="6">
                  <c:v>113023.26601003084</c:v>
                </c:pt>
                <c:pt idx="7">
                  <c:v>1338.6842974887234</c:v>
                </c:pt>
                <c:pt idx="8">
                  <c:v>5629.8306611526059</c:v>
                </c:pt>
                <c:pt idx="9">
                  <c:v>12789.737349615047</c:v>
                </c:pt>
                <c:pt idx="10">
                  <c:v>20484.636702389773</c:v>
                </c:pt>
                <c:pt idx="11">
                  <c:v>34031.013582260457</c:v>
                </c:pt>
                <c:pt idx="12">
                  <c:v>14029.169657835697</c:v>
                </c:pt>
                <c:pt idx="13">
                  <c:v>13902.99052854844</c:v>
                </c:pt>
                <c:pt idx="14">
                  <c:v>20795.005207106973</c:v>
                </c:pt>
                <c:pt idx="15">
                  <c:v>624.34593382222477</c:v>
                </c:pt>
                <c:pt idx="16">
                  <c:v>4271.3593374004558</c:v>
                </c:pt>
                <c:pt idx="17">
                  <c:v>14604.946078421419</c:v>
                </c:pt>
                <c:pt idx="18">
                  <c:v>9113.6412885296995</c:v>
                </c:pt>
                <c:pt idx="19">
                  <c:v>4226.5715926781304</c:v>
                </c:pt>
                <c:pt idx="20">
                  <c:v>25622.886686246005</c:v>
                </c:pt>
                <c:pt idx="21">
                  <c:v>10580.171725730926</c:v>
                </c:pt>
                <c:pt idx="22">
                  <c:v>107985.46666974951</c:v>
                </c:pt>
                <c:pt idx="23">
                  <c:v>53.906969443066664</c:v>
                </c:pt>
                <c:pt idx="24">
                  <c:v>14049.621965720968</c:v>
                </c:pt>
                <c:pt idx="25">
                  <c:v>1116.5582183512424</c:v>
                </c:pt>
                <c:pt idx="26">
                  <c:v>902.31006710035297</c:v>
                </c:pt>
                <c:pt idx="27">
                  <c:v>1711.2976113888749</c:v>
                </c:pt>
              </c:numCache>
            </c:numRef>
          </c:val>
          <c:extLst xmlns:c16r2="http://schemas.microsoft.com/office/drawing/2015/06/chart">
            <c:ext xmlns:c16="http://schemas.microsoft.com/office/drawing/2014/chart" uri="{C3380CC4-5D6E-409C-BE32-E72D297353CC}">
              <c16:uniqueId val="{00000000-CE77-49A1-9E8C-03755FB55620}"/>
            </c:ext>
          </c:extLst>
        </c:ser>
        <c:dLbls>
          <c:showLegendKey val="0"/>
          <c:showVal val="0"/>
          <c:showCatName val="0"/>
          <c:showSerName val="0"/>
          <c:showPercent val="0"/>
          <c:showBubbleSize val="0"/>
        </c:dLbls>
        <c:gapWidth val="150"/>
        <c:axId val="100484224"/>
        <c:axId val="100485760"/>
      </c:barChart>
      <c:lineChart>
        <c:grouping val="standard"/>
        <c:varyColors val="0"/>
        <c:ser>
          <c:idx val="1"/>
          <c:order val="1"/>
          <c:tx>
            <c:strRef>
              <c:f>'Graph 2.4 2018'!$B$3</c:f>
              <c:strCache>
                <c:ptCount val="1"/>
                <c:pt idx="0">
                  <c:v>% Financial corrections as compared to payments received from EU budget</c:v>
                </c:pt>
              </c:strCache>
            </c:strRef>
          </c:tx>
          <c:spPr>
            <a:ln w="22225">
              <a:solidFill>
                <a:schemeClr val="accent1"/>
              </a:solidFill>
            </a:ln>
          </c:spPr>
          <c:marker>
            <c:spPr>
              <a:solidFill>
                <a:schemeClr val="accent1"/>
              </a:solidFill>
              <a:ln>
                <a:solidFill>
                  <a:schemeClr val="accent1"/>
                </a:solidFill>
              </a:ln>
            </c:spPr>
          </c:marker>
          <c:dPt>
            <c:idx val="7"/>
            <c:bubble3D val="0"/>
            <c:spPr>
              <a:ln w="12700">
                <a:solidFill>
                  <a:schemeClr val="accent1"/>
                </a:solidFill>
              </a:ln>
            </c:spPr>
            <c:extLst xmlns:c16r2="http://schemas.microsoft.com/office/drawing/2015/06/chart">
              <c:ext xmlns:c16="http://schemas.microsoft.com/office/drawing/2014/chart" uri="{C3380CC4-5D6E-409C-BE32-E72D297353CC}">
                <c16:uniqueId val="{00000002-CE77-49A1-9E8C-03755FB55620}"/>
              </c:ext>
            </c:extLst>
          </c:dPt>
          <c:val>
            <c:numRef>
              <c:f>'Graph 2.4 2018'!$B$4:$B$31</c:f>
              <c:numCache>
                <c:formatCode>#,#00%</c:formatCode>
                <c:ptCount val="28"/>
                <c:pt idx="0">
                  <c:v>5.9320590085218901E-2</c:v>
                </c:pt>
                <c:pt idx="1">
                  <c:v>2.8585248600939708E-2</c:v>
                </c:pt>
                <c:pt idx="2">
                  <c:v>2.7659074012789983E-2</c:v>
                </c:pt>
                <c:pt idx="3">
                  <c:v>1.9837285870475591E-2</c:v>
                </c:pt>
                <c:pt idx="4">
                  <c:v>1.9348034150975749E-2</c:v>
                </c:pt>
                <c:pt idx="5">
                  <c:v>1.8282625980139494E-2</c:v>
                </c:pt>
                <c:pt idx="6">
                  <c:v>1.6900187960760902E-2</c:v>
                </c:pt>
                <c:pt idx="7">
                  <c:v>1.5117667325821513E-2</c:v>
                </c:pt>
                <c:pt idx="8">
                  <c:v>1.4099111459553077E-2</c:v>
                </c:pt>
                <c:pt idx="9">
                  <c:v>1.2352005296242845E-2</c:v>
                </c:pt>
                <c:pt idx="10">
                  <c:v>1.2292978402279098E-2</c:v>
                </c:pt>
                <c:pt idx="11">
                  <c:v>1.1014098146113382E-2</c:v>
                </c:pt>
                <c:pt idx="12">
                  <c:v>9.7649250005799656E-3</c:v>
                </c:pt>
                <c:pt idx="13">
                  <c:v>9.6396966882673057E-3</c:v>
                </c:pt>
                <c:pt idx="14">
                  <c:v>9.4403910488474671E-3</c:v>
                </c:pt>
                <c:pt idx="15">
                  <c:v>9.4266643254681936E-3</c:v>
                </c:pt>
                <c:pt idx="16">
                  <c:v>6.0185676119920636E-3</c:v>
                </c:pt>
                <c:pt idx="17">
                  <c:v>4.6113496299654303E-3</c:v>
                </c:pt>
                <c:pt idx="18">
                  <c:v>4.6030577426166902E-3</c:v>
                </c:pt>
                <c:pt idx="19">
                  <c:v>4.2881213727450074E-3</c:v>
                </c:pt>
                <c:pt idx="20">
                  <c:v>4.2354060453392356E-3</c:v>
                </c:pt>
                <c:pt idx="21">
                  <c:v>3.4906079334502196E-3</c:v>
                </c:pt>
                <c:pt idx="22">
                  <c:v>1.8798517421283491E-3</c:v>
                </c:pt>
                <c:pt idx="23">
                  <c:v>1.8378303797290465E-3</c:v>
                </c:pt>
                <c:pt idx="24">
                  <c:v>1.7111208758543342E-3</c:v>
                </c:pt>
                <c:pt idx="25">
                  <c:v>8.8033093469273122E-4</c:v>
                </c:pt>
                <c:pt idx="26">
                  <c:v>4.7833972570761221E-4</c:v>
                </c:pt>
                <c:pt idx="27">
                  <c:v>3.8942436342621255E-4</c:v>
                </c:pt>
              </c:numCache>
            </c:numRef>
          </c:val>
          <c:smooth val="0"/>
          <c:extLst xmlns:c16r2="http://schemas.microsoft.com/office/drawing/2015/06/chart">
            <c:ext xmlns:c16="http://schemas.microsoft.com/office/drawing/2014/chart" uri="{C3380CC4-5D6E-409C-BE32-E72D297353CC}">
              <c16:uniqueId val="{00000003-CE77-49A1-9E8C-03755FB55620}"/>
            </c:ext>
          </c:extLst>
        </c:ser>
        <c:dLbls>
          <c:showLegendKey val="0"/>
          <c:showVal val="0"/>
          <c:showCatName val="0"/>
          <c:showSerName val="0"/>
          <c:showPercent val="0"/>
          <c:showBubbleSize val="0"/>
        </c:dLbls>
        <c:marker val="1"/>
        <c:smooth val="0"/>
        <c:axId val="100498048"/>
        <c:axId val="100496128"/>
      </c:lineChart>
      <c:catAx>
        <c:axId val="100484224"/>
        <c:scaling>
          <c:orientation val="minMax"/>
        </c:scaling>
        <c:delete val="0"/>
        <c:axPos val="b"/>
        <c:numFmt formatCode="General" sourceLinked="1"/>
        <c:majorTickMark val="none"/>
        <c:minorTickMark val="none"/>
        <c:tickLblPos val="nextTo"/>
        <c:txPr>
          <a:bodyPr/>
          <a:lstStyle/>
          <a:p>
            <a:pPr>
              <a:defRPr sz="700"/>
            </a:pPr>
            <a:endParaRPr lang="en-US"/>
          </a:p>
        </c:txPr>
        <c:crossAx val="100485760"/>
        <c:crosses val="autoZero"/>
        <c:auto val="1"/>
        <c:lblAlgn val="ctr"/>
        <c:lblOffset val="100"/>
        <c:noMultiLvlLbl val="0"/>
      </c:catAx>
      <c:valAx>
        <c:axId val="100485760"/>
        <c:scaling>
          <c:orientation val="minMax"/>
        </c:scaling>
        <c:delete val="0"/>
        <c:axPos val="l"/>
        <c:title>
          <c:tx>
            <c:rich>
              <a:bodyPr/>
              <a:lstStyle/>
              <a:p>
                <a:pPr>
                  <a:defRPr sz="800">
                    <a:solidFill>
                      <a:srgbClr val="CC3300"/>
                    </a:solidFill>
                  </a:defRPr>
                </a:pPr>
                <a:r>
                  <a:rPr lang="en-GB" sz="800">
                    <a:solidFill>
                      <a:srgbClr val="CC3300"/>
                    </a:solidFill>
                  </a:rPr>
                  <a:t>Financial corrections in EUR million</a:t>
                </a:r>
              </a:p>
            </c:rich>
          </c:tx>
          <c:layout>
            <c:manualLayout>
              <c:xMode val="edge"/>
              <c:yMode val="edge"/>
              <c:x val="1.6252767191311669E-2"/>
              <c:y val="0.21506565345532927"/>
            </c:manualLayout>
          </c:layout>
          <c:overlay val="0"/>
          <c:spPr>
            <a:solidFill>
              <a:sysClr val="window" lastClr="FFFFFF"/>
            </a:solidFill>
          </c:spPr>
        </c:title>
        <c:numFmt formatCode="#\ ##0" sourceLinked="1"/>
        <c:majorTickMark val="out"/>
        <c:minorTickMark val="none"/>
        <c:tickLblPos val="nextTo"/>
        <c:txPr>
          <a:bodyPr/>
          <a:lstStyle/>
          <a:p>
            <a:pPr>
              <a:defRPr sz="700"/>
            </a:pPr>
            <a:endParaRPr lang="en-US"/>
          </a:p>
        </c:txPr>
        <c:crossAx val="100484224"/>
        <c:crosses val="autoZero"/>
        <c:crossBetween val="between"/>
      </c:valAx>
      <c:valAx>
        <c:axId val="100496128"/>
        <c:scaling>
          <c:orientation val="minMax"/>
        </c:scaling>
        <c:delete val="0"/>
        <c:axPos val="r"/>
        <c:title>
          <c:tx>
            <c:rich>
              <a:bodyPr rot="-5400000" vert="horz"/>
              <a:lstStyle/>
              <a:p>
                <a:pPr>
                  <a:defRPr sz="700">
                    <a:solidFill>
                      <a:schemeClr val="tx1">
                        <a:lumMod val="50000"/>
                        <a:lumOff val="50000"/>
                      </a:schemeClr>
                    </a:solidFill>
                  </a:defRPr>
                </a:pPr>
                <a:r>
                  <a:rPr lang="en-GB" sz="700">
                    <a:solidFill>
                      <a:schemeClr val="tx1">
                        <a:lumMod val="50000"/>
                        <a:lumOff val="50000"/>
                      </a:schemeClr>
                    </a:solidFill>
                  </a:rPr>
                  <a:t>% of financial corrections to payments received</a:t>
                </a:r>
              </a:p>
            </c:rich>
          </c:tx>
          <c:layout>
            <c:manualLayout>
              <c:xMode val="edge"/>
              <c:yMode val="edge"/>
              <c:x val="0.94067687692668445"/>
              <c:y val="0.21786002150188893"/>
            </c:manualLayout>
          </c:layout>
          <c:overlay val="0"/>
        </c:title>
        <c:numFmt formatCode="0.0%" sourceLinked="0"/>
        <c:majorTickMark val="out"/>
        <c:minorTickMark val="none"/>
        <c:tickLblPos val="nextTo"/>
        <c:txPr>
          <a:bodyPr/>
          <a:lstStyle/>
          <a:p>
            <a:pPr>
              <a:defRPr sz="700"/>
            </a:pPr>
            <a:endParaRPr lang="en-US"/>
          </a:p>
        </c:txPr>
        <c:crossAx val="100498048"/>
        <c:crosses val="max"/>
        <c:crossBetween val="between"/>
      </c:valAx>
      <c:catAx>
        <c:axId val="100498048"/>
        <c:scaling>
          <c:orientation val="minMax"/>
        </c:scaling>
        <c:delete val="1"/>
        <c:axPos val="b"/>
        <c:majorTickMark val="out"/>
        <c:minorTickMark val="none"/>
        <c:tickLblPos val="nextTo"/>
        <c:crossAx val="100496128"/>
        <c:crosses val="autoZero"/>
        <c:auto val="1"/>
        <c:lblAlgn val="ctr"/>
        <c:lblOffset val="100"/>
        <c:noMultiLvlLbl val="0"/>
      </c:catAx>
    </c:plotArea>
    <c:legend>
      <c:legendPos val="b"/>
      <c:layout>
        <c:manualLayout>
          <c:xMode val="edge"/>
          <c:yMode val="edge"/>
          <c:x val="7.509537039327753E-2"/>
          <c:y val="0.88373988720517482"/>
          <c:w val="0.8999996426503466"/>
          <c:h val="4.83661958720049E-2"/>
        </c:manualLayout>
      </c:layout>
      <c:overlay val="0"/>
      <c:txPr>
        <a:bodyPr/>
        <a:lstStyle/>
        <a:p>
          <a:pPr>
            <a:defRPr sz="700"/>
          </a:pPr>
          <a:endParaRPr lang="en-US"/>
        </a:p>
      </c:txPr>
    </c:legend>
    <c:plotVisOnly val="1"/>
    <c:dispBlanksAs val="gap"/>
    <c:showDLblsOverMax val="0"/>
  </c:chart>
  <c:spPr>
    <a:ln>
      <a:solidFill>
        <a:srgbClr val="D9D9D9"/>
      </a:solidFill>
    </a:ln>
  </c:spPr>
  <c:txPr>
    <a:bodyPr/>
    <a:lstStyle/>
    <a:p>
      <a:pPr>
        <a:defRPr sz="900"/>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Programming period  2007-2013</a:t>
            </a:r>
          </a:p>
        </c:rich>
      </c:tx>
      <c:overlay val="1"/>
    </c:title>
    <c:autoTitleDeleted val="0"/>
    <c:plotArea>
      <c:layout>
        <c:manualLayout>
          <c:layoutTarget val="inner"/>
          <c:xMode val="edge"/>
          <c:yMode val="edge"/>
          <c:x val="0.12398674480758398"/>
          <c:y val="0.1287064994786494"/>
          <c:w val="0.75383834407062755"/>
          <c:h val="0.63697194734173612"/>
        </c:manualLayout>
      </c:layout>
      <c:barChart>
        <c:barDir val="col"/>
        <c:grouping val="stacked"/>
        <c:varyColors val="0"/>
        <c:ser>
          <c:idx val="0"/>
          <c:order val="0"/>
          <c:tx>
            <c:strRef>
              <c:f>'Graph 5.4.2-initial'!$C$4</c:f>
              <c:strCache>
                <c:ptCount val="1"/>
                <c:pt idx="0">
                  <c:v>ERDF total FC</c:v>
                </c:pt>
              </c:strCache>
            </c:strRef>
          </c:tx>
          <c:spPr>
            <a:solidFill>
              <a:schemeClr val="bg2">
                <a:lumMod val="75000"/>
              </a:schemeClr>
            </a:solidFill>
          </c:spPr>
          <c:invertIfNegative val="0"/>
          <c:cat>
            <c:strRef>
              <c:f>'Graph 5.4.2-initial'!$B$5:$B$33</c:f>
              <c:strCache>
                <c:ptCount val="29"/>
                <c:pt idx="0">
                  <c:v>Romania</c:v>
                </c:pt>
                <c:pt idx="1">
                  <c:v>Slovakia</c:v>
                </c:pt>
                <c:pt idx="2">
                  <c:v>Hungary</c:v>
                </c:pt>
                <c:pt idx="3">
                  <c:v>Czechia</c:v>
                </c:pt>
                <c:pt idx="4">
                  <c:v>Ireland</c:v>
                </c:pt>
                <c:pt idx="5">
                  <c:v>Greece</c:v>
                </c:pt>
                <c:pt idx="6">
                  <c:v>Bulgaria</c:v>
                </c:pt>
                <c:pt idx="7">
                  <c:v>Spain</c:v>
                </c:pt>
                <c:pt idx="8">
                  <c:v>Latvia</c:v>
                </c:pt>
                <c:pt idx="9">
                  <c:v>Italy</c:v>
                </c:pt>
                <c:pt idx="10">
                  <c:v>Malta</c:v>
                </c:pt>
                <c:pt idx="11">
                  <c:v>Austria</c:v>
                </c:pt>
                <c:pt idx="12">
                  <c:v>United Kingdom</c:v>
                </c:pt>
                <c:pt idx="13">
                  <c:v>Poland</c:v>
                </c:pt>
                <c:pt idx="14">
                  <c:v>Slovenia</c:v>
                </c:pt>
                <c:pt idx="15">
                  <c:v>Germany</c:v>
                </c:pt>
                <c:pt idx="16">
                  <c:v>Belgium</c:v>
                </c:pt>
                <c:pt idx="17">
                  <c:v>France</c:v>
                </c:pt>
                <c:pt idx="18">
                  <c:v>Portugal</c:v>
                </c:pt>
                <c:pt idx="19">
                  <c:v>Estonia</c:v>
                </c:pt>
                <c:pt idx="20">
                  <c:v>Sweden</c:v>
                </c:pt>
                <c:pt idx="21">
                  <c:v>Interreg</c:v>
                </c:pt>
                <c:pt idx="22">
                  <c:v>Luxembourg</c:v>
                </c:pt>
                <c:pt idx="23">
                  <c:v>Finland</c:v>
                </c:pt>
                <c:pt idx="24">
                  <c:v>Denmark</c:v>
                </c:pt>
                <c:pt idx="25">
                  <c:v>Lithuania</c:v>
                </c:pt>
                <c:pt idx="26">
                  <c:v>Cyprus</c:v>
                </c:pt>
                <c:pt idx="27">
                  <c:v>Croatia</c:v>
                </c:pt>
                <c:pt idx="28">
                  <c:v>Netherlands</c:v>
                </c:pt>
              </c:strCache>
            </c:strRef>
          </c:cat>
          <c:val>
            <c:numRef>
              <c:f>'Graph 5.4.2-initial'!$C$5:$C$33</c:f>
              <c:numCache>
                <c:formatCode>###\ ###\ ###\ ##0</c:formatCode>
                <c:ptCount val="29"/>
                <c:pt idx="0">
                  <c:v>580.36500423452435</c:v>
                </c:pt>
                <c:pt idx="1">
                  <c:v>429.3359273614999</c:v>
                </c:pt>
                <c:pt idx="2">
                  <c:v>1023.0650535357901</c:v>
                </c:pt>
                <c:pt idx="3">
                  <c:v>776.28458695449979</c:v>
                </c:pt>
                <c:pt idx="4">
                  <c:v>2.3844094999999998</c:v>
                </c:pt>
                <c:pt idx="5">
                  <c:v>484.84905524299984</c:v>
                </c:pt>
                <c:pt idx="6">
                  <c:v>148.81520861600001</c:v>
                </c:pt>
                <c:pt idx="7">
                  <c:v>398.76084862099987</c:v>
                </c:pt>
                <c:pt idx="8">
                  <c:v>62.642871440000008</c:v>
                </c:pt>
                <c:pt idx="9">
                  <c:v>310.01332019603399</c:v>
                </c:pt>
                <c:pt idx="10">
                  <c:v>11.00978392</c:v>
                </c:pt>
                <c:pt idx="11">
                  <c:v>16.17606421</c:v>
                </c:pt>
                <c:pt idx="12">
                  <c:v>61.406670366406807</c:v>
                </c:pt>
                <c:pt idx="13">
                  <c:v>577.50268293532383</c:v>
                </c:pt>
                <c:pt idx="14">
                  <c:v>49.452715234590002</c:v>
                </c:pt>
                <c:pt idx="15">
                  <c:v>161.19027330311204</c:v>
                </c:pt>
                <c:pt idx="16">
                  <c:v>3.0106011100000005</c:v>
                </c:pt>
                <c:pt idx="17">
                  <c:v>15.116088333574002</c:v>
                </c:pt>
                <c:pt idx="18">
                  <c:v>72.567561040000001</c:v>
                </c:pt>
                <c:pt idx="19">
                  <c:v>9.7335865049360031</c:v>
                </c:pt>
                <c:pt idx="20">
                  <c:v>0.72573756956745028</c:v>
                </c:pt>
                <c:pt idx="21">
                  <c:v>10.745236705000002</c:v>
                </c:pt>
                <c:pt idx="22">
                  <c:v>1.1081675499999999E-2</c:v>
                </c:pt>
                <c:pt idx="23">
                  <c:v>1.1038199999999999E-3</c:v>
                </c:pt>
                <c:pt idx="24">
                  <c:v>0</c:v>
                </c:pt>
                <c:pt idx="25">
                  <c:v>2.0422490000000001E-2</c:v>
                </c:pt>
                <c:pt idx="26">
                  <c:v>6.6100000000000002E-4</c:v>
                </c:pt>
                <c:pt idx="27">
                  <c:v>0.44177055999999998</c:v>
                </c:pt>
                <c:pt idx="28">
                  <c:v>0</c:v>
                </c:pt>
              </c:numCache>
            </c:numRef>
          </c:val>
          <c:extLst xmlns:c16r2="http://schemas.microsoft.com/office/drawing/2015/06/chart">
            <c:ext xmlns:c16="http://schemas.microsoft.com/office/drawing/2014/chart" uri="{C3380CC4-5D6E-409C-BE32-E72D297353CC}">
              <c16:uniqueId val="{00000000-5849-41BB-8E0A-2E0AB008188A}"/>
            </c:ext>
          </c:extLst>
        </c:ser>
        <c:ser>
          <c:idx val="1"/>
          <c:order val="1"/>
          <c:tx>
            <c:strRef>
              <c:f>'Graph 5.4.2-initial'!$D$4</c:f>
              <c:strCache>
                <c:ptCount val="1"/>
                <c:pt idx="0">
                  <c:v>ESF total FC</c:v>
                </c:pt>
              </c:strCache>
            </c:strRef>
          </c:tx>
          <c:spPr>
            <a:solidFill>
              <a:srgbClr val="B81C18"/>
            </a:solidFill>
          </c:spPr>
          <c:invertIfNegative val="0"/>
          <c:cat>
            <c:strRef>
              <c:f>'Graph 5.4.2-initial'!$B$5:$B$33</c:f>
              <c:strCache>
                <c:ptCount val="29"/>
                <c:pt idx="0">
                  <c:v>Romania</c:v>
                </c:pt>
                <c:pt idx="1">
                  <c:v>Slovakia</c:v>
                </c:pt>
                <c:pt idx="2">
                  <c:v>Hungary</c:v>
                </c:pt>
                <c:pt idx="3">
                  <c:v>Czechia</c:v>
                </c:pt>
                <c:pt idx="4">
                  <c:v>Ireland</c:v>
                </c:pt>
                <c:pt idx="5">
                  <c:v>Greece</c:v>
                </c:pt>
                <c:pt idx="6">
                  <c:v>Bulgaria</c:v>
                </c:pt>
                <c:pt idx="7">
                  <c:v>Spain</c:v>
                </c:pt>
                <c:pt idx="8">
                  <c:v>Latvia</c:v>
                </c:pt>
                <c:pt idx="9">
                  <c:v>Italy</c:v>
                </c:pt>
                <c:pt idx="10">
                  <c:v>Malta</c:v>
                </c:pt>
                <c:pt idx="11">
                  <c:v>Austria</c:v>
                </c:pt>
                <c:pt idx="12">
                  <c:v>United Kingdom</c:v>
                </c:pt>
                <c:pt idx="13">
                  <c:v>Poland</c:v>
                </c:pt>
                <c:pt idx="14">
                  <c:v>Slovenia</c:v>
                </c:pt>
                <c:pt idx="15">
                  <c:v>Germany</c:v>
                </c:pt>
                <c:pt idx="16">
                  <c:v>Belgium</c:v>
                </c:pt>
                <c:pt idx="17">
                  <c:v>France</c:v>
                </c:pt>
                <c:pt idx="18">
                  <c:v>Portugal</c:v>
                </c:pt>
                <c:pt idx="19">
                  <c:v>Estonia</c:v>
                </c:pt>
                <c:pt idx="20">
                  <c:v>Sweden</c:v>
                </c:pt>
                <c:pt idx="21">
                  <c:v>Interreg</c:v>
                </c:pt>
                <c:pt idx="22">
                  <c:v>Luxembourg</c:v>
                </c:pt>
                <c:pt idx="23">
                  <c:v>Finland</c:v>
                </c:pt>
                <c:pt idx="24">
                  <c:v>Denmark</c:v>
                </c:pt>
                <c:pt idx="25">
                  <c:v>Lithuania</c:v>
                </c:pt>
                <c:pt idx="26">
                  <c:v>Cyprus</c:v>
                </c:pt>
                <c:pt idx="27">
                  <c:v>Croatia</c:v>
                </c:pt>
                <c:pt idx="28">
                  <c:v>Netherlands</c:v>
                </c:pt>
              </c:strCache>
            </c:strRef>
          </c:cat>
          <c:val>
            <c:numRef>
              <c:f>'Graph 5.4.2-initial'!$D$5:$D$33</c:f>
              <c:numCache>
                <c:formatCode>###\ ###\ ###\ ##0</c:formatCode>
                <c:ptCount val="29"/>
                <c:pt idx="0">
                  <c:v>461.24726692000007</c:v>
                </c:pt>
                <c:pt idx="1">
                  <c:v>45.094383880000002</c:v>
                </c:pt>
                <c:pt idx="2">
                  <c:v>35.517624783793998</c:v>
                </c:pt>
                <c:pt idx="3">
                  <c:v>69.857524974</c:v>
                </c:pt>
                <c:pt idx="4">
                  <c:v>21.333537019999998</c:v>
                </c:pt>
                <c:pt idx="5">
                  <c:v>79.189680160000009</c:v>
                </c:pt>
                <c:pt idx="6">
                  <c:v>5.8656012579999999</c:v>
                </c:pt>
                <c:pt idx="7">
                  <c:v>373.86677127044396</c:v>
                </c:pt>
                <c:pt idx="8">
                  <c:v>4.4569955800000001</c:v>
                </c:pt>
                <c:pt idx="9">
                  <c:v>104.85625069991801</c:v>
                </c:pt>
                <c:pt idx="10">
                  <c:v>0.86924655999999989</c:v>
                </c:pt>
                <c:pt idx="11">
                  <c:v>1.5787810000000003E-2</c:v>
                </c:pt>
                <c:pt idx="12">
                  <c:v>60.428944030000004</c:v>
                </c:pt>
                <c:pt idx="13">
                  <c:v>157.52869904700907</c:v>
                </c:pt>
                <c:pt idx="14">
                  <c:v>9.6893401000000018E-2</c:v>
                </c:pt>
                <c:pt idx="15">
                  <c:v>32.061677640570004</c:v>
                </c:pt>
                <c:pt idx="16">
                  <c:v>13.733259988411998</c:v>
                </c:pt>
                <c:pt idx="17">
                  <c:v>68.552280525266283</c:v>
                </c:pt>
                <c:pt idx="18">
                  <c:v>15.718166330180001</c:v>
                </c:pt>
                <c:pt idx="19">
                  <c:v>3.9652200000000002E-3</c:v>
                </c:pt>
                <c:pt idx="20">
                  <c:v>0.41278300000000001</c:v>
                </c:pt>
                <c:pt idx="21">
                  <c:v>0</c:v>
                </c:pt>
                <c:pt idx="22">
                  <c:v>1.5224399999999999E-2</c:v>
                </c:pt>
                <c:pt idx="23">
                  <c:v>0.42384287440000001</c:v>
                </c:pt>
                <c:pt idx="24">
                  <c:v>1.5504298907115938E-2</c:v>
                </c:pt>
                <c:pt idx="25">
                  <c:v>2.7386805E-3</c:v>
                </c:pt>
                <c:pt idx="26">
                  <c:v>1.88924352</c:v>
                </c:pt>
                <c:pt idx="27">
                  <c:v>0</c:v>
                </c:pt>
                <c:pt idx="28">
                  <c:v>0</c:v>
                </c:pt>
              </c:numCache>
            </c:numRef>
          </c:val>
          <c:extLst xmlns:c16r2="http://schemas.microsoft.com/office/drawing/2015/06/chart">
            <c:ext xmlns:c16="http://schemas.microsoft.com/office/drawing/2014/chart" uri="{C3380CC4-5D6E-409C-BE32-E72D297353CC}">
              <c16:uniqueId val="{00000001-5849-41BB-8E0A-2E0AB008188A}"/>
            </c:ext>
          </c:extLst>
        </c:ser>
        <c:dLbls>
          <c:showLegendKey val="0"/>
          <c:showVal val="0"/>
          <c:showCatName val="0"/>
          <c:showSerName val="0"/>
          <c:showPercent val="0"/>
          <c:showBubbleSize val="0"/>
        </c:dLbls>
        <c:gapWidth val="150"/>
        <c:overlap val="100"/>
        <c:axId val="102013568"/>
        <c:axId val="102015360"/>
      </c:barChart>
      <c:lineChart>
        <c:grouping val="stacked"/>
        <c:varyColors val="0"/>
        <c:ser>
          <c:idx val="2"/>
          <c:order val="2"/>
          <c:tx>
            <c:strRef>
              <c:f>'Graph 5.4.2-initial'!$F$4</c:f>
              <c:strCache>
                <c:ptCount val="1"/>
                <c:pt idx="0">
                  <c:v>Financial corrections to contributions %</c:v>
                </c:pt>
              </c:strCache>
            </c:strRef>
          </c:tx>
          <c:cat>
            <c:strRef>
              <c:f>'Graph 5.4.2-initial'!$B$5:$B$33</c:f>
              <c:strCache>
                <c:ptCount val="29"/>
                <c:pt idx="0">
                  <c:v>Romania</c:v>
                </c:pt>
                <c:pt idx="1">
                  <c:v>Slovakia</c:v>
                </c:pt>
                <c:pt idx="2">
                  <c:v>Hungary</c:v>
                </c:pt>
                <c:pt idx="3">
                  <c:v>Czechia</c:v>
                </c:pt>
                <c:pt idx="4">
                  <c:v>Ireland</c:v>
                </c:pt>
                <c:pt idx="5">
                  <c:v>Greece</c:v>
                </c:pt>
                <c:pt idx="6">
                  <c:v>Bulgaria</c:v>
                </c:pt>
                <c:pt idx="7">
                  <c:v>Spain</c:v>
                </c:pt>
                <c:pt idx="8">
                  <c:v>Latvia</c:v>
                </c:pt>
                <c:pt idx="9">
                  <c:v>Italy</c:v>
                </c:pt>
                <c:pt idx="10">
                  <c:v>Malta</c:v>
                </c:pt>
                <c:pt idx="11">
                  <c:v>Austria</c:v>
                </c:pt>
                <c:pt idx="12">
                  <c:v>United Kingdom</c:v>
                </c:pt>
                <c:pt idx="13">
                  <c:v>Poland</c:v>
                </c:pt>
                <c:pt idx="14">
                  <c:v>Slovenia</c:v>
                </c:pt>
                <c:pt idx="15">
                  <c:v>Germany</c:v>
                </c:pt>
                <c:pt idx="16">
                  <c:v>Belgium</c:v>
                </c:pt>
                <c:pt idx="17">
                  <c:v>France</c:v>
                </c:pt>
                <c:pt idx="18">
                  <c:v>Portugal</c:v>
                </c:pt>
                <c:pt idx="19">
                  <c:v>Estonia</c:v>
                </c:pt>
                <c:pt idx="20">
                  <c:v>Sweden</c:v>
                </c:pt>
                <c:pt idx="21">
                  <c:v>Interreg</c:v>
                </c:pt>
                <c:pt idx="22">
                  <c:v>Luxembourg</c:v>
                </c:pt>
                <c:pt idx="23">
                  <c:v>Finland</c:v>
                </c:pt>
                <c:pt idx="24">
                  <c:v>Denmark</c:v>
                </c:pt>
                <c:pt idx="25">
                  <c:v>Lithuania</c:v>
                </c:pt>
                <c:pt idx="26">
                  <c:v>Cyprus</c:v>
                </c:pt>
                <c:pt idx="27">
                  <c:v>Croatia</c:v>
                </c:pt>
                <c:pt idx="28">
                  <c:v>Netherlands</c:v>
                </c:pt>
              </c:strCache>
            </c:strRef>
          </c:cat>
          <c:val>
            <c:numRef>
              <c:f>'Graph 5.4.2-initial'!$F$5:$F$33</c:f>
              <c:numCache>
                <c:formatCode>0.0%</c:formatCode>
                <c:ptCount val="29"/>
                <c:pt idx="0">
                  <c:v>5.5459330162824491E-2</c:v>
                </c:pt>
                <c:pt idx="1">
                  <c:v>4.1316753668808659E-2</c:v>
                </c:pt>
                <c:pt idx="2">
                  <c:v>4.25254015827672E-2</c:v>
                </c:pt>
                <c:pt idx="3">
                  <c:v>3.277235695803881E-2</c:v>
                </c:pt>
                <c:pt idx="4">
                  <c:v>3.159339927549637E-2</c:v>
                </c:pt>
                <c:pt idx="5">
                  <c:v>2.790853235313007E-2</c:v>
                </c:pt>
                <c:pt idx="6">
                  <c:v>2.3454170035375758E-2</c:v>
                </c:pt>
                <c:pt idx="7">
                  <c:v>2.2381410601558079E-2</c:v>
                </c:pt>
                <c:pt idx="8">
                  <c:v>1.4810869132760845E-2</c:v>
                </c:pt>
                <c:pt idx="9">
                  <c:v>1.4848566163187513E-2</c:v>
                </c:pt>
                <c:pt idx="10">
                  <c:v>1.4139631647840597E-2</c:v>
                </c:pt>
                <c:pt idx="11">
                  <c:v>1.3837139143969083E-2</c:v>
                </c:pt>
                <c:pt idx="12">
                  <c:v>1.2334421891295409E-2</c:v>
                </c:pt>
                <c:pt idx="13">
                  <c:v>1.0940319611184468E-2</c:v>
                </c:pt>
                <c:pt idx="14">
                  <c:v>1.2082180201578569E-2</c:v>
                </c:pt>
                <c:pt idx="15">
                  <c:v>7.5909968077849397E-3</c:v>
                </c:pt>
                <c:pt idx="16">
                  <c:v>8.1325887944222915E-3</c:v>
                </c:pt>
                <c:pt idx="17">
                  <c:v>6.1768158318726146E-3</c:v>
                </c:pt>
                <c:pt idx="18">
                  <c:v>4.1232738417501472E-3</c:v>
                </c:pt>
                <c:pt idx="19">
                  <c:v>2.8610743377045266E-3</c:v>
                </c:pt>
                <c:pt idx="20">
                  <c:v>7.0015758517051922E-4</c:v>
                </c:pt>
                <c:pt idx="21">
                  <c:v>1.350595279705205E-3</c:v>
                </c:pt>
                <c:pt idx="22">
                  <c:v>5.2104309057171008E-4</c:v>
                </c:pt>
                <c:pt idx="23">
                  <c:v>2.6626299224697037E-4</c:v>
                </c:pt>
                <c:pt idx="24">
                  <c:v>3.0425807356587872E-5</c:v>
                </c:pt>
                <c:pt idx="25">
                  <c:v>3.4183742946900327E-6</c:v>
                </c:pt>
                <c:pt idx="26">
                  <c:v>3.0858859220767713E-3</c:v>
                </c:pt>
                <c:pt idx="27">
                  <c:v>5.1471911828933022E-4</c:v>
                </c:pt>
                <c:pt idx="28">
                  <c:v>0</c:v>
                </c:pt>
              </c:numCache>
            </c:numRef>
          </c:val>
          <c:smooth val="0"/>
          <c:extLst xmlns:c16r2="http://schemas.microsoft.com/office/drawing/2015/06/chart">
            <c:ext xmlns:c16="http://schemas.microsoft.com/office/drawing/2014/chart" uri="{C3380CC4-5D6E-409C-BE32-E72D297353CC}">
              <c16:uniqueId val="{00000002-5849-41BB-8E0A-2E0AB008188A}"/>
            </c:ext>
          </c:extLst>
        </c:ser>
        <c:dLbls>
          <c:showLegendKey val="0"/>
          <c:showVal val="0"/>
          <c:showCatName val="0"/>
          <c:showSerName val="0"/>
          <c:showPercent val="0"/>
          <c:showBubbleSize val="0"/>
        </c:dLbls>
        <c:marker val="1"/>
        <c:smooth val="0"/>
        <c:axId val="102031744"/>
        <c:axId val="102017280"/>
      </c:lineChart>
      <c:catAx>
        <c:axId val="102013568"/>
        <c:scaling>
          <c:orientation val="minMax"/>
        </c:scaling>
        <c:delete val="0"/>
        <c:axPos val="b"/>
        <c:numFmt formatCode="General" sourceLinked="0"/>
        <c:majorTickMark val="out"/>
        <c:minorTickMark val="none"/>
        <c:tickLblPos val="nextTo"/>
        <c:txPr>
          <a:bodyPr/>
          <a:lstStyle/>
          <a:p>
            <a:pPr>
              <a:defRPr sz="700"/>
            </a:pPr>
            <a:endParaRPr lang="en-US"/>
          </a:p>
        </c:txPr>
        <c:crossAx val="102015360"/>
        <c:crosses val="autoZero"/>
        <c:auto val="1"/>
        <c:lblAlgn val="ctr"/>
        <c:lblOffset val="100"/>
        <c:noMultiLvlLbl val="0"/>
      </c:catAx>
      <c:valAx>
        <c:axId val="102015360"/>
        <c:scaling>
          <c:orientation val="minMax"/>
        </c:scaling>
        <c:delete val="0"/>
        <c:axPos val="l"/>
        <c:majorGridlines>
          <c:spPr>
            <a:ln>
              <a:solidFill>
                <a:schemeClr val="accent6">
                  <a:lumMod val="60000"/>
                  <a:lumOff val="40000"/>
                </a:schemeClr>
              </a:solidFill>
            </a:ln>
          </c:spPr>
        </c:majorGridlines>
        <c:title>
          <c:tx>
            <c:rich>
              <a:bodyPr rot="-5400000" vert="horz"/>
              <a:lstStyle/>
              <a:p>
                <a:pPr>
                  <a:defRPr/>
                </a:pPr>
                <a:r>
                  <a:rPr lang="en-GB"/>
                  <a:t>ERDF + ESF total financial corrections in EUR million</a:t>
                </a:r>
              </a:p>
            </c:rich>
          </c:tx>
          <c:layout>
            <c:manualLayout>
              <c:xMode val="edge"/>
              <c:yMode val="edge"/>
              <c:x val="2.5926206339592167E-2"/>
              <c:y val="0.11032495511953123"/>
            </c:manualLayout>
          </c:layout>
          <c:overlay val="0"/>
        </c:title>
        <c:numFmt formatCode="###\ ###\ ###\ ##0" sourceLinked="1"/>
        <c:majorTickMark val="out"/>
        <c:minorTickMark val="none"/>
        <c:tickLblPos val="nextTo"/>
        <c:crossAx val="102013568"/>
        <c:crosses val="autoZero"/>
        <c:crossBetween val="between"/>
      </c:valAx>
      <c:valAx>
        <c:axId val="102017280"/>
        <c:scaling>
          <c:orientation val="minMax"/>
        </c:scaling>
        <c:delete val="0"/>
        <c:axPos val="r"/>
        <c:title>
          <c:tx>
            <c:rich>
              <a:bodyPr rot="-5400000" vert="horz"/>
              <a:lstStyle/>
              <a:p>
                <a:pPr>
                  <a:defRPr sz="700"/>
                </a:pPr>
                <a:r>
                  <a:rPr lang="en-GB" sz="700"/>
                  <a:t>% of financial correctiosn to contributions received</a:t>
                </a:r>
              </a:p>
            </c:rich>
          </c:tx>
          <c:layout>
            <c:manualLayout>
              <c:xMode val="edge"/>
              <c:yMode val="edge"/>
              <c:x val="0.95757575757575752"/>
              <c:y val="0.18539044188039314"/>
            </c:manualLayout>
          </c:layout>
          <c:overlay val="0"/>
        </c:title>
        <c:numFmt formatCode="0.0%" sourceLinked="0"/>
        <c:majorTickMark val="out"/>
        <c:minorTickMark val="none"/>
        <c:tickLblPos val="nextTo"/>
        <c:crossAx val="102031744"/>
        <c:crosses val="max"/>
        <c:crossBetween val="between"/>
      </c:valAx>
      <c:catAx>
        <c:axId val="102031744"/>
        <c:scaling>
          <c:orientation val="minMax"/>
        </c:scaling>
        <c:delete val="1"/>
        <c:axPos val="b"/>
        <c:numFmt formatCode="General" sourceLinked="1"/>
        <c:majorTickMark val="out"/>
        <c:minorTickMark val="none"/>
        <c:tickLblPos val="nextTo"/>
        <c:crossAx val="102017280"/>
        <c:crosses val="autoZero"/>
        <c:auto val="1"/>
        <c:lblAlgn val="ctr"/>
        <c:lblOffset val="100"/>
        <c:noMultiLvlLbl val="0"/>
      </c:catAx>
    </c:plotArea>
    <c:legend>
      <c:legendPos val="b"/>
      <c:layout>
        <c:manualLayout>
          <c:xMode val="edge"/>
          <c:yMode val="edge"/>
          <c:x val="0.12201717967072298"/>
          <c:y val="0.93035572837614344"/>
          <c:w val="0.76051097590073968"/>
          <c:h val="4.6500585577778177E-2"/>
        </c:manualLayout>
      </c:layout>
      <c:overlay val="0"/>
    </c:legend>
    <c:plotVisOnly val="1"/>
    <c:dispBlanksAs val="gap"/>
    <c:showDLblsOverMax val="0"/>
  </c:chart>
  <c:spPr>
    <a:ln>
      <a:noFill/>
    </a:ln>
  </c:spPr>
  <c:txPr>
    <a:bodyPr/>
    <a:lstStyle/>
    <a:p>
      <a:pPr>
        <a:defRPr sz="800"/>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0.02659</cdr:x>
      <cdr:y>0.00865</cdr:y>
    </cdr:from>
    <cdr:to>
      <cdr:x>0.23108</cdr:x>
      <cdr:y>0.06916</cdr:y>
    </cdr:to>
    <cdr:sp macro="" textlink="">
      <cdr:nvSpPr>
        <cdr:cNvPr id="2" name="TextBox 1"/>
        <cdr:cNvSpPr txBox="1"/>
      </cdr:nvSpPr>
      <cdr:spPr>
        <a:xfrm xmlns:a="http://schemas.openxmlformats.org/drawingml/2006/main">
          <a:off x="123826" y="28575"/>
          <a:ext cx="9525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0.02659</cdr:x>
      <cdr:y>0.00865</cdr:y>
    </cdr:from>
    <cdr:to>
      <cdr:x>0.23108</cdr:x>
      <cdr:y>0.06916</cdr:y>
    </cdr:to>
    <cdr:sp macro="" textlink="">
      <cdr:nvSpPr>
        <cdr:cNvPr id="2" name="TextBox 1"/>
        <cdr:cNvSpPr txBox="1"/>
      </cdr:nvSpPr>
      <cdr:spPr>
        <a:xfrm xmlns:a="http://schemas.openxmlformats.org/drawingml/2006/main">
          <a:off x="123826" y="28575"/>
          <a:ext cx="9525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0.02659</cdr:x>
      <cdr:y>0.00865</cdr:y>
    </cdr:from>
    <cdr:to>
      <cdr:x>0.23108</cdr:x>
      <cdr:y>0.06916</cdr:y>
    </cdr:to>
    <cdr:sp macro="" textlink="">
      <cdr:nvSpPr>
        <cdr:cNvPr id="3" name="TextBox 1"/>
        <cdr:cNvSpPr txBox="1"/>
      </cdr:nvSpPr>
      <cdr:spPr>
        <a:xfrm xmlns:a="http://schemas.openxmlformats.org/drawingml/2006/main">
          <a:off x="123826" y="28575"/>
          <a:ext cx="9525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3.xml><?xml version="1.0" encoding="utf-8"?>
<c:userShapes xmlns:c="http://schemas.openxmlformats.org/drawingml/2006/chart">
  <cdr:relSizeAnchor xmlns:cdr="http://schemas.openxmlformats.org/drawingml/2006/chartDrawing">
    <cdr:from>
      <cdr:x>0.11528</cdr:x>
      <cdr:y>0.56837</cdr:y>
    </cdr:from>
    <cdr:to>
      <cdr:x>0.85901</cdr:x>
      <cdr:y>0.56975</cdr:y>
    </cdr:to>
    <cdr:cxnSp macro="">
      <cdr:nvCxnSpPr>
        <cdr:cNvPr id="3" name="Straight Connector 2"/>
        <cdr:cNvCxnSpPr/>
      </cdr:nvCxnSpPr>
      <cdr:spPr>
        <a:xfrm xmlns:a="http://schemas.openxmlformats.org/drawingml/2006/main" flipH="1">
          <a:off x="855402" y="2663553"/>
          <a:ext cx="5518459" cy="6467"/>
        </a:xfrm>
        <a:prstGeom xmlns:a="http://schemas.openxmlformats.org/drawingml/2006/main" prst="line">
          <a:avLst/>
        </a:prstGeom>
        <a:ln xmlns:a="http://schemas.openxmlformats.org/drawingml/2006/main" w="31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0.84807</cdr:x>
      <cdr:y>0.53318</cdr:y>
    </cdr:from>
    <cdr:to>
      <cdr:x>0.93301</cdr:x>
      <cdr:y>0.58581</cdr:y>
    </cdr:to>
    <cdr:sp macro="" textlink="">
      <cdr:nvSpPr>
        <cdr:cNvPr id="4" name="TextBox 3"/>
        <cdr:cNvSpPr txBox="1"/>
      </cdr:nvSpPr>
      <cdr:spPr>
        <a:xfrm xmlns:a="http://schemas.openxmlformats.org/drawingml/2006/main">
          <a:off x="6753081" y="2219326"/>
          <a:ext cx="67642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600" b="1"/>
        </a:p>
        <a:p xmlns:a="http://schemas.openxmlformats.org/drawingml/2006/main">
          <a:endParaRPr lang="en-GB" sz="600" b="1"/>
        </a:p>
      </cdr:txBody>
    </cdr:sp>
  </cdr:relSizeAnchor>
  <cdr:relSizeAnchor xmlns:cdr="http://schemas.openxmlformats.org/drawingml/2006/chartDrawing">
    <cdr:from>
      <cdr:x>0.11502</cdr:x>
      <cdr:y>0.55933</cdr:y>
    </cdr:from>
    <cdr:to>
      <cdr:x>0.11517</cdr:x>
      <cdr:y>0.56064</cdr:y>
    </cdr:to>
    <cdr:cxnSp macro="">
      <cdr:nvCxnSpPr>
        <cdr:cNvPr id="5" name="Straight Connector 2"/>
        <cdr:cNvCxnSpPr/>
      </cdr:nvCxnSpPr>
      <cdr:spPr>
        <a:xfrm xmlns:a="http://schemas.openxmlformats.org/drawingml/2006/main" flipV="1">
          <a:off x="933451" y="2328176"/>
          <a:ext cx="1219" cy="5450"/>
        </a:xfrm>
        <a:prstGeom xmlns:a="http://schemas.openxmlformats.org/drawingml/2006/main" prst="line">
          <a:avLst/>
        </a:prstGeom>
        <a:ln xmlns:a="http://schemas.openxmlformats.org/drawingml/2006/main" w="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0.743</cdr:x>
      <cdr:y>0.48981</cdr:y>
    </cdr:from>
    <cdr:to>
      <cdr:x>0.86588</cdr:x>
      <cdr:y>0.5434</cdr:y>
    </cdr:to>
    <cdr:sp macro="" textlink="">
      <cdr:nvSpPr>
        <cdr:cNvPr id="6" name="TextBox 3"/>
        <cdr:cNvSpPr txBox="1"/>
      </cdr:nvSpPr>
      <cdr:spPr>
        <a:xfrm xmlns:a="http://schemas.openxmlformats.org/drawingml/2006/main">
          <a:off x="4279246" y="1781569"/>
          <a:ext cx="707751" cy="1949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b="1"/>
            <a:t>average 1.7%</a:t>
          </a:r>
        </a:p>
        <a:p xmlns:a="http://schemas.openxmlformats.org/drawingml/2006/main">
          <a:endParaRPr lang="en-GB" sz="500" b="1" baseline="0"/>
        </a:p>
      </cdr:txBody>
    </cdr:sp>
  </cdr:relSizeAnchor>
</c:userShapes>
</file>

<file path=word/drawings/drawing4.xml><?xml version="1.0" encoding="utf-8"?>
<c:userShapes xmlns:c="http://schemas.openxmlformats.org/drawingml/2006/chart">
  <cdr:relSizeAnchor xmlns:cdr="http://schemas.openxmlformats.org/drawingml/2006/chartDrawing">
    <cdr:from>
      <cdr:x>0.12394</cdr:x>
      <cdr:y>0.56072</cdr:y>
    </cdr:from>
    <cdr:to>
      <cdr:x>0.87735</cdr:x>
      <cdr:y>0.56072</cdr:y>
    </cdr:to>
    <cdr:cxnSp macro="">
      <cdr:nvCxnSpPr>
        <cdr:cNvPr id="3" name="Straight Connector 2"/>
        <cdr:cNvCxnSpPr/>
      </cdr:nvCxnSpPr>
      <cdr:spPr>
        <a:xfrm xmlns:a="http://schemas.openxmlformats.org/drawingml/2006/main" flipH="1">
          <a:off x="736650" y="1775663"/>
          <a:ext cx="4477967" cy="0"/>
        </a:xfrm>
        <a:prstGeom xmlns:a="http://schemas.openxmlformats.org/drawingml/2006/main" prst="line">
          <a:avLst/>
        </a:prstGeom>
        <a:ln xmlns:a="http://schemas.openxmlformats.org/drawingml/2006/main" w="25400">
          <a:solidFill>
            <a:schemeClr val="accent6">
              <a:lumMod val="75000"/>
            </a:schemeClr>
          </a:solidFill>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0.76022</cdr:x>
      <cdr:y>0.49288</cdr:y>
    </cdr:from>
    <cdr:to>
      <cdr:x>0.88916</cdr:x>
      <cdr:y>0.53885</cdr:y>
    </cdr:to>
    <cdr:sp macro="" textlink="">
      <cdr:nvSpPr>
        <cdr:cNvPr id="4" name="TextBox 1"/>
        <cdr:cNvSpPr txBox="1"/>
      </cdr:nvSpPr>
      <cdr:spPr>
        <a:xfrm xmlns:a="http://schemas.openxmlformats.org/drawingml/2006/main">
          <a:off x="4518460" y="1560840"/>
          <a:ext cx="766340" cy="1455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700" b="1"/>
            <a:t>average 2.0%</a:t>
          </a:r>
        </a:p>
      </cdr:txBody>
    </cdr:sp>
  </cdr:relSizeAnchor>
</c:userShapes>
</file>

<file path=word/theme/theme1.xml><?xml version="1.0" encoding="utf-8"?>
<a:theme xmlns:a="http://schemas.openxmlformats.org/drawingml/2006/main" name="Office Theme">
  <a:themeElements>
    <a:clrScheme name="AMPR">
      <a:dk1>
        <a:sysClr val="windowText" lastClr="000000"/>
      </a:dk1>
      <a:lt1>
        <a:sysClr val="window" lastClr="FFFFFF"/>
      </a:lt1>
      <a:dk2>
        <a:srgbClr val="D8D8D8"/>
      </a:dk2>
      <a:lt2>
        <a:srgbClr val="1F4EA2"/>
      </a:lt2>
      <a:accent1>
        <a:srgbClr val="65BBC8"/>
      </a:accent1>
      <a:accent2>
        <a:srgbClr val="82D2E8"/>
      </a:accent2>
      <a:accent3>
        <a:srgbClr val="08AA74"/>
      </a:accent3>
      <a:accent4>
        <a:srgbClr val="3FB296"/>
      </a:accent4>
      <a:accent5>
        <a:srgbClr val="E48C32"/>
      </a:accent5>
      <a:accent6>
        <a:srgbClr val="EFC465"/>
      </a:accent6>
      <a:hlink>
        <a:srgbClr val="548DD4"/>
      </a:hlink>
      <a:folHlink>
        <a:srgbClr val="F79646"/>
      </a:folHlink>
    </a:clrScheme>
    <a:fontScheme name="FONT EC Square">
      <a:majorFont>
        <a:latin typeface="EC Square Sans Pro"/>
        <a:ea typeface=""/>
        <a:cs typeface=""/>
      </a:majorFont>
      <a:minorFont>
        <a:latin typeface="EC Squar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189CB87B1E53E74D8E56C76F27A51955" ma:contentTypeVersion="0" ma:contentTypeDescription="Create a new document in this library." ma:contentTypeScope="" ma:versionID="568a1567bac000f9b107ffaf8516e243">
  <xsd:schema xmlns:xsd="http://www.w3.org/2001/XMLSchema" xmlns:xs="http://www.w3.org/2001/XMLSchema" xmlns:p="http://schemas.microsoft.com/office/2006/metadata/properties" xmlns:ns2="http://schemas.microsoft.com/sharepoint/v3/fields" xmlns:ns3="a05a3f7d-1e55-44be-a55a-bee60eaef883" targetNamespace="http://schemas.microsoft.com/office/2006/metadata/properties" ma:root="true" ma:fieldsID="fa7be7c49ca9f63535b72dbc21a70780" ns2:_="" ns3:_="">
    <xsd:import namespace="http://schemas.microsoft.com/sharepoint/v3/fields"/>
    <xsd:import namespace="a05a3f7d-1e55-44be-a55a-bee60eaef883"/>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05a3f7d-1e55-44be-a55a-bee60eaef883"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a05a3f7d-1e55-44be-a55a-bee60eaef883">EN</EC_Collab_DocumentLanguage>
    <EC_Collab_Status xmlns="a05a3f7d-1e55-44be-a55a-bee60eaef883">Not Started</EC_Collab_Status>
    <EC_Collab_Reference xmlns="a05a3f7d-1e55-44be-a55a-bee60eaef883" xsi:nil="true"/>
    <_Status xmlns="http://schemas.microsoft.com/sharepoint/v3/fields">Not Started</_Status>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8D15AD8-F843-4598-AA76-A45C69181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05a3f7d-1e55-44be-a55a-bee60eaef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E44A12-B6EA-431B-98C8-8D35772715DB}">
  <ds:schemaRefs>
    <ds:schemaRef ds:uri="http://schemas.microsoft.com/sharepoint/v3/contenttype/forms"/>
  </ds:schemaRefs>
</ds:datastoreItem>
</file>

<file path=customXml/itemProps3.xml><?xml version="1.0" encoding="utf-8"?>
<ds:datastoreItem xmlns:ds="http://schemas.openxmlformats.org/officeDocument/2006/customXml" ds:itemID="{4D32D953-E476-477A-9BB5-CC6C9245F445}">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a05a3f7d-1e55-44be-a55a-bee60eaef883"/>
    <ds:schemaRef ds:uri="http://purl.org/dc/elements/1.1/"/>
    <ds:schemaRef ds:uri="http://schemas.microsoft.com/office/2006/metadata/properties"/>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5EC6E991-BB37-4259-BCE9-EB1DBF6CE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27864</Words>
  <Characters>151027</Characters>
  <Application>Microsoft Office Word</Application>
  <DocSecurity>0</DocSecurity>
  <Lines>6292</Lines>
  <Paragraphs>4834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European Commission</Company>
  <LinksUpToDate>false</LinksUpToDate>
  <CharactersWithSpaces>174057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HEILEMANN Stefanie (SG)</dc:creator>
  <cp:keywords/>
  <dc:description/>
  <cp:lastModifiedBy>WES PDFC Administrator</cp:lastModifiedBy>
  <cp:revision>7</cp:revision>
  <cp:lastPrinted>2019-06-21T14:28:00Z</cp:lastPrinted>
  <dcterms:created xsi:type="dcterms:W3CDTF">2019-06-24T13:46:00Z</dcterms:created>
  <dcterms:modified xsi:type="dcterms:W3CDTF">2019-06-24T14:27:00Z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&lt;UNUSED&gt;</vt:lpwstr>
  </property>
  <property fmtid="{D5CDD505-2E9C-101B-9397-08002B2CF9AE}" pid="4" name="Total parts">
    <vt:lpwstr>&lt;UNUSED&gt;</vt:lpwstr>
  </property>
  <property fmtid="{D5CDD505-2E9C-101B-9397-08002B2CF9AE}" pid="5" name="ContentTypeId">
    <vt:lpwstr>0x010100258AA79CEB83498886A3A0868112325000189CB87B1E53E74D8E56C76F27A51955</vt:lpwstr>
  </property>
  <property fmtid="{D5CDD505-2E9C-101B-9397-08002B2CF9AE}" pid="6" name="DocStatus">
    <vt:lpwstr>Green</vt:lpwstr>
  </property>
  <property fmtid="{D5CDD505-2E9C-101B-9397-08002B2CF9AE}" pid="7" name="First annex">
    <vt:lpwstr>1</vt:lpwstr>
  </property>
  <property fmtid="{D5CDD505-2E9C-101B-9397-08002B2CF9AE}" pid="8" name="Last annex">
    <vt:lpwstr>9</vt:lpwstr>
  </property>
  <property fmtid="{D5CDD505-2E9C-101B-9397-08002B2CF9AE}" pid="9" name="Unique annex">
    <vt:lpwstr>0</vt:lpwstr>
  </property>
  <property fmtid="{D5CDD505-2E9C-101B-9397-08002B2CF9AE}" pid="10" name="Last edited using">
    <vt:lpwstr>LW 6.0.1, Build 20180503</vt:lpwstr>
  </property>
  <property fmtid="{D5CDD505-2E9C-101B-9397-08002B2CF9AE}" pid="11" name="Created using">
    <vt:lpwstr>LW 6.0.1, Build 20180503</vt:lpwstr>
  </property>
</Properties>
</file>