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B9" w:rsidRDefault="00754EA6" w:rsidP="00754EA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1D42A14-F435-4375-A46E-41152DAB03D3" style="width:450.75pt;height:361.5pt">
            <v:imagedata r:id="rId8" o:title=""/>
          </v:shape>
        </w:pict>
      </w:r>
    </w:p>
    <w:bookmarkEnd w:id="0"/>
    <w:p w:rsidR="00C137B9" w:rsidRDefault="00C137B9">
      <w:pPr>
        <w:rPr>
          <w:rFonts w:ascii="Times New Roman" w:hAnsi="Times New Roman" w:cs="Times New Roman"/>
          <w:noProof/>
        </w:rPr>
        <w:sectPr w:rsidR="00C137B9" w:rsidSect="00754EA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C137B9" w:rsidRDefault="00754EA6">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bookmarkStart w:id="1" w:name="_GoBack"/>
      <w:bookmarkEnd w:id="1"/>
      <w:r>
        <w:rPr>
          <w:rFonts w:ascii="Times New Roman" w:hAnsi="Times New Roman" w:cs="Times New Roman"/>
          <w:b/>
          <w:noProof/>
          <w:sz w:val="24"/>
          <w:szCs w:val="24"/>
        </w:rPr>
        <w:lastRenderedPageBreak/>
        <w:t>Увод</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От 1 януари 2016 г., когато Директивата „Платежоспособност II“</w:t>
      </w:r>
      <w:bookmarkStart w:id="2" w:name="_Ref11834429"/>
      <w:r>
        <w:rPr>
          <w:rStyle w:val="FootnoteReference"/>
          <w:rFonts w:ascii="Times New Roman" w:hAnsi="Times New Roman" w:cs="Times New Roman"/>
          <w:noProof/>
          <w:sz w:val="24"/>
          <w:szCs w:val="24"/>
        </w:rPr>
        <w:footnoteReference w:id="2"/>
      </w:r>
      <w:bookmarkEnd w:id="2"/>
      <w:r>
        <w:rPr>
          <w:rFonts w:ascii="Times New Roman" w:hAnsi="Times New Roman" w:cs="Times New Roman"/>
          <w:noProof/>
          <w:sz w:val="24"/>
          <w:szCs w:val="24"/>
        </w:rPr>
        <w:t xml:space="preserve"> влезе в сила, с предвидените в нея разпоредби беше създадена ясна и надеждна пруденциална рамка за застрахователните и презастрахователните дружества в ЕС. Въз основа на рисковия профил на отделните дружества, с нея се насърчават съпоставимостта, прозрачн</w:t>
      </w:r>
      <w:r>
        <w:rPr>
          <w:rFonts w:ascii="Times New Roman" w:hAnsi="Times New Roman" w:cs="Times New Roman"/>
          <w:noProof/>
          <w:sz w:val="24"/>
          <w:szCs w:val="24"/>
        </w:rPr>
        <w:t xml:space="preserve">остта и конкурентоспособността.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Дял III от Директивата „Платежоспособност II“ се отнася до надзора над група от застрахователни и презастрахователни предприятия (по-нататък „групов надзор“). В директивата се използва иновативен модел на надзор, който отр</w:t>
      </w:r>
      <w:r>
        <w:rPr>
          <w:rFonts w:ascii="Times New Roman" w:hAnsi="Times New Roman" w:cs="Times New Roman"/>
          <w:noProof/>
          <w:sz w:val="24"/>
          <w:szCs w:val="24"/>
        </w:rPr>
        <w:t xml:space="preserve">ежда ключова роля на органа за групов надзор, като същевременно се признава и се запазва важната роля на надзорните органи на отделните субекти, извършващи застрахователна дейност. </w:t>
      </w:r>
    </w:p>
    <w:p w:rsidR="00C137B9" w:rsidRDefault="00C137B9">
      <w:pPr>
        <w:autoSpaceDE w:val="0"/>
        <w:autoSpaceDN w:val="0"/>
        <w:adjustRightInd w:val="0"/>
        <w:spacing w:after="0" w:line="240" w:lineRule="auto"/>
        <w:jc w:val="both"/>
        <w:rPr>
          <w:rFonts w:ascii="Times New Roman" w:hAnsi="Times New Roman" w:cs="Times New Roman"/>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Съобразно изискването в член 242, параграф 2 от Директивата „Платежоспосо</w:t>
      </w:r>
      <w:r>
        <w:rPr>
          <w:rFonts w:ascii="Times New Roman" w:hAnsi="Times New Roman" w:cs="Times New Roman"/>
          <w:noProof/>
          <w:sz w:val="24"/>
          <w:szCs w:val="24"/>
        </w:rPr>
        <w:t>бност II“, в настоящия доклад се оценяват ползите от засиления групов надзор и капиталово управление в рамките на групи от застрахователни или презастрахователни предприятия.</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На 7 юни 2018 г. Комисията се обърна към Европейския орган за застраховане и </w:t>
      </w:r>
      <w:r>
        <w:rPr>
          <w:rFonts w:ascii="Times New Roman" w:hAnsi="Times New Roman" w:cs="Times New Roman"/>
          <w:noProof/>
          <w:sz w:val="24"/>
          <w:szCs w:val="24"/>
        </w:rPr>
        <w:t>професионално пенсионно осигуряване (EIOPA) с искане да предостави информация, която да бъде включена в доклада</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Данните, изпратени от EIOPA на 19 декември 2018 г.</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са включени в настоящия доклад.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Докладът е разделен на четири части. В глава II се </w:t>
      </w:r>
      <w:r>
        <w:rPr>
          <w:rFonts w:ascii="Times New Roman" w:hAnsi="Times New Roman" w:cs="Times New Roman"/>
          <w:noProof/>
          <w:sz w:val="24"/>
          <w:szCs w:val="24"/>
        </w:rPr>
        <w:t>анализират надзорните практики и предизвикателствата, свързани с определянето на обхвата и упражняването на надзорните правомощия по отношение на групи. В глави III и IV се прави оценка на предизвикателствата и правните неясноти, свързани с изчисляването н</w:t>
      </w:r>
      <w:r>
        <w:rPr>
          <w:rFonts w:ascii="Times New Roman" w:hAnsi="Times New Roman" w:cs="Times New Roman"/>
          <w:noProof/>
          <w:sz w:val="24"/>
          <w:szCs w:val="24"/>
        </w:rPr>
        <w:t>а груповата платежоспособност, управлението и отчитането на група</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Накрая, в глава V се прави кратък обзор на тенденциите в развитието в областта на посредничеството при надзорни спорове и схемите за гарантиране на застрахователните вземания (СГЗВ), които</w:t>
      </w:r>
      <w:r>
        <w:rPr>
          <w:rFonts w:ascii="Times New Roman" w:hAnsi="Times New Roman" w:cs="Times New Roman"/>
          <w:noProof/>
          <w:sz w:val="24"/>
          <w:szCs w:val="24"/>
        </w:rPr>
        <w:t xml:space="preserve"> не са пряко свързани с груповия надзор.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Някои въпроси не са разгледани в настоящия доклад. Член 242, параграф 2, букви ж) и и) от Директивата „Платежоспособност II“ се отнасят до рамки за разрешаване на кризи. Комисията наблюдава международните тенденци</w:t>
      </w:r>
      <w:r>
        <w:rPr>
          <w:rFonts w:ascii="Times New Roman" w:hAnsi="Times New Roman" w:cs="Times New Roman"/>
          <w:noProof/>
          <w:sz w:val="24"/>
          <w:szCs w:val="24"/>
        </w:rPr>
        <w:t>и на развитие, свързани с разрешаването на кризи и системния риск</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но няма определена общоевропейска инициатива в тази област от момента, в който започна да се прилага Директивата „Платежоспособност II“.  По същия начин, член 242, параграф 2, буква е) се </w:t>
      </w:r>
      <w:r>
        <w:rPr>
          <w:rFonts w:ascii="Times New Roman" w:hAnsi="Times New Roman" w:cs="Times New Roman"/>
          <w:noProof/>
          <w:sz w:val="24"/>
          <w:szCs w:val="24"/>
        </w:rPr>
        <w:t xml:space="preserve">отнася до хармонизирана рамка относно възможностите за прехвърляне на активи, процедурите на несъстоятелност и ликвидация. Понастоящем не се разработва политика в тази област нито на равнището на ЕС, нито на международно равнище. </w:t>
      </w:r>
    </w:p>
    <w:p w:rsidR="00C137B9" w:rsidRDefault="00C137B9">
      <w:pPr>
        <w:autoSpaceDE w:val="0"/>
        <w:autoSpaceDN w:val="0"/>
        <w:adjustRightInd w:val="0"/>
        <w:spacing w:after="0" w:line="240" w:lineRule="auto"/>
        <w:jc w:val="both"/>
        <w:rPr>
          <w:rFonts w:ascii="Times New Roman" w:hAnsi="Times New Roman" w:cs="Times New Roman"/>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ако не е посочено </w:t>
      </w:r>
      <w:r>
        <w:rPr>
          <w:rFonts w:ascii="Times New Roman" w:hAnsi="Times New Roman" w:cs="Times New Roman"/>
          <w:noProof/>
          <w:sz w:val="24"/>
          <w:szCs w:val="24"/>
        </w:rPr>
        <w:t>друго, в настоящия доклад се използват данни до края на 2017 г., които обхващат 28-те държави — членки на Европейския съюз.</w:t>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pStyle w:val="ListParagraph"/>
        <w:numPr>
          <w:ilvl w:val="0"/>
          <w:numId w:val="1"/>
        </w:numPr>
        <w:autoSpaceDE w:val="0"/>
        <w:autoSpaceDN w:val="0"/>
        <w:adjustRightInd w:val="0"/>
        <w:spacing w:after="0" w:line="240" w:lineRule="auto"/>
        <w:jc w:val="both"/>
        <w:rPr>
          <w:rFonts w:ascii="Times New Roman" w:hAnsi="Times New Roman" w:cs="Times New Roman"/>
          <w:b/>
          <w:bCs/>
          <w:i/>
          <w:noProof/>
          <w:sz w:val="24"/>
          <w:szCs w:val="24"/>
        </w:rPr>
      </w:pPr>
      <w:r>
        <w:rPr>
          <w:rFonts w:ascii="Times New Roman" w:hAnsi="Times New Roman" w:cs="Times New Roman"/>
          <w:b/>
          <w:noProof/>
          <w:sz w:val="24"/>
        </w:rPr>
        <w:t>Обхват на груповия надзор и на надзорните правомощия по отношение на застрахователни и презастрахователни групи</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В Директивата „Пла</w:t>
      </w:r>
      <w:r>
        <w:rPr>
          <w:rFonts w:ascii="Times New Roman" w:hAnsi="Times New Roman" w:cs="Times New Roman"/>
          <w:noProof/>
          <w:sz w:val="24"/>
          <w:szCs w:val="24"/>
        </w:rPr>
        <w:t>тежоспособност II“ е предвидено, че групов надзор трябва да се прилага в следните случаи</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групата се оглавява от застрахователно или презастрахователно предприятие, чието седалище се намира в Европейското икономическо пространство (ЕИП), и поне едно от н</w:t>
      </w:r>
      <w:r>
        <w:rPr>
          <w:rFonts w:ascii="Times New Roman" w:hAnsi="Times New Roman" w:cs="Times New Roman"/>
          <w:noProof/>
          <w:sz w:val="24"/>
          <w:szCs w:val="24"/>
        </w:rPr>
        <w:t>еговите свързани предприятия е друго застрахователно или презастрахователно дружество със седалище в ЕИП или в трета държава;</w:t>
      </w:r>
    </w:p>
    <w:p w:rsidR="00C137B9" w:rsidRDefault="00754EA6">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групата включва застрахователно или презастрахователно дъщерно предприятие в ЕИП и дружеството майка на групата е застрахователно </w:t>
      </w:r>
      <w:r>
        <w:rPr>
          <w:rFonts w:ascii="Times New Roman" w:hAnsi="Times New Roman" w:cs="Times New Roman"/>
          <w:noProof/>
          <w:sz w:val="24"/>
          <w:szCs w:val="24"/>
        </w:rPr>
        <w:t>или презастрахователно предприятие, застрахователно холдингово дружество или смесено финансово холдингово дружество</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със седалище в ЕИП или в трета държава;</w:t>
      </w:r>
    </w:p>
    <w:p w:rsidR="00C137B9" w:rsidRDefault="00754EA6">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групата включва застрахователно или презастрахователно дъщерно предприятие в ЕИП и дружеството майк</w:t>
      </w:r>
      <w:r>
        <w:rPr>
          <w:rFonts w:ascii="Times New Roman" w:hAnsi="Times New Roman" w:cs="Times New Roman"/>
          <w:noProof/>
          <w:sz w:val="24"/>
          <w:szCs w:val="24"/>
        </w:rPr>
        <w:t>а на групата е застрахователно холдингово дружество със смесена дейност</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В този конкретен случай груповият надзор е ограничен до надзора върху вътрешногрупови сделки, които включват застрахователно или презастрахователно предприятие</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Въз основа на опове</w:t>
      </w:r>
      <w:r>
        <w:rPr>
          <w:rFonts w:ascii="Times New Roman" w:hAnsi="Times New Roman" w:cs="Times New Roman"/>
          <w:noProof/>
          <w:sz w:val="24"/>
        </w:rPr>
        <w:t>стените данни от</w:t>
      </w:r>
      <w:r>
        <w:rPr>
          <w:rFonts w:ascii="Times New Roman" w:hAnsi="Times New Roman" w:cs="Times New Roman"/>
          <w:noProof/>
        </w:rPr>
        <w:t xml:space="preserve">носно надзора, публикувани от националните надзорни органи (по-нататък „ННО“), приблизително 350 групи са били обект на групов надзор в ЕС.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u w:val="single"/>
        </w:rPr>
        <w:t xml:space="preserve">Упражняване на групов надзор, когато седалището на крайното дружество майка се намира в трета </w:t>
      </w:r>
      <w:r>
        <w:rPr>
          <w:rFonts w:ascii="Times New Roman" w:hAnsi="Times New Roman" w:cs="Times New Roman"/>
          <w:noProof/>
          <w:sz w:val="24"/>
          <w:u w:val="single"/>
        </w:rPr>
        <w:t>държава</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u w:val="single"/>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Броят на европейските застрахователи, придобити от инвеститори извън ЕИП, се увеличи през последните години</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С въвеждането на Директивата „Платежоспособност II“ беше поставено изискване към застрахователите да преразгледат своята дейност с оглед </w:t>
      </w:r>
      <w:r>
        <w:rPr>
          <w:rFonts w:ascii="Times New Roman" w:hAnsi="Times New Roman" w:cs="Times New Roman"/>
          <w:noProof/>
          <w:sz w:val="24"/>
          <w:szCs w:val="24"/>
        </w:rPr>
        <w:t>на новите капиталови изисквания. Според някои специалисти, това може да е улеснило откриването на предприятия, които са по-подходящи за продажба и ново придобиване, макар да няма категорични доказателства за това. Със своите дейности по надзор EIOPA спомаг</w:t>
      </w:r>
      <w:r>
        <w:rPr>
          <w:rFonts w:ascii="Times New Roman" w:hAnsi="Times New Roman" w:cs="Times New Roman"/>
          <w:noProof/>
          <w:sz w:val="24"/>
          <w:szCs w:val="24"/>
        </w:rPr>
        <w:t>а за наблюдението на тази тенденция.</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Понастоящем около 200 застрахователни групи имат крайно предприятие майка в трета държава. Тези групи подлежат на групов надзор съгласно Директивата „Платежоспособност II“</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Макар че ННО трябва да разчитат на груповия </w:t>
      </w:r>
      <w:r>
        <w:rPr>
          <w:rFonts w:ascii="Times New Roman" w:hAnsi="Times New Roman" w:cs="Times New Roman"/>
          <w:noProof/>
          <w:sz w:val="24"/>
          <w:szCs w:val="24"/>
        </w:rPr>
        <w:t>надзор, упражняван от надзорните органи на трети държави с еквивалентен надзор</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от тях се изисква да прилагат пряко световен групов надзор, когато седалището на крайното дружество майка се намира в държава без еквивалентен надзор</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Когато не съществува ко</w:t>
      </w:r>
      <w:r>
        <w:rPr>
          <w:rFonts w:ascii="Times New Roman" w:hAnsi="Times New Roman" w:cs="Times New Roman"/>
          <w:noProof/>
          <w:sz w:val="24"/>
          <w:szCs w:val="24"/>
        </w:rPr>
        <w:t>нсолидиращо холдингово дружество в ЕИП, в Директивата „Платежоспособност II“ се предвижда, че орган за групов</w:t>
      </w:r>
      <w:r>
        <w:rPr>
          <w:rFonts w:ascii="Times New Roman" w:hAnsi="Times New Roman" w:cs="Times New Roman"/>
          <w:noProof/>
        </w:rPr>
        <w:t xml:space="preserve"> </w:t>
      </w:r>
      <w:r>
        <w:rPr>
          <w:rFonts w:ascii="Times New Roman" w:hAnsi="Times New Roman" w:cs="Times New Roman"/>
          <w:noProof/>
          <w:sz w:val="24"/>
          <w:szCs w:val="24"/>
        </w:rPr>
        <w:t>надзор следва да бъде надзорният орган, който е издал лиценз на застрахователното или презастрахователното предприятие с най-голямо балансово числ</w:t>
      </w:r>
      <w:r>
        <w:rPr>
          <w:rFonts w:ascii="Times New Roman" w:hAnsi="Times New Roman" w:cs="Times New Roman"/>
          <w:noProof/>
          <w:sz w:val="24"/>
          <w:szCs w:val="24"/>
        </w:rPr>
        <w:t>о</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Поради това упражняването на пълен групов надзор на равнището на крайното дружество майка може да се окаже трудно, тъй като това предполага достъп до информация, свързана с дейности извън Съюза. Ето защо в такива случаи член 262, параграф 2 от Директи</w:t>
      </w:r>
      <w:r>
        <w:rPr>
          <w:rFonts w:ascii="Times New Roman" w:hAnsi="Times New Roman" w:cs="Times New Roman"/>
          <w:noProof/>
          <w:sz w:val="24"/>
          <w:szCs w:val="24"/>
        </w:rPr>
        <w:t>вата „Платежоспособност II“ допуска надзорните органи да прилагат „други методи“, които гарантират подходящ групов надзор. Тези методи не са описани изчерпателно в директивата. В нея само се посочва изрично възможността органът за групов надзор да изиска с</w:t>
      </w:r>
      <w:r>
        <w:rPr>
          <w:rFonts w:ascii="Times New Roman" w:hAnsi="Times New Roman" w:cs="Times New Roman"/>
          <w:noProof/>
          <w:sz w:val="24"/>
          <w:szCs w:val="24"/>
        </w:rPr>
        <w:t xml:space="preserve">ъздаването на застрахователно холдингово дружество в Съюза, по отношение на което се прилагат изискванията за пълен групов надзор.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В действителност обаче съществуват много различаващи се практики по отношение на надзора върху групи, чиито дружества майка</w:t>
      </w:r>
      <w:r>
        <w:rPr>
          <w:rFonts w:ascii="Times New Roman" w:hAnsi="Times New Roman" w:cs="Times New Roman"/>
          <w:noProof/>
          <w:sz w:val="24"/>
        </w:rPr>
        <w:t xml:space="preserve"> имат седалище в трети държави без еквивалентен надзор.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От една страна, в съответствие с член 262, параграф 2 до края на 2018 г. Комисията е получила няколко уведомления за използване на „други методи“ от два ННО. В повечето случаи тези уведомления включ</w:t>
      </w:r>
      <w:r>
        <w:rPr>
          <w:rFonts w:ascii="Times New Roman" w:hAnsi="Times New Roman" w:cs="Times New Roman"/>
          <w:noProof/>
          <w:sz w:val="24"/>
          <w:szCs w:val="24"/>
        </w:rPr>
        <w:t>ват групов надзор на европейско равнище и са насочени към други изисквания за отчитане с цел наблюдение на рисковете, произтичащи от частта от застрахователната или презастрахователната група, намираща се извън ЕИП.</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От друга страна, според оповестените да</w:t>
      </w:r>
      <w:r>
        <w:rPr>
          <w:rFonts w:ascii="Times New Roman" w:hAnsi="Times New Roman" w:cs="Times New Roman"/>
          <w:noProof/>
          <w:sz w:val="24"/>
          <w:szCs w:val="24"/>
        </w:rPr>
        <w:t>нни относно надзора, други ННО осъществяват надзор над групи, чиито крайни дружества майка имат седалище в трети държави. Според данните на EIOPA един ННО изразява схващането, че е достатъчно да се изиска създаването на холдингово дружество в ЕИП и че част</w:t>
      </w:r>
      <w:r>
        <w:rPr>
          <w:rFonts w:ascii="Times New Roman" w:hAnsi="Times New Roman" w:cs="Times New Roman"/>
          <w:noProof/>
          <w:sz w:val="24"/>
          <w:szCs w:val="24"/>
        </w:rPr>
        <w:t xml:space="preserve">та извън ЕИП от групи от трети държави не следва да бъде включвана в груповия надзор. Други ННО, които са решили да не използват „други методи“, посочват, че прилагането на член 262, параграф 2 може да бъде трудно, и считат, че следва да им бъде разрешено </w:t>
      </w:r>
      <w:r>
        <w:rPr>
          <w:rFonts w:ascii="Times New Roman" w:hAnsi="Times New Roman" w:cs="Times New Roman"/>
          <w:noProof/>
          <w:sz w:val="24"/>
          <w:szCs w:val="24"/>
        </w:rPr>
        <w:t>пълно освобождаване от задължението за упражняване на световен групов надзор</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Тези подходи обаче не са достатъчни, за да се наблюдават по подходящ начин рисковете, произтичащи от частите извън ЕИП на групи от трети държави, и тяхната съвместимост с изискв</w:t>
      </w:r>
      <w:r>
        <w:rPr>
          <w:rFonts w:ascii="Times New Roman" w:hAnsi="Times New Roman" w:cs="Times New Roman"/>
          <w:noProof/>
          <w:sz w:val="24"/>
          <w:szCs w:val="24"/>
        </w:rPr>
        <w:t>анията на Директивата „Платежоспособност II“ би била под въпрос.</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szCs w:val="24"/>
          <w:u w:val="single"/>
        </w:rPr>
        <w:t>Обхват на груповия надзор и на надзора на равнище холдингови дружества</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Органите за групов надзор могат да решават за всеки отделен случай и когато са изпълнени определени критерии да не вкл</w:t>
      </w:r>
      <w:r>
        <w:rPr>
          <w:rFonts w:ascii="Times New Roman" w:hAnsi="Times New Roman" w:cs="Times New Roman"/>
          <w:noProof/>
          <w:sz w:val="24"/>
          <w:szCs w:val="24"/>
        </w:rPr>
        <w:t>ючват дадено предприятие в обхвата на груповия надзор</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(включително крайното предприятие майка на групата). Понякога такова решение може да доведе до пълна липса на групов надзор, което може да се отрази неблагоприятно на защитата на титулярите на полици и</w:t>
      </w:r>
      <w:r>
        <w:rPr>
          <w:rFonts w:ascii="Times New Roman" w:hAnsi="Times New Roman" w:cs="Times New Roman"/>
          <w:noProof/>
          <w:sz w:val="24"/>
          <w:szCs w:val="24"/>
        </w:rPr>
        <w:t xml:space="preserve"> на еднаквите условия на конкуренция.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Съществуват рискове, свързани с липсата на еднакви условия на конкуренция, дори когато изключването на крайното дружество майка не води до липсата на групов надзор, а до упражняването на групов надзор на равнището на</w:t>
      </w:r>
      <w:r>
        <w:rPr>
          <w:rFonts w:ascii="Times New Roman" w:hAnsi="Times New Roman" w:cs="Times New Roman"/>
          <w:noProof/>
          <w:sz w:val="24"/>
          <w:szCs w:val="24"/>
        </w:rPr>
        <w:t xml:space="preserve"> междинно предприятие майка. Подобни решения за изключване на практика могат да създадат значително капиталово облекчение за групата в случаите, когато крайното предприятие майка не притежава целия капитал на тези дъщерни предприятия.</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u w:val="single"/>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Освен това, когато д</w:t>
      </w:r>
      <w:r>
        <w:rPr>
          <w:rFonts w:ascii="Times New Roman" w:hAnsi="Times New Roman" w:cs="Times New Roman"/>
          <w:noProof/>
          <w:sz w:val="24"/>
          <w:szCs w:val="24"/>
        </w:rPr>
        <w:t xml:space="preserve">ружеството майка на група е холдингово дружество, груповият надзор може да бъде ограничен до докладването на сделките в рамките на групата, ако органът за групов надзор счита, че основната дейност на дружеството майка не е свързана с притежаване на дялови </w:t>
      </w:r>
      <w:r>
        <w:rPr>
          <w:rFonts w:ascii="Times New Roman" w:hAnsi="Times New Roman" w:cs="Times New Roman"/>
          <w:noProof/>
          <w:sz w:val="24"/>
          <w:szCs w:val="24"/>
        </w:rPr>
        <w:t>участия в застрахователни дъщерни предприятия</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Поради това несъгласуваните подходи към определянето на холдингови дружества е възможно да доведат до нееднакви условия на конкуренция в Европейския съюз. В по-общ план EIOPA отбелязва, че правомощията за нам</w:t>
      </w:r>
      <w:r>
        <w:rPr>
          <w:rFonts w:ascii="Times New Roman" w:hAnsi="Times New Roman" w:cs="Times New Roman"/>
          <w:noProof/>
          <w:sz w:val="24"/>
          <w:szCs w:val="24"/>
        </w:rPr>
        <w:t>еса от страна на органите за групов надзор на равнище холдингови дружества, определени от националните законодателства, са ограничени в някои юрисдикции</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szCs w:val="24"/>
          <w:u w:val="single"/>
        </w:rPr>
        <w:t>Рамка за ранна намеса на равнище група</w:t>
      </w:r>
      <w:r>
        <w:rPr>
          <w:rStyle w:val="FootnoteReference"/>
          <w:rFonts w:ascii="Times New Roman" w:hAnsi="Times New Roman" w:cs="Times New Roman"/>
          <w:noProof/>
          <w:sz w:val="24"/>
          <w:szCs w:val="24"/>
          <w:u w:val="single"/>
        </w:rPr>
        <w:footnoteReference w:id="20"/>
      </w:r>
      <w:r>
        <w:rPr>
          <w:rFonts w:ascii="Times New Roman" w:hAnsi="Times New Roman" w:cs="Times New Roman"/>
          <w:noProof/>
          <w:sz w:val="24"/>
          <w:szCs w:val="24"/>
        </w:rPr>
        <w:t xml:space="preserve">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EIOPA определя понятието „ранна интервенция“ като </w:t>
      </w:r>
      <w:r>
        <w:rPr>
          <w:rFonts w:ascii="Times New Roman" w:hAnsi="Times New Roman" w:cs="Times New Roman"/>
          <w:i/>
          <w:noProof/>
          <w:sz w:val="24"/>
          <w:szCs w:val="24"/>
        </w:rPr>
        <w:t xml:space="preserve">„етап, </w:t>
      </w:r>
      <w:r>
        <w:rPr>
          <w:rFonts w:ascii="Times New Roman" w:hAnsi="Times New Roman" w:cs="Times New Roman"/>
          <w:i/>
          <w:noProof/>
          <w:sz w:val="24"/>
          <w:szCs w:val="24"/>
        </w:rPr>
        <w:t>на който платежоспособността на даден застраховател започва да се влошава и на който е вероятно тя да продължи да се влошава и да спадне под капиталовото изискване за платежоспособност, ако не бъдат предприети коригиращи действия“</w:t>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За осъществяването на р</w:t>
      </w:r>
      <w:r>
        <w:rPr>
          <w:rFonts w:ascii="Times New Roman" w:hAnsi="Times New Roman" w:cs="Times New Roman"/>
          <w:noProof/>
          <w:sz w:val="24"/>
          <w:szCs w:val="24"/>
        </w:rPr>
        <w:t>анна намеса на равнище група е необходимо органът за групов надзор да разполага с навременна информация за влошаващото се финансово състояние. За целта в Директивата „Платежоспособност II“</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се изисква предприятието, притежаващо дялово участие в застраховат</w:t>
      </w:r>
      <w:r>
        <w:rPr>
          <w:rFonts w:ascii="Times New Roman" w:hAnsi="Times New Roman" w:cs="Times New Roman"/>
          <w:noProof/>
          <w:sz w:val="24"/>
          <w:szCs w:val="24"/>
        </w:rPr>
        <w:t>елна или презастрахователна група, да информира органа за групов надзор веднага щом бъде нарушено груповото капиталово изискване за платежоспособност (по-нататък „КИП“) или е вероятно то да бъде нарушено в рамките на следващите три месеца. EIOPA съобщава з</w:t>
      </w:r>
      <w:r>
        <w:rPr>
          <w:rFonts w:ascii="Times New Roman" w:hAnsi="Times New Roman" w:cs="Times New Roman"/>
          <w:noProof/>
          <w:sz w:val="24"/>
          <w:szCs w:val="24"/>
        </w:rPr>
        <w:t>а четири случая на уведомяване в три различни държави членки от 1 януари 2016 г. насам (един от които се отнася до действително нарушаване на КИП). В срок от два месеца от установяване на нарушението на груповото КИП на органа за групов надзор трябва да бъ</w:t>
      </w:r>
      <w:r>
        <w:rPr>
          <w:rFonts w:ascii="Times New Roman" w:hAnsi="Times New Roman" w:cs="Times New Roman"/>
          <w:noProof/>
          <w:sz w:val="24"/>
          <w:szCs w:val="24"/>
        </w:rPr>
        <w:t>де представен план за възстановяване</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Такъв е бил случаят при групата, нарушила груповите КИП.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Въпреки че не са изрично обхванати, правомощията за ранна намеса до известна степен са включени в Директивата „Платежоспособност II“.  На равнище отделно </w:t>
      </w:r>
      <w:r>
        <w:rPr>
          <w:rFonts w:ascii="Times New Roman" w:hAnsi="Times New Roman" w:cs="Times New Roman"/>
          <w:noProof/>
          <w:sz w:val="24"/>
          <w:szCs w:val="24"/>
        </w:rPr>
        <w:t>предприятие надзорните органи следва да имат правомощието да предприемат всички необходими мерки за гарантиране на интересите на титулярите на полици, когато</w:t>
      </w:r>
      <w:r>
        <w:rPr>
          <w:rFonts w:ascii="Times New Roman" w:hAnsi="Times New Roman" w:cs="Times New Roman"/>
          <w:noProof/>
          <w:sz w:val="24"/>
        </w:rPr>
        <w:t xml:space="preserve"> </w:t>
      </w:r>
      <w:r>
        <w:rPr>
          <w:rFonts w:ascii="Times New Roman" w:hAnsi="Times New Roman" w:cs="Times New Roman"/>
          <w:noProof/>
          <w:sz w:val="24"/>
          <w:szCs w:val="24"/>
        </w:rPr>
        <w:t>платежоспособността на даден застраховател продължава да се влошава</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На равнище група Директивата</w:t>
      </w:r>
      <w:r>
        <w:rPr>
          <w:rFonts w:ascii="Times New Roman" w:hAnsi="Times New Roman" w:cs="Times New Roman"/>
          <w:noProof/>
          <w:sz w:val="24"/>
          <w:szCs w:val="24"/>
        </w:rPr>
        <w:t xml:space="preserve"> „Платежоспособност II“ въвежда задължение за всички ННО като органи за групов надзор да предприемат необходимите мерки, когато съществува заплаха за платежоспособността на групата (дори ако групата отговаря на всички регулаторни изисквания) или когато вът</w:t>
      </w:r>
      <w:r>
        <w:rPr>
          <w:rFonts w:ascii="Times New Roman" w:hAnsi="Times New Roman" w:cs="Times New Roman"/>
          <w:noProof/>
          <w:sz w:val="24"/>
          <w:szCs w:val="24"/>
        </w:rPr>
        <w:t>решногруповите сделки или концентрацията на риска застрашават финансовото състояние на застрахователните или презастрахователните предприятия в групата</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Въпреки съществуването на тези разпоредби EIOPA съобщава, че само дванадесет ННО разполагат с изрични</w:t>
      </w:r>
      <w:r>
        <w:rPr>
          <w:rFonts w:ascii="Times New Roman" w:hAnsi="Times New Roman" w:cs="Times New Roman"/>
          <w:noProof/>
          <w:sz w:val="24"/>
          <w:szCs w:val="24"/>
        </w:rPr>
        <w:t xml:space="preserve"> правомощия за ранна намеса на равнище група. Ще бъдат необходими допълнителни проучвания, за да се разбере защо според съобщените данни мнозинството от ННО не разполагат с правомощия за ранна намеса на равнище група въпреки съществуващите разпоредби в нор</w:t>
      </w:r>
      <w:r>
        <w:rPr>
          <w:rFonts w:ascii="Times New Roman" w:hAnsi="Times New Roman" w:cs="Times New Roman"/>
          <w:noProof/>
          <w:sz w:val="24"/>
          <w:szCs w:val="24"/>
        </w:rPr>
        <w:t xml:space="preserve">мативната уредба.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Сред националните уредби, в които ННО разполагат с правомощия за ранна намеса, </w:t>
      </w:r>
      <w:r>
        <w:rPr>
          <w:rFonts w:ascii="Times New Roman" w:hAnsi="Times New Roman" w:cs="Times New Roman"/>
          <w:noProof/>
          <w:sz w:val="24"/>
          <w:szCs w:val="24"/>
        </w:rPr>
        <w:t xml:space="preserve">критериите, съгласно които се налага такава намеса, са много различни — от чисто количествени (за два ННО) до чисто качествени (за други два ННО), като осем </w:t>
      </w:r>
      <w:r>
        <w:rPr>
          <w:rFonts w:ascii="Times New Roman" w:hAnsi="Times New Roman" w:cs="Times New Roman"/>
          <w:noProof/>
          <w:sz w:val="24"/>
          <w:szCs w:val="24"/>
        </w:rPr>
        <w:t>ННО използват едновременно количествени и качествени критерии, налагащи ранна намеса. Наборът от правомощия за ранна намеса, с които разполагат ННО като органи за групов надзор, се различава значително в отделните държави членки: някои правомощия са налице</w:t>
      </w:r>
      <w:r>
        <w:rPr>
          <w:rFonts w:ascii="Times New Roman" w:hAnsi="Times New Roman" w:cs="Times New Roman"/>
          <w:noProof/>
          <w:sz w:val="24"/>
          <w:szCs w:val="24"/>
        </w:rPr>
        <w:t xml:space="preserve"> при повечето ННО (например за ограничаване на изплащането на дивиденти), а други — само при ограничен брой ННО (например за изискване на продажбата на дъщерни предприятия).</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Стълб І: изчисляване и надзор на груповата платежоспособност </w:t>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Надзорът на групов</w:t>
      </w:r>
      <w:r>
        <w:rPr>
          <w:rFonts w:ascii="Times New Roman" w:hAnsi="Times New Roman" w:cs="Times New Roman"/>
          <w:noProof/>
          <w:sz w:val="24"/>
          <w:szCs w:val="24"/>
        </w:rPr>
        <w:t>ата платежоспособност включва наблюдение върху наличието на допустими собствени средства в групата и върху това техният размер винаги да бъде най-малко равен на груповото КИП</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Като основно правило изчисляването на груповата платежоспособност трябва да се </w:t>
      </w:r>
      <w:r>
        <w:rPr>
          <w:rFonts w:ascii="Times New Roman" w:hAnsi="Times New Roman" w:cs="Times New Roman"/>
          <w:noProof/>
          <w:sz w:val="24"/>
          <w:szCs w:val="24"/>
        </w:rPr>
        <w:t>извършва в съответствие с метод 1 („метод, основан на счетоводно консолидиране“)</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В този случай и груповите собствени средства, и груповото КИП се изчисляват въз основа на консолидираните счетоводни отчети. Над 90 % от европейските групи прилагат основния</w:t>
      </w:r>
      <w:r>
        <w:rPr>
          <w:rFonts w:ascii="Times New Roman" w:hAnsi="Times New Roman" w:cs="Times New Roman"/>
          <w:noProof/>
          <w:sz w:val="24"/>
          <w:szCs w:val="24"/>
        </w:rPr>
        <w:t xml:space="preserve"> подход.</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Когато прилагането единствено на метод 1 не би било целесъобразно, органите за групов надзор могат да решат след допитване до другите заинтересовани надзорни органи и до самата група дали да приложат към групата метод 2 („метод на приспадане и аг</w:t>
      </w:r>
      <w:r>
        <w:rPr>
          <w:rFonts w:ascii="Times New Roman" w:hAnsi="Times New Roman" w:cs="Times New Roman"/>
          <w:noProof/>
          <w:sz w:val="24"/>
          <w:szCs w:val="24"/>
        </w:rPr>
        <w:t>региране“), или комбинация между методи 1 и 2</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Преди да вземе това решение, органът за групов надзор трябва да вземе предвид ограничен брой критерии, които са изброени в член 328 от Делегиран регламент (ЕС) 2015/35 на Комисията (по-нататък „Делегиран </w:t>
      </w:r>
      <w:r>
        <w:rPr>
          <w:rFonts w:ascii="Times New Roman" w:hAnsi="Times New Roman" w:cs="Times New Roman"/>
          <w:noProof/>
          <w:sz w:val="24"/>
          <w:szCs w:val="24"/>
        </w:rPr>
        <w:t>регламент Платежоспособност II“)</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В този случай дружествата, които не попадат в обхвата на метод 1, допринасят за груповите собствени средства и груповото КИП с пропорционален дял от собствените средства и капиталовите изисквания на отделното дружество.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На практика, въз основа на оповестените данни от</w:t>
      </w:r>
      <w:r>
        <w:rPr>
          <w:rFonts w:ascii="Times New Roman" w:hAnsi="Times New Roman" w:cs="Times New Roman"/>
          <w:noProof/>
        </w:rPr>
        <w:t xml:space="preserve">носно надзора, публикувани от отделни ННО, методът на „пълно“ приспадане и агрегиране се прилага изключително рядко, а съответните групи представляват по-малко от 0,9 % от общата сума на груповите собствени </w:t>
      </w:r>
      <w:r>
        <w:rPr>
          <w:rFonts w:ascii="Times New Roman" w:hAnsi="Times New Roman" w:cs="Times New Roman"/>
          <w:noProof/>
        </w:rPr>
        <w:t>средства на европейско равнище.</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u w:val="single"/>
        </w:rPr>
      </w:pPr>
    </w:p>
    <w:p w:rsidR="00C137B9" w:rsidRDefault="00754EA6">
      <w:pPr>
        <w:pStyle w:val="ListParagraph"/>
        <w:numPr>
          <w:ilvl w:val="1"/>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u w:val="single"/>
        </w:rPr>
        <w:t>Групови собствени средства</w:t>
      </w:r>
    </w:p>
    <w:p w:rsidR="00C137B9" w:rsidRDefault="00C137B9">
      <w:pPr>
        <w:pStyle w:val="ListParagraph"/>
        <w:autoSpaceDE w:val="0"/>
        <w:autoSpaceDN w:val="0"/>
        <w:adjustRightInd w:val="0"/>
        <w:spacing w:after="0" w:line="240" w:lineRule="auto"/>
        <w:ind w:left="1440"/>
        <w:jc w:val="both"/>
        <w:rPr>
          <w:rFonts w:ascii="Times New Roman" w:hAnsi="Times New Roman" w:cs="Times New Roman"/>
          <w:bCs/>
          <w:noProof/>
          <w:sz w:val="24"/>
          <w:szCs w:val="24"/>
          <w:u w:val="single"/>
        </w:rPr>
      </w:pPr>
    </w:p>
    <w:p w:rsidR="00C137B9" w:rsidRDefault="00754EA6">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rPr>
        <w:t>Класификация на груповите собствени средства</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u w:val="single"/>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За да бъдат класифицирани на равнище група, позициите от собствените средства, емитирани от дъщерни застрахователни и презастрахователни предприятия,</w:t>
      </w:r>
      <w:r>
        <w:rPr>
          <w:rFonts w:ascii="Times New Roman" w:hAnsi="Times New Roman" w:cs="Times New Roman"/>
          <w:noProof/>
          <w:sz w:val="24"/>
        </w:rPr>
        <w:t xml:space="preserve"> застрахователни холдингови дружества, смесени финансови холдингови дружества и предприятия за спомагателни услуги</w:t>
      </w:r>
      <w:r>
        <w:rPr>
          <w:rStyle w:val="FootnoteReference"/>
          <w:rFonts w:ascii="Times New Roman" w:hAnsi="Times New Roman" w:cs="Times New Roman"/>
          <w:noProof/>
          <w:sz w:val="24"/>
        </w:rPr>
        <w:footnoteReference w:id="29"/>
      </w:r>
      <w:r>
        <w:rPr>
          <w:rFonts w:ascii="Times New Roman" w:hAnsi="Times New Roman" w:cs="Times New Roman"/>
          <w:noProof/>
          <w:sz w:val="24"/>
        </w:rPr>
        <w:t>, трябва да отговарят на изискванията, посочени в членове 331—333 от Делегиран регламент „Платежоспособност II“. Това означава, че за да бъде</w:t>
      </w:r>
      <w:r>
        <w:rPr>
          <w:rFonts w:ascii="Times New Roman" w:hAnsi="Times New Roman" w:cs="Times New Roman"/>
          <w:noProof/>
          <w:sz w:val="24"/>
        </w:rPr>
        <w:t xml:space="preserve"> допустима дадена позиция от собствените средства на равнище група, не е достатъчно да бъде класифицирана като позиция от собствените средства на равнище отделно предприятие.</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Има още едно изрично допълнително изискване — позицията от груповите собствени </w:t>
      </w:r>
      <w:r>
        <w:rPr>
          <w:rFonts w:ascii="Times New Roman" w:hAnsi="Times New Roman" w:cs="Times New Roman"/>
          <w:noProof/>
          <w:sz w:val="24"/>
        </w:rPr>
        <w:t>средства да не е обременена с тежести</w:t>
      </w:r>
      <w:r>
        <w:rPr>
          <w:rStyle w:val="FootnoteReference"/>
          <w:rFonts w:ascii="Times New Roman" w:hAnsi="Times New Roman" w:cs="Times New Roman"/>
          <w:noProof/>
          <w:sz w:val="24"/>
        </w:rPr>
        <w:footnoteReference w:id="30"/>
      </w:r>
      <w:r>
        <w:rPr>
          <w:rFonts w:ascii="Times New Roman" w:hAnsi="Times New Roman" w:cs="Times New Roman"/>
          <w:noProof/>
          <w:sz w:val="24"/>
        </w:rPr>
        <w:t>. На практика това означава, че оценката на тежестите, която се извършва на равнище отделно предприятие, може да се наложи да бъде допълнена от още един анализ на равнище група.</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По-специално, в съображение 127 от Деле</w:t>
      </w:r>
      <w:r>
        <w:rPr>
          <w:rFonts w:ascii="Times New Roman" w:hAnsi="Times New Roman" w:cs="Times New Roman"/>
          <w:noProof/>
          <w:sz w:val="24"/>
        </w:rPr>
        <w:t xml:space="preserve">гиран регламент „Платежоспособност II“ е даден </w:t>
      </w:r>
      <w:r>
        <w:rPr>
          <w:rFonts w:ascii="Times New Roman" w:hAnsi="Times New Roman" w:cs="Times New Roman"/>
          <w:noProof/>
          <w:sz w:val="24"/>
          <w:szCs w:val="24"/>
        </w:rPr>
        <w:t>пример на тежест в контекста на позиция от собствените средства, емитирана от застрахователни холдингови дружества или смесени финансови холдингови дружества</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EIOPA подчертава, че това съображение следва да с</w:t>
      </w:r>
      <w:r>
        <w:rPr>
          <w:rFonts w:ascii="Times New Roman" w:hAnsi="Times New Roman" w:cs="Times New Roman"/>
          <w:noProof/>
          <w:sz w:val="24"/>
          <w:szCs w:val="24"/>
        </w:rPr>
        <w:t xml:space="preserve">е съблюдава, когато се извършва оценка на наличието на тежест. Въпреки това някои ННО биха приветствали по-голяма яснота в правната разпоредба, за да се гарантира изпълнимостта на това изискване. Освен това EIOPA подчертава, че не е ясно дали посочените в </w:t>
      </w:r>
      <w:r>
        <w:rPr>
          <w:rFonts w:ascii="Times New Roman" w:hAnsi="Times New Roman" w:cs="Times New Roman"/>
          <w:noProof/>
          <w:sz w:val="24"/>
          <w:szCs w:val="24"/>
        </w:rPr>
        <w:t>съображението принципи следва да се прилагат и по отношение на застрахователни или презастрахователни предприятия майка, за чиито позиции от собствени средства също има изискване да не бъдат обременени с тежести</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Няколко ННО вече съблюдават съображение 12</w:t>
      </w:r>
      <w:r>
        <w:rPr>
          <w:rFonts w:ascii="Times New Roman" w:hAnsi="Times New Roman" w:cs="Times New Roman"/>
          <w:noProof/>
          <w:sz w:val="24"/>
          <w:szCs w:val="24"/>
        </w:rPr>
        <w:t>7 независимо от характера на дружеството майка.</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Допълнително изискване за груповите собствени средства</w:t>
      </w:r>
      <w:r>
        <w:rPr>
          <w:rFonts w:ascii="Times New Roman" w:hAnsi="Times New Roman" w:cs="Times New Roman"/>
          <w:noProof/>
          <w:sz w:val="24"/>
          <w:vertAlign w:val="superscript"/>
        </w:rPr>
        <w:footnoteReference w:id="33"/>
      </w:r>
      <w:r>
        <w:rPr>
          <w:rFonts w:ascii="Times New Roman" w:hAnsi="Times New Roman" w:cs="Times New Roman"/>
          <w:noProof/>
          <w:sz w:val="28"/>
        </w:rPr>
        <w:t xml:space="preserve"> </w:t>
      </w:r>
      <w:r>
        <w:rPr>
          <w:rFonts w:ascii="Times New Roman" w:hAnsi="Times New Roman" w:cs="Times New Roman"/>
          <w:noProof/>
          <w:sz w:val="24"/>
        </w:rPr>
        <w:t>е те да предвиждат отмяна или отлагане на разпределенията</w:t>
      </w:r>
      <w:r>
        <w:rPr>
          <w:rFonts w:ascii="Times New Roman" w:hAnsi="Times New Roman" w:cs="Times New Roman"/>
          <w:noProof/>
          <w:sz w:val="24"/>
          <w:vertAlign w:val="superscript"/>
        </w:rPr>
        <w:footnoteReference w:id="34"/>
      </w:r>
      <w:r>
        <w:rPr>
          <w:rFonts w:ascii="Times New Roman" w:hAnsi="Times New Roman" w:cs="Times New Roman"/>
          <w:noProof/>
          <w:sz w:val="24"/>
        </w:rPr>
        <w:t>, както и преустановяване на тяхното изплащане или изкупуване</w:t>
      </w:r>
      <w:r>
        <w:rPr>
          <w:rFonts w:ascii="Times New Roman" w:hAnsi="Times New Roman" w:cs="Times New Roman"/>
          <w:noProof/>
          <w:sz w:val="24"/>
          <w:vertAlign w:val="superscript"/>
        </w:rPr>
        <w:footnoteReference w:id="35"/>
      </w:r>
      <w:r>
        <w:rPr>
          <w:rFonts w:ascii="Times New Roman" w:hAnsi="Times New Roman" w:cs="Times New Roman"/>
          <w:noProof/>
          <w:sz w:val="24"/>
        </w:rPr>
        <w:t>,</w:t>
      </w:r>
      <w:r>
        <w:rPr>
          <w:rFonts w:ascii="Times New Roman" w:hAnsi="Times New Roman" w:cs="Times New Roman"/>
          <w:noProof/>
          <w:sz w:val="28"/>
          <w:vertAlign w:val="superscript"/>
        </w:rPr>
        <w:t xml:space="preserve"> </w:t>
      </w:r>
      <w:r>
        <w:rPr>
          <w:rFonts w:ascii="Times New Roman" w:hAnsi="Times New Roman" w:cs="Times New Roman"/>
          <w:noProof/>
          <w:sz w:val="24"/>
        </w:rPr>
        <w:t xml:space="preserve">когато е налице неспазване </w:t>
      </w:r>
      <w:r>
        <w:rPr>
          <w:rFonts w:ascii="Times New Roman" w:hAnsi="Times New Roman" w:cs="Times New Roman"/>
          <w:noProof/>
          <w:sz w:val="24"/>
        </w:rPr>
        <w:t>(или когато разпределенията биха довели до неспазване) на груповото КИП и/или груповото минимално капиталово изискване (МКИ). При все това от регламента не става ясно дали неспазването на това изискване означава, че инструментът не може да бъде признат при</w:t>
      </w:r>
      <w:r>
        <w:rPr>
          <w:rFonts w:ascii="Times New Roman" w:hAnsi="Times New Roman" w:cs="Times New Roman"/>
          <w:noProof/>
          <w:sz w:val="24"/>
        </w:rPr>
        <w:t xml:space="preserve"> никакви обстоятелства като групови собствени средства, дори когато допринася за покриване на рисковете, произтичащи от свързано застрахователно дружество.</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rPr>
        <w:t>Наличност на групови собствени средства</w:t>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В член 330, параграф 1 от Делегиран регламент „Платежоспос</w:t>
      </w:r>
      <w:r>
        <w:rPr>
          <w:rFonts w:ascii="Times New Roman" w:hAnsi="Times New Roman" w:cs="Times New Roman"/>
          <w:noProof/>
          <w:sz w:val="24"/>
        </w:rPr>
        <w:t xml:space="preserve">обност II“ се определят критериите, които ННО следва да вземат предвид, когато преценяват наличността на собствени средства на равнище група. Оценката на наличността на групови собствени средства изисква </w:t>
      </w:r>
      <w:r>
        <w:rPr>
          <w:rFonts w:ascii="Times New Roman" w:hAnsi="Times New Roman" w:cs="Times New Roman"/>
          <w:noProof/>
        </w:rPr>
        <w:t>познаване на договорното и търговското право на разл</w:t>
      </w:r>
      <w:r>
        <w:rPr>
          <w:rFonts w:ascii="Times New Roman" w:hAnsi="Times New Roman" w:cs="Times New Roman"/>
          <w:noProof/>
        </w:rPr>
        <w:t xml:space="preserve">ичните държави, в които групата осъществява дейност. Това създава предизвикателства за органите за групов надзор, по-специално при големи трансгранични групи.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Понякога оценката на наличността се бърка с обикновена оценка на ликвидността на активите, тъй </w:t>
      </w:r>
      <w:r>
        <w:rPr>
          <w:rFonts w:ascii="Times New Roman" w:hAnsi="Times New Roman" w:cs="Times New Roman"/>
          <w:noProof/>
          <w:sz w:val="24"/>
        </w:rPr>
        <w:t>като оценката на наличността обхваща способността на собствените средства за покриване на всички видове загуби и за прехвърляне на активи</w:t>
      </w:r>
      <w:r>
        <w:rPr>
          <w:rStyle w:val="FootnoteReference"/>
          <w:rFonts w:ascii="Times New Roman" w:hAnsi="Times New Roman" w:cs="Times New Roman"/>
          <w:noProof/>
          <w:sz w:val="24"/>
        </w:rPr>
        <w:footnoteReference w:id="36"/>
      </w:r>
      <w:r>
        <w:rPr>
          <w:rFonts w:ascii="Times New Roman" w:hAnsi="Times New Roman" w:cs="Times New Roman"/>
          <w:noProof/>
        </w:rPr>
        <w:t>. По отношение на оценката съществуват много различни надзорни практики, което може да има значително въздействие върх</w:t>
      </w:r>
      <w:r>
        <w:rPr>
          <w:rFonts w:ascii="Times New Roman" w:hAnsi="Times New Roman" w:cs="Times New Roman"/>
          <w:noProof/>
        </w:rPr>
        <w:t xml:space="preserve">у изчисленията на груповата платежоспособност. Тези неясноти са свързани с: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методите, които може да се използват за доказване на възможността за осигуряване в наличност на собствени средства в срок от най-много девет месеца</w:t>
      </w:r>
      <w:r>
        <w:rPr>
          <w:rStyle w:val="FootnoteReference"/>
          <w:rFonts w:ascii="Times New Roman" w:hAnsi="Times New Roman" w:cs="Times New Roman"/>
          <w:noProof/>
          <w:sz w:val="24"/>
        </w:rPr>
        <w:footnoteReference w:id="37"/>
      </w:r>
      <w:r>
        <w:rPr>
          <w:rFonts w:ascii="Times New Roman" w:hAnsi="Times New Roman" w:cs="Times New Roman"/>
          <w:noProof/>
          <w:sz w:val="24"/>
        </w:rPr>
        <w:t xml:space="preserve">, </w:t>
      </w:r>
    </w:p>
    <w:p w:rsidR="00C137B9" w:rsidRDefault="00754EA6">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третирането на конкретни по</w:t>
      </w:r>
      <w:r>
        <w:rPr>
          <w:rFonts w:ascii="Times New Roman" w:hAnsi="Times New Roman" w:cs="Times New Roman"/>
          <w:noProof/>
          <w:sz w:val="24"/>
        </w:rPr>
        <w:t>зиции, като резерва за равняване</w:t>
      </w:r>
      <w:r>
        <w:rPr>
          <w:rStyle w:val="FootnoteReference"/>
          <w:rFonts w:ascii="Times New Roman" w:hAnsi="Times New Roman" w:cs="Times New Roman"/>
          <w:noProof/>
          <w:sz w:val="24"/>
        </w:rPr>
        <w:footnoteReference w:id="38"/>
      </w:r>
      <w:r>
        <w:rPr>
          <w:rFonts w:ascii="Times New Roman" w:hAnsi="Times New Roman" w:cs="Times New Roman"/>
          <w:noProof/>
          <w:sz w:val="24"/>
        </w:rPr>
        <w:t xml:space="preserve"> (включително очакваните печалби, които включват бъдещите премии и ефекта от преходните мерки за безрискови лихвени проценти или от преходните мерки относно техническите резерви</w:t>
      </w:r>
      <w:r>
        <w:rPr>
          <w:rStyle w:val="FootnoteReference"/>
          <w:rFonts w:ascii="Times New Roman" w:hAnsi="Times New Roman" w:cs="Times New Roman"/>
          <w:noProof/>
          <w:sz w:val="24"/>
        </w:rPr>
        <w:footnoteReference w:id="39"/>
      </w:r>
      <w:r>
        <w:rPr>
          <w:rFonts w:ascii="Times New Roman" w:hAnsi="Times New Roman" w:cs="Times New Roman"/>
          <w:noProof/>
          <w:sz w:val="24"/>
        </w:rPr>
        <w:t>)</w:t>
      </w:r>
      <w:r>
        <w:rPr>
          <w:rFonts w:ascii="Times New Roman" w:hAnsi="Times New Roman" w:cs="Times New Roman"/>
          <w:noProof/>
        </w:rPr>
        <w:t xml:space="preserve"> </w:t>
      </w:r>
      <w:r>
        <w:rPr>
          <w:rFonts w:ascii="Times New Roman" w:hAnsi="Times New Roman" w:cs="Times New Roman"/>
          <w:noProof/>
          <w:sz w:val="24"/>
        </w:rPr>
        <w:t>или малцинствените участия;</w:t>
      </w:r>
    </w:p>
    <w:p w:rsidR="00C137B9" w:rsidRDefault="00754EA6">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тълкуването на </w:t>
      </w:r>
      <w:r>
        <w:rPr>
          <w:rFonts w:ascii="Times New Roman" w:hAnsi="Times New Roman" w:cs="Times New Roman"/>
          <w:noProof/>
          <w:sz w:val="24"/>
        </w:rPr>
        <w:t xml:space="preserve">разпоредбата, позволяваща включването на някои неналични позиции в груповите собствени средства до </w:t>
      </w:r>
      <w:r>
        <w:rPr>
          <w:rFonts w:ascii="Times New Roman" w:hAnsi="Times New Roman" w:cs="Times New Roman"/>
          <w:noProof/>
        </w:rPr>
        <w:t>размера на вноската на всеки свързан застраховател в груповото КИП</w:t>
      </w:r>
      <w:r>
        <w:rPr>
          <w:rStyle w:val="FootnoteReference"/>
          <w:rFonts w:ascii="Times New Roman" w:hAnsi="Times New Roman" w:cs="Times New Roman"/>
          <w:noProof/>
          <w:sz w:val="24"/>
        </w:rPr>
        <w:footnoteReference w:id="40"/>
      </w:r>
      <w:r>
        <w:rPr>
          <w:rFonts w:ascii="Times New Roman" w:hAnsi="Times New Roman" w:cs="Times New Roman"/>
          <w:noProof/>
        </w:rPr>
        <w:t>.</w:t>
      </w:r>
    </w:p>
    <w:p w:rsidR="00C137B9" w:rsidRDefault="00C137B9">
      <w:pPr>
        <w:pStyle w:val="ListParagraph"/>
        <w:autoSpaceDE w:val="0"/>
        <w:autoSpaceDN w:val="0"/>
        <w:adjustRightInd w:val="0"/>
        <w:spacing w:after="0" w:line="240" w:lineRule="auto"/>
        <w:jc w:val="both"/>
        <w:rPr>
          <w:rFonts w:ascii="Times New Roman" w:hAnsi="Times New Roman" w:cs="Times New Roman"/>
          <w:noProof/>
        </w:rPr>
      </w:pPr>
    </w:p>
    <w:p w:rsidR="00C137B9" w:rsidRDefault="00754EA6">
      <w:pPr>
        <w:pStyle w:val="ListParagraph"/>
        <w:numPr>
          <w:ilvl w:val="1"/>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u w:val="single"/>
        </w:rPr>
        <w:t>Групови капиталови изисквания</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u w:val="single"/>
        </w:rPr>
      </w:pPr>
    </w:p>
    <w:p w:rsidR="00C137B9" w:rsidRDefault="00754EA6">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rPr>
        <w:t xml:space="preserve">Използване на метод 1 („подход, основан на счетоводно </w:t>
      </w:r>
      <w:r>
        <w:rPr>
          <w:rFonts w:ascii="Times New Roman" w:hAnsi="Times New Roman" w:cs="Times New Roman"/>
          <w:i/>
          <w:noProof/>
          <w:sz w:val="24"/>
        </w:rPr>
        <w:t>консолидиране“)</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Когато се използва метод 1, в Директивата „Платежоспособност II“ се  изисква групите да консолидират изцяло всички застрахователни или презастрахователни дъщерни предприятия в ЕИП и извън него</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или, когато необходимата информация не е налице, да извършат пълно приспадане на счетоводната стойност на тези дружества</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Въпреки това някои ННО считат, че тези изисквания са неприложими на практика за големи международни групи и че е налице възможност з</w:t>
      </w:r>
      <w:r>
        <w:rPr>
          <w:rFonts w:ascii="Times New Roman" w:hAnsi="Times New Roman" w:cs="Times New Roman"/>
          <w:noProof/>
          <w:sz w:val="24"/>
          <w:szCs w:val="24"/>
        </w:rPr>
        <w:t>а опростени подходи. В по-общ план други разлики в подходите за консолидация съгласно Директивата „Платежоспособност II“ и МСФО могат да създадат значителни оперативни трудности за групите</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Консолидираното групово КИП следва да отчита глобалната диверсиф</w:t>
      </w:r>
      <w:r>
        <w:rPr>
          <w:rFonts w:ascii="Times New Roman" w:hAnsi="Times New Roman" w:cs="Times New Roman"/>
          <w:noProof/>
          <w:sz w:val="24"/>
        </w:rPr>
        <w:t>икация на рисковете, която съществува при всички застрахователни и презастрахователни дружества в групата, така че да отразява по подходящ начин рисковите експозиции на групата</w:t>
      </w:r>
      <w:r>
        <w:rPr>
          <w:rStyle w:val="FootnoteReference"/>
          <w:rFonts w:ascii="Times New Roman" w:hAnsi="Times New Roman" w:cs="Times New Roman"/>
          <w:noProof/>
          <w:sz w:val="24"/>
        </w:rPr>
        <w:footnoteReference w:id="44"/>
      </w:r>
      <w:r>
        <w:rPr>
          <w:rFonts w:ascii="Times New Roman" w:hAnsi="Times New Roman" w:cs="Times New Roman"/>
          <w:noProof/>
          <w:sz w:val="24"/>
        </w:rPr>
        <w:t xml:space="preserve">. Поради това в почти всички случаи, когато се използва метод 1, груповото КИП </w:t>
      </w:r>
      <w:r>
        <w:rPr>
          <w:rFonts w:ascii="Times New Roman" w:hAnsi="Times New Roman" w:cs="Times New Roman"/>
          <w:noProof/>
          <w:sz w:val="24"/>
        </w:rPr>
        <w:t>ще бъде по-ниско от сумата на индивидуалните КИП на всички застрахователни и презастрахователни предприятия от тази група. Въпреки това според EIOPA някои органи за групов надзор ограничават ползите от диверсификацията, като считат, че КИП на застраховател</w:t>
      </w:r>
      <w:r>
        <w:rPr>
          <w:rFonts w:ascii="Times New Roman" w:hAnsi="Times New Roman" w:cs="Times New Roman"/>
          <w:noProof/>
          <w:sz w:val="24"/>
        </w:rPr>
        <w:t>но или презастрахователно предприятие е пречка за прехвърляемост</w:t>
      </w:r>
      <w:r>
        <w:rPr>
          <w:rFonts w:ascii="Times New Roman" w:hAnsi="Times New Roman" w:cs="Times New Roman"/>
          <w:noProof/>
          <w:sz w:val="24"/>
          <w:szCs w:val="24"/>
        </w:rPr>
        <w:t>та на неговите собствени средства. Подобно тълкуване би имало същия ефект върху груповата платежоспособност, както отхвърлянето на ползите от диверсификацията между предприятията от дадена гру</w:t>
      </w:r>
      <w:r>
        <w:rPr>
          <w:rFonts w:ascii="Times New Roman" w:hAnsi="Times New Roman" w:cs="Times New Roman"/>
          <w:noProof/>
          <w:sz w:val="24"/>
          <w:szCs w:val="24"/>
        </w:rPr>
        <w:t xml:space="preserve">па.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Освен това някои заинтересовани страни твърдят, че подходът към изчисляването на минималното консолидирано групово КИП (по-нататък „групово МКИ“) може да доведе до непредвидени последици. Наистина, макар че на равнище отделно предприятие минималното </w:t>
      </w:r>
      <w:r>
        <w:rPr>
          <w:rFonts w:ascii="Times New Roman" w:hAnsi="Times New Roman" w:cs="Times New Roman"/>
          <w:noProof/>
          <w:sz w:val="24"/>
          <w:szCs w:val="24"/>
        </w:rPr>
        <w:t>капиталово изискване (по-нататък „МКИ“) никога не трябва да бъде по-ниско от 25 %, нито да надвишава 45 % от КИП на дадено предприятие</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на равнище група не съществува такъв диапазон. В резултат на това за някои групи груповото МКИ е близко (или дори равно</w:t>
      </w:r>
      <w:r>
        <w:rPr>
          <w:rFonts w:ascii="Times New Roman" w:hAnsi="Times New Roman" w:cs="Times New Roman"/>
          <w:noProof/>
          <w:sz w:val="24"/>
          <w:szCs w:val="24"/>
        </w:rPr>
        <w:t>) на груповото КИП, а коефициентът на груповото МКИ може да бъде по-нисък или много близък до коефициента на груповото КИП</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Поради това може да има случаи, в които групата нарушава своето групово МКИ преди груповото си КИП. В такива ситуации груповото МКИ</w:t>
      </w:r>
      <w:r>
        <w:rPr>
          <w:rFonts w:ascii="Times New Roman" w:hAnsi="Times New Roman" w:cs="Times New Roman"/>
          <w:noProof/>
          <w:sz w:val="24"/>
          <w:szCs w:val="24"/>
        </w:rPr>
        <w:t xml:space="preserve"> ограничава ползите от диверсификацията, която групите могат да признаят в своите капиталови изисквания.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Накрая, третирането на застрахователни или презастрахователни предприятия от трети държави в груповото МКИ не е достатъчно ясно въпреки насоките на E</w:t>
      </w:r>
      <w:r>
        <w:rPr>
          <w:rFonts w:ascii="Times New Roman" w:hAnsi="Times New Roman" w:cs="Times New Roman"/>
          <w:noProof/>
          <w:sz w:val="24"/>
        </w:rPr>
        <w:t>IOPA</w:t>
      </w:r>
      <w:r>
        <w:rPr>
          <w:rStyle w:val="FootnoteReference"/>
          <w:rFonts w:ascii="Times New Roman" w:hAnsi="Times New Roman" w:cs="Times New Roman"/>
          <w:noProof/>
          <w:sz w:val="24"/>
        </w:rPr>
        <w:footnoteReference w:id="47"/>
      </w:r>
      <w:r>
        <w:rPr>
          <w:rFonts w:ascii="Times New Roman" w:hAnsi="Times New Roman" w:cs="Times New Roman"/>
          <w:noProof/>
          <w:sz w:val="24"/>
        </w:rPr>
        <w:t xml:space="preserve"> по въпроса.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rPr>
        <w:t>Използване на комбинация между методи 1 и 2</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Когато се използва комбинация между методи 1 и 2, някои ННО считат, че дружествата, включени посредством метод 2, все пак следва да правят вноска за покриване на консолидираната част на групо</w:t>
      </w:r>
      <w:r>
        <w:rPr>
          <w:rFonts w:ascii="Times New Roman" w:hAnsi="Times New Roman" w:cs="Times New Roman"/>
          <w:noProof/>
          <w:sz w:val="24"/>
        </w:rPr>
        <w:t>вото КИП</w:t>
      </w:r>
      <w:r>
        <w:rPr>
          <w:rStyle w:val="FootnoteReference"/>
          <w:rFonts w:ascii="Times New Roman" w:hAnsi="Times New Roman" w:cs="Times New Roman"/>
          <w:noProof/>
          <w:sz w:val="24"/>
        </w:rPr>
        <w:footnoteReference w:id="48"/>
      </w:r>
      <w:r>
        <w:rPr>
          <w:rFonts w:ascii="Times New Roman" w:hAnsi="Times New Roman" w:cs="Times New Roman"/>
          <w:noProof/>
          <w:sz w:val="24"/>
        </w:rPr>
        <w:t>. Други изразяват несъгласие с този подход, който би довел до двойно отчитане на същите рискове, тъй като тези дружества правят вноска и за покриване на общото групово КИП посредством пропорционалния дял от своите КИП като отделни предприятия</w:t>
      </w:r>
      <w:r>
        <w:rPr>
          <w:rStyle w:val="FootnoteReference"/>
          <w:rFonts w:ascii="Times New Roman" w:hAnsi="Times New Roman" w:cs="Times New Roman"/>
          <w:noProof/>
          <w:sz w:val="24"/>
        </w:rPr>
        <w:footnoteReference w:id="49"/>
      </w:r>
      <w:r>
        <w:rPr>
          <w:rFonts w:ascii="Times New Roman" w:hAnsi="Times New Roman" w:cs="Times New Roman"/>
          <w:noProof/>
          <w:sz w:val="24"/>
        </w:rPr>
        <w:t>. От</w:t>
      </w:r>
      <w:r>
        <w:rPr>
          <w:rFonts w:ascii="Times New Roman" w:hAnsi="Times New Roman" w:cs="Times New Roman"/>
          <w:noProof/>
          <w:sz w:val="24"/>
        </w:rPr>
        <w:t xml:space="preserve"> друга страна, когато се използва единствено метод 2, груповото КИП се базира на КИП на всяко отделно дружество, без да се елиминират вътрешногруповите сделки (</w:t>
      </w:r>
      <w:r>
        <w:rPr>
          <w:rFonts w:ascii="Times New Roman" w:hAnsi="Times New Roman" w:cs="Times New Roman"/>
          <w:noProof/>
        </w:rPr>
        <w:t xml:space="preserve">което на свой ред води до двойно отчитане на същите рискове).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Друга несигурност е дали метод 2</w:t>
      </w:r>
      <w:r>
        <w:rPr>
          <w:rFonts w:ascii="Times New Roman" w:hAnsi="Times New Roman" w:cs="Times New Roman"/>
          <w:noProof/>
          <w:sz w:val="24"/>
        </w:rPr>
        <w:t xml:space="preserve"> може да бъде приложен и по отношение на застрахователни холдингови дружества, а не само на застрахователи. Това обаче би означавало да се гарантира съгласувано изчисляване в рамките на Съюза на абстрактно капиталово изискване за такива дружества.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Накрая</w:t>
      </w:r>
      <w:r>
        <w:rPr>
          <w:rFonts w:ascii="Times New Roman" w:hAnsi="Times New Roman" w:cs="Times New Roman"/>
          <w:noProof/>
          <w:sz w:val="24"/>
        </w:rPr>
        <w:t>, не е ясно дали метод 2 може да се прилага по отношение на консолидирана подгрупа</w:t>
      </w:r>
      <w:r>
        <w:rPr>
          <w:rStyle w:val="FootnoteReference"/>
          <w:rFonts w:ascii="Times New Roman" w:hAnsi="Times New Roman" w:cs="Times New Roman"/>
          <w:noProof/>
          <w:sz w:val="24"/>
        </w:rPr>
        <w:footnoteReference w:id="50"/>
      </w:r>
      <w:r>
        <w:rPr>
          <w:rFonts w:ascii="Times New Roman" w:hAnsi="Times New Roman" w:cs="Times New Roman"/>
          <w:noProof/>
          <w:sz w:val="24"/>
        </w:rPr>
        <w:t>. EIOPA застъпва становището, че методът на приспадане и агрегиране може да се прилага само по отношение на отделни дружества.</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rPr>
        <w:t>Групови вътрешни модели</w:t>
      </w:r>
      <w:r>
        <w:rPr>
          <w:rStyle w:val="FootnoteReference"/>
          <w:rFonts w:ascii="Times New Roman" w:hAnsi="Times New Roman" w:cs="Times New Roman"/>
          <w:i/>
          <w:noProof/>
          <w:sz w:val="24"/>
        </w:rPr>
        <w:footnoteReference w:id="51"/>
      </w:r>
      <w:r>
        <w:rPr>
          <w:rFonts w:ascii="Times New Roman" w:hAnsi="Times New Roman" w:cs="Times New Roman"/>
          <w:noProof/>
          <w:sz w:val="24"/>
        </w:rPr>
        <w:t xml:space="preserve"> </w:t>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В съответствие със </w:t>
      </w:r>
      <w:r>
        <w:rPr>
          <w:rFonts w:ascii="Times New Roman" w:hAnsi="Times New Roman" w:cs="Times New Roman"/>
          <w:noProof/>
        </w:rPr>
        <w:t>застъпения в нея подход, съобразен с риска, Директивата „Платежоспособност II“ допуска застрахователните дружества и групи да използват вътрешни модели за изчисляване на КИП след одобрение от надзорния орган, вместо стандартната формула.</w:t>
      </w:r>
      <w:r>
        <w:rPr>
          <w:rFonts w:ascii="Times New Roman" w:hAnsi="Times New Roman" w:cs="Times New Roman"/>
          <w:noProof/>
        </w:rPr>
        <w:t xml:space="preserve"> В член 231 от Директивата „Платежоспособност II“ се определят вътрешните модели на групата и се предвиждат правила за начина на вземане на съвместно решение относно заявлението за използване на такъв модел. </w:t>
      </w:r>
    </w:p>
    <w:p w:rsidR="00C137B9" w:rsidRDefault="00754EA6">
      <w:pPr>
        <w:tabs>
          <w:tab w:val="left" w:pos="7331"/>
        </w:tabs>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rPr>
        <w:tab/>
      </w: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Въз основа на оповестените данни от</w:t>
      </w:r>
      <w:r>
        <w:rPr>
          <w:rFonts w:ascii="Times New Roman" w:hAnsi="Times New Roman" w:cs="Times New Roman"/>
          <w:noProof/>
        </w:rPr>
        <w:t>носно надз</w:t>
      </w:r>
      <w:r>
        <w:rPr>
          <w:rFonts w:ascii="Times New Roman" w:hAnsi="Times New Roman" w:cs="Times New Roman"/>
          <w:noProof/>
        </w:rPr>
        <w:t>ора, публикувани от отделните ННО, съществуват 45 одобрени вътрешни модела</w:t>
      </w:r>
      <w:r>
        <w:rPr>
          <w:rStyle w:val="FootnoteReference"/>
          <w:rFonts w:ascii="Times New Roman" w:hAnsi="Times New Roman" w:cs="Times New Roman"/>
          <w:noProof/>
          <w:sz w:val="24"/>
        </w:rPr>
        <w:footnoteReference w:id="52"/>
      </w:r>
      <w:r>
        <w:rPr>
          <w:rFonts w:ascii="Times New Roman" w:hAnsi="Times New Roman" w:cs="Times New Roman"/>
          <w:noProof/>
        </w:rPr>
        <w:t xml:space="preserve"> на равнище група в десет различни държави — членки на ЕС. Като цяло, ННО считат, че Директивата „Платежоспособност II“ предлага необходимите мерки и гъвкавост за извършване на ефек</w:t>
      </w:r>
      <w:r>
        <w:rPr>
          <w:rFonts w:ascii="Times New Roman" w:hAnsi="Times New Roman" w:cs="Times New Roman"/>
          <w:noProof/>
        </w:rPr>
        <w:t xml:space="preserve">тивна оценка, разрешаване и наблюдение на пригодността на груповите вътрешни модели. </w:t>
      </w: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 </w:t>
      </w:r>
    </w:p>
    <w:p w:rsidR="00C137B9" w:rsidRDefault="00754EA6">
      <w:pPr>
        <w:pStyle w:val="Default"/>
        <w:jc w:val="both"/>
        <w:rPr>
          <w:rFonts w:ascii="Times New Roman" w:hAnsi="Times New Roman" w:cs="Times New Roman"/>
          <w:bCs/>
          <w:noProof/>
        </w:rPr>
      </w:pPr>
      <w:r>
        <w:rPr>
          <w:rFonts w:ascii="Times New Roman" w:hAnsi="Times New Roman" w:cs="Times New Roman"/>
          <w:noProof/>
        </w:rPr>
        <w:t xml:space="preserve">Когато вътрешният модел на групата не обхваща всички свързани застрахователни и презастрахователни предприятия (частичен групов вътрешен модел), по отношение на </w:t>
      </w:r>
      <w:r>
        <w:rPr>
          <w:rFonts w:ascii="Times New Roman" w:hAnsi="Times New Roman" w:cs="Times New Roman"/>
          <w:noProof/>
        </w:rPr>
        <w:t>дружествата, необхванати от вътрешния модел, групите могат да решат да прилагат:</w:t>
      </w:r>
    </w:p>
    <w:p w:rsidR="00C137B9" w:rsidRDefault="00C137B9">
      <w:pPr>
        <w:pStyle w:val="Default"/>
        <w:jc w:val="both"/>
        <w:rPr>
          <w:rFonts w:ascii="Times New Roman" w:hAnsi="Times New Roman" w:cs="Times New Roman"/>
          <w:bCs/>
          <w:noProof/>
        </w:rPr>
      </w:pPr>
    </w:p>
    <w:p w:rsidR="00C137B9" w:rsidRDefault="00754EA6">
      <w:pPr>
        <w:pStyle w:val="Default"/>
        <w:numPr>
          <w:ilvl w:val="0"/>
          <w:numId w:val="16"/>
        </w:numPr>
        <w:jc w:val="both"/>
        <w:rPr>
          <w:rFonts w:ascii="Times New Roman" w:hAnsi="Times New Roman" w:cs="Times New Roman"/>
          <w:bCs/>
          <w:noProof/>
        </w:rPr>
      </w:pPr>
      <w:r>
        <w:rPr>
          <w:rFonts w:ascii="Times New Roman" w:hAnsi="Times New Roman" w:cs="Times New Roman"/>
          <w:noProof/>
        </w:rPr>
        <w:t>един от методите за интегриране, посочени в приложение XVIII от Делегиран регламент (ЕС) 2015/35 на Комисията (по-нататък „Делегиран регламент Платежоспособност II“);</w:t>
      </w:r>
    </w:p>
    <w:p w:rsidR="00C137B9" w:rsidRDefault="00754EA6">
      <w:pPr>
        <w:pStyle w:val="Default"/>
        <w:numPr>
          <w:ilvl w:val="0"/>
          <w:numId w:val="16"/>
        </w:numPr>
        <w:jc w:val="both"/>
        <w:rPr>
          <w:rFonts w:ascii="Times New Roman" w:hAnsi="Times New Roman" w:cs="Times New Roman"/>
          <w:bCs/>
          <w:noProof/>
        </w:rPr>
      </w:pPr>
      <w:r>
        <w:rPr>
          <w:rFonts w:ascii="Times New Roman" w:hAnsi="Times New Roman" w:cs="Times New Roman"/>
          <w:noProof/>
        </w:rPr>
        <w:t xml:space="preserve">метода </w:t>
      </w:r>
      <w:r>
        <w:rPr>
          <w:rFonts w:ascii="Times New Roman" w:hAnsi="Times New Roman" w:cs="Times New Roman"/>
          <w:noProof/>
        </w:rPr>
        <w:t>на приспадане и агрегиране (метод 2).</w:t>
      </w:r>
    </w:p>
    <w:p w:rsidR="00C137B9" w:rsidRDefault="00C137B9">
      <w:pPr>
        <w:pStyle w:val="Default"/>
        <w:ind w:left="720"/>
        <w:jc w:val="both"/>
        <w:rPr>
          <w:rFonts w:ascii="Times New Roman" w:hAnsi="Times New Roman" w:cs="Times New Roman"/>
          <w:bCs/>
          <w:noProof/>
        </w:rPr>
      </w:pPr>
    </w:p>
    <w:p w:rsidR="00C137B9" w:rsidRDefault="00754EA6">
      <w:pPr>
        <w:pStyle w:val="Default"/>
        <w:jc w:val="both"/>
        <w:rPr>
          <w:rFonts w:ascii="Times New Roman" w:hAnsi="Times New Roman" w:cs="Times New Roman"/>
          <w:bCs/>
          <w:noProof/>
        </w:rPr>
      </w:pPr>
      <w:r>
        <w:rPr>
          <w:rFonts w:ascii="Times New Roman" w:hAnsi="Times New Roman" w:cs="Times New Roman"/>
          <w:noProof/>
        </w:rPr>
        <w:t xml:space="preserve">Методите за интегриране първоначално са били разработени за интегриране на рискове, а не на дружества. Поради това използването им на равнище група не отразява правилно някои взаимозависимости между предприятията. Би </w:t>
      </w:r>
      <w:r>
        <w:rPr>
          <w:rFonts w:ascii="Times New Roman" w:hAnsi="Times New Roman" w:cs="Times New Roman"/>
          <w:noProof/>
        </w:rPr>
        <w:t>могло да има и възможности за регулаторен арбитраж между използването на метод за интегриране (който не изисква специална процедура за одобрение) и използването на метода на приспадане и агрегиране (който подлежи на предварително одобрение от надзорния орг</w:t>
      </w:r>
      <w:r>
        <w:rPr>
          <w:rFonts w:ascii="Times New Roman" w:hAnsi="Times New Roman" w:cs="Times New Roman"/>
          <w:noProof/>
        </w:rPr>
        <w:t>ан). Включването на дружество посредством метод за интегриране може да бъде по-благоприятно в сравнение с метода на приспадане и агрегиране</w:t>
      </w:r>
      <w:r>
        <w:rPr>
          <w:rStyle w:val="FootnoteReference"/>
          <w:rFonts w:ascii="Times New Roman" w:hAnsi="Times New Roman" w:cs="Times New Roman"/>
          <w:noProof/>
        </w:rPr>
        <w:footnoteReference w:id="53"/>
      </w:r>
      <w:r>
        <w:rPr>
          <w:rFonts w:ascii="Times New Roman" w:hAnsi="Times New Roman" w:cs="Times New Roman"/>
          <w:noProof/>
        </w:rPr>
        <w:t>, освен ако седалището на съответното предприятие се намира в трета държава с еквивалентен надзор, в който случай мо</w:t>
      </w:r>
      <w:r>
        <w:rPr>
          <w:rFonts w:ascii="Times New Roman" w:hAnsi="Times New Roman" w:cs="Times New Roman"/>
          <w:noProof/>
        </w:rPr>
        <w:t>же да са налице стимули групата да прилага метод 2 с цел използване на местните правила</w:t>
      </w:r>
      <w:r>
        <w:rPr>
          <w:rStyle w:val="FootnoteReference"/>
          <w:rFonts w:ascii="Times New Roman" w:hAnsi="Times New Roman" w:cs="Times New Roman"/>
          <w:noProof/>
        </w:rPr>
        <w:footnoteReference w:id="54"/>
      </w:r>
      <w:r>
        <w:rPr>
          <w:rFonts w:ascii="Times New Roman" w:hAnsi="Times New Roman" w:cs="Times New Roman"/>
          <w:noProof/>
        </w:rPr>
        <w:t xml:space="preserve">.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Накрая, EIOPA посочва, че някои групи изключват определени юрисдикции от обхвата на своите вътрешни модели поради наличието на различни надзорни практики. Освен тов</w:t>
      </w:r>
      <w:r>
        <w:rPr>
          <w:rFonts w:ascii="Times New Roman" w:hAnsi="Times New Roman" w:cs="Times New Roman"/>
          <w:noProof/>
          <w:sz w:val="24"/>
          <w:szCs w:val="24"/>
        </w:rPr>
        <w:t xml:space="preserve">а в контекста на процедурата за вземане на съвместно решение един и същ вътрешен модел може да се прилага по различни начини на равнище група и на равнището на свързаните предприятия по ключови аспекти, като например прилагането на динамичната корекция за </w:t>
      </w:r>
      <w:r>
        <w:rPr>
          <w:rFonts w:ascii="Times New Roman" w:hAnsi="Times New Roman" w:cs="Times New Roman"/>
          <w:noProof/>
          <w:sz w:val="24"/>
          <w:szCs w:val="24"/>
        </w:rPr>
        <w:t xml:space="preserve">променливост или моделирането </w:t>
      </w:r>
      <w:r>
        <w:rPr>
          <w:rStyle w:val="Comment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на риска от кредитно неизпълнение от държавите. Тези различия може да се отразят на управлението на груповия риск. </w:t>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pStyle w:val="ListParagraph"/>
        <w:numPr>
          <w:ilvl w:val="2"/>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i/>
          <w:noProof/>
          <w:sz w:val="24"/>
        </w:rPr>
        <w:t>Третиране на предприятия от други финансови сектори</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u w:val="single"/>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Предприятия от други финансови сектори (например </w:t>
      </w:r>
      <w:r>
        <w:rPr>
          <w:rFonts w:ascii="Times New Roman" w:hAnsi="Times New Roman" w:cs="Times New Roman"/>
          <w:noProof/>
          <w:sz w:val="24"/>
        </w:rPr>
        <w:t>кредитни и финансови институции или институции за професионално пенсионно осигуряване) следва да бъдат включени в изчисляването на груповата платежоспособност посредством своя пропорционален дял от секторните собствени средства и капиталови изисквания</w:t>
      </w:r>
      <w:r>
        <w:rPr>
          <w:rStyle w:val="FootnoteReference"/>
          <w:rFonts w:ascii="Times New Roman" w:hAnsi="Times New Roman" w:cs="Times New Roman"/>
          <w:noProof/>
          <w:sz w:val="24"/>
        </w:rPr>
        <w:footnoteReference w:id="55"/>
      </w:r>
      <w:r>
        <w:rPr>
          <w:rFonts w:ascii="Times New Roman" w:hAnsi="Times New Roman" w:cs="Times New Roman"/>
          <w:noProof/>
          <w:sz w:val="24"/>
        </w:rPr>
        <w:t xml:space="preserve">. И </w:t>
      </w:r>
      <w:r>
        <w:rPr>
          <w:rFonts w:ascii="Times New Roman" w:hAnsi="Times New Roman" w:cs="Times New Roman"/>
          <w:noProof/>
          <w:sz w:val="24"/>
        </w:rPr>
        <w:t xml:space="preserve">EIOPA, и ННО застъпват становището, че правната </w:t>
      </w:r>
      <w:r>
        <w:rPr>
          <w:rFonts w:ascii="Times New Roman" w:hAnsi="Times New Roman" w:cs="Times New Roman"/>
          <w:noProof/>
        </w:rPr>
        <w:t>уредба  не определя ясно как подобни дружества следва да допринасят за покритието на груповото КИП.</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По-</w:t>
      </w:r>
      <w:r>
        <w:rPr>
          <w:rFonts w:ascii="Times New Roman" w:hAnsi="Times New Roman" w:cs="Times New Roman"/>
          <w:noProof/>
          <w:sz w:val="24"/>
          <w:szCs w:val="24"/>
        </w:rPr>
        <w:t>специално, оценката на качеството и наличността на секторните собствени средства от гледна точка на Дире</w:t>
      </w:r>
      <w:r>
        <w:rPr>
          <w:rFonts w:ascii="Times New Roman" w:hAnsi="Times New Roman" w:cs="Times New Roman"/>
          <w:noProof/>
          <w:sz w:val="24"/>
          <w:szCs w:val="24"/>
        </w:rPr>
        <w:t xml:space="preserve">ктивата „Платежоспособност II“ се оказва много трудно. Аналогично, в правната уредба не се определя конкретно как да бъдат третирани секторните капиталови буфери и добавен капитал.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rPr>
        <w:t>Накрая, в член 228 от Директивата „Платежоспособност II“ се предвижда, че</w:t>
      </w:r>
      <w:r>
        <w:rPr>
          <w:rFonts w:ascii="Times New Roman" w:hAnsi="Times New Roman" w:cs="Times New Roman"/>
          <w:noProof/>
          <w:sz w:val="24"/>
        </w:rPr>
        <w:t xml:space="preserve"> когато се </w:t>
      </w:r>
      <w:r>
        <w:rPr>
          <w:rFonts w:ascii="Times New Roman" w:hAnsi="Times New Roman" w:cs="Times New Roman"/>
          <w:noProof/>
          <w:sz w:val="24"/>
          <w:szCs w:val="24"/>
        </w:rPr>
        <w:t xml:space="preserve">изчислява платежоспособността на група, включваща свързана кредитна или финансова институция или инвестиционен посредник, тази група може да прилага </w:t>
      </w:r>
      <w:r>
        <w:rPr>
          <w:rFonts w:ascii="Times New Roman" w:hAnsi="Times New Roman" w:cs="Times New Roman"/>
          <w:i/>
          <w:noProof/>
          <w:sz w:val="24"/>
          <w:szCs w:val="24"/>
        </w:rPr>
        <w:t>mutatis mutandis</w:t>
      </w:r>
      <w:r>
        <w:rPr>
          <w:rFonts w:ascii="Times New Roman" w:hAnsi="Times New Roman" w:cs="Times New Roman"/>
          <w:noProof/>
          <w:sz w:val="24"/>
          <w:szCs w:val="24"/>
        </w:rPr>
        <w:t xml:space="preserve"> методи 1 или 2, посочени в приложение I от Директива 2002/87/ЕО</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В този член с</w:t>
      </w:r>
      <w:r>
        <w:rPr>
          <w:rFonts w:ascii="Times New Roman" w:hAnsi="Times New Roman" w:cs="Times New Roman"/>
          <w:noProof/>
          <w:sz w:val="24"/>
          <w:szCs w:val="24"/>
        </w:rPr>
        <w:t xml:space="preserve">е предвижда също така, че метод 1 може да се прилага само когато органът за групов надзор е </w:t>
      </w:r>
      <w:r>
        <w:rPr>
          <w:rFonts w:ascii="Times New Roman" w:hAnsi="Times New Roman" w:cs="Times New Roman"/>
          <w:noProof/>
          <w:color w:val="000000"/>
          <w:sz w:val="24"/>
          <w:szCs w:val="24"/>
        </w:rPr>
        <w:t>„</w:t>
      </w:r>
      <w:r>
        <w:rPr>
          <w:rFonts w:ascii="Times New Roman" w:hAnsi="Times New Roman" w:cs="Times New Roman"/>
          <w:i/>
          <w:noProof/>
          <w:sz w:val="24"/>
          <w:szCs w:val="24"/>
        </w:rPr>
        <w:t>удовлетворен от нивото на интегрираното управление и вътрешния контрол по отношение на структурите, които са включени в обхвата на консолидацията</w:t>
      </w:r>
      <w:r>
        <w:rPr>
          <w:rFonts w:ascii="Times New Roman" w:hAnsi="Times New Roman" w:cs="Times New Roman"/>
          <w:noProof/>
          <w:color w:val="000000"/>
          <w:sz w:val="24"/>
          <w:szCs w:val="24"/>
        </w:rPr>
        <w:t>“</w:t>
      </w:r>
      <w:r>
        <w:rPr>
          <w:rFonts w:ascii="Times New Roman" w:hAnsi="Times New Roman" w:cs="Times New Roman"/>
          <w:noProof/>
          <w:sz w:val="24"/>
          <w:szCs w:val="24"/>
        </w:rPr>
        <w:t>. Въпреки това на</w:t>
      </w:r>
      <w:r>
        <w:rPr>
          <w:rFonts w:ascii="Times New Roman" w:hAnsi="Times New Roman" w:cs="Times New Roman"/>
          <w:noProof/>
          <w:sz w:val="24"/>
          <w:szCs w:val="24"/>
        </w:rPr>
        <w:t xml:space="preserve"> практика използването на методите, посочени в Директива 2002/87/ЕО, е трудно осъществимо поради различните стандарти за остойностяване и консолидация по две нормативни рамки и липсата на насоки относно начина за оценяване на степента на интегрирано управл</w:t>
      </w:r>
      <w:r>
        <w:rPr>
          <w:rFonts w:ascii="Times New Roman" w:hAnsi="Times New Roman" w:cs="Times New Roman"/>
          <w:noProof/>
          <w:sz w:val="24"/>
          <w:szCs w:val="24"/>
        </w:rPr>
        <w:t>ение и вътрешен контрол.</w:t>
      </w:r>
    </w:p>
    <w:p w:rsidR="00C137B9" w:rsidRDefault="00754EA6">
      <w:pPr>
        <w:rPr>
          <w:rFonts w:ascii="Times New Roman" w:hAnsi="Times New Roman" w:cs="Times New Roman"/>
          <w:noProof/>
          <w:sz w:val="24"/>
          <w:szCs w:val="24"/>
        </w:rPr>
      </w:pPr>
      <w:r>
        <w:rPr>
          <w:rFonts w:ascii="Times New Roman" w:hAnsi="Times New Roman" w:cs="Times New Roman"/>
          <w:noProof/>
          <w:sz w:val="24"/>
          <w:szCs w:val="24"/>
        </w:rPr>
        <w:br w:type="page"/>
      </w:r>
    </w:p>
    <w:p w:rsidR="00C137B9" w:rsidRDefault="00754EA6">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noProof/>
          <w:sz w:val="24"/>
          <w:szCs w:val="24"/>
        </w:rPr>
        <w:t>Стълбове II и III: управление и отчитане на група</w:t>
      </w:r>
      <w:r>
        <w:rPr>
          <w:rStyle w:val="FootnoteReference"/>
          <w:rFonts w:ascii="Times New Roman" w:hAnsi="Times New Roman" w:cs="Times New Roman"/>
          <w:b/>
          <w:noProof/>
          <w:sz w:val="24"/>
          <w:szCs w:val="24"/>
        </w:rPr>
        <w:footnoteReference w:id="57"/>
      </w:r>
      <w:r>
        <w:rPr>
          <w:rFonts w:ascii="Times New Roman" w:hAnsi="Times New Roman" w:cs="Times New Roman"/>
          <w:b/>
          <w:noProof/>
          <w:sz w:val="24"/>
          <w:szCs w:val="24"/>
        </w:rPr>
        <w:t xml:space="preserve"> </w:t>
      </w:r>
    </w:p>
    <w:p w:rsidR="00C137B9" w:rsidRDefault="00C137B9">
      <w:pPr>
        <w:pStyle w:val="ListParagraph"/>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pStyle w:val="ListParagraph"/>
        <w:numPr>
          <w:ilvl w:val="1"/>
          <w:numId w:val="29"/>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szCs w:val="24"/>
          <w:u w:val="single"/>
        </w:rPr>
        <w:t>Управление на група</w:t>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szCs w:val="24"/>
        </w:rPr>
        <w:t>Прилагане mutatis mutandis на равнище група на разпоредбите, които се прилагат на равнище отделно предприятие</w:t>
      </w:r>
    </w:p>
    <w:p w:rsidR="00C137B9" w:rsidRDefault="00C137B9">
      <w:pPr>
        <w:autoSpaceDE w:val="0"/>
        <w:autoSpaceDN w:val="0"/>
        <w:adjustRightInd w:val="0"/>
        <w:spacing w:after="0" w:line="240" w:lineRule="auto"/>
        <w:jc w:val="both"/>
        <w:rPr>
          <w:rFonts w:ascii="Times New Roman" w:hAnsi="Times New Roman" w:cs="Times New Roman"/>
          <w:bCs/>
          <w:i/>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Изискванията за управление на равнище група не са изцяло конкретизирани в Директивата „Платежоспособност II“. Вместо това в директивата се предвижда само, че някои разпоредби, които са приложими на равнище отделно предприятие, се прилагат </w:t>
      </w:r>
      <w:r>
        <w:rPr>
          <w:rFonts w:ascii="Times New Roman" w:hAnsi="Times New Roman" w:cs="Times New Roman"/>
          <w:i/>
          <w:noProof/>
          <w:sz w:val="24"/>
          <w:szCs w:val="24"/>
        </w:rPr>
        <w:t>mutatis mutandis</w:t>
      </w:r>
      <w:r>
        <w:rPr>
          <w:rFonts w:ascii="Times New Roman" w:hAnsi="Times New Roman" w:cs="Times New Roman"/>
          <w:noProof/>
          <w:sz w:val="24"/>
          <w:szCs w:val="24"/>
        </w:rPr>
        <w:t xml:space="preserve"> </w:t>
      </w:r>
      <w:r>
        <w:rPr>
          <w:rFonts w:ascii="Times New Roman" w:hAnsi="Times New Roman" w:cs="Times New Roman"/>
          <w:noProof/>
          <w:sz w:val="24"/>
          <w:szCs w:val="24"/>
        </w:rPr>
        <w:t>на равнище група. Според EIOPA това затруднява прилагането на тези разпоредби от органите за групов надзор. Основните предизвикателства се отнасят до:</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системата за управление на групата</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Първо, дружествата, които не са застрахователи, попадат в обхвата </w:t>
      </w:r>
      <w:r>
        <w:rPr>
          <w:rFonts w:ascii="Times New Roman" w:hAnsi="Times New Roman" w:cs="Times New Roman"/>
          <w:noProof/>
          <w:sz w:val="24"/>
          <w:szCs w:val="24"/>
        </w:rPr>
        <w:t>на групите и следователно са включени в системите за управление на групите, което може да създаде трудности. Освен това е възможно да има правни неясноти във връзка с установяването и отговорността на „административния, управителния или надзорния орган“ (п</w:t>
      </w:r>
      <w:r>
        <w:rPr>
          <w:rFonts w:ascii="Times New Roman" w:hAnsi="Times New Roman" w:cs="Times New Roman"/>
          <w:noProof/>
          <w:sz w:val="24"/>
          <w:szCs w:val="24"/>
        </w:rPr>
        <w:t>о-нататък „АУНО“) на равнище група</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Накрая, АУНО на равнище отделно дружество може да се изправи пред противоречащи си цели, тъй като трябва да гарантира както пригодността на системата за управление на отделното предприятие, така и нейната съгласуваност </w:t>
      </w:r>
      <w:r>
        <w:rPr>
          <w:rFonts w:ascii="Times New Roman" w:hAnsi="Times New Roman" w:cs="Times New Roman"/>
          <w:noProof/>
          <w:sz w:val="24"/>
          <w:szCs w:val="24"/>
        </w:rPr>
        <w:t>със системата за управление на равнище група.</w:t>
      </w:r>
    </w:p>
    <w:p w:rsidR="00C137B9" w:rsidRDefault="00754EA6">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изисквания за квалификация и надеждност</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които зависят от правомощията на ННО за намеса на равнище холдингови дружества. Освен това, според EIOPA обхватът на приложение на тези изисквания е неясен (АУНО и/или </w:t>
      </w:r>
      <w:r>
        <w:rPr>
          <w:rFonts w:ascii="Times New Roman" w:hAnsi="Times New Roman" w:cs="Times New Roman"/>
          <w:noProof/>
          <w:sz w:val="24"/>
          <w:szCs w:val="24"/>
        </w:rPr>
        <w:t>лицата, които действително ръководят застрахователното холдингово дружество и/или изпълняват ключови функции)</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w:t>
      </w:r>
    </w:p>
    <w:p w:rsidR="00C137B9" w:rsidRDefault="00754EA6">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добавяне на капитал на равнище група</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по-специално във връзка с управлението. Тъй като системата за управление на равнище група отчасти се опре</w:t>
      </w:r>
      <w:r>
        <w:rPr>
          <w:rFonts w:ascii="Times New Roman" w:hAnsi="Times New Roman" w:cs="Times New Roman"/>
          <w:noProof/>
          <w:sz w:val="24"/>
          <w:szCs w:val="24"/>
        </w:rPr>
        <w:t xml:space="preserve">деля посредством препратка към прилагането </w:t>
      </w:r>
      <w:r>
        <w:rPr>
          <w:rFonts w:ascii="Times New Roman" w:hAnsi="Times New Roman" w:cs="Times New Roman"/>
          <w:i/>
          <w:noProof/>
          <w:sz w:val="24"/>
          <w:szCs w:val="24"/>
        </w:rPr>
        <w:t xml:space="preserve">mutatis mutandis </w:t>
      </w:r>
      <w:r>
        <w:rPr>
          <w:rFonts w:ascii="Times New Roman" w:hAnsi="Times New Roman" w:cs="Times New Roman"/>
          <w:noProof/>
          <w:sz w:val="24"/>
          <w:szCs w:val="24"/>
        </w:rPr>
        <w:t xml:space="preserve">на разпоредбите за отделно предприятие, което подлежи на тълкуване, за органа за групов надзор е по-трудно да установи значително отклонение от директивата.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noProof/>
          <w:sz w:val="24"/>
        </w:rPr>
        <w:t>Тези различни примери показват, че ра</w:t>
      </w:r>
      <w:r>
        <w:rPr>
          <w:rFonts w:ascii="Times New Roman" w:hAnsi="Times New Roman" w:cs="Times New Roman"/>
          <w:noProof/>
          <w:sz w:val="24"/>
        </w:rPr>
        <w:t xml:space="preserve">зпоредбите, прилагани </w:t>
      </w:r>
      <w:r>
        <w:rPr>
          <w:rFonts w:ascii="Times New Roman" w:hAnsi="Times New Roman" w:cs="Times New Roman"/>
          <w:i/>
          <w:noProof/>
          <w:sz w:val="24"/>
        </w:rPr>
        <w:t>mutatis mutandis</w:t>
      </w:r>
      <w:r>
        <w:rPr>
          <w:rFonts w:ascii="Times New Roman" w:hAnsi="Times New Roman" w:cs="Times New Roman"/>
          <w:noProof/>
          <w:sz w:val="24"/>
        </w:rPr>
        <w:t>, оставят твърде голяма свобода за тълкуване и може да създадат трудности на органите за групов надзор при прилагането на тяхното тълкуване на правилата. EIOPA издаде насоки п</w:t>
      </w:r>
      <w:r>
        <w:rPr>
          <w:rFonts w:ascii="Times New Roman" w:hAnsi="Times New Roman" w:cs="Times New Roman"/>
          <w:noProof/>
          <w:sz w:val="24"/>
          <w:szCs w:val="24"/>
        </w:rPr>
        <w:t>о някои от гореспоменатите проблеми. При тр</w:t>
      </w:r>
      <w:r>
        <w:rPr>
          <w:rFonts w:ascii="Times New Roman" w:hAnsi="Times New Roman" w:cs="Times New Roman"/>
          <w:noProof/>
          <w:sz w:val="24"/>
          <w:szCs w:val="24"/>
        </w:rPr>
        <w:t>анспонирането на Директивата „Платежоспособност II“ в националното законодателство някои ННО изготвят и свои собствени национални правила или насоки.</w:t>
      </w:r>
    </w:p>
    <w:p w:rsidR="00C137B9" w:rsidRDefault="00C137B9">
      <w:pPr>
        <w:autoSpaceDE w:val="0"/>
        <w:autoSpaceDN w:val="0"/>
        <w:adjustRightInd w:val="0"/>
        <w:spacing w:after="0" w:line="240" w:lineRule="auto"/>
        <w:jc w:val="both"/>
        <w:rPr>
          <w:rFonts w:ascii="Times New Roman" w:hAnsi="Times New Roman" w:cs="Times New Roman"/>
          <w:bCs/>
          <w:i/>
          <w:noProof/>
          <w:sz w:val="24"/>
          <w:szCs w:val="24"/>
        </w:rPr>
      </w:pPr>
    </w:p>
    <w:p w:rsidR="00C137B9" w:rsidRDefault="00754EA6">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szCs w:val="24"/>
        </w:rPr>
        <w:t>Централизирано управление на груповия риск</w:t>
      </w:r>
      <w:r>
        <w:rPr>
          <w:rStyle w:val="FootnoteReference"/>
          <w:rFonts w:ascii="Times New Roman" w:hAnsi="Times New Roman" w:cs="Times New Roman"/>
          <w:i/>
          <w:noProof/>
          <w:sz w:val="24"/>
          <w:szCs w:val="24"/>
        </w:rPr>
        <w:footnoteReference w:id="63"/>
      </w:r>
      <w:r>
        <w:rPr>
          <w:rFonts w:ascii="Times New Roman" w:hAnsi="Times New Roman" w:cs="Times New Roman"/>
          <w:i/>
          <w:noProof/>
          <w:sz w:val="24"/>
          <w:szCs w:val="24"/>
        </w:rPr>
        <w:t xml:space="preserve"> </w:t>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От застрахователните и презастрахователните групи се изискв</w:t>
      </w:r>
      <w:r>
        <w:rPr>
          <w:rFonts w:ascii="Times New Roman" w:hAnsi="Times New Roman" w:cs="Times New Roman"/>
          <w:noProof/>
          <w:sz w:val="24"/>
          <w:szCs w:val="24"/>
        </w:rPr>
        <w:t>а да въведат ефективни системи за управление на риска и вътрешен контрол, прилагани последователно във всички отделни предприятия в обхвата на груповия надзор</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Въпреки това в Директивата „Платежоспособност II“ се предвижда също така, че групите могат да п</w:t>
      </w:r>
      <w:r>
        <w:rPr>
          <w:rFonts w:ascii="Times New Roman" w:hAnsi="Times New Roman" w:cs="Times New Roman"/>
          <w:noProof/>
          <w:sz w:val="24"/>
          <w:szCs w:val="24"/>
        </w:rPr>
        <w:t>рилагат режим за групов надзор с централизирано управление на риска, когато процедурите за управление на риска и механизмите за вътрешен контрол на предприятието майка обхващат и неговите дъщерни дружества</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Поради това режимът за централизирано управление</w:t>
      </w:r>
      <w:r>
        <w:rPr>
          <w:rFonts w:ascii="Times New Roman" w:hAnsi="Times New Roman" w:cs="Times New Roman"/>
          <w:noProof/>
          <w:sz w:val="24"/>
          <w:szCs w:val="24"/>
        </w:rPr>
        <w:t xml:space="preserve"> на риска включва прехвърляне на задачите за управление на риска от свързано предприятие към предприятието от същата група, притежаващо дялово участие.</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Понастоящем няма случай на прилагане на разпоредбите относно централизирано управление на риска. При вс</w:t>
      </w:r>
      <w:r>
        <w:rPr>
          <w:rFonts w:ascii="Times New Roman" w:hAnsi="Times New Roman" w:cs="Times New Roman"/>
          <w:noProof/>
          <w:sz w:val="24"/>
          <w:szCs w:val="24"/>
        </w:rPr>
        <w:t>ички случаи режимът за централизирано управление на риска вероятно няма да има значително въздействие върху разпределението на капитала в рамките на групата, тъй като свързаните застрахователни или презастрахователни предприятия все пак би трябвало да спаз</w:t>
      </w:r>
      <w:r>
        <w:rPr>
          <w:rFonts w:ascii="Times New Roman" w:hAnsi="Times New Roman" w:cs="Times New Roman"/>
          <w:noProof/>
          <w:sz w:val="24"/>
          <w:szCs w:val="24"/>
        </w:rPr>
        <w:t>ват своите индивидуални капиталови изисквания. В по-общ план, съгласно настоящата рамка групите нямат ясна полза от прилагането на режима за централизирано управление на риска. Когато се прилага режимът за централизирано управление на риска, договореностит</w:t>
      </w:r>
      <w:r>
        <w:rPr>
          <w:rFonts w:ascii="Times New Roman" w:hAnsi="Times New Roman" w:cs="Times New Roman"/>
          <w:noProof/>
          <w:sz w:val="24"/>
          <w:szCs w:val="24"/>
        </w:rPr>
        <w:t>е между предприятието майка и неговите дъщерни дружества, свързани с процедурите за управление на риска и механизмите за вътрешен контрол, попадат в обхвата на възлагане на дейности на външни изпълнители (аутсорсинг). Следователно застрахователните или пре</w:t>
      </w:r>
      <w:r>
        <w:rPr>
          <w:rFonts w:ascii="Times New Roman" w:hAnsi="Times New Roman" w:cs="Times New Roman"/>
          <w:noProof/>
          <w:sz w:val="24"/>
          <w:szCs w:val="24"/>
        </w:rPr>
        <w:t>застрахователните дружества в групата все пак ще трябва да спазват всички изискванията за възлагане на дейности на външни изпълнители, предвидени в Директивата „Платежоспособност II“, и в по-общ план да продължат да носят отговорност за пригодността на сво</w:t>
      </w:r>
      <w:r>
        <w:rPr>
          <w:rFonts w:ascii="Times New Roman" w:hAnsi="Times New Roman" w:cs="Times New Roman"/>
          <w:noProof/>
          <w:sz w:val="24"/>
          <w:szCs w:val="24"/>
        </w:rPr>
        <w:t xml:space="preserve">ите системи за управление.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1"/>
          <w:numId w:val="29"/>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szCs w:val="24"/>
          <w:u w:val="single"/>
        </w:rPr>
        <w:t xml:space="preserve">Докладване </w:t>
      </w:r>
      <w:r>
        <w:rPr>
          <w:rFonts w:ascii="Times New Roman" w:hAnsi="Times New Roman" w:cs="Times New Roman"/>
          <w:noProof/>
          <w:sz w:val="24"/>
          <w:szCs w:val="24"/>
        </w:rPr>
        <w:t>относно вътрешногрупови сделки, концентрацията на риска и ефектите от диверсификацията на равнище група</w:t>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pStyle w:val="ListParagraph"/>
        <w:numPr>
          <w:ilvl w:val="2"/>
          <w:numId w:val="29"/>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i/>
          <w:noProof/>
          <w:sz w:val="24"/>
        </w:rPr>
        <w:t>Вътрешногрупови сделки</w:t>
      </w:r>
      <w:r>
        <w:rPr>
          <w:rStyle w:val="FootnoteReference"/>
          <w:rFonts w:ascii="Times New Roman" w:hAnsi="Times New Roman" w:cs="Times New Roman"/>
          <w:i/>
          <w:noProof/>
          <w:sz w:val="24"/>
        </w:rPr>
        <w:footnoteReference w:id="66"/>
      </w:r>
      <w:r>
        <w:rPr>
          <w:rFonts w:ascii="Times New Roman" w:hAnsi="Times New Roman" w:cs="Times New Roman"/>
          <w:i/>
          <w:noProof/>
          <w:sz w:val="24"/>
        </w:rPr>
        <w:t xml:space="preserve">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u w:val="single"/>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„Вътрешногрупова сделка“ е сделка, при която застрахователно или презастрахователно </w:t>
      </w:r>
      <w:r>
        <w:rPr>
          <w:rFonts w:ascii="Times New Roman" w:hAnsi="Times New Roman" w:cs="Times New Roman"/>
          <w:noProof/>
          <w:sz w:val="24"/>
          <w:szCs w:val="24"/>
        </w:rPr>
        <w:t>предприятие прибягва пряко или косвено до други предприятия от същата група или до което и да било физическо или юридическо лице, тясно свързано с предприятията от тази група, за изпълнението на договорно или извъндоговорно задължение, възмездно или не</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От застрахователните или презастрахователните групи се изисква да предоставят на органите за групов надзор информация за съществени вътрешногрупови сделки най-малко веднъж годишно, а за изключително съществени вътрешногрупови сделки — при първа възможност</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Органите за групов надзор трябва да определят и видовете вътрешногрупови сделки, които следва да бъдат докладвани от групите при всички обстоятелства</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Определението за „вътрешногрупова сделка“ в директивата може да не е достатъчно ясно и изчерпателно.</w:t>
      </w:r>
      <w:r>
        <w:rPr>
          <w:rFonts w:ascii="Times New Roman" w:hAnsi="Times New Roman" w:cs="Times New Roman"/>
          <w:noProof/>
          <w:sz w:val="24"/>
          <w:szCs w:val="24"/>
        </w:rPr>
        <w:t xml:space="preserve"> Това води до различни тълкувания както сред надзорните органи, така и сред участниците на пазара. По-специално, не е сигурно, че холдинговите дружества, предприятията за спомагателни услуги и дружествата от други финансови сектори са включени в обхвата на</w:t>
      </w:r>
      <w:r>
        <w:rPr>
          <w:rFonts w:ascii="Times New Roman" w:hAnsi="Times New Roman" w:cs="Times New Roman"/>
          <w:noProof/>
          <w:sz w:val="24"/>
          <w:szCs w:val="24"/>
        </w:rPr>
        <w:t xml:space="preserve"> докладването.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За сближаване на позициите на надзорните органи може да помогнат насоките на EIOPA, но все пак може да е необходимо да се гарантира правна сигурност посредством промяна на определението за вътрешногрупови сделки в Директивата „Платежоспосо</w:t>
      </w:r>
      <w:r>
        <w:rPr>
          <w:rFonts w:ascii="Times New Roman" w:hAnsi="Times New Roman" w:cs="Times New Roman"/>
          <w:noProof/>
          <w:sz w:val="24"/>
          <w:szCs w:val="24"/>
        </w:rPr>
        <w:t>бност II“. Ясното определяне на обхвата на вътрешногруповите сделки може да окаже въздействие и върху налагането на принудителни мерки, тъй като надзорните органи имат правомощието да приемат мерки, когато вътрешногруповите сделки (или концентрацията на ри</w:t>
      </w:r>
      <w:r>
        <w:rPr>
          <w:rFonts w:ascii="Times New Roman" w:hAnsi="Times New Roman" w:cs="Times New Roman"/>
          <w:noProof/>
          <w:sz w:val="24"/>
          <w:szCs w:val="24"/>
        </w:rPr>
        <w:t>ска) „</w:t>
      </w:r>
      <w:r>
        <w:rPr>
          <w:rFonts w:ascii="Times New Roman" w:hAnsi="Times New Roman" w:cs="Times New Roman"/>
          <w:i/>
          <w:noProof/>
          <w:sz w:val="24"/>
          <w:szCs w:val="24"/>
        </w:rPr>
        <w:t>застрашават финансовото състояние на застрахователните или презастрахователните предприятия</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EIOPA съобщава за един случай на използване на такива принудителни мерки както на равнище отделно предприятие, така и на равнище група.</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Органите за групов</w:t>
      </w:r>
      <w:r>
        <w:rPr>
          <w:rFonts w:ascii="Times New Roman" w:hAnsi="Times New Roman" w:cs="Times New Roman"/>
          <w:noProof/>
          <w:sz w:val="24"/>
        </w:rPr>
        <w:t xml:space="preserve"> надзор следват различни процедури и използват различни критерии и прагове, когато изискват докладване на вътрешногруповите сделки. Някои органи за групов надзор считат, че индивидуалният подход към всеки отделен случай е обоснован от необходимостта да бъд</w:t>
      </w:r>
      <w:r>
        <w:rPr>
          <w:rFonts w:ascii="Times New Roman" w:hAnsi="Times New Roman" w:cs="Times New Roman"/>
          <w:noProof/>
          <w:sz w:val="24"/>
        </w:rPr>
        <w:t>ат отчетени спецификите на всяка група, докато други ННО считат, че е необходим по-хармонизиран подход, тъй като неподходящите прагове (твърде ниски или твърде високи) занижават надзора върху вътрешногруповите сделки, които са неразделна част от цялостната</w:t>
      </w:r>
      <w:r>
        <w:rPr>
          <w:rFonts w:ascii="Times New Roman" w:hAnsi="Times New Roman" w:cs="Times New Roman"/>
          <w:noProof/>
          <w:sz w:val="24"/>
        </w:rPr>
        <w:t xml:space="preserve"> оценка на риска на групите.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rPr>
        <w:t>Концентрация на риска</w:t>
      </w:r>
      <w:r>
        <w:rPr>
          <w:rStyle w:val="FootnoteReference"/>
          <w:rFonts w:ascii="Times New Roman" w:hAnsi="Times New Roman" w:cs="Times New Roman"/>
          <w:i/>
          <w:noProof/>
          <w:sz w:val="24"/>
        </w:rPr>
        <w:footnoteReference w:id="71"/>
      </w:r>
      <w:r>
        <w:rPr>
          <w:rFonts w:ascii="Times New Roman" w:hAnsi="Times New Roman" w:cs="Times New Roman"/>
          <w:i/>
          <w:noProof/>
          <w:sz w:val="24"/>
        </w:rPr>
        <w:t xml:space="preserve">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От застрахователните и презастрахователните предприятия, притежаващи дялово участие, застрахователните холдингови дружества и смесените финансови холдингови дружества се изисква да предоставят на </w:t>
      </w:r>
      <w:r>
        <w:rPr>
          <w:rFonts w:ascii="Times New Roman" w:hAnsi="Times New Roman" w:cs="Times New Roman"/>
          <w:noProof/>
          <w:sz w:val="24"/>
        </w:rPr>
        <w:t>органа за групов надзор най-малко един път в годината информация за всяка значителна концентрация на риска</w:t>
      </w:r>
      <w:r>
        <w:rPr>
          <w:rStyle w:val="FootnoteReference"/>
          <w:rFonts w:ascii="Times New Roman" w:hAnsi="Times New Roman" w:cs="Times New Roman"/>
          <w:noProof/>
          <w:sz w:val="24"/>
        </w:rPr>
        <w:footnoteReference w:id="72"/>
      </w:r>
      <w:r>
        <w:rPr>
          <w:rFonts w:ascii="Times New Roman" w:hAnsi="Times New Roman" w:cs="Times New Roman"/>
          <w:noProof/>
          <w:sz w:val="24"/>
        </w:rPr>
        <w:t>. Органите за групов надзор трябва да определят и вида рискове, които групите следва да докладват при всички обстоятелства</w:t>
      </w:r>
      <w:r>
        <w:rPr>
          <w:rStyle w:val="FootnoteReference"/>
          <w:rFonts w:ascii="Times New Roman" w:hAnsi="Times New Roman" w:cs="Times New Roman"/>
          <w:noProof/>
          <w:sz w:val="24"/>
        </w:rPr>
        <w:footnoteReference w:id="73"/>
      </w:r>
      <w:r>
        <w:rPr>
          <w:rFonts w:ascii="Times New Roman" w:hAnsi="Times New Roman" w:cs="Times New Roman"/>
          <w:noProof/>
          <w:sz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tabs>
          <w:tab w:val="left" w:pos="3686"/>
        </w:tabs>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Въпреки това липсва ясн</w:t>
      </w:r>
      <w:r>
        <w:rPr>
          <w:rFonts w:ascii="Times New Roman" w:hAnsi="Times New Roman" w:cs="Times New Roman"/>
          <w:noProof/>
          <w:sz w:val="24"/>
        </w:rPr>
        <w:t>о определение за понятието „концентрации на риска“. В член 376 от Делегиран регламент „Платежоспособност II“ има косвено определение за „значителна“ концентрация на риска посредством неговото потенциално въздействие върху груповата платежоспособност или ли</w:t>
      </w:r>
      <w:r>
        <w:rPr>
          <w:rFonts w:ascii="Times New Roman" w:hAnsi="Times New Roman" w:cs="Times New Roman"/>
          <w:noProof/>
          <w:sz w:val="24"/>
        </w:rPr>
        <w:t>квидност. В този член се предвижда и неизчерпателен списък на преки и непреки експозиции, които групите следва да вземат предвид, когато докладват за значителни концентрации на риска.</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В Директивата „Платежоспособност II“ се прави ясно разграничение между </w:t>
      </w:r>
      <w:r>
        <w:rPr>
          <w:rFonts w:ascii="Times New Roman" w:hAnsi="Times New Roman" w:cs="Times New Roman"/>
          <w:noProof/>
          <w:sz w:val="24"/>
        </w:rPr>
        <w:t>значителни концентрации на риска, за които трябва да бъдат определени количествени прагове, и концентрациите на риска, подлежащи на докладване при всички обстоятелства, които следва да бъдат определени по „вид“. Някои ННО спазват стриктно това разграничени</w:t>
      </w:r>
      <w:r>
        <w:rPr>
          <w:rFonts w:ascii="Times New Roman" w:hAnsi="Times New Roman" w:cs="Times New Roman"/>
          <w:noProof/>
          <w:sz w:val="24"/>
        </w:rPr>
        <w:t>е, докато други съчетават количествени прагове с качествени критерии (например различни прагове в зависимост от рейтинга на инструмента). На този етап Комисията не разполага с данни, че различните надзорни практики в това отношение се отразяват неблагоприя</w:t>
      </w:r>
      <w:r>
        <w:rPr>
          <w:rFonts w:ascii="Times New Roman" w:hAnsi="Times New Roman" w:cs="Times New Roman"/>
          <w:noProof/>
          <w:sz w:val="24"/>
        </w:rPr>
        <w:t xml:space="preserve">тно на еднаквите условия на конкуренция.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В по-общ план, EIOPA установява предизвикателства по отношение на определянето на праговете и видовете концентрации на риска, които са подобни на свързаните с вътрешногруповите сделки: някои надзорни органи подкре</w:t>
      </w:r>
      <w:r>
        <w:rPr>
          <w:rFonts w:ascii="Times New Roman" w:hAnsi="Times New Roman" w:cs="Times New Roman"/>
          <w:noProof/>
          <w:sz w:val="24"/>
        </w:rPr>
        <w:t xml:space="preserve">пят индивидуалния подход към всеки отделен случай, докато други ННО се обявяват за по-голяма хармонизация.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rPr>
        <w:t>Взаимодействия между Директивата „Платежоспособност II“ и правилата относно финансовите конгломерати</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Когато застрахователна група едновременно с </w:t>
      </w:r>
      <w:r>
        <w:rPr>
          <w:rFonts w:ascii="Times New Roman" w:hAnsi="Times New Roman" w:cs="Times New Roman"/>
          <w:noProof/>
          <w:sz w:val="24"/>
        </w:rPr>
        <w:t>това е (или принадлежи към) финансов конгломерат, подлежащ на допълнителен надзор в съответствие с член 5, параграф 2 от Директива 2002/87/ЕО (по-нататък „ФИКОД“), органът за групов надзор по Директивата „Платежоспособност II“ може да реши след допитване д</w:t>
      </w:r>
      <w:r>
        <w:rPr>
          <w:rFonts w:ascii="Times New Roman" w:hAnsi="Times New Roman" w:cs="Times New Roman"/>
          <w:noProof/>
          <w:sz w:val="24"/>
        </w:rPr>
        <w:t>о другите заинтересовани надзорни органи да не извършва надзор върху концентрацията на риска и/или върху вътрешногруповите сделки</w:t>
      </w:r>
      <w:r>
        <w:rPr>
          <w:rStyle w:val="FootnoteReference"/>
          <w:rFonts w:ascii="Times New Roman" w:hAnsi="Times New Roman" w:cs="Times New Roman"/>
          <w:noProof/>
          <w:sz w:val="24"/>
        </w:rPr>
        <w:footnoteReference w:id="74"/>
      </w:r>
      <w:r>
        <w:rPr>
          <w:rFonts w:ascii="Times New Roman" w:hAnsi="Times New Roman" w:cs="Times New Roman"/>
          <w:noProof/>
          <w:sz w:val="24"/>
        </w:rPr>
        <w:t>. Тази възможност е обоснова</w:t>
      </w:r>
      <w:r>
        <w:rPr>
          <w:rFonts w:ascii="Times New Roman" w:hAnsi="Times New Roman" w:cs="Times New Roman"/>
          <w:noProof/>
        </w:rPr>
        <w:t>на от наличието на подобни изисквания за докладване съгласно ФИКОД</w:t>
      </w:r>
      <w:r>
        <w:rPr>
          <w:rStyle w:val="FootnoteReference"/>
          <w:rFonts w:ascii="Times New Roman" w:hAnsi="Times New Roman" w:cs="Times New Roman"/>
          <w:noProof/>
          <w:sz w:val="24"/>
        </w:rPr>
        <w:footnoteReference w:id="75"/>
      </w:r>
      <w:r>
        <w:rPr>
          <w:rFonts w:ascii="Times New Roman" w:hAnsi="Times New Roman" w:cs="Times New Roman"/>
          <w:noProof/>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EIOPA съобщава само за два с</w:t>
      </w:r>
      <w:r>
        <w:rPr>
          <w:rFonts w:ascii="Times New Roman" w:hAnsi="Times New Roman" w:cs="Times New Roman"/>
          <w:noProof/>
          <w:sz w:val="24"/>
        </w:rPr>
        <w:t>лучая на използване на това освобождаване</w:t>
      </w:r>
      <w:r>
        <w:rPr>
          <w:rStyle w:val="FootnoteReference"/>
          <w:rFonts w:ascii="Times New Roman" w:hAnsi="Times New Roman" w:cs="Times New Roman"/>
          <w:noProof/>
          <w:sz w:val="24"/>
        </w:rPr>
        <w:footnoteReference w:id="76"/>
      </w:r>
      <w:r>
        <w:rPr>
          <w:rFonts w:ascii="Times New Roman" w:hAnsi="Times New Roman" w:cs="Times New Roman"/>
          <w:noProof/>
          <w:sz w:val="24"/>
        </w:rPr>
        <w:t>. Във ФИКОД се предвижда, че ако няма одобрен праг, следва да се докладват само вътрешногруповите сделки, надвишаващи 5 % от общата сума на изискванията в областта на капиталовата адекватност на конгломерата. Ако з</w:t>
      </w:r>
      <w:r>
        <w:rPr>
          <w:rFonts w:ascii="Times New Roman" w:hAnsi="Times New Roman" w:cs="Times New Roman"/>
          <w:noProof/>
          <w:sz w:val="24"/>
        </w:rPr>
        <w:t>астрахователната част от конгломерата не е много голяма в сравнение с банковата част, е вероятно този праг да бъде твърде висок, за да обхваща в достатъчна степен сделките, свързани със застраховане</w:t>
      </w:r>
      <w:r>
        <w:rPr>
          <w:rFonts w:ascii="Times New Roman" w:hAnsi="Times New Roman" w:cs="Times New Roman"/>
          <w:noProof/>
        </w:rPr>
        <w:t>то. Поради това, ако не съществува споразумение с банковия</w:t>
      </w:r>
      <w:r>
        <w:rPr>
          <w:rFonts w:ascii="Times New Roman" w:hAnsi="Times New Roman" w:cs="Times New Roman"/>
          <w:noProof/>
        </w:rPr>
        <w:t xml:space="preserve"> надзорен орган относно по-обособени прагове, няма причина органът за групов застрахователен надзор да предостави това освобождаване.</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rPr>
        <w:t>Диверсификационни ефекти в група</w:t>
      </w:r>
      <w:r>
        <w:rPr>
          <w:rFonts w:ascii="Times New Roman" w:hAnsi="Times New Roman" w:cs="Times New Roman"/>
          <w:i/>
          <w:noProof/>
        </w:rPr>
        <w:t>та</w:t>
      </w:r>
      <w:r>
        <w:rPr>
          <w:rStyle w:val="FootnoteReference"/>
          <w:rFonts w:ascii="Times New Roman" w:hAnsi="Times New Roman" w:cs="Times New Roman"/>
          <w:i/>
          <w:noProof/>
          <w:sz w:val="24"/>
        </w:rPr>
        <w:footnoteReference w:id="77"/>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Групите трябва да предоставят на органа за групов надзор </w:t>
      </w:r>
      <w:r>
        <w:rPr>
          <w:rFonts w:ascii="Times New Roman" w:hAnsi="Times New Roman" w:cs="Times New Roman"/>
          <w:noProof/>
        </w:rPr>
        <w:t>надлежно обяснение за разли</w:t>
      </w:r>
      <w:r>
        <w:rPr>
          <w:rFonts w:ascii="Times New Roman" w:hAnsi="Times New Roman" w:cs="Times New Roman"/>
          <w:noProof/>
        </w:rPr>
        <w:t>ката между сумата на КИП на всички свързани застрахователни или презастрахователни предприятия от групата и консолидираното КИП на групата</w:t>
      </w:r>
      <w:r>
        <w:rPr>
          <w:rStyle w:val="FootnoteReference"/>
          <w:rFonts w:ascii="Times New Roman" w:hAnsi="Times New Roman" w:cs="Times New Roman"/>
          <w:noProof/>
          <w:sz w:val="24"/>
        </w:rPr>
        <w:footnoteReference w:id="78"/>
      </w:r>
      <w:r>
        <w:rPr>
          <w:rFonts w:ascii="Times New Roman" w:hAnsi="Times New Roman" w:cs="Times New Roman"/>
          <w:noProof/>
        </w:rPr>
        <w:t>. Въпреки това според EIOPA липсата на хармонизиран образец за докладване на ползите от диверсификацията води до мног</w:t>
      </w:r>
      <w:r>
        <w:rPr>
          <w:rFonts w:ascii="Times New Roman" w:hAnsi="Times New Roman" w:cs="Times New Roman"/>
          <w:noProof/>
        </w:rPr>
        <w:t xml:space="preserve">о различаваща се като качество и степен на подробност информация, предоставяна на органите за групов надзор.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При все това не съществува универсален подход към оценката на ползите от диверсификацията, която следва да бъде съобразена с риска, характера и с</w:t>
      </w:r>
      <w:r>
        <w:rPr>
          <w:rFonts w:ascii="Times New Roman" w:hAnsi="Times New Roman" w:cs="Times New Roman"/>
          <w:noProof/>
          <w:sz w:val="24"/>
        </w:rPr>
        <w:t xml:space="preserve">ложността на всяка група. Поради това някои ННО считат, че напълно стандартизираното докладване и оповестяване на ползите от диверсификацията не позволява </w:t>
      </w:r>
      <w:r>
        <w:rPr>
          <w:rFonts w:ascii="Times New Roman" w:hAnsi="Times New Roman" w:cs="Times New Roman"/>
          <w:noProof/>
        </w:rPr>
        <w:t xml:space="preserve">специфичното състояние на всяка група да бъде обхванато по подходящ начин.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noProof/>
          <w:sz w:val="24"/>
        </w:rPr>
        <w:t xml:space="preserve">Други въпроси, включени </w:t>
      </w:r>
      <w:r>
        <w:rPr>
          <w:rFonts w:ascii="Times New Roman" w:hAnsi="Times New Roman" w:cs="Times New Roman"/>
          <w:b/>
          <w:noProof/>
          <w:sz w:val="24"/>
        </w:rPr>
        <w:t xml:space="preserve">в член 242, параграф 2 от Директивата „Платежоспособност II“, които не са свързани с груповия надзор. </w:t>
      </w:r>
    </w:p>
    <w:p w:rsidR="00C137B9" w:rsidRDefault="00C137B9">
      <w:pPr>
        <w:pStyle w:val="ListParagraph"/>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pStyle w:val="ListParagraph"/>
        <w:numPr>
          <w:ilvl w:val="0"/>
          <w:numId w:val="30"/>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u w:val="single"/>
        </w:rPr>
        <w:t>Посредничество на EIOPA при надзорни спорове</w:t>
      </w:r>
      <w:r>
        <w:rPr>
          <w:rStyle w:val="FootnoteReference"/>
          <w:rFonts w:ascii="Times New Roman" w:hAnsi="Times New Roman" w:cs="Times New Roman"/>
          <w:noProof/>
          <w:sz w:val="24"/>
          <w:u w:val="single"/>
        </w:rPr>
        <w:footnoteReference w:id="79"/>
      </w:r>
      <w:r>
        <w:rPr>
          <w:rFonts w:ascii="Times New Roman" w:hAnsi="Times New Roman" w:cs="Times New Roman"/>
          <w:noProof/>
          <w:sz w:val="24"/>
          <w:u w:val="single"/>
        </w:rPr>
        <w:t xml:space="preserve"> </w:t>
      </w:r>
    </w:p>
    <w:p w:rsidR="00C137B9" w:rsidRDefault="00C137B9">
      <w:pPr>
        <w:pStyle w:val="ListParagraph"/>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До края на 2018 г. няма случай на искане за обвързващо посредничество. Няколко ННО са се обърнали към </w:t>
      </w:r>
      <w:r>
        <w:rPr>
          <w:rFonts w:ascii="Times New Roman" w:hAnsi="Times New Roman" w:cs="Times New Roman"/>
          <w:noProof/>
          <w:sz w:val="24"/>
        </w:rPr>
        <w:t>EIOPA относно необвързващо посредничество, свързано с трансгранични въпроси. EIOPA публикува своето първо необвързващо становище за посредничество през юни 2018 г.</w:t>
      </w:r>
      <w:r>
        <w:rPr>
          <w:rStyle w:val="FootnoteReference"/>
          <w:rFonts w:ascii="Times New Roman" w:hAnsi="Times New Roman" w:cs="Times New Roman"/>
          <w:noProof/>
          <w:sz w:val="24"/>
        </w:rPr>
        <w:footnoteReference w:id="80"/>
      </w:r>
      <w:r>
        <w:rPr>
          <w:rFonts w:ascii="Times New Roman" w:hAnsi="Times New Roman" w:cs="Times New Roman"/>
          <w:noProof/>
          <w:sz w:val="24"/>
        </w:rPr>
        <w:t xml:space="preserve">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pStyle w:val="ListParagraph"/>
        <w:numPr>
          <w:ilvl w:val="0"/>
          <w:numId w:val="30"/>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noProof/>
          <w:sz w:val="24"/>
          <w:u w:val="single"/>
        </w:rPr>
        <w:t>Схеми за гарантиране на застрахователните вземания (по-нататък „СГЗВ“)</w:t>
      </w:r>
      <w:r>
        <w:rPr>
          <w:rFonts w:ascii="Times New Roman" w:hAnsi="Times New Roman" w:cs="Times New Roman"/>
          <w:noProof/>
          <w:vertAlign w:val="superscript"/>
        </w:rPr>
        <w:footnoteReference w:id="81"/>
      </w:r>
    </w:p>
    <w:p w:rsidR="00C137B9" w:rsidRDefault="00C137B9">
      <w:pPr>
        <w:autoSpaceDE w:val="0"/>
        <w:autoSpaceDN w:val="0"/>
        <w:adjustRightInd w:val="0"/>
        <w:spacing w:after="0" w:line="240" w:lineRule="auto"/>
        <w:jc w:val="both"/>
        <w:rPr>
          <w:rFonts w:ascii="Times New Roman" w:hAnsi="Times New Roman" w:cs="Times New Roman"/>
          <w:b/>
          <w:bCs/>
          <w:noProof/>
          <w:sz w:val="24"/>
          <w:szCs w:val="24"/>
        </w:rPr>
      </w:pPr>
    </w:p>
    <w:p w:rsidR="00C137B9" w:rsidRDefault="00754EA6">
      <w:p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По отношение на </w:t>
      </w:r>
      <w:r>
        <w:rPr>
          <w:rFonts w:ascii="Times New Roman" w:hAnsi="Times New Roman" w:cs="Times New Roman"/>
          <w:noProof/>
          <w:sz w:val="24"/>
        </w:rPr>
        <w:t>СГЗВ</w:t>
      </w:r>
      <w:r>
        <w:rPr>
          <w:rStyle w:val="FootnoteReference"/>
          <w:rFonts w:ascii="Times New Roman" w:hAnsi="Times New Roman" w:cs="Times New Roman"/>
          <w:noProof/>
          <w:sz w:val="24"/>
        </w:rPr>
        <w:footnoteReference w:id="82"/>
      </w:r>
      <w:r>
        <w:rPr>
          <w:rFonts w:ascii="Times New Roman" w:hAnsi="Times New Roman" w:cs="Times New Roman"/>
          <w:noProof/>
          <w:sz w:val="24"/>
        </w:rPr>
        <w:t xml:space="preserve"> ситуацията в Европа се характеризира с фрагментарност. В някои държави има повече от една СГЗВ, а в други изобщо няма такива. Съществуват значителни разлики по отношение на включените видове дейност, степента на </w:t>
      </w:r>
      <w:r>
        <w:rPr>
          <w:rFonts w:ascii="Times New Roman" w:hAnsi="Times New Roman" w:cs="Times New Roman"/>
          <w:noProof/>
          <w:sz w:val="24"/>
          <w:szCs w:val="24"/>
        </w:rPr>
        <w:t>покритие, обхвата на приложение</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изто</w:t>
      </w:r>
      <w:r>
        <w:rPr>
          <w:rFonts w:ascii="Times New Roman" w:hAnsi="Times New Roman" w:cs="Times New Roman"/>
          <w:noProof/>
          <w:sz w:val="24"/>
          <w:szCs w:val="24"/>
        </w:rPr>
        <w:t>чниците на финансиране, ролята на СГЗВ</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основата за изчисляване на вноските на участниците на пазара и способността на СГЗВ да набират допълнително финансиране в случай на недостиг</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w:t>
      </w:r>
    </w:p>
    <w:p w:rsidR="00C137B9" w:rsidRDefault="00C137B9">
      <w:pPr>
        <w:spacing w:after="0" w:line="240" w:lineRule="auto"/>
        <w:jc w:val="both"/>
        <w:rPr>
          <w:rFonts w:ascii="Times New Roman" w:hAnsi="Times New Roman" w:cs="Times New Roman"/>
          <w:noProof/>
          <w:sz w:val="24"/>
          <w:szCs w:val="24"/>
        </w:rPr>
      </w:pPr>
    </w:p>
    <w:p w:rsidR="00C137B9" w:rsidRDefault="00754EA6">
      <w:pPr>
        <w:rPr>
          <w:rFonts w:ascii="Times New Roman" w:hAnsi="Times New Roman" w:cs="Times New Roman"/>
          <w:b/>
          <w:noProof/>
          <w:sz w:val="24"/>
          <w:szCs w:val="24"/>
        </w:rPr>
      </w:pPr>
      <w:r>
        <w:rPr>
          <w:rFonts w:ascii="Times New Roman" w:hAnsi="Times New Roman" w:cs="Times New Roman"/>
          <w:b/>
          <w:noProof/>
          <w:sz w:val="24"/>
          <w:szCs w:val="24"/>
        </w:rPr>
        <w:br w:type="page"/>
      </w:r>
    </w:p>
    <w:p w:rsidR="00C137B9" w:rsidRDefault="00754EA6">
      <w:pPr>
        <w:pStyle w:val="ListParagraph"/>
        <w:numPr>
          <w:ilvl w:val="0"/>
          <w:numId w:val="1"/>
        </w:numPr>
        <w:spacing w:after="0" w:line="240" w:lineRule="auto"/>
        <w:jc w:val="both"/>
        <w:rPr>
          <w:rFonts w:ascii="Times New Roman" w:hAnsi="Times New Roman" w:cs="Times New Roman"/>
          <w:b/>
          <w:bCs/>
          <w:noProof/>
          <w:sz w:val="24"/>
          <w:szCs w:val="24"/>
        </w:rPr>
      </w:pPr>
      <w:r>
        <w:rPr>
          <w:rFonts w:ascii="Times New Roman" w:hAnsi="Times New Roman" w:cs="Times New Roman"/>
          <w:b/>
          <w:noProof/>
          <w:sz w:val="24"/>
          <w:szCs w:val="24"/>
        </w:rPr>
        <w:t>Заключение</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Като цяло пруденциалната рамка за групов надзор е надеждна, като поставя акцента върху капиталовото управление и управлението на групата и способства за по-добро разбиране и наблюдение на рисковете на равнище група. Въпреки това някои области от рамката не</w:t>
      </w:r>
      <w:r>
        <w:rPr>
          <w:rFonts w:ascii="Times New Roman" w:hAnsi="Times New Roman" w:cs="Times New Roman"/>
          <w:noProof/>
          <w:sz w:val="24"/>
          <w:szCs w:val="24"/>
        </w:rPr>
        <w:t xml:space="preserve"> гарантират хармонизирано прилагане на правилата от страна на групите и ННО, което може да има въздействие върху еднаквите условия на конкуренция и стратегиите за капиталово управление.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В глава II се изтъква, че разликите в прилагането на Директивата „Пл</w:t>
      </w:r>
      <w:r>
        <w:rPr>
          <w:rFonts w:ascii="Times New Roman" w:hAnsi="Times New Roman" w:cs="Times New Roman"/>
          <w:noProof/>
          <w:sz w:val="24"/>
          <w:szCs w:val="24"/>
        </w:rPr>
        <w:t xml:space="preserve">атежоспособност II“ по отношение на груповия надзор може да се отразят неблагоприятно на защитата на титулярите на полици в зависимост от това как ННО определят обхвата на надзора и упражняват надзора на равнището на холдинговите дружества майка. В нея се </w:t>
      </w:r>
      <w:r>
        <w:rPr>
          <w:rFonts w:ascii="Times New Roman" w:hAnsi="Times New Roman" w:cs="Times New Roman"/>
          <w:noProof/>
          <w:sz w:val="24"/>
          <w:szCs w:val="24"/>
        </w:rPr>
        <w:t>подчертава също така, че е важно да се осигури подходящ надзор над групите, чиито дружества майка имат седалище в трета държава. Освен това с оглед на големите различия между надзорните правомощия на различните ННО е необходимо да се направи оценка на целе</w:t>
      </w:r>
      <w:r>
        <w:rPr>
          <w:rFonts w:ascii="Times New Roman" w:hAnsi="Times New Roman" w:cs="Times New Roman"/>
          <w:noProof/>
          <w:sz w:val="24"/>
          <w:szCs w:val="24"/>
        </w:rPr>
        <w:t>съобразността на правомощията за ранна намеса, включени в Директивата „Платежоспособност II“.</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В глава III се установяват редица правни неясноти и различаващи се надзорни практики, които могат да имат значително въздействие върху груповата</w:t>
      </w:r>
      <w:r>
        <w:rPr>
          <w:rFonts w:ascii="Times New Roman" w:hAnsi="Times New Roman" w:cs="Times New Roman"/>
          <w:noProof/>
          <w:sz w:val="24"/>
        </w:rPr>
        <w:t xml:space="preserve"> платежоспособнос</w:t>
      </w:r>
      <w:r>
        <w:rPr>
          <w:rFonts w:ascii="Times New Roman" w:hAnsi="Times New Roman" w:cs="Times New Roman"/>
          <w:noProof/>
          <w:sz w:val="24"/>
        </w:rPr>
        <w:t>т. Те засягат както груповите собствени средства, така и груповите КИП и МКИ. Използването на вътрешни модели на групата може да създаде допълнителни проблеми. Първо, различното прилагане на един и същ вътрешен модел на равнище отделно предприятие и на рав</w:t>
      </w:r>
      <w:r>
        <w:rPr>
          <w:rFonts w:ascii="Times New Roman" w:hAnsi="Times New Roman" w:cs="Times New Roman"/>
          <w:noProof/>
          <w:sz w:val="24"/>
        </w:rPr>
        <w:t>нище група по ключови аспекти, като динамичната корекция за променливост, може да засегне управлението на груповия риск. Освен това използването на частичен вътрешен модел от група би могло да създаде регулаторен арбитраж по отношение на начина на интегрир</w:t>
      </w:r>
      <w:r>
        <w:rPr>
          <w:rFonts w:ascii="Times New Roman" w:hAnsi="Times New Roman" w:cs="Times New Roman"/>
          <w:noProof/>
          <w:sz w:val="24"/>
        </w:rPr>
        <w:t xml:space="preserve">ане в груповата платежоспособност на структурите извън обхвата на модела. </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В глава IV e илюстрирано голямото многообразие от тълкувания във връзка с разпоредбите относно управлението на група, които са определени общо в Директивата</w:t>
      </w:r>
      <w:r>
        <w:rPr>
          <w:rFonts w:ascii="Times New Roman" w:hAnsi="Times New Roman" w:cs="Times New Roman"/>
          <w:noProof/>
        </w:rPr>
        <w:t xml:space="preserve"> </w:t>
      </w:r>
      <w:r>
        <w:rPr>
          <w:rFonts w:ascii="Times New Roman" w:hAnsi="Times New Roman" w:cs="Times New Roman"/>
          <w:noProof/>
          <w:sz w:val="24"/>
          <w:szCs w:val="24"/>
        </w:rPr>
        <w:t xml:space="preserve">„Платежоспособност II“ </w:t>
      </w:r>
      <w:r>
        <w:rPr>
          <w:rFonts w:ascii="Times New Roman" w:hAnsi="Times New Roman" w:cs="Times New Roman"/>
          <w:noProof/>
          <w:sz w:val="24"/>
          <w:szCs w:val="24"/>
        </w:rPr>
        <w:t xml:space="preserve">като прилагане </w:t>
      </w:r>
      <w:r>
        <w:rPr>
          <w:rFonts w:ascii="Times New Roman" w:hAnsi="Times New Roman" w:cs="Times New Roman"/>
          <w:i/>
          <w:noProof/>
          <w:sz w:val="24"/>
          <w:szCs w:val="24"/>
        </w:rPr>
        <w:t>mutatis mutandis</w:t>
      </w:r>
      <w:r>
        <w:rPr>
          <w:rFonts w:ascii="Times New Roman" w:hAnsi="Times New Roman" w:cs="Times New Roman"/>
          <w:noProof/>
          <w:sz w:val="24"/>
          <w:szCs w:val="24"/>
        </w:rPr>
        <w:t xml:space="preserve"> на изискванията за отделно предприятие. В тази глава са посочени и някои съображения относно това защо режимът за централизирано управление на риска понастоящем не се прилага от нито една група. По отношение на изискванията </w:t>
      </w:r>
      <w:r>
        <w:rPr>
          <w:rFonts w:ascii="Times New Roman" w:hAnsi="Times New Roman" w:cs="Times New Roman"/>
          <w:noProof/>
          <w:sz w:val="24"/>
          <w:szCs w:val="24"/>
        </w:rPr>
        <w:t>по стълб III EIOPA и ННО считат определението и обхватът на подлежащите на докладване вътрешногрупови сделки за недостатъчно ясни и изчерпателни. Въпреки това съществуват различни становища сред надзорните органи по отношение на подходящата степен на хармо</w:t>
      </w:r>
      <w:r>
        <w:rPr>
          <w:rFonts w:ascii="Times New Roman" w:hAnsi="Times New Roman" w:cs="Times New Roman"/>
          <w:noProof/>
          <w:sz w:val="24"/>
          <w:szCs w:val="24"/>
        </w:rPr>
        <w:t>низация на докладването на вътрешногруповите сделки и концентрацията на риска, както и количественото определяне на диверсификационните ефекти.</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Накрая, ситуацията на съществена фрагментарност по отношение на СГЗВ в Европа, както е представена в глава V, м</w:t>
      </w:r>
      <w:r>
        <w:rPr>
          <w:rFonts w:ascii="Times New Roman" w:hAnsi="Times New Roman" w:cs="Times New Roman"/>
          <w:noProof/>
          <w:sz w:val="24"/>
          <w:szCs w:val="24"/>
        </w:rPr>
        <w:t>оже да засегне защитата на титулярите на полици, както показаха няколко случая на фалити на застрахователи, извършващи трансгранична дейност. Понастоящем EIOPA продължава да проучва необходимостта от възможни стъпки към хармонизация на СГЗВ след публикуван</w:t>
      </w:r>
      <w:r>
        <w:rPr>
          <w:rFonts w:ascii="Times New Roman" w:hAnsi="Times New Roman" w:cs="Times New Roman"/>
          <w:noProof/>
          <w:sz w:val="24"/>
          <w:szCs w:val="24"/>
        </w:rPr>
        <w:t>ето през 2018 г. на своя документ за обсъждане</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w:t>
      </w:r>
    </w:p>
    <w:p w:rsidR="00C137B9" w:rsidRDefault="00C137B9">
      <w:pPr>
        <w:autoSpaceDE w:val="0"/>
        <w:autoSpaceDN w:val="0"/>
        <w:adjustRightInd w:val="0"/>
        <w:spacing w:after="0" w:line="240" w:lineRule="auto"/>
        <w:jc w:val="both"/>
        <w:rPr>
          <w:rFonts w:ascii="Times New Roman" w:hAnsi="Times New Roman" w:cs="Times New Roman"/>
          <w:bCs/>
          <w:noProof/>
          <w:sz w:val="24"/>
          <w:szCs w:val="24"/>
        </w:rPr>
      </w:pPr>
    </w:p>
    <w:p w:rsidR="00C137B9" w:rsidRDefault="00754EA6">
      <w:pPr>
        <w:autoSpaceDE w:val="0"/>
        <w:autoSpaceDN w:val="0"/>
        <w:adjustRightInd w:val="0"/>
        <w:spacing w:after="0" w:line="240" w:lineRule="auto"/>
        <w:jc w:val="both"/>
        <w:rPr>
          <w:rFonts w:ascii="Times New Roman" w:hAnsi="Times New Roman" w:cs="Times New Roman"/>
          <w:noProof/>
        </w:rPr>
      </w:pPr>
      <w:r>
        <w:rPr>
          <w:rFonts w:ascii="Times New Roman" w:hAnsi="Times New Roman" w:cs="Times New Roman"/>
          <w:noProof/>
          <w:sz w:val="24"/>
          <w:szCs w:val="24"/>
        </w:rPr>
        <w:t>В член 242, параграф 2 от Директивата „Платежоспособност II“ е посочено, че</w:t>
      </w:r>
      <w:r>
        <w:rPr>
          <w:rFonts w:ascii="Times New Roman" w:hAnsi="Times New Roman" w:cs="Times New Roman"/>
          <w:noProof/>
          <w:sz w:val="24"/>
        </w:rPr>
        <w:t xml:space="preserve"> докладът на Комисията може да бъде придружен от законодателни предложения. В настоящия доклад бяха изведени редица важни проблеми,</w:t>
      </w:r>
      <w:r>
        <w:rPr>
          <w:rFonts w:ascii="Times New Roman" w:hAnsi="Times New Roman" w:cs="Times New Roman"/>
          <w:noProof/>
          <w:sz w:val="24"/>
        </w:rPr>
        <w:t xml:space="preserve"> чието решаване може да се окаже необходимо, включително чрез евентуални законодателни промени. Нужен е обаче допълнителен анализ на въздействието на тези евентуални промени на правилата. Поради това Комисията смята, че е целесъобразно груповият надзор да </w:t>
      </w:r>
      <w:r>
        <w:rPr>
          <w:rFonts w:ascii="Times New Roman" w:hAnsi="Times New Roman" w:cs="Times New Roman"/>
          <w:noProof/>
          <w:sz w:val="24"/>
        </w:rPr>
        <w:t xml:space="preserve">се включи в обхвата на общото преразглеждане на </w:t>
      </w:r>
      <w:r>
        <w:rPr>
          <w:rFonts w:ascii="Times New Roman" w:hAnsi="Times New Roman" w:cs="Times New Roman"/>
          <w:noProof/>
          <w:sz w:val="24"/>
          <w:szCs w:val="24"/>
        </w:rPr>
        <w:t xml:space="preserve">Директивата „Платежоспособност II“ през 2020 г. </w:t>
      </w:r>
      <w:r>
        <w:rPr>
          <w:rFonts w:ascii="Times New Roman" w:hAnsi="Times New Roman" w:cs="Times New Roman"/>
          <w:noProof/>
          <w:sz w:val="24"/>
        </w:rPr>
        <w:t>Комисията прикани EIOPA до 30 юни 2020 г. да предостави техническо становище по проблемите, установени в настоящия доклад, както и по други свързани проблеми, к</w:t>
      </w:r>
      <w:r>
        <w:rPr>
          <w:rFonts w:ascii="Times New Roman" w:hAnsi="Times New Roman" w:cs="Times New Roman"/>
          <w:noProof/>
          <w:sz w:val="24"/>
        </w:rPr>
        <w:t>оито може да засегнат неблагоприятно защитата на титулярите на полици, като част от преразглеждането на Директивата „Платежоспособност II“ през 2020 г.</w:t>
      </w:r>
      <w:r>
        <w:rPr>
          <w:rStyle w:val="FootnoteReference"/>
          <w:rFonts w:ascii="Times New Roman" w:hAnsi="Times New Roman" w:cs="Times New Roman"/>
          <w:noProof/>
          <w:sz w:val="24"/>
        </w:rPr>
        <w:footnoteReference w:id="87"/>
      </w:r>
    </w:p>
    <w:sectPr w:rsidR="00C137B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7B9" w:rsidRDefault="00754EA6">
      <w:pPr>
        <w:spacing w:after="0" w:line="240" w:lineRule="auto"/>
      </w:pPr>
      <w:r>
        <w:separator/>
      </w:r>
    </w:p>
  </w:endnote>
  <w:endnote w:type="continuationSeparator" w:id="0">
    <w:p w:rsidR="00C137B9" w:rsidRDefault="00754EA6">
      <w:pPr>
        <w:spacing w:after="0" w:line="240" w:lineRule="auto"/>
      </w:pPr>
      <w:r>
        <w:continuationSeparator/>
      </w:r>
    </w:p>
  </w:endnote>
  <w:endnote w:type="continuationNotice" w:id="1">
    <w:p w:rsidR="00C137B9" w:rsidRDefault="00C13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A6" w:rsidRPr="00754EA6" w:rsidRDefault="00754EA6" w:rsidP="0075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A6" w:rsidRPr="00754EA6" w:rsidRDefault="00754EA6" w:rsidP="00754EA6">
    <w:pPr>
      <w:pStyle w:val="FooterCoverPage"/>
      <w:rPr>
        <w:rFonts w:ascii="Arial" w:hAnsi="Arial" w:cs="Arial"/>
        <w:b/>
        <w:sz w:val="48"/>
      </w:rPr>
    </w:pPr>
    <w:r w:rsidRPr="00754EA6">
      <w:rPr>
        <w:rFonts w:ascii="Arial" w:hAnsi="Arial" w:cs="Arial"/>
        <w:b/>
        <w:sz w:val="48"/>
      </w:rPr>
      <w:t>BG</w:t>
    </w:r>
    <w:r w:rsidRPr="00754EA6">
      <w:rPr>
        <w:rFonts w:ascii="Arial" w:hAnsi="Arial" w:cs="Arial"/>
        <w:b/>
        <w:sz w:val="48"/>
      </w:rPr>
      <w:tab/>
    </w:r>
    <w:r w:rsidRPr="00754EA6">
      <w:rPr>
        <w:rFonts w:ascii="Arial" w:hAnsi="Arial" w:cs="Arial"/>
        <w:b/>
        <w:sz w:val="48"/>
      </w:rPr>
      <w:tab/>
    </w:r>
    <w:r w:rsidRPr="00754EA6">
      <w:tab/>
    </w:r>
    <w:r w:rsidRPr="00754EA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A6" w:rsidRPr="00754EA6" w:rsidRDefault="00754EA6" w:rsidP="00754EA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B9" w:rsidRDefault="00C137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461634"/>
      <w:docPartObj>
        <w:docPartGallery w:val="Page Numbers (Bottom of Page)"/>
        <w:docPartUnique/>
      </w:docPartObj>
    </w:sdtPr>
    <w:sdtEndPr>
      <w:rPr>
        <w:noProof/>
      </w:rPr>
    </w:sdtEndPr>
    <w:sdtContent>
      <w:p w:rsidR="00C137B9" w:rsidRDefault="00754EA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137B9" w:rsidRDefault="00C137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B9" w:rsidRDefault="00C13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7B9" w:rsidRDefault="00754EA6">
      <w:pPr>
        <w:spacing w:after="0" w:line="240" w:lineRule="auto"/>
      </w:pPr>
      <w:r>
        <w:separator/>
      </w:r>
    </w:p>
  </w:footnote>
  <w:footnote w:type="continuationSeparator" w:id="0">
    <w:p w:rsidR="00C137B9" w:rsidRDefault="00754EA6">
      <w:pPr>
        <w:spacing w:after="0" w:line="240" w:lineRule="auto"/>
      </w:pPr>
      <w:r>
        <w:continuationSeparator/>
      </w:r>
    </w:p>
  </w:footnote>
  <w:footnote w:type="continuationNotice" w:id="1">
    <w:p w:rsidR="00C137B9" w:rsidRDefault="00C137B9">
      <w:pPr>
        <w:spacing w:after="0" w:line="240" w:lineRule="auto"/>
      </w:pPr>
    </w:p>
  </w:footnote>
  <w:footnote w:id="2">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 w:id="3">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1">
        <w:r>
          <w:rPr>
            <w:rStyle w:val="Hyperlink"/>
            <w:rFonts w:ascii="Times New Roman" w:hAnsi="Times New Roman"/>
          </w:rPr>
          <w:t>писмото, изпратено на EIOPA</w:t>
        </w:r>
      </w:hyperlink>
      <w:r>
        <w:t>,</w:t>
      </w:r>
      <w:r>
        <w:rPr>
          <w:rFonts w:ascii="Times New Roman" w:hAnsi="Times New Roman"/>
        </w:rPr>
        <w:t xml:space="preserve"> и </w:t>
      </w:r>
      <w:hyperlink r:id="rId2">
        <w:r>
          <w:rPr>
            <w:rStyle w:val="Hyperlink"/>
            <w:rFonts w:ascii="Times New Roman" w:hAnsi="Times New Roman"/>
          </w:rPr>
          <w:t>подробното приложение</w:t>
        </w:r>
      </w:hyperlink>
      <w:r>
        <w:rPr>
          <w:rFonts w:ascii="Times New Roman" w:hAnsi="Times New Roman"/>
        </w:rPr>
        <w:t>.</w:t>
      </w:r>
    </w:p>
  </w:footnote>
  <w:footnote w:id="4">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Достъп </w:t>
      </w:r>
      <w:hyperlink r:id="rId3">
        <w:r>
          <w:rPr>
            <w:rStyle w:val="Hyperlink"/>
            <w:rFonts w:ascii="Times New Roman" w:hAnsi="Times New Roman"/>
          </w:rPr>
          <w:t>чрез тази препратка</w:t>
        </w:r>
      </w:hyperlink>
      <w:r>
        <w:rPr>
          <w:rFonts w:ascii="Times New Roman" w:hAnsi="Times New Roman"/>
        </w:rPr>
        <w:t>.</w:t>
      </w:r>
    </w:p>
  </w:footnote>
  <w:footnote w:id="5">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Наричани обикновено изисквания съответно по „стълб I“, „стълб II“ и „стълб III“.</w:t>
      </w:r>
    </w:p>
  </w:footnote>
  <w:footnote w:id="6">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например </w:t>
      </w:r>
      <w:hyperlink r:id="rId4">
        <w:r>
          <w:rPr>
            <w:rStyle w:val="Hyperlink"/>
            <w:rFonts w:ascii="Times New Roman" w:hAnsi="Times New Roman"/>
          </w:rPr>
          <w:t>тази препратка</w:t>
        </w:r>
      </w:hyperlink>
      <w:r>
        <w:rPr>
          <w:rFonts w:ascii="Times New Roman" w:hAnsi="Times New Roman"/>
        </w:rPr>
        <w:t>.</w:t>
      </w:r>
    </w:p>
  </w:footnote>
  <w:footnote w:id="7">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213, параграф 2 от Директивата „Платежоспособност II“.</w:t>
      </w:r>
    </w:p>
  </w:footnote>
  <w:footnote w:id="8">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Съгласно определеното в член 212, параграф 1, букви е) и з) съответно от Директивата „Платежо</w:t>
      </w:r>
      <w:r>
        <w:rPr>
          <w:rFonts w:ascii="Times New Roman" w:hAnsi="Times New Roman"/>
        </w:rPr>
        <w:t>способност II“.</w:t>
      </w:r>
    </w:p>
  </w:footnote>
  <w:footnote w:id="9">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Съгласно определеното в член 212, параграф 1, буква ж) от Директивата „Платежоспособност II“.</w:t>
      </w:r>
    </w:p>
  </w:footnote>
  <w:footnote w:id="10">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Виж член 265 от Директивата „Платежоспособност II“.</w:t>
      </w:r>
    </w:p>
  </w:footnote>
  <w:footnote w:id="11">
    <w:p w:rsidR="00C137B9" w:rsidRDefault="00754EA6">
      <w:pPr>
        <w:pStyle w:val="FootnoteText"/>
        <w:jc w:val="both"/>
      </w:pPr>
      <w:r>
        <w:rPr>
          <w:rStyle w:val="FootnoteReference"/>
        </w:rPr>
        <w:footnoteRef/>
      </w:r>
      <w:r>
        <w:t xml:space="preserve"> </w:t>
      </w:r>
      <w:r>
        <w:rPr>
          <w:rFonts w:ascii="Times New Roman" w:hAnsi="Times New Roman"/>
        </w:rPr>
        <w:t xml:space="preserve">Така например, от 2017 г. насам застрахователни групи и инвеститори в частни капиталови </w:t>
      </w:r>
      <w:r>
        <w:rPr>
          <w:rFonts w:ascii="Times New Roman" w:hAnsi="Times New Roman"/>
        </w:rPr>
        <w:t>инструменти от Китай, Япония, Съединените щати, Швейцария и Канада придобиха (дял от капитала на) застрахователни предприятия, установени в ЕС.</w:t>
      </w:r>
    </w:p>
  </w:footnote>
  <w:footnote w:id="12">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213, параграф 2, буква в) от Директивата „Платежоспособност II“.</w:t>
      </w:r>
    </w:p>
  </w:footnote>
  <w:footnote w:id="13">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Виж член 261 от Директивата „Платежоспособност II“.</w:t>
      </w:r>
    </w:p>
  </w:footnote>
  <w:footnote w:id="14">
    <w:p w:rsidR="00C137B9" w:rsidRDefault="00754EA6">
      <w:pPr>
        <w:pStyle w:val="FootnoteText"/>
      </w:pPr>
      <w:r>
        <w:rPr>
          <w:rStyle w:val="FootnoteReference"/>
          <w:rFonts w:ascii="Times New Roman" w:hAnsi="Times New Roman"/>
        </w:rPr>
        <w:footnoteRef/>
      </w:r>
      <w:r>
        <w:rPr>
          <w:rFonts w:ascii="Times New Roman" w:hAnsi="Times New Roman"/>
        </w:rPr>
        <w:t xml:space="preserve"> Вж. член 262, параграф 1 от Директивата „Платежоспособност II“.</w:t>
      </w:r>
    </w:p>
  </w:footnote>
  <w:footnote w:id="15">
    <w:p w:rsidR="00C137B9" w:rsidRDefault="00754E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член 247, параграф 2, буква б), подточка v) от Директивата „Платежоспособност II“.</w:t>
      </w:r>
    </w:p>
  </w:footnote>
  <w:footnote w:id="16">
    <w:p w:rsidR="00C137B9" w:rsidRDefault="00754EA6">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Груповият надзор на групи, чиито предприятия м</w:t>
      </w:r>
      <w:r>
        <w:rPr>
          <w:rFonts w:ascii="Times New Roman" w:hAnsi="Times New Roman" w:cs="Times New Roman"/>
        </w:rPr>
        <w:t>айка са регистрирани в трета държава без еквивалентен надзор, обаче трябва да се упражнява в съответствие с член 262 от Директивата „Платежоспособност II“.</w:t>
      </w:r>
    </w:p>
  </w:footnote>
  <w:footnote w:id="17">
    <w:p w:rsidR="00C137B9" w:rsidRDefault="00754E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член 214, параграф 2 от Директивата „Платежоспособност II“.</w:t>
      </w:r>
    </w:p>
  </w:footnote>
  <w:footnote w:id="18">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този </w:t>
      </w:r>
      <w:r>
        <w:rPr>
          <w:rFonts w:ascii="Times New Roman" w:hAnsi="Times New Roman" w:cs="Times New Roman"/>
        </w:rPr>
        <w:t>случай холдинговото друже</w:t>
      </w:r>
      <w:r>
        <w:rPr>
          <w:rFonts w:ascii="Times New Roman" w:hAnsi="Times New Roman" w:cs="Times New Roman"/>
        </w:rPr>
        <w:t>ство е застрахователно холдингово дружество със смесена дейност (по член 212, параграф 1, буква ж) от Директивата „Платежоспособност II“), а не застрахователно холдингово дружество (по член 212, параграф 1, буква е).</w:t>
      </w:r>
    </w:p>
  </w:footnote>
  <w:footnote w:id="19">
    <w:p w:rsidR="00C137B9" w:rsidRDefault="00754EA6">
      <w:pPr>
        <w:pStyle w:val="FootnoteText"/>
        <w:jc w:val="both"/>
        <w:rPr>
          <w:rFonts w:ascii="Times New Roman" w:hAnsi="Times New Roman" w:cs="Times New Roman"/>
        </w:rPr>
      </w:pPr>
      <w:r>
        <w:footnoteRef/>
      </w:r>
      <w:r>
        <w:rPr>
          <w:rFonts w:ascii="Times New Roman" w:hAnsi="Times New Roman" w:cs="Times New Roman"/>
        </w:rPr>
        <w:t xml:space="preserve"> Подобни проблеми бяха установени в ба</w:t>
      </w:r>
      <w:r>
        <w:rPr>
          <w:rFonts w:ascii="Times New Roman" w:hAnsi="Times New Roman" w:cs="Times New Roman"/>
        </w:rPr>
        <w:t>нковия сектор. С Директива (ЕС) 2019/878 на Европейския парламент и на Съвета от 20 май 2019 г. за изменение на Директива 2013/36/ЕС се въвеждат специална процедура за одобрение и преки надзорни правомощия по отношение на определени холдингови дружества. О</w:t>
      </w:r>
      <w:r>
        <w:rPr>
          <w:rFonts w:ascii="Times New Roman" w:hAnsi="Times New Roman" w:cs="Times New Roman"/>
        </w:rPr>
        <w:t>свен това с Регламент (ЕС) 2019/876 на Европейския парламент и на Съвета от 20 май 2019 г. за изменение на Регламент (ЕС) № 575/2013 се изясняват критериите, по които се установява дали основната дейност на финансова институция (холдингово дружество) е свъ</w:t>
      </w:r>
      <w:r>
        <w:rPr>
          <w:rFonts w:ascii="Times New Roman" w:hAnsi="Times New Roman" w:cs="Times New Roman"/>
        </w:rPr>
        <w:t xml:space="preserve">рзана с притежаването на банкови дъщерни дружества. </w:t>
      </w:r>
    </w:p>
  </w:footnote>
  <w:footnote w:id="20">
    <w:p w:rsidR="00C137B9" w:rsidRDefault="00754E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член 242, параграф 2, буква а) от Директивата „Платежоспособност II“.</w:t>
      </w:r>
      <w:r>
        <w:rPr>
          <w:rFonts w:ascii="Times New Roman" w:hAnsi="Times New Roman" w:cs="Times New Roman"/>
        </w:rPr>
        <w:tab/>
      </w:r>
    </w:p>
  </w:footnote>
  <w:footnote w:id="21">
    <w:p w:rsidR="00C137B9" w:rsidRDefault="00754E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член 218, параграф 5 от Директивата „Платежоспособност II“.</w:t>
      </w:r>
    </w:p>
  </w:footnote>
  <w:footnote w:id="22">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218, параграф 4 от Директивата „Платежоспособност</w:t>
      </w:r>
      <w:r>
        <w:rPr>
          <w:rFonts w:ascii="Times New Roman" w:hAnsi="Times New Roman"/>
        </w:rPr>
        <w:t> II“.</w:t>
      </w:r>
    </w:p>
  </w:footnote>
  <w:footnote w:id="23">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141 от Директивата „Платежоспособност II“. Разпоредбата не се прилага </w:t>
      </w:r>
      <w:r>
        <w:rPr>
          <w:rFonts w:ascii="Times New Roman" w:hAnsi="Times New Roman"/>
          <w:i/>
        </w:rPr>
        <w:t>mutatis mutandis на равнище група</w:t>
      </w:r>
      <w:r>
        <w:rPr>
          <w:rFonts w:ascii="Times New Roman" w:hAnsi="Times New Roman"/>
        </w:rPr>
        <w:t>.</w:t>
      </w:r>
    </w:p>
  </w:footnote>
  <w:footnote w:id="24">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258, параграф 1 от Директивата „Платежоспособност II“.</w:t>
      </w:r>
    </w:p>
  </w:footnote>
  <w:footnote w:id="25">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218 от Директивата „Платежоспособност II“.</w:t>
      </w:r>
    </w:p>
  </w:footnote>
  <w:footnote w:id="26">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220 от Директивата „Платежоспособност II“.</w:t>
      </w:r>
    </w:p>
  </w:footnote>
  <w:footnote w:id="27">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220 от Директивата „Платежоспособност II“.</w:t>
      </w:r>
    </w:p>
  </w:footnote>
  <w:footnote w:id="28">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2015/35 на Комисията от 10 октомври 2014 г. за допълнение на Директива 2009/138/ЕО на Европейския парламент и на Съвета от</w:t>
      </w:r>
      <w:r>
        <w:rPr>
          <w:rFonts w:ascii="Times New Roman" w:hAnsi="Times New Roman"/>
        </w:rPr>
        <w:t>носно започването и упражняването на застрахователна и презастрахователна дейност (Платежоспособност II), ОВ L 12, 17.1.2015 г., стр. 1.</w:t>
      </w:r>
    </w:p>
  </w:footnote>
  <w:footnote w:id="29">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Съгласно определеното в член 1, точка 53 от Делегиран регламент „Платежоспособност II“.</w:t>
      </w:r>
    </w:p>
  </w:footnote>
  <w:footnote w:id="30">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331, параграф 1, б</w:t>
      </w:r>
      <w:r>
        <w:rPr>
          <w:rFonts w:ascii="Times New Roman" w:hAnsi="Times New Roman"/>
        </w:rPr>
        <w:t xml:space="preserve">уква б), член 332, параграф 1, буква б) и член 333, параграф 1, буква б) от </w:t>
      </w:r>
      <w:r>
        <w:rPr>
          <w:rFonts w:ascii="Times New Roman" w:hAnsi="Times New Roman" w:cs="Times New Roman"/>
        </w:rPr>
        <w:t>Делегиран регламент „Платежоспособност II“.</w:t>
      </w:r>
    </w:p>
  </w:footnote>
  <w:footnote w:id="31">
    <w:p w:rsidR="00C137B9" w:rsidRDefault="00754E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color w:val="000000"/>
        </w:rPr>
        <w:t>Позициите от собствени средства, които са емитирани от застрахователни холдинги и финансови холдинги със смесена дейност в групата, н</w:t>
      </w:r>
      <w:r>
        <w:rPr>
          <w:rFonts w:ascii="Times New Roman" w:hAnsi="Times New Roman" w:cs="Times New Roman"/>
          <w:i/>
          <w:color w:val="000000"/>
        </w:rPr>
        <w:t>е са обременени с тежести, освен ако претенциите, свързани с тези позиции от собствени средства, имат по-нисък ранг от претенциите на всички титуляри на полици и бенефициери на застрахователните или презастрахователните предприятия, които принадлежат към г</w:t>
      </w:r>
      <w:r>
        <w:rPr>
          <w:rFonts w:ascii="Times New Roman" w:hAnsi="Times New Roman" w:cs="Times New Roman"/>
          <w:i/>
          <w:color w:val="000000"/>
        </w:rPr>
        <w:t>рупата</w:t>
      </w:r>
      <w:r>
        <w:rPr>
          <w:rFonts w:ascii="Times New Roman" w:hAnsi="Times New Roman" w:cs="Times New Roman"/>
          <w:color w:val="000000"/>
        </w:rPr>
        <w:t>“.</w:t>
      </w:r>
    </w:p>
  </w:footnote>
  <w:footnote w:id="32">
    <w:p w:rsidR="00C137B9" w:rsidRDefault="00754E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 това отношение заглавието на член 331 от Делегирания регламент не е напълно съгласувано със съдържанието на разпоредбата. Макар заглавието да предполага, че този член се прилага само за свързани застрахователни или презастрахователни предприятия, в пара</w:t>
      </w:r>
      <w:r>
        <w:rPr>
          <w:rFonts w:ascii="Times New Roman" w:hAnsi="Times New Roman" w:cs="Times New Roman"/>
        </w:rPr>
        <w:t>граф 3 от него се предвижда, че той се прилага и по отношение на предприятия, притежаващи дялово участие.</w:t>
      </w:r>
    </w:p>
  </w:footnote>
  <w:footnote w:id="33">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331, параграф 2, буква а), член 332, параграф 2, буква а) и член 333, параграф 2, буква а) от Делегиран регламент „Платежоспособност II“.</w:t>
      </w:r>
    </w:p>
  </w:footnote>
  <w:footnote w:id="34">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71, параграф 1, буква л), член 73, параграф 1, буква ж) и член 77, параграф 1, буква ж) от Делегиран регламент „Платежоспособност II“. Разпределенията се отнасят до дивиденти от капиталови инструменти и плащания по лихвени купони за подчинени дъл</w:t>
      </w:r>
      <w:r>
        <w:rPr>
          <w:rFonts w:ascii="Times New Roman" w:hAnsi="Times New Roman"/>
        </w:rPr>
        <w:t>гове. Отмяна на разпределенията, когато има неизпълнение на груповото КИП, се изисква само за собствените средства от първи ред.</w:t>
      </w:r>
    </w:p>
  </w:footnote>
  <w:footnote w:id="35">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71, параграф 1, буква й), член 73, параграф 1, буква е) и член 77, параграф 1, буква е) от Делегиран регламент „Плат</w:t>
      </w:r>
      <w:r>
        <w:rPr>
          <w:rFonts w:ascii="Times New Roman" w:hAnsi="Times New Roman"/>
        </w:rPr>
        <w:t>ежоспособност II“.</w:t>
      </w:r>
    </w:p>
  </w:footnote>
  <w:footnote w:id="36">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330, параграф 1, букви а) и б) от Делегиран регламент „Платежоспособност II“.</w:t>
      </w:r>
    </w:p>
  </w:footnote>
  <w:footnote w:id="37">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330, параграф 1, буква в) от Делегиран регламент „Платежоспособност II“.</w:t>
      </w:r>
    </w:p>
  </w:footnote>
  <w:footnote w:id="38">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Съгласно определеното в член 70 от Делегиран регламент „Платеж</w:t>
      </w:r>
      <w:r>
        <w:rPr>
          <w:rFonts w:ascii="Times New Roman" w:hAnsi="Times New Roman"/>
        </w:rPr>
        <w:t>оспособност II“.</w:t>
      </w:r>
    </w:p>
  </w:footnote>
  <w:footnote w:id="39">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съответно членове 308в и 308г от Директивата „Платежоспособност II“.</w:t>
      </w:r>
    </w:p>
  </w:footnote>
  <w:footnote w:id="40">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Някои ННО считат, че вноската не може да бъде покривана само от неналични позиции.</w:t>
      </w:r>
    </w:p>
  </w:footnote>
  <w:footnote w:id="41">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r>
        <w:rPr>
          <w:rFonts w:ascii="Times New Roman" w:hAnsi="Times New Roman" w:cs="Times New Roman"/>
        </w:rPr>
        <w:t>член 335, параграф 1, буква а) и член 336, буква а) от Делегиран регламен</w:t>
      </w:r>
      <w:r>
        <w:rPr>
          <w:rFonts w:ascii="Times New Roman" w:hAnsi="Times New Roman" w:cs="Times New Roman"/>
        </w:rPr>
        <w:t>т „Платежоспособност II“.</w:t>
      </w:r>
    </w:p>
  </w:footnote>
  <w:footnote w:id="42">
    <w:p w:rsidR="00C137B9" w:rsidRDefault="00754E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член 229 от Директивата „Платежоспособност II“.</w:t>
      </w:r>
    </w:p>
  </w:footnote>
  <w:footnote w:id="43">
    <w:p w:rsidR="00C137B9" w:rsidRDefault="00754E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Например в член 335 от Делегиран регламент „Платежоспособност II“ не се прави ясно разграничение между съвместно предприятие и съвместни операции, както са определени в МСФО </w:t>
      </w:r>
      <w:r>
        <w:rPr>
          <w:rFonts w:ascii="Times New Roman" w:hAnsi="Times New Roman" w:cs="Times New Roman"/>
        </w:rPr>
        <w:t xml:space="preserve">11. Това означава, че даден застраховател трябва да отчита своето участие в съвместно предприятие, като използва капиталовия метод за счетоводни цели, но същевременно може да се наложи да използва на пропорционална основа консолидация съгласно Директивата </w:t>
      </w:r>
      <w:r>
        <w:rPr>
          <w:rFonts w:ascii="Times New Roman" w:hAnsi="Times New Roman" w:cs="Times New Roman"/>
        </w:rPr>
        <w:t>„Платежоспособност II“ (това изисква по-подробна и вероятно неналична информация).</w:t>
      </w:r>
    </w:p>
  </w:footnote>
  <w:footnote w:id="44">
    <w:p w:rsidR="00C137B9" w:rsidRDefault="00754E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съображение 101 от Директивата „Платежоспособност II“.</w:t>
      </w:r>
    </w:p>
  </w:footnote>
  <w:footnote w:id="45">
    <w:p w:rsidR="00C137B9" w:rsidRDefault="00754E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член 129, параграф 3 от Директивата „Платежоспособност II“. Следва да се отбележи, че посоченият диапазон </w:t>
      </w:r>
      <w:r>
        <w:rPr>
          <w:rFonts w:ascii="Times New Roman" w:hAnsi="Times New Roman" w:cs="Times New Roman"/>
        </w:rPr>
        <w:t>не се прилага в случаите, когато МКИ е равно на абсолютната долна граница съгласно определеното в член 129, параграф 1, буква г) от директивата.</w:t>
      </w:r>
    </w:p>
  </w:footnote>
  <w:footnote w:id="46">
    <w:p w:rsidR="00C137B9" w:rsidRDefault="00754E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Такива случаи са възможни, тъй като Директивата „Платежоспособност II“ налага по-строги критерии за допустимо</w:t>
      </w:r>
      <w:r>
        <w:rPr>
          <w:rFonts w:ascii="Times New Roman" w:hAnsi="Times New Roman" w:cs="Times New Roman"/>
        </w:rPr>
        <w:t>ст, въз основа на които собствените средства да могат да обхващат и груповото МКИ. Собствените средства от трети ред и допълнителните собствени средства не са допустими за покриване на груповото МКИ, макар че са допустими за покриване на груповото КИП.</w:t>
      </w:r>
    </w:p>
  </w:footnote>
  <w:footnote w:id="47">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w:t>
      </w:r>
      <w:r>
        <w:rPr>
          <w:rFonts w:ascii="Times New Roman" w:hAnsi="Times New Roman"/>
        </w:rPr>
        <w:t xml:space="preserve">остъп </w:t>
      </w:r>
      <w:hyperlink r:id="rId5">
        <w:r>
          <w:rPr>
            <w:rStyle w:val="Hyperlink"/>
            <w:rFonts w:ascii="Times New Roman" w:hAnsi="Times New Roman"/>
          </w:rPr>
          <w:t>чрез тази препратка</w:t>
        </w:r>
      </w:hyperlink>
      <w:r>
        <w:rPr>
          <w:rFonts w:ascii="Times New Roman" w:hAnsi="Times New Roman"/>
        </w:rPr>
        <w:t>.</w:t>
      </w:r>
    </w:p>
  </w:footnote>
  <w:footnote w:id="48">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Те може да бъдат разглеждани като допринасящи към подмодулите на риска, свързан с акции, на валутния риск и риска, свързан с пазарна к</w:t>
      </w:r>
      <w:r>
        <w:rPr>
          <w:rFonts w:ascii="Times New Roman" w:hAnsi="Times New Roman"/>
        </w:rPr>
        <w:t>онцентрация.</w:t>
      </w:r>
    </w:p>
  </w:footnote>
  <w:footnote w:id="49">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Този аргумент е спорен по отношение на валутния риск: метод 2 не обхваща по подходящ начин валутния риск, произтичащ от използването на различна валута на равнище предприятие от трета държава и на равнище група.</w:t>
      </w:r>
    </w:p>
  </w:footnote>
  <w:footnote w:id="50">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Това би означавало, че е въ</w:t>
      </w:r>
      <w:r>
        <w:rPr>
          <w:rFonts w:ascii="Times New Roman" w:hAnsi="Times New Roman"/>
        </w:rPr>
        <w:t>зможно да се изчисли консолидирано капиталово изискване на равнище подгрупа (т.е. като са приспаднати вътрешногруповите сделки и като се допускат ефекти от диверсификация между дружествата от тази подгрупа) и после това капиталово изискване да се изведе на</w:t>
      </w:r>
      <w:r>
        <w:rPr>
          <w:rFonts w:ascii="Times New Roman" w:hAnsi="Times New Roman"/>
        </w:rPr>
        <w:t xml:space="preserve"> агрегирано равнище за останалата част от групата.</w:t>
      </w:r>
    </w:p>
  </w:footnote>
  <w:footnote w:id="51">
    <w:p w:rsidR="00C137B9" w:rsidRDefault="00754EA6">
      <w:pPr>
        <w:pStyle w:val="FootnoteText"/>
        <w:rPr>
          <w:rFonts w:ascii="Times New Roman" w:hAnsi="Times New Roman" w:cs="Times New Roman"/>
        </w:rPr>
      </w:pPr>
      <w:r>
        <w:rPr>
          <w:rStyle w:val="FootnoteReference"/>
        </w:rPr>
        <w:footnoteRef/>
      </w:r>
      <w:r>
        <w:t xml:space="preserve"> </w:t>
      </w:r>
      <w:r>
        <w:rPr>
          <w:rFonts w:ascii="Times New Roman" w:hAnsi="Times New Roman"/>
        </w:rPr>
        <w:t>Вж. член 242, параграф 2, буква б).</w:t>
      </w:r>
    </w:p>
  </w:footnote>
  <w:footnote w:id="52">
    <w:p w:rsidR="00C137B9" w:rsidRDefault="00754EA6">
      <w:pPr>
        <w:pStyle w:val="FootnoteText"/>
      </w:pPr>
      <w:r>
        <w:rPr>
          <w:rStyle w:val="FootnoteReference"/>
          <w:rFonts w:ascii="Times New Roman" w:hAnsi="Times New Roman"/>
        </w:rPr>
        <w:footnoteRef/>
      </w:r>
      <w:r>
        <w:rPr>
          <w:rFonts w:ascii="Times New Roman" w:hAnsi="Times New Roman"/>
        </w:rPr>
        <w:t xml:space="preserve"> Единадесет цялостни вътрешни модела или тридесет и четири частични вътрешни модела.</w:t>
      </w:r>
    </w:p>
  </w:footnote>
  <w:footnote w:id="53">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Например малцинствените участия може да са част от груповите собствени средства</w:t>
      </w:r>
      <w:r>
        <w:rPr>
          <w:rFonts w:ascii="Times New Roman" w:hAnsi="Times New Roman" w:cs="Times New Roman"/>
        </w:rPr>
        <w:t>, когато се използва метод за интегриране, докато при използване на метода за приспадане и агрегиране това не е възможно.</w:t>
      </w:r>
    </w:p>
  </w:footnote>
  <w:footnote w:id="54">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Когато свързано застрахователно или презастрахователно предприятие, включено посредством метод 2, има седалище в трета държава с еквивалентен надзор съгласно член 227 от Директивата „Платежоспособност II“, собствените средства и капиталовите изисквания за</w:t>
      </w:r>
      <w:r>
        <w:rPr>
          <w:rFonts w:ascii="Times New Roman" w:hAnsi="Times New Roman"/>
        </w:rPr>
        <w:t xml:space="preserve"> това предприятие може да бъдат определени в съответствие с местните правила за целите на изчисляването на груповата платежоспособност.</w:t>
      </w:r>
    </w:p>
  </w:footnote>
  <w:footnote w:id="55">
    <w:p w:rsidR="00C137B9" w:rsidRDefault="00754EA6">
      <w:pPr>
        <w:pStyle w:val="FootnoteText"/>
        <w:ind w:right="-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335, параграф 1, буква д) и член 336, буква г) от Делегиран регламент „Платежоспособност II“.</w:t>
      </w:r>
    </w:p>
  </w:footnote>
  <w:footnote w:id="56">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2002/87/ЕО на Европейския парламент и на Съвета от 16 декември 2002 г. относно допълнителния надзор на кредитните институции, застрахователните предприятия и на инвестиционните посредници към един финансов конгломерат и за изменение на Директиви</w:t>
      </w:r>
      <w:r>
        <w:rPr>
          <w:rFonts w:ascii="Times New Roman" w:hAnsi="Times New Roman"/>
        </w:rPr>
        <w:t xml:space="preserve"> 73/239/ЕИО, 79/267/ЕИО, 92/49/ЕИО, 92/96/ЕИО, 93/6/ЕИО и 93/22/ЕИО на Съвета и Директиви 98/78/ЕО и 2000/12/ЕО на Европейския парламент и на Съвета, ОВ L 35, 11.2.2003 г., стр. 1.</w:t>
      </w:r>
    </w:p>
  </w:footnote>
  <w:footnote w:id="57">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Независимо от това, че „стълб III“ обхваща и публичното оповестяване на г</w:t>
      </w:r>
      <w:r>
        <w:rPr>
          <w:rFonts w:ascii="Times New Roman" w:hAnsi="Times New Roman"/>
        </w:rPr>
        <w:t>рупите, този аспект не е включен в обхвата на настоящата глава.</w:t>
      </w:r>
    </w:p>
  </w:footnote>
  <w:footnote w:id="58">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246 от Директивата „Платежоспособност II“.</w:t>
      </w:r>
    </w:p>
  </w:footnote>
  <w:footnote w:id="59">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По-точно, няма определение за „групов АУНО“, а член 40 от Директивата „Платежоспособност II“ относно отговорността на АУНО не се прилага</w:t>
      </w:r>
      <w:r>
        <w:rPr>
          <w:rFonts w:ascii="Times New Roman" w:hAnsi="Times New Roman"/>
        </w:rPr>
        <w:t xml:space="preserve"> </w:t>
      </w:r>
      <w:r>
        <w:rPr>
          <w:rFonts w:ascii="Times New Roman" w:hAnsi="Times New Roman"/>
          <w:i/>
        </w:rPr>
        <w:t>mutatis mutandis</w:t>
      </w:r>
      <w:r>
        <w:rPr>
          <w:rFonts w:ascii="Times New Roman" w:hAnsi="Times New Roman"/>
        </w:rPr>
        <w:t xml:space="preserve"> на равнище група.</w:t>
      </w:r>
    </w:p>
  </w:footnote>
  <w:footnote w:id="60">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257 от Директивата „Платежоспособност II“. </w:t>
      </w:r>
    </w:p>
  </w:footnote>
  <w:footnote w:id="61">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257 (заглавие и текст на члена) и член 42 от Директивата „Платежоспособност II“. </w:t>
      </w:r>
    </w:p>
  </w:footnote>
  <w:footnote w:id="62">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233, параграф 6 от Директивата „Платежоспособност II“.</w:t>
      </w:r>
    </w:p>
  </w:footnote>
  <w:footnote w:id="63">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r>
        <w:rPr>
          <w:rFonts w:ascii="Times New Roman" w:hAnsi="Times New Roman"/>
        </w:rPr>
        <w:t>член 242, параграф 2, буква б).</w:t>
      </w:r>
      <w:r>
        <w:rPr>
          <w:rFonts w:ascii="Times New Roman" w:hAnsi="Times New Roman"/>
          <w:sz w:val="24"/>
        </w:rPr>
        <w:t xml:space="preserve"> </w:t>
      </w:r>
      <w:r>
        <w:rPr>
          <w:rFonts w:ascii="Times New Roman" w:hAnsi="Times New Roman"/>
        </w:rPr>
        <w:t>Режимът на централизирано управление на груповия риск замества предложението на Комисията за „режим за групова подкрепа“, който щеше да позволи на групите да изпълняват част от КИП на дъщерните дружества чрез поемане на обещ</w:t>
      </w:r>
      <w:r>
        <w:rPr>
          <w:rFonts w:ascii="Times New Roman" w:hAnsi="Times New Roman"/>
        </w:rPr>
        <w:t xml:space="preserve">ание, че при необходимост дружеството майка ще предостави капитал на свързаните застрахователи. Режимът за групова подкрепа е извън обхвата на изпратеното от Комисията </w:t>
      </w:r>
      <w:hyperlink r:id="rId6">
        <w:r>
          <w:rPr>
            <w:rStyle w:val="Hyperlink"/>
            <w:rFonts w:ascii="Times New Roman" w:hAnsi="Times New Roman"/>
          </w:rPr>
          <w:t>искане до EIOPA за техническо становище относно преразглеждането на Директивата „Платежоспособност II“</w:t>
        </w:r>
      </w:hyperlink>
      <w:r>
        <w:rPr>
          <w:rFonts w:ascii="Times New Roman" w:hAnsi="Times New Roman"/>
        </w:rPr>
        <w:t>.</w:t>
      </w:r>
    </w:p>
  </w:footnote>
  <w:footnote w:id="64">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246, параграф 1 от Директивата „Платежоспособност II“.</w:t>
      </w:r>
    </w:p>
  </w:footnote>
  <w:footnote w:id="65">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членове 236—239 от Директивата „Платежоспособност II“.</w:t>
      </w:r>
    </w:p>
  </w:footnote>
  <w:footnote w:id="66">
    <w:p w:rsidR="00C137B9" w:rsidRDefault="00754EA6">
      <w:pPr>
        <w:pStyle w:val="FootnoteText"/>
        <w:rPr>
          <w:rFonts w:ascii="Times New Roman" w:hAnsi="Times New Roman" w:cs="Times New Roman"/>
        </w:rPr>
      </w:pPr>
      <w:r>
        <w:rPr>
          <w:rStyle w:val="FootnoteReference"/>
        </w:rPr>
        <w:footnoteRef/>
      </w:r>
      <w:r>
        <w:t xml:space="preserve"> </w:t>
      </w:r>
      <w:r>
        <w:rPr>
          <w:rFonts w:ascii="Times New Roman" w:hAnsi="Times New Roman"/>
        </w:rPr>
        <w:t>В</w:t>
      </w:r>
      <w:r>
        <w:rPr>
          <w:rFonts w:ascii="Times New Roman" w:hAnsi="Times New Roman"/>
        </w:rPr>
        <w:t>ж. член 242, параграф 2, буква в) от Директивата „Платежоспособност II“.</w:t>
      </w:r>
    </w:p>
  </w:footnote>
  <w:footnote w:id="67">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13, параграф 19 от Директивата „Платежоспособност II“.</w:t>
      </w:r>
    </w:p>
  </w:footnote>
  <w:footnote w:id="68">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245, параграф 2 от Директивата „Платежоспособност II“.</w:t>
      </w:r>
    </w:p>
  </w:footnote>
  <w:footnote w:id="69">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245, параграф 3 от Директивата „Платежос</w:t>
      </w:r>
      <w:r>
        <w:rPr>
          <w:rFonts w:ascii="Times New Roman" w:hAnsi="Times New Roman"/>
        </w:rPr>
        <w:t>пособност II“.</w:t>
      </w:r>
    </w:p>
  </w:footnote>
  <w:footnote w:id="70">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258, параграф 1 от Директивата „Платежоспособност II“.</w:t>
      </w:r>
    </w:p>
  </w:footnote>
  <w:footnote w:id="71">
    <w:p w:rsidR="00C137B9" w:rsidRDefault="00754EA6">
      <w:pPr>
        <w:pStyle w:val="FootnoteText"/>
        <w:rPr>
          <w:rFonts w:ascii="Times New Roman" w:hAnsi="Times New Roman" w:cs="Times New Roman"/>
        </w:rPr>
      </w:pPr>
      <w:r>
        <w:rPr>
          <w:rStyle w:val="FootnoteReference"/>
        </w:rPr>
        <w:footnoteRef/>
      </w:r>
      <w:r>
        <w:t xml:space="preserve"> </w:t>
      </w:r>
      <w:r>
        <w:rPr>
          <w:rFonts w:ascii="Times New Roman" w:hAnsi="Times New Roman"/>
        </w:rPr>
        <w:t>Вж. член 242, параграф 2, буква в) от Директивата „Платежоспособност II“.</w:t>
      </w:r>
    </w:p>
  </w:footnote>
  <w:footnote w:id="72">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244, параграф 2 от Директивата „Платежоспособност II“.</w:t>
      </w:r>
    </w:p>
  </w:footnote>
  <w:footnote w:id="73">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244, параграф 3 от Дир</w:t>
      </w:r>
      <w:r>
        <w:rPr>
          <w:rFonts w:ascii="Times New Roman" w:hAnsi="Times New Roman"/>
        </w:rPr>
        <w:t>ективата „Платежоспособност II“.</w:t>
      </w:r>
    </w:p>
  </w:footnote>
  <w:footnote w:id="74">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213, параграф 3 от Директивата „Платежоспособност II“.</w:t>
      </w:r>
    </w:p>
  </w:footnote>
  <w:footnote w:id="75">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членове 8 и 9 от Директива 2002/87/ЕО.</w:t>
      </w:r>
    </w:p>
  </w:footnote>
  <w:footnote w:id="76">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Според публикувания през 2018 г.</w:t>
      </w:r>
      <w:hyperlink r:id="rId7">
        <w:r>
          <w:rPr>
            <w:rStyle w:val="Hyperlink"/>
            <w:rFonts w:ascii="Times New Roman" w:hAnsi="Times New Roman"/>
          </w:rPr>
          <w:t>от Съвместния комитет списък на финансовите конгломерати</w:t>
        </w:r>
      </w:hyperlink>
      <w:r>
        <w:rPr>
          <w:rFonts w:ascii="Times New Roman" w:hAnsi="Times New Roman"/>
        </w:rPr>
        <w:t xml:space="preserve"> съществуват 81 финансови конгломерата, 24 от които са изцяло или напълно освободени от прилагането на ФИКОД. </w:t>
      </w:r>
    </w:p>
  </w:footnote>
  <w:footnote w:id="77">
    <w:p w:rsidR="00C137B9" w:rsidRDefault="00754EA6">
      <w:pPr>
        <w:pStyle w:val="FootnoteText"/>
      </w:pPr>
      <w:r>
        <w:rPr>
          <w:rStyle w:val="FootnoteReference"/>
        </w:rPr>
        <w:footnoteRef/>
      </w:r>
      <w:r>
        <w:t xml:space="preserve"> </w:t>
      </w:r>
      <w:r>
        <w:rPr>
          <w:rFonts w:ascii="Times New Roman" w:hAnsi="Times New Roman"/>
        </w:rPr>
        <w:t>Вж. член 242, параграф 2, буква г) от Директивата „Платежоспособност II“.</w:t>
      </w:r>
    </w:p>
  </w:footnote>
  <w:footnote w:id="78">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246, параграф 4 от Директивата „Платежоспособност II“.</w:t>
      </w:r>
    </w:p>
  </w:footnote>
  <w:footnote w:id="79">
    <w:p w:rsidR="00C137B9" w:rsidRDefault="00754EA6">
      <w:pPr>
        <w:pStyle w:val="FootnoteText"/>
        <w:rPr>
          <w:rFonts w:ascii="Times New Roman" w:hAnsi="Times New Roman" w:cs="Times New Roman"/>
        </w:rPr>
      </w:pPr>
      <w:r>
        <w:rPr>
          <w:rStyle w:val="FootnoteReference"/>
        </w:rPr>
        <w:footnoteRef/>
      </w:r>
      <w:r>
        <w:rPr>
          <w:rFonts w:ascii="Times New Roman" w:hAnsi="Times New Roman"/>
          <w:sz w:val="24"/>
        </w:rPr>
        <w:t xml:space="preserve"> </w:t>
      </w:r>
      <w:r>
        <w:rPr>
          <w:rFonts w:ascii="Times New Roman" w:hAnsi="Times New Roman"/>
        </w:rPr>
        <w:t>В</w:t>
      </w:r>
      <w:r>
        <w:rPr>
          <w:rFonts w:ascii="Times New Roman" w:hAnsi="Times New Roman"/>
        </w:rPr>
        <w:t>ж. член 242, параграф 2, буква д) от Директивата „Платежоспособност II“.</w:t>
      </w:r>
    </w:p>
  </w:footnote>
  <w:footnote w:id="80">
    <w:p w:rsidR="00C137B9" w:rsidRDefault="00754EA6">
      <w:pPr>
        <w:pStyle w:val="FootnoteText"/>
        <w:tabs>
          <w:tab w:val="left" w:pos="502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Достъп чрез </w:t>
      </w:r>
      <w:hyperlink r:id="rId8">
        <w:r>
          <w:rPr>
            <w:rStyle w:val="Hyperlink"/>
            <w:rFonts w:ascii="Times New Roman" w:hAnsi="Times New Roman"/>
          </w:rPr>
          <w:t>този линк</w:t>
        </w:r>
      </w:hyperlink>
      <w:r>
        <w:rPr>
          <w:rFonts w:ascii="Times New Roman" w:hAnsi="Times New Roman"/>
        </w:rPr>
        <w:t>.</w:t>
      </w:r>
    </w:p>
  </w:footnote>
  <w:footnote w:id="81">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Виж член 242, параграф 2, буква з). Разделът не обхваща органите, натоварени с изплащането на обезщетение на пострадалите, посочени в член 10 от Директива 2009/103/ЕО („</w:t>
      </w:r>
      <w:r>
        <w:rPr>
          <w:rFonts w:ascii="Times New Roman" w:hAnsi="Times New Roman"/>
          <w:i/>
        </w:rPr>
        <w:t>Директива за автомобилното застраховане</w:t>
      </w:r>
      <w:r>
        <w:rPr>
          <w:rFonts w:ascii="Times New Roman" w:hAnsi="Times New Roman"/>
        </w:rPr>
        <w:t>“)</w:t>
      </w:r>
      <w:r>
        <w:rPr>
          <w:rFonts w:ascii="Times New Roman" w:hAnsi="Times New Roman"/>
          <w:i/>
        </w:rPr>
        <w:t>.</w:t>
      </w:r>
    </w:p>
  </w:footnote>
  <w:footnote w:id="82">
    <w:p w:rsidR="00C137B9" w:rsidRDefault="00754EA6">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sz w:val="20"/>
        </w:rPr>
        <w:footnoteRef/>
      </w:r>
      <w:r>
        <w:rPr>
          <w:rFonts w:ascii="Times New Roman" w:hAnsi="Times New Roman"/>
          <w:sz w:val="20"/>
        </w:rPr>
        <w:t xml:space="preserve"> Според </w:t>
      </w:r>
      <w:hyperlink r:id="rId9">
        <w:r>
          <w:rPr>
            <w:rStyle w:val="Hyperlink"/>
            <w:rFonts w:ascii="Times New Roman" w:hAnsi="Times New Roman"/>
            <w:sz w:val="20"/>
          </w:rPr>
          <w:t>Бялата книга за схемите за гарантиране на застрахователните вземания на Европейската комисия</w:t>
        </w:r>
      </w:hyperlink>
      <w:r>
        <w:rPr>
          <w:rFonts w:ascii="Times New Roman" w:hAnsi="Times New Roman"/>
          <w:sz w:val="20"/>
        </w:rPr>
        <w:t xml:space="preserve"> от 2010 г. „</w:t>
      </w:r>
      <w:r>
        <w:rPr>
          <w:rFonts w:ascii="Times New Roman" w:hAnsi="Times New Roman"/>
          <w:i/>
          <w:sz w:val="20"/>
        </w:rPr>
        <w:t>схемите за гарантиране на застрахователните вземания (СГЗВ) осигуряват последна въз</w:t>
      </w:r>
      <w:r>
        <w:rPr>
          <w:rFonts w:ascii="Times New Roman" w:hAnsi="Times New Roman"/>
          <w:i/>
          <w:sz w:val="20"/>
        </w:rPr>
        <w:t>можност за защита на потребителите, когато застрахователните дружества не могат да изпълнят договорните си задължения. Така те защитават хората срещу риска техните искове да не бъдат удовлетворени в случай, че тяхното застрахователно дружество фалира</w:t>
      </w:r>
      <w:r>
        <w:rPr>
          <w:rFonts w:ascii="Times New Roman" w:hAnsi="Times New Roman"/>
          <w:sz w:val="20"/>
        </w:rPr>
        <w:t>“.</w:t>
      </w:r>
    </w:p>
  </w:footnote>
  <w:footnote w:id="83">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w:t>
      </w:r>
      <w:r>
        <w:rPr>
          <w:rFonts w:ascii="Times New Roman" w:hAnsi="Times New Roman"/>
        </w:rPr>
        <w:t>ащитата на титулярите на полици само в държавата членка по произход или разширяването на покритието по отношение на приемащите държави членки, в които застрахователят упражнява дейност.</w:t>
      </w:r>
    </w:p>
  </w:footnote>
  <w:footnote w:id="84">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Имащи за цел приемственост на застрахователните полици или обезщетен</w:t>
      </w:r>
      <w:r>
        <w:rPr>
          <w:rFonts w:ascii="Times New Roman" w:hAnsi="Times New Roman"/>
        </w:rPr>
        <w:t>ието на титулярите на полици за загубата.</w:t>
      </w:r>
    </w:p>
  </w:footnote>
  <w:footnote w:id="85">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Например чрез използване на дългови ценни книжа или чрез увеличаване на размера на годишните вноски.</w:t>
      </w:r>
    </w:p>
  </w:footnote>
  <w:footnote w:id="86">
    <w:p w:rsidR="00C137B9" w:rsidRDefault="00754EA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Достъп </w:t>
      </w:r>
      <w:hyperlink r:id="rId10">
        <w:r>
          <w:rPr>
            <w:rStyle w:val="Hyperlink"/>
            <w:rFonts w:ascii="Times New Roman" w:hAnsi="Times New Roman"/>
          </w:rPr>
          <w:t>чрез тази препратка</w:t>
        </w:r>
      </w:hyperlink>
      <w:r>
        <w:rPr>
          <w:rFonts w:ascii="Times New Roman" w:hAnsi="Times New Roman"/>
        </w:rPr>
        <w:t>.</w:t>
      </w:r>
    </w:p>
  </w:footnote>
  <w:footnote w:id="87">
    <w:p w:rsidR="00C137B9" w:rsidRDefault="00754EA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изпратеното от Комисията </w:t>
      </w:r>
      <w:hyperlink r:id="rId11">
        <w:r>
          <w:rPr>
            <w:rStyle w:val="Hyperlink"/>
            <w:rFonts w:ascii="Times New Roman" w:hAnsi="Times New Roman"/>
          </w:rPr>
          <w:t xml:space="preserve">искане до EIOPA за техническо становище относно </w:t>
        </w:r>
        <w:r>
          <w:rPr>
            <w:rStyle w:val="Hyperlink"/>
            <w:rFonts w:ascii="Times New Roman" w:hAnsi="Times New Roman"/>
          </w:rPr>
          <w:t>преразглеждането на Директивата „Платежоспособност II“</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A6" w:rsidRPr="00754EA6" w:rsidRDefault="00754EA6" w:rsidP="00754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A6" w:rsidRPr="00754EA6" w:rsidRDefault="00754EA6" w:rsidP="00754EA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A6" w:rsidRPr="00754EA6" w:rsidRDefault="00754EA6" w:rsidP="00754EA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B9" w:rsidRDefault="00C137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B9" w:rsidRDefault="00C137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B9" w:rsidRDefault="00C13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DC5A8F"/>
    <w:multiLevelType w:val="hybridMultilevel"/>
    <w:tmpl w:val="D67E25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73742A"/>
    <w:multiLevelType w:val="hybridMultilevel"/>
    <w:tmpl w:val="10D87F68"/>
    <w:lvl w:ilvl="0" w:tplc="08090013">
      <w:start w:val="1"/>
      <w:numFmt w:val="upperRoman"/>
      <w:lvlText w:val="%1."/>
      <w:lvlJc w:val="right"/>
      <w:pPr>
        <w:ind w:left="720" w:hanging="360"/>
      </w:pPr>
    </w:lvl>
    <w:lvl w:ilvl="1" w:tplc="969EC892">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F30AA5"/>
    <w:multiLevelType w:val="hybridMultilevel"/>
    <w:tmpl w:val="3C2C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3B08"/>
    <w:multiLevelType w:val="hybridMultilevel"/>
    <w:tmpl w:val="CF5A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A2A16"/>
    <w:multiLevelType w:val="hybridMultilevel"/>
    <w:tmpl w:val="A81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46981"/>
    <w:multiLevelType w:val="hybridMultilevel"/>
    <w:tmpl w:val="869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43A46"/>
    <w:multiLevelType w:val="hybridMultilevel"/>
    <w:tmpl w:val="7FC2A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FA73B8"/>
    <w:multiLevelType w:val="hybridMultilevel"/>
    <w:tmpl w:val="547ED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06A96"/>
    <w:multiLevelType w:val="hybridMultilevel"/>
    <w:tmpl w:val="B2388D1A"/>
    <w:lvl w:ilvl="0" w:tplc="B32059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0865DC4"/>
    <w:multiLevelType w:val="hybridMultilevel"/>
    <w:tmpl w:val="B8983CBE"/>
    <w:lvl w:ilvl="0" w:tplc="ADD20608">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B3874"/>
    <w:multiLevelType w:val="hybridMultilevel"/>
    <w:tmpl w:val="DEE46F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20F41D8"/>
    <w:multiLevelType w:val="hybridMultilevel"/>
    <w:tmpl w:val="5E14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D44DF"/>
    <w:multiLevelType w:val="hybridMultilevel"/>
    <w:tmpl w:val="C506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339BB"/>
    <w:multiLevelType w:val="hybridMultilevel"/>
    <w:tmpl w:val="2E5ABEF4"/>
    <w:lvl w:ilvl="0" w:tplc="2DF0DD22">
      <w:start w:val="1"/>
      <w:numFmt w:val="upp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EB76BC5"/>
    <w:multiLevelType w:val="hybridMultilevel"/>
    <w:tmpl w:val="56E27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23D5C"/>
    <w:multiLevelType w:val="hybridMultilevel"/>
    <w:tmpl w:val="4FE0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A27E9B"/>
    <w:multiLevelType w:val="hybridMultilevel"/>
    <w:tmpl w:val="9FC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206D1"/>
    <w:multiLevelType w:val="hybridMultilevel"/>
    <w:tmpl w:val="70C4811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6DC5BFF"/>
    <w:multiLevelType w:val="hybridMultilevel"/>
    <w:tmpl w:val="0D32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97687"/>
    <w:multiLevelType w:val="hybridMultilevel"/>
    <w:tmpl w:val="B2388D1A"/>
    <w:lvl w:ilvl="0" w:tplc="B32059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5D25772"/>
    <w:multiLevelType w:val="hybridMultilevel"/>
    <w:tmpl w:val="0FBAC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B5AAE"/>
    <w:multiLevelType w:val="hybridMultilevel"/>
    <w:tmpl w:val="026C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842F6"/>
    <w:multiLevelType w:val="hybridMultilevel"/>
    <w:tmpl w:val="199AA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207E05"/>
    <w:multiLevelType w:val="hybridMultilevel"/>
    <w:tmpl w:val="7DFCCDF4"/>
    <w:lvl w:ilvl="0" w:tplc="9C586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D955FB"/>
    <w:multiLevelType w:val="hybridMultilevel"/>
    <w:tmpl w:val="8806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326D3D"/>
    <w:multiLevelType w:val="hybridMultilevel"/>
    <w:tmpl w:val="3E82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C7A76"/>
    <w:multiLevelType w:val="hybridMultilevel"/>
    <w:tmpl w:val="9742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724A4"/>
    <w:multiLevelType w:val="multilevel"/>
    <w:tmpl w:val="F1E6BBEA"/>
    <w:lvl w:ilvl="0">
      <w:start w:val="1"/>
      <w:numFmt w:val="decimal"/>
      <w:lvlText w:val="%1"/>
      <w:lvlJc w:val="left"/>
      <w:pPr>
        <w:ind w:left="862" w:hanging="720"/>
      </w:pPr>
      <w:rPr>
        <w:rFonts w:ascii="Verdana" w:eastAsia="Verdana" w:hAnsi="Verdana" w:hint="default"/>
        <w:b/>
        <w:bCs/>
        <w:sz w:val="28"/>
        <w:szCs w:val="28"/>
      </w:rPr>
    </w:lvl>
    <w:lvl w:ilvl="1">
      <w:start w:val="1"/>
      <w:numFmt w:val="decimal"/>
      <w:lvlText w:val="%1.%2."/>
      <w:lvlJc w:val="left"/>
      <w:pPr>
        <w:ind w:left="2139" w:hanging="720"/>
      </w:pPr>
      <w:rPr>
        <w:rFonts w:ascii="Verdana" w:eastAsia="Verdana" w:hAnsi="Verdana" w:hint="default"/>
        <w:i w:val="0"/>
        <w:spacing w:val="-2"/>
        <w:sz w:val="22"/>
        <w:szCs w:val="22"/>
      </w:rPr>
    </w:lvl>
    <w:lvl w:ilvl="2">
      <w:start w:val="1"/>
      <w:numFmt w:val="bullet"/>
      <w:lvlText w:val=""/>
      <w:lvlJc w:val="left"/>
      <w:pPr>
        <w:ind w:left="1193" w:hanging="360"/>
      </w:pPr>
      <w:rPr>
        <w:rFonts w:ascii="Symbol" w:eastAsia="Symbol" w:hAnsi="Symbol" w:hint="default"/>
        <w:sz w:val="22"/>
        <w:szCs w:val="22"/>
      </w:rPr>
    </w:lvl>
    <w:lvl w:ilvl="3">
      <w:start w:val="1"/>
      <w:numFmt w:val="lowerLetter"/>
      <w:lvlText w:val="%4."/>
      <w:lvlJc w:val="left"/>
      <w:pPr>
        <w:ind w:left="3120" w:hanging="360"/>
      </w:pPr>
    </w:lvl>
    <w:lvl w:ilvl="4">
      <w:start w:val="1"/>
      <w:numFmt w:val="bullet"/>
      <w:lvlText w:val="•"/>
      <w:lvlJc w:val="left"/>
      <w:pPr>
        <w:ind w:left="4084" w:hanging="360"/>
      </w:pPr>
    </w:lvl>
    <w:lvl w:ilvl="5">
      <w:start w:val="1"/>
      <w:numFmt w:val="bullet"/>
      <w:lvlText w:val="•"/>
      <w:lvlJc w:val="left"/>
      <w:pPr>
        <w:ind w:left="5047" w:hanging="360"/>
      </w:pPr>
    </w:lvl>
    <w:lvl w:ilvl="6">
      <w:start w:val="1"/>
      <w:numFmt w:val="bullet"/>
      <w:lvlText w:val="•"/>
      <w:lvlJc w:val="left"/>
      <w:pPr>
        <w:ind w:left="6011" w:hanging="360"/>
      </w:pPr>
    </w:lvl>
    <w:lvl w:ilvl="7">
      <w:start w:val="1"/>
      <w:numFmt w:val="bullet"/>
      <w:lvlText w:val="•"/>
      <w:lvlJc w:val="left"/>
      <w:pPr>
        <w:ind w:left="6975" w:hanging="360"/>
      </w:pPr>
    </w:lvl>
    <w:lvl w:ilvl="8">
      <w:start w:val="1"/>
      <w:numFmt w:val="bullet"/>
      <w:lvlText w:val="•"/>
      <w:lvlJc w:val="left"/>
      <w:pPr>
        <w:ind w:left="7939" w:hanging="360"/>
      </w:pPr>
    </w:lvl>
  </w:abstractNum>
  <w:abstractNum w:abstractNumId="29" w15:restartNumberingAfterBreak="0">
    <w:nsid w:val="688E659D"/>
    <w:multiLevelType w:val="hybridMultilevel"/>
    <w:tmpl w:val="EE40C3E4"/>
    <w:lvl w:ilvl="0" w:tplc="831C3E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7B2341"/>
    <w:multiLevelType w:val="hybridMultilevel"/>
    <w:tmpl w:val="D48477EC"/>
    <w:lvl w:ilvl="0" w:tplc="2DF0DD22">
      <w:start w:val="1"/>
      <w:numFmt w:val="upp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D5E722C"/>
    <w:multiLevelType w:val="hybridMultilevel"/>
    <w:tmpl w:val="AD2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B4956"/>
    <w:multiLevelType w:val="hybridMultilevel"/>
    <w:tmpl w:val="67EA0830"/>
    <w:lvl w:ilvl="0" w:tplc="969EC892">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F556E00"/>
    <w:multiLevelType w:val="hybridMultilevel"/>
    <w:tmpl w:val="AD2A9F08"/>
    <w:lvl w:ilvl="0" w:tplc="FF3C33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345708"/>
    <w:multiLevelType w:val="hybridMultilevel"/>
    <w:tmpl w:val="5CB03E5E"/>
    <w:lvl w:ilvl="0" w:tplc="28C8C3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965C6C"/>
    <w:multiLevelType w:val="hybridMultilevel"/>
    <w:tmpl w:val="E62C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71453"/>
    <w:multiLevelType w:val="hybridMultilevel"/>
    <w:tmpl w:val="19DA2648"/>
    <w:lvl w:ilvl="0" w:tplc="08090013">
      <w:start w:val="1"/>
      <w:numFmt w:val="upperRoman"/>
      <w:lvlText w:val="%1."/>
      <w:lvlJc w:val="right"/>
      <w:pPr>
        <w:ind w:left="720" w:hanging="360"/>
      </w:pPr>
    </w:lvl>
    <w:lvl w:ilvl="1" w:tplc="969EC892">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7CDA3364">
      <w:start w:val="1"/>
      <w:numFmt w:val="lowerRoman"/>
      <w:lvlText w:val="%3."/>
      <w:lvlJc w:val="right"/>
      <w:pPr>
        <w:ind w:left="2160" w:hanging="180"/>
      </w:pPr>
      <w:rPr>
        <w: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8675B16"/>
    <w:multiLevelType w:val="hybridMultilevel"/>
    <w:tmpl w:val="08723F9A"/>
    <w:lvl w:ilvl="0" w:tplc="08090013">
      <w:start w:val="1"/>
      <w:numFmt w:val="upperRoman"/>
      <w:lvlText w:val="%1."/>
      <w:lvlJc w:val="right"/>
      <w:pPr>
        <w:ind w:left="720" w:hanging="360"/>
      </w:pPr>
    </w:lvl>
    <w:lvl w:ilvl="1" w:tplc="969EC892">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7CDA3364">
      <w:start w:val="1"/>
      <w:numFmt w:val="lowerRoman"/>
      <w:lvlText w:val="%3."/>
      <w:lvlJc w:val="right"/>
      <w:pPr>
        <w:ind w:left="2160" w:hanging="180"/>
      </w:pPr>
      <w:rPr>
        <w: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ADF1ABF"/>
    <w:multiLevelType w:val="hybridMultilevel"/>
    <w:tmpl w:val="90EC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21"/>
  </w:num>
  <w:num w:numId="5">
    <w:abstractNumId w:val="7"/>
  </w:num>
  <w:num w:numId="6">
    <w:abstractNumId w:val="5"/>
  </w:num>
  <w:num w:numId="7">
    <w:abstractNumId w:val="25"/>
  </w:num>
  <w:num w:numId="8">
    <w:abstractNumId w:val="18"/>
  </w:num>
  <w:num w:numId="9">
    <w:abstractNumId w:val="23"/>
  </w:num>
  <w:num w:numId="10">
    <w:abstractNumId w:val="20"/>
  </w:num>
  <w:num w:numId="11">
    <w:abstractNumId w:val="16"/>
  </w:num>
  <w:num w:numId="12">
    <w:abstractNumId w:val="35"/>
  </w:num>
  <w:num w:numId="13">
    <w:abstractNumId w:val="28"/>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14">
    <w:abstractNumId w:val="2"/>
  </w:num>
  <w:num w:numId="15">
    <w:abstractNumId w:val="8"/>
  </w:num>
  <w:num w:numId="16">
    <w:abstractNumId w:val="27"/>
  </w:num>
  <w:num w:numId="17">
    <w:abstractNumId w:val="26"/>
  </w:num>
  <w:num w:numId="18">
    <w:abstractNumId w:val="24"/>
  </w:num>
  <w:num w:numId="19">
    <w:abstractNumId w:val="15"/>
  </w:num>
  <w:num w:numId="20">
    <w:abstractNumId w:val="22"/>
  </w:num>
  <w:num w:numId="21">
    <w:abstractNumId w:val="12"/>
  </w:num>
  <w:num w:numId="22">
    <w:abstractNumId w:val="19"/>
  </w:num>
  <w:num w:numId="23">
    <w:abstractNumId w:val="0"/>
  </w:num>
  <w:num w:numId="24">
    <w:abstractNumId w:val="36"/>
  </w:num>
  <w:num w:numId="25">
    <w:abstractNumId w:val="31"/>
  </w:num>
  <w:num w:numId="26">
    <w:abstractNumId w:val="1"/>
  </w:num>
  <w:num w:numId="27">
    <w:abstractNumId w:val="11"/>
  </w:num>
  <w:num w:numId="28">
    <w:abstractNumId w:val="13"/>
  </w:num>
  <w:num w:numId="29">
    <w:abstractNumId w:val="37"/>
  </w:num>
  <w:num w:numId="30">
    <w:abstractNumId w:val="32"/>
  </w:num>
  <w:num w:numId="31">
    <w:abstractNumId w:val="17"/>
  </w:num>
  <w:num w:numId="32">
    <w:abstractNumId w:val="4"/>
  </w:num>
  <w:num w:numId="33">
    <w:abstractNumId w:val="10"/>
  </w:num>
  <w:num w:numId="34">
    <w:abstractNumId w:val="34"/>
  </w:num>
  <w:num w:numId="35">
    <w:abstractNumId w:val="38"/>
  </w:num>
  <w:num w:numId="36">
    <w:abstractNumId w:val="33"/>
  </w:num>
  <w:num w:numId="37">
    <w:abstractNumId w:val="2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GB" w:vendorID="64" w:dllVersion="131078" w:nlCheck="1" w:checkStyle="0"/>
  <w:activeWritingStyle w:appName="MSWord" w:lang="fr-BE" w:vendorID="64" w:dllVersion="131078" w:nlCheck="1" w:checkStyle="0"/>
  <w:activeWritingStyle w:appName="MSWord" w:lang="en-IE" w:vendorID="64" w:dllVersion="131078" w:nlCheck="1" w:checkStyle="1"/>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D42A14-F435-4375-A46E-41152DAB03D3"/>
    <w:docVar w:name="LW_COVERPAGE_TYPE" w:val="1"/>
    <w:docVar w:name="LW_CROSSREFERENCE" w:val="&lt;UNUSED&gt;"/>
    <w:docVar w:name="LW_DocType" w:val="NORMAL"/>
    <w:docVar w:name="LW_EMISSION" w:val="27.6.2019"/>
    <w:docVar w:name="LW_EMISSION_ISODATE" w:val="2019-06-27"/>
    <w:docVar w:name="LW_EMISSION_LOCATION" w:val="BRX"/>
    <w:docVar w:name="LW_EMISSION_PREFIX" w:val="\u1041?\u1088?\u1102?\u1082?\u1089?\u1077?\u1083?,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 2009/138/\u1045?\u1054? \u1085?\u1072? \u1045?\u1074?\u1088?\u1086?\u1087?\u1077?\u1081?\u1089?\u1082?\u1080?\u1103? \u1087?\u1072?\u1088?\u1083?\u1072?\u1084?\u1077?\u1085?\u1090? \u1080? \u1085?\u1072? \u1057?\u1098?\u1074?\u1077?\u1090?\u1072? \u1086?\u1090? 25 \u1085?\u1086?\u1077?\u1084?\u1074?\u1088?\u1080? 2009 \u1075?. \u1086?\u1090?\u1085?\u1086?\u1089?\u1085?\u1086? \u1079?\u1072?\u1087?\u1086?\u1095?\u1074?\u1072?\u1085?\u1077?\u1090?\u1086? \u1080? \u1091?\u1087?\u1088?\u1072?\u1078?\u1085?\u1103?\u1074?\u1072?\u1085?\u1077?\u1090?\u1086? \u1085?\u1072? \u1079?\u1072?\u1089?\u1090?\u1088?\u1072?\u1093?\u1086?\u1074?\u1072?\u1090?\u1077?\u1083?\u1085?\u1072? \u1080? \u1087?\u1088?\u1077?\u1079?\u1072?\u1089?\u1090?\u1088?\u1072?\u1093?\u1086?\u1074?\u1072?\u1090?\u1077?\u1083?\u1085?\u1072? \u1076?\u1077?\u1081?\u1085?\u1086?\u1089?\u1090? (\u1055?\u1083?\u1072?\u1090?\u1077?\u1078?\u1086?\u1089?\u1087?\u1086?\u1089?\u1086?\u1073?\u1085?\u1086?\u1089?\u1090? II) \u1087?\u1086? \u1086?\u1090?\u1085?\u1086?\u1096?\u1077?\u1085?\u1080?\u1077? \u1085?\u1072? \u1075?\u1088?\u1091?\u1087?\u1086?\u1074?\u1080?\u1103? \u1085?\u1072?\u1076?\u1079?\u1086?\u1088? \u1080? \u1082?\u1072?\u1087?\u1080?\u1090?\u1072?\u1083?\u1086?\u1074?\u1086?\u1090?\u1086? \u1091?\u1087?\u1088?\u1072?\u1074?\u1083?\u1077?\u1085?\u1080?\u1077? \u1074? \u1088?\u1072?\u1084?\u1082?\u1080?\u1090?\u1077? \u1085?\u1072? \u1075?\u1088?\u1091?\u1087?\u1072? \u1086?\u1090? \u1079?\u1072?\u1089?\u1090?\u1088?\u1072?\u1093?\u1086?\u1074?\u1072?\u1090?\u1077?\u1083?\u1085?\u1080? \u1080?\u1083?\u1080? \u1087?\u1088?\u1077?\u1079?\u1072?\u1089?\u1090?\u1088?\u1072?\u1093?\u1086?\u1074?\u1072?\u1090?\u1077?\u1083?\u1085?\u1080? \u1087?\u1088?\u1077?\u1076?\u1087?\u1088?\u1080?\u1103?\u1090?\u1080?\u1103? &lt;/FMT&gt;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C137B9"/>
    <w:rsid w:val="00754EA6"/>
    <w:rsid w:val="00C13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Verdana 8p Regular Foot,Footnote Text Char1,Footnote Text Char Char,Fußnotentext Char Char Char,Fußnotentext Char1 Char Char Char,Fußnotentext Char Char Char Char Char,Fußnotentext Char1 Char Char Char Char Char, Char,Char,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erdana 8p Regular Foot Char,Footnote Text Char1 Char,Footnote Text Char Char Char,Fußnotentext Char Char Char Char,Fußnotentext Char1 Char Char Char Char,Fußnotentext Char Char Char Char Char Char, Char Char,Char Char,fn Char"/>
    <w:basedOn w:val="DefaultParagraphFont"/>
    <w:link w:val="FootnoteText"/>
    <w:uiPriority w:val="99"/>
    <w:rPr>
      <w:sz w:val="20"/>
      <w:szCs w:val="20"/>
    </w:rPr>
  </w:style>
  <w:style w:type="paragraph" w:styleId="ListParagraph">
    <w:name w:val="List Paragraph"/>
    <w:aliases w:val="Paragraphe EI,Paragraphe de liste1,EC,Colorful List Accent 1,Paragraphe de liste11,Liste couleur - Accent 11,Paragraphe de liste2,RUS List,Issue Action POC,List Paragraph1,3,POCG Table Text,Dot pt,F5 List Paragraph,Indicator Text"/>
    <w:basedOn w:val="Normal"/>
    <w:link w:val="ListParagraphChar"/>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otnoteReference">
    <w:name w:val="footnote reference"/>
    <w:aliases w:val="Verdana 11p Regular,hochgestellt,Footnote Reference Number,Footnote Reference_LVL6,Footnote Reference_LVL61,Footnote Reference_LVL62,Footnote Reference_LVL63,Footnote Reference_LVL64,Appel note de bas de p. - DSF,Re"/>
    <w:basedOn w:val="DefaultParagraphFont"/>
    <w:uiPriority w:val="99"/>
    <w:unhideWhenUsed/>
    <w:qFormat/>
    <w:rPr>
      <w:vertAlign w:val="superscript"/>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character" w:customStyle="1" w:styleId="italics">
    <w:name w:val="italics"/>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1"/>
    <w:qFormat/>
    <w:pPr>
      <w:widowControl w:val="0"/>
      <w:spacing w:before="119" w:after="0" w:line="240" w:lineRule="auto"/>
      <w:ind w:left="833" w:hanging="720"/>
    </w:pPr>
    <w:rPr>
      <w:rFonts w:ascii="Verdana" w:eastAsia="Verdana" w:hAnsi="Verdana"/>
    </w:rPr>
  </w:style>
  <w:style w:type="character" w:customStyle="1" w:styleId="BodyTextChar">
    <w:name w:val="Body Text Char"/>
    <w:basedOn w:val="DefaultParagraphFont"/>
    <w:link w:val="BodyText"/>
    <w:uiPriority w:val="1"/>
    <w:rPr>
      <w:rFonts w:ascii="Verdana" w:eastAsia="Verdana" w:hAnsi="Verdana"/>
      <w:lang w:val="bg-BG"/>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graphe EI Char,Paragraphe de liste1 Char,EC Char,Colorful List Accent 1 Char,Paragraphe de liste11 Char,Liste couleur - Accent 11 Char,Paragraphe de liste2 Char,RUS List Char,Issue Action POC Char,List Paragraph1 Char,3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style>
  <w:style w:type="character" w:customStyle="1" w:styleId="Mentionnonrsolue2">
    <w:name w:val="Mention non résolue2"/>
    <w:basedOn w:val="DefaultParagraphFont"/>
    <w:uiPriority w:val="99"/>
    <w:semiHidden/>
    <w:unhideWhenUsed/>
    <w:rPr>
      <w:color w:val="605E5C"/>
      <w:shd w:val="clear" w:color="auto" w:fill="E1DFDD"/>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M43">
    <w:name w:val="CM4+3"/>
    <w:basedOn w:val="Default"/>
    <w:next w:val="Default"/>
    <w:uiPriority w:val="99"/>
    <w:rPr>
      <w:rFonts w:ascii="Times New Roman" w:hAnsi="Times New Roman" w:cs="Times New Roman"/>
      <w:color w:val="auto"/>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549">
      <w:bodyDiv w:val="1"/>
      <w:marLeft w:val="0"/>
      <w:marRight w:val="0"/>
      <w:marTop w:val="0"/>
      <w:marBottom w:val="0"/>
      <w:divBdr>
        <w:top w:val="none" w:sz="0" w:space="0" w:color="auto"/>
        <w:left w:val="none" w:sz="0" w:space="0" w:color="auto"/>
        <w:bottom w:val="none" w:sz="0" w:space="0" w:color="auto"/>
        <w:right w:val="none" w:sz="0" w:space="0" w:color="auto"/>
      </w:divBdr>
    </w:div>
    <w:div w:id="49231375">
      <w:bodyDiv w:val="1"/>
      <w:marLeft w:val="0"/>
      <w:marRight w:val="0"/>
      <w:marTop w:val="0"/>
      <w:marBottom w:val="0"/>
      <w:divBdr>
        <w:top w:val="none" w:sz="0" w:space="0" w:color="auto"/>
        <w:left w:val="none" w:sz="0" w:space="0" w:color="auto"/>
        <w:bottom w:val="none" w:sz="0" w:space="0" w:color="auto"/>
        <w:right w:val="none" w:sz="0" w:space="0" w:color="auto"/>
      </w:divBdr>
    </w:div>
    <w:div w:id="58094912">
      <w:bodyDiv w:val="1"/>
      <w:marLeft w:val="0"/>
      <w:marRight w:val="0"/>
      <w:marTop w:val="0"/>
      <w:marBottom w:val="0"/>
      <w:divBdr>
        <w:top w:val="none" w:sz="0" w:space="0" w:color="auto"/>
        <w:left w:val="none" w:sz="0" w:space="0" w:color="auto"/>
        <w:bottom w:val="none" w:sz="0" w:space="0" w:color="auto"/>
        <w:right w:val="none" w:sz="0" w:space="0" w:color="auto"/>
      </w:divBdr>
    </w:div>
    <w:div w:id="156464689">
      <w:bodyDiv w:val="1"/>
      <w:marLeft w:val="0"/>
      <w:marRight w:val="0"/>
      <w:marTop w:val="0"/>
      <w:marBottom w:val="0"/>
      <w:divBdr>
        <w:top w:val="none" w:sz="0" w:space="0" w:color="auto"/>
        <w:left w:val="none" w:sz="0" w:space="0" w:color="auto"/>
        <w:bottom w:val="none" w:sz="0" w:space="0" w:color="auto"/>
        <w:right w:val="none" w:sz="0" w:space="0" w:color="auto"/>
      </w:divBdr>
    </w:div>
    <w:div w:id="244339519">
      <w:bodyDiv w:val="1"/>
      <w:marLeft w:val="0"/>
      <w:marRight w:val="0"/>
      <w:marTop w:val="0"/>
      <w:marBottom w:val="0"/>
      <w:divBdr>
        <w:top w:val="none" w:sz="0" w:space="0" w:color="auto"/>
        <w:left w:val="none" w:sz="0" w:space="0" w:color="auto"/>
        <w:bottom w:val="none" w:sz="0" w:space="0" w:color="auto"/>
        <w:right w:val="none" w:sz="0" w:space="0" w:color="auto"/>
      </w:divBdr>
    </w:div>
    <w:div w:id="311716902">
      <w:bodyDiv w:val="1"/>
      <w:marLeft w:val="0"/>
      <w:marRight w:val="0"/>
      <w:marTop w:val="0"/>
      <w:marBottom w:val="0"/>
      <w:divBdr>
        <w:top w:val="none" w:sz="0" w:space="0" w:color="auto"/>
        <w:left w:val="none" w:sz="0" w:space="0" w:color="auto"/>
        <w:bottom w:val="none" w:sz="0" w:space="0" w:color="auto"/>
        <w:right w:val="none" w:sz="0" w:space="0" w:color="auto"/>
      </w:divBdr>
    </w:div>
    <w:div w:id="346979443">
      <w:bodyDiv w:val="1"/>
      <w:marLeft w:val="0"/>
      <w:marRight w:val="0"/>
      <w:marTop w:val="0"/>
      <w:marBottom w:val="0"/>
      <w:divBdr>
        <w:top w:val="none" w:sz="0" w:space="0" w:color="auto"/>
        <w:left w:val="none" w:sz="0" w:space="0" w:color="auto"/>
        <w:bottom w:val="none" w:sz="0" w:space="0" w:color="auto"/>
        <w:right w:val="none" w:sz="0" w:space="0" w:color="auto"/>
      </w:divBdr>
    </w:div>
    <w:div w:id="516964076">
      <w:bodyDiv w:val="1"/>
      <w:marLeft w:val="0"/>
      <w:marRight w:val="0"/>
      <w:marTop w:val="0"/>
      <w:marBottom w:val="0"/>
      <w:divBdr>
        <w:top w:val="none" w:sz="0" w:space="0" w:color="auto"/>
        <w:left w:val="none" w:sz="0" w:space="0" w:color="auto"/>
        <w:bottom w:val="none" w:sz="0" w:space="0" w:color="auto"/>
        <w:right w:val="none" w:sz="0" w:space="0" w:color="auto"/>
      </w:divBdr>
    </w:div>
    <w:div w:id="553854431">
      <w:bodyDiv w:val="1"/>
      <w:marLeft w:val="0"/>
      <w:marRight w:val="0"/>
      <w:marTop w:val="0"/>
      <w:marBottom w:val="0"/>
      <w:divBdr>
        <w:top w:val="none" w:sz="0" w:space="0" w:color="auto"/>
        <w:left w:val="none" w:sz="0" w:space="0" w:color="auto"/>
        <w:bottom w:val="none" w:sz="0" w:space="0" w:color="auto"/>
        <w:right w:val="none" w:sz="0" w:space="0" w:color="auto"/>
      </w:divBdr>
    </w:div>
    <w:div w:id="636686794">
      <w:bodyDiv w:val="1"/>
      <w:marLeft w:val="0"/>
      <w:marRight w:val="0"/>
      <w:marTop w:val="0"/>
      <w:marBottom w:val="0"/>
      <w:divBdr>
        <w:top w:val="none" w:sz="0" w:space="0" w:color="auto"/>
        <w:left w:val="none" w:sz="0" w:space="0" w:color="auto"/>
        <w:bottom w:val="none" w:sz="0" w:space="0" w:color="auto"/>
        <w:right w:val="none" w:sz="0" w:space="0" w:color="auto"/>
      </w:divBdr>
    </w:div>
    <w:div w:id="686911909">
      <w:bodyDiv w:val="1"/>
      <w:marLeft w:val="0"/>
      <w:marRight w:val="0"/>
      <w:marTop w:val="0"/>
      <w:marBottom w:val="0"/>
      <w:divBdr>
        <w:top w:val="none" w:sz="0" w:space="0" w:color="auto"/>
        <w:left w:val="none" w:sz="0" w:space="0" w:color="auto"/>
        <w:bottom w:val="none" w:sz="0" w:space="0" w:color="auto"/>
        <w:right w:val="none" w:sz="0" w:space="0" w:color="auto"/>
      </w:divBdr>
    </w:div>
    <w:div w:id="771096839">
      <w:bodyDiv w:val="1"/>
      <w:marLeft w:val="0"/>
      <w:marRight w:val="0"/>
      <w:marTop w:val="0"/>
      <w:marBottom w:val="0"/>
      <w:divBdr>
        <w:top w:val="none" w:sz="0" w:space="0" w:color="auto"/>
        <w:left w:val="none" w:sz="0" w:space="0" w:color="auto"/>
        <w:bottom w:val="none" w:sz="0" w:space="0" w:color="auto"/>
        <w:right w:val="none" w:sz="0" w:space="0" w:color="auto"/>
      </w:divBdr>
    </w:div>
    <w:div w:id="783429451">
      <w:bodyDiv w:val="1"/>
      <w:marLeft w:val="0"/>
      <w:marRight w:val="0"/>
      <w:marTop w:val="0"/>
      <w:marBottom w:val="0"/>
      <w:divBdr>
        <w:top w:val="none" w:sz="0" w:space="0" w:color="auto"/>
        <w:left w:val="none" w:sz="0" w:space="0" w:color="auto"/>
        <w:bottom w:val="none" w:sz="0" w:space="0" w:color="auto"/>
        <w:right w:val="none" w:sz="0" w:space="0" w:color="auto"/>
      </w:divBdr>
    </w:div>
    <w:div w:id="898251876">
      <w:bodyDiv w:val="1"/>
      <w:marLeft w:val="0"/>
      <w:marRight w:val="0"/>
      <w:marTop w:val="0"/>
      <w:marBottom w:val="0"/>
      <w:divBdr>
        <w:top w:val="none" w:sz="0" w:space="0" w:color="auto"/>
        <w:left w:val="none" w:sz="0" w:space="0" w:color="auto"/>
        <w:bottom w:val="none" w:sz="0" w:space="0" w:color="auto"/>
        <w:right w:val="none" w:sz="0" w:space="0" w:color="auto"/>
      </w:divBdr>
      <w:divsChild>
        <w:div w:id="81924853">
          <w:marLeft w:val="600"/>
          <w:marRight w:val="0"/>
          <w:marTop w:val="0"/>
          <w:marBottom w:val="0"/>
          <w:divBdr>
            <w:top w:val="none" w:sz="0" w:space="0" w:color="auto"/>
            <w:left w:val="none" w:sz="0" w:space="0" w:color="auto"/>
            <w:bottom w:val="none" w:sz="0" w:space="0" w:color="auto"/>
            <w:right w:val="none" w:sz="0" w:space="0" w:color="auto"/>
          </w:divBdr>
        </w:div>
        <w:div w:id="238833188">
          <w:marLeft w:val="600"/>
          <w:marRight w:val="0"/>
          <w:marTop w:val="0"/>
          <w:marBottom w:val="0"/>
          <w:divBdr>
            <w:top w:val="none" w:sz="0" w:space="0" w:color="auto"/>
            <w:left w:val="none" w:sz="0" w:space="0" w:color="auto"/>
            <w:bottom w:val="none" w:sz="0" w:space="0" w:color="auto"/>
            <w:right w:val="none" w:sz="0" w:space="0" w:color="auto"/>
          </w:divBdr>
        </w:div>
        <w:div w:id="307320563">
          <w:marLeft w:val="600"/>
          <w:marRight w:val="0"/>
          <w:marTop w:val="0"/>
          <w:marBottom w:val="0"/>
          <w:divBdr>
            <w:top w:val="none" w:sz="0" w:space="0" w:color="auto"/>
            <w:left w:val="none" w:sz="0" w:space="0" w:color="auto"/>
            <w:bottom w:val="none" w:sz="0" w:space="0" w:color="auto"/>
            <w:right w:val="none" w:sz="0" w:space="0" w:color="auto"/>
          </w:divBdr>
        </w:div>
        <w:div w:id="371464235">
          <w:marLeft w:val="600"/>
          <w:marRight w:val="0"/>
          <w:marTop w:val="0"/>
          <w:marBottom w:val="0"/>
          <w:divBdr>
            <w:top w:val="none" w:sz="0" w:space="0" w:color="auto"/>
            <w:left w:val="none" w:sz="0" w:space="0" w:color="auto"/>
            <w:bottom w:val="none" w:sz="0" w:space="0" w:color="auto"/>
            <w:right w:val="none" w:sz="0" w:space="0" w:color="auto"/>
          </w:divBdr>
        </w:div>
        <w:div w:id="1163931658">
          <w:marLeft w:val="600"/>
          <w:marRight w:val="0"/>
          <w:marTop w:val="0"/>
          <w:marBottom w:val="0"/>
          <w:divBdr>
            <w:top w:val="none" w:sz="0" w:space="0" w:color="auto"/>
            <w:left w:val="none" w:sz="0" w:space="0" w:color="auto"/>
            <w:bottom w:val="none" w:sz="0" w:space="0" w:color="auto"/>
            <w:right w:val="none" w:sz="0" w:space="0" w:color="auto"/>
          </w:divBdr>
        </w:div>
        <w:div w:id="1272010954">
          <w:marLeft w:val="600"/>
          <w:marRight w:val="0"/>
          <w:marTop w:val="0"/>
          <w:marBottom w:val="0"/>
          <w:divBdr>
            <w:top w:val="none" w:sz="0" w:space="0" w:color="auto"/>
            <w:left w:val="none" w:sz="0" w:space="0" w:color="auto"/>
            <w:bottom w:val="none" w:sz="0" w:space="0" w:color="auto"/>
            <w:right w:val="none" w:sz="0" w:space="0" w:color="auto"/>
          </w:divBdr>
        </w:div>
        <w:div w:id="1377194687">
          <w:marLeft w:val="600"/>
          <w:marRight w:val="0"/>
          <w:marTop w:val="0"/>
          <w:marBottom w:val="0"/>
          <w:divBdr>
            <w:top w:val="none" w:sz="0" w:space="0" w:color="auto"/>
            <w:left w:val="none" w:sz="0" w:space="0" w:color="auto"/>
            <w:bottom w:val="none" w:sz="0" w:space="0" w:color="auto"/>
            <w:right w:val="none" w:sz="0" w:space="0" w:color="auto"/>
          </w:divBdr>
        </w:div>
        <w:div w:id="1461220601">
          <w:marLeft w:val="600"/>
          <w:marRight w:val="0"/>
          <w:marTop w:val="0"/>
          <w:marBottom w:val="0"/>
          <w:divBdr>
            <w:top w:val="none" w:sz="0" w:space="0" w:color="auto"/>
            <w:left w:val="none" w:sz="0" w:space="0" w:color="auto"/>
            <w:bottom w:val="none" w:sz="0" w:space="0" w:color="auto"/>
            <w:right w:val="none" w:sz="0" w:space="0" w:color="auto"/>
          </w:divBdr>
        </w:div>
        <w:div w:id="1730684033">
          <w:marLeft w:val="600"/>
          <w:marRight w:val="0"/>
          <w:marTop w:val="0"/>
          <w:marBottom w:val="0"/>
          <w:divBdr>
            <w:top w:val="none" w:sz="0" w:space="0" w:color="auto"/>
            <w:left w:val="none" w:sz="0" w:space="0" w:color="auto"/>
            <w:bottom w:val="none" w:sz="0" w:space="0" w:color="auto"/>
            <w:right w:val="none" w:sz="0" w:space="0" w:color="auto"/>
          </w:divBdr>
        </w:div>
      </w:divsChild>
    </w:div>
    <w:div w:id="900824786">
      <w:bodyDiv w:val="1"/>
      <w:marLeft w:val="0"/>
      <w:marRight w:val="0"/>
      <w:marTop w:val="0"/>
      <w:marBottom w:val="0"/>
      <w:divBdr>
        <w:top w:val="none" w:sz="0" w:space="0" w:color="auto"/>
        <w:left w:val="none" w:sz="0" w:space="0" w:color="auto"/>
        <w:bottom w:val="none" w:sz="0" w:space="0" w:color="auto"/>
        <w:right w:val="none" w:sz="0" w:space="0" w:color="auto"/>
      </w:divBdr>
    </w:div>
    <w:div w:id="937566550">
      <w:bodyDiv w:val="1"/>
      <w:marLeft w:val="0"/>
      <w:marRight w:val="0"/>
      <w:marTop w:val="0"/>
      <w:marBottom w:val="0"/>
      <w:divBdr>
        <w:top w:val="none" w:sz="0" w:space="0" w:color="auto"/>
        <w:left w:val="none" w:sz="0" w:space="0" w:color="auto"/>
        <w:bottom w:val="none" w:sz="0" w:space="0" w:color="auto"/>
        <w:right w:val="none" w:sz="0" w:space="0" w:color="auto"/>
      </w:divBdr>
    </w:div>
    <w:div w:id="961426340">
      <w:bodyDiv w:val="1"/>
      <w:marLeft w:val="0"/>
      <w:marRight w:val="0"/>
      <w:marTop w:val="0"/>
      <w:marBottom w:val="0"/>
      <w:divBdr>
        <w:top w:val="none" w:sz="0" w:space="0" w:color="auto"/>
        <w:left w:val="none" w:sz="0" w:space="0" w:color="auto"/>
        <w:bottom w:val="none" w:sz="0" w:space="0" w:color="auto"/>
        <w:right w:val="none" w:sz="0" w:space="0" w:color="auto"/>
      </w:divBdr>
    </w:div>
    <w:div w:id="1054617541">
      <w:bodyDiv w:val="1"/>
      <w:marLeft w:val="0"/>
      <w:marRight w:val="0"/>
      <w:marTop w:val="0"/>
      <w:marBottom w:val="0"/>
      <w:divBdr>
        <w:top w:val="none" w:sz="0" w:space="0" w:color="auto"/>
        <w:left w:val="none" w:sz="0" w:space="0" w:color="auto"/>
        <w:bottom w:val="none" w:sz="0" w:space="0" w:color="auto"/>
        <w:right w:val="none" w:sz="0" w:space="0" w:color="auto"/>
      </w:divBdr>
    </w:div>
    <w:div w:id="1105033253">
      <w:bodyDiv w:val="1"/>
      <w:marLeft w:val="0"/>
      <w:marRight w:val="0"/>
      <w:marTop w:val="0"/>
      <w:marBottom w:val="0"/>
      <w:divBdr>
        <w:top w:val="none" w:sz="0" w:space="0" w:color="auto"/>
        <w:left w:val="none" w:sz="0" w:space="0" w:color="auto"/>
        <w:bottom w:val="none" w:sz="0" w:space="0" w:color="auto"/>
        <w:right w:val="none" w:sz="0" w:space="0" w:color="auto"/>
      </w:divBdr>
    </w:div>
    <w:div w:id="1154031912">
      <w:bodyDiv w:val="1"/>
      <w:marLeft w:val="0"/>
      <w:marRight w:val="0"/>
      <w:marTop w:val="0"/>
      <w:marBottom w:val="0"/>
      <w:divBdr>
        <w:top w:val="none" w:sz="0" w:space="0" w:color="auto"/>
        <w:left w:val="none" w:sz="0" w:space="0" w:color="auto"/>
        <w:bottom w:val="none" w:sz="0" w:space="0" w:color="auto"/>
        <w:right w:val="none" w:sz="0" w:space="0" w:color="auto"/>
      </w:divBdr>
    </w:div>
    <w:div w:id="1206483416">
      <w:bodyDiv w:val="1"/>
      <w:marLeft w:val="0"/>
      <w:marRight w:val="0"/>
      <w:marTop w:val="0"/>
      <w:marBottom w:val="0"/>
      <w:divBdr>
        <w:top w:val="none" w:sz="0" w:space="0" w:color="auto"/>
        <w:left w:val="none" w:sz="0" w:space="0" w:color="auto"/>
        <w:bottom w:val="none" w:sz="0" w:space="0" w:color="auto"/>
        <w:right w:val="none" w:sz="0" w:space="0" w:color="auto"/>
      </w:divBdr>
    </w:div>
    <w:div w:id="1256131309">
      <w:bodyDiv w:val="1"/>
      <w:marLeft w:val="0"/>
      <w:marRight w:val="0"/>
      <w:marTop w:val="0"/>
      <w:marBottom w:val="0"/>
      <w:divBdr>
        <w:top w:val="none" w:sz="0" w:space="0" w:color="auto"/>
        <w:left w:val="none" w:sz="0" w:space="0" w:color="auto"/>
        <w:bottom w:val="none" w:sz="0" w:space="0" w:color="auto"/>
        <w:right w:val="none" w:sz="0" w:space="0" w:color="auto"/>
      </w:divBdr>
    </w:div>
    <w:div w:id="1261136247">
      <w:bodyDiv w:val="1"/>
      <w:marLeft w:val="0"/>
      <w:marRight w:val="0"/>
      <w:marTop w:val="0"/>
      <w:marBottom w:val="0"/>
      <w:divBdr>
        <w:top w:val="none" w:sz="0" w:space="0" w:color="auto"/>
        <w:left w:val="none" w:sz="0" w:space="0" w:color="auto"/>
        <w:bottom w:val="none" w:sz="0" w:space="0" w:color="auto"/>
        <w:right w:val="none" w:sz="0" w:space="0" w:color="auto"/>
      </w:divBdr>
    </w:div>
    <w:div w:id="1519734995">
      <w:bodyDiv w:val="1"/>
      <w:marLeft w:val="0"/>
      <w:marRight w:val="0"/>
      <w:marTop w:val="0"/>
      <w:marBottom w:val="0"/>
      <w:divBdr>
        <w:top w:val="none" w:sz="0" w:space="0" w:color="auto"/>
        <w:left w:val="none" w:sz="0" w:space="0" w:color="auto"/>
        <w:bottom w:val="none" w:sz="0" w:space="0" w:color="auto"/>
        <w:right w:val="none" w:sz="0" w:space="0" w:color="auto"/>
      </w:divBdr>
    </w:div>
    <w:div w:id="1520116794">
      <w:bodyDiv w:val="1"/>
      <w:marLeft w:val="0"/>
      <w:marRight w:val="0"/>
      <w:marTop w:val="0"/>
      <w:marBottom w:val="0"/>
      <w:divBdr>
        <w:top w:val="none" w:sz="0" w:space="0" w:color="auto"/>
        <w:left w:val="none" w:sz="0" w:space="0" w:color="auto"/>
        <w:bottom w:val="none" w:sz="0" w:space="0" w:color="auto"/>
        <w:right w:val="none" w:sz="0" w:space="0" w:color="auto"/>
      </w:divBdr>
    </w:div>
    <w:div w:id="1550024439">
      <w:bodyDiv w:val="1"/>
      <w:marLeft w:val="0"/>
      <w:marRight w:val="0"/>
      <w:marTop w:val="0"/>
      <w:marBottom w:val="0"/>
      <w:divBdr>
        <w:top w:val="none" w:sz="0" w:space="0" w:color="auto"/>
        <w:left w:val="none" w:sz="0" w:space="0" w:color="auto"/>
        <w:bottom w:val="none" w:sz="0" w:space="0" w:color="auto"/>
        <w:right w:val="none" w:sz="0" w:space="0" w:color="auto"/>
      </w:divBdr>
    </w:div>
    <w:div w:id="1641883404">
      <w:bodyDiv w:val="1"/>
      <w:marLeft w:val="0"/>
      <w:marRight w:val="0"/>
      <w:marTop w:val="0"/>
      <w:marBottom w:val="0"/>
      <w:divBdr>
        <w:top w:val="none" w:sz="0" w:space="0" w:color="auto"/>
        <w:left w:val="none" w:sz="0" w:space="0" w:color="auto"/>
        <w:bottom w:val="none" w:sz="0" w:space="0" w:color="auto"/>
        <w:right w:val="none" w:sz="0" w:space="0" w:color="auto"/>
      </w:divBdr>
    </w:div>
    <w:div w:id="1679307650">
      <w:bodyDiv w:val="1"/>
      <w:marLeft w:val="0"/>
      <w:marRight w:val="0"/>
      <w:marTop w:val="0"/>
      <w:marBottom w:val="0"/>
      <w:divBdr>
        <w:top w:val="none" w:sz="0" w:space="0" w:color="auto"/>
        <w:left w:val="none" w:sz="0" w:space="0" w:color="auto"/>
        <w:bottom w:val="none" w:sz="0" w:space="0" w:color="auto"/>
        <w:right w:val="none" w:sz="0" w:space="0" w:color="auto"/>
      </w:divBdr>
    </w:div>
    <w:div w:id="1683044943">
      <w:bodyDiv w:val="1"/>
      <w:marLeft w:val="0"/>
      <w:marRight w:val="0"/>
      <w:marTop w:val="0"/>
      <w:marBottom w:val="0"/>
      <w:divBdr>
        <w:top w:val="none" w:sz="0" w:space="0" w:color="auto"/>
        <w:left w:val="none" w:sz="0" w:space="0" w:color="auto"/>
        <w:bottom w:val="none" w:sz="0" w:space="0" w:color="auto"/>
        <w:right w:val="none" w:sz="0" w:space="0" w:color="auto"/>
      </w:divBdr>
    </w:div>
    <w:div w:id="1701470350">
      <w:bodyDiv w:val="1"/>
      <w:marLeft w:val="0"/>
      <w:marRight w:val="0"/>
      <w:marTop w:val="0"/>
      <w:marBottom w:val="0"/>
      <w:divBdr>
        <w:top w:val="none" w:sz="0" w:space="0" w:color="auto"/>
        <w:left w:val="none" w:sz="0" w:space="0" w:color="auto"/>
        <w:bottom w:val="none" w:sz="0" w:space="0" w:color="auto"/>
        <w:right w:val="none" w:sz="0" w:space="0" w:color="auto"/>
      </w:divBdr>
    </w:div>
    <w:div w:id="1826311466">
      <w:bodyDiv w:val="1"/>
      <w:marLeft w:val="0"/>
      <w:marRight w:val="0"/>
      <w:marTop w:val="0"/>
      <w:marBottom w:val="0"/>
      <w:divBdr>
        <w:top w:val="none" w:sz="0" w:space="0" w:color="auto"/>
        <w:left w:val="none" w:sz="0" w:space="0" w:color="auto"/>
        <w:bottom w:val="none" w:sz="0" w:space="0" w:color="auto"/>
        <w:right w:val="none" w:sz="0" w:space="0" w:color="auto"/>
      </w:divBdr>
    </w:div>
    <w:div w:id="1873685029">
      <w:bodyDiv w:val="1"/>
      <w:marLeft w:val="0"/>
      <w:marRight w:val="0"/>
      <w:marTop w:val="0"/>
      <w:marBottom w:val="0"/>
      <w:divBdr>
        <w:top w:val="none" w:sz="0" w:space="0" w:color="auto"/>
        <w:left w:val="none" w:sz="0" w:space="0" w:color="auto"/>
        <w:bottom w:val="none" w:sz="0" w:space="0" w:color="auto"/>
        <w:right w:val="none" w:sz="0" w:space="0" w:color="auto"/>
      </w:divBdr>
    </w:div>
    <w:div w:id="1903517990">
      <w:bodyDiv w:val="1"/>
      <w:marLeft w:val="0"/>
      <w:marRight w:val="0"/>
      <w:marTop w:val="0"/>
      <w:marBottom w:val="0"/>
      <w:divBdr>
        <w:top w:val="none" w:sz="0" w:space="0" w:color="auto"/>
        <w:left w:val="none" w:sz="0" w:space="0" w:color="auto"/>
        <w:bottom w:val="none" w:sz="0" w:space="0" w:color="auto"/>
        <w:right w:val="none" w:sz="0" w:space="0" w:color="auto"/>
      </w:divBdr>
    </w:div>
    <w:div w:id="1970356826">
      <w:bodyDiv w:val="1"/>
      <w:marLeft w:val="0"/>
      <w:marRight w:val="0"/>
      <w:marTop w:val="0"/>
      <w:marBottom w:val="0"/>
      <w:divBdr>
        <w:top w:val="none" w:sz="0" w:space="0" w:color="auto"/>
        <w:left w:val="none" w:sz="0" w:space="0" w:color="auto"/>
        <w:bottom w:val="none" w:sz="0" w:space="0" w:color="auto"/>
        <w:right w:val="none" w:sz="0" w:space="0" w:color="auto"/>
      </w:divBdr>
    </w:div>
    <w:div w:id="1978144250">
      <w:bodyDiv w:val="1"/>
      <w:marLeft w:val="0"/>
      <w:marRight w:val="0"/>
      <w:marTop w:val="0"/>
      <w:marBottom w:val="0"/>
      <w:divBdr>
        <w:top w:val="none" w:sz="0" w:space="0" w:color="auto"/>
        <w:left w:val="none" w:sz="0" w:space="0" w:color="auto"/>
        <w:bottom w:val="none" w:sz="0" w:space="0" w:color="auto"/>
        <w:right w:val="none" w:sz="0" w:space="0" w:color="auto"/>
      </w:divBdr>
    </w:div>
    <w:div w:id="1990556107">
      <w:bodyDiv w:val="1"/>
      <w:marLeft w:val="0"/>
      <w:marRight w:val="0"/>
      <w:marTop w:val="0"/>
      <w:marBottom w:val="0"/>
      <w:divBdr>
        <w:top w:val="none" w:sz="0" w:space="0" w:color="auto"/>
        <w:left w:val="none" w:sz="0" w:space="0" w:color="auto"/>
        <w:bottom w:val="none" w:sz="0" w:space="0" w:color="auto"/>
        <w:right w:val="none" w:sz="0" w:space="0" w:color="auto"/>
      </w:divBdr>
    </w:div>
    <w:div w:id="2018925663">
      <w:bodyDiv w:val="1"/>
      <w:marLeft w:val="0"/>
      <w:marRight w:val="0"/>
      <w:marTop w:val="0"/>
      <w:marBottom w:val="0"/>
      <w:divBdr>
        <w:top w:val="none" w:sz="0" w:space="0" w:color="auto"/>
        <w:left w:val="none" w:sz="0" w:space="0" w:color="auto"/>
        <w:bottom w:val="none" w:sz="0" w:space="0" w:color="auto"/>
        <w:right w:val="none" w:sz="0" w:space="0" w:color="auto"/>
      </w:divBdr>
    </w:div>
    <w:div w:id="21436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iopa.europa.eu/Publications/Opinions/EIOPA%20Mediation%20Panel%20Opinion_BoS_18_279.pdf" TargetMode="External"/><Relationship Id="rId3" Type="http://schemas.openxmlformats.org/officeDocument/2006/relationships/hyperlink" Target="https://eiopa.europa.eu/Pages/News/EIOPA-reports-on-Group-Supervision-and-Capital-Management-of-Insurance-and-Reinsurance-Undertakings-.aspx" TargetMode="External"/><Relationship Id="rId7" Type="http://schemas.openxmlformats.org/officeDocument/2006/relationships/hyperlink" Target="https://esas-joint-committee.europa.eu/Publications/Guidelines/JC%20-%202018%2068%20(2018%20list%20of%20identified%20Financial%20Conglomerates)%20-%20FINAL%20C.pdf" TargetMode="External"/><Relationship Id="rId2" Type="http://schemas.openxmlformats.org/officeDocument/2006/relationships/hyperlink" Target="https://eiopa.europa.eu/Publications/Requests%20for%20advice/I-2018-168%20Annex%20COM%20Request%20to%20EIOPA%20for%20a%20report%20(GBE).pdf" TargetMode="External"/><Relationship Id="rId1" Type="http://schemas.openxmlformats.org/officeDocument/2006/relationships/hyperlink" Target="https://eiopa.europa.eu/Publications/Requests%20for%20advice/I-2018-168%20COM%20formal%20request%20for%20report%20on%20Group%20Supervision%20and%20capital%20management%20(GBE).pdf" TargetMode="External"/><Relationship Id="rId6" Type="http://schemas.openxmlformats.org/officeDocument/2006/relationships/hyperlink" Target="https://ec.europa.eu/info/files/190211-request-eiopa-technical-advice-review-solvency-2_en" TargetMode="External"/><Relationship Id="rId11" Type="http://schemas.openxmlformats.org/officeDocument/2006/relationships/hyperlink" Target="https://ec.europa.eu/info/files/190211-request-eiopa-technical-advice-review-solvency-2_en" TargetMode="External"/><Relationship Id="rId5" Type="http://schemas.openxmlformats.org/officeDocument/2006/relationships/hyperlink" Target="https://eiopa.europa.eu/Publications/Guidelines/GRS_Final_document_BG.pdf" TargetMode="External"/><Relationship Id="rId10" Type="http://schemas.openxmlformats.org/officeDocument/2006/relationships/hyperlink" Target="https://eiopa.europa.eu/Publications/Consultations/EIOPA-CP-18-003_Discussion_paper_on_resolution_funding%20and.pdf" TargetMode="External"/><Relationship Id="rId4" Type="http://schemas.openxmlformats.org/officeDocument/2006/relationships/hyperlink" Target="http://www.fsb.org/2018/11/fsb-welcomes-iais-proposed-insurance-systemic-risk-framework-and-decides-not-to-engage-in-an-identification-of-g-siis-in-2018/" TargetMode="External"/><Relationship Id="rId9" Type="http://schemas.openxmlformats.org/officeDocument/2006/relationships/hyperlink" Target="https://eur-lex.europa.eu/legal-content/BG/TXT/HTML/?uri=CELEX:52010DC0370&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3919-537A-4B38-A7AA-5A428352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5973</Words>
  <Characters>36024</Characters>
  <Application>Microsoft Office Word</Application>
  <DocSecurity>0</DocSecurity>
  <Lines>692</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2019-05-08T14:27:00Z</dcterms:created>
  <dcterms:modified xsi:type="dcterms:W3CDTF">2019-06-20T05:59:00Z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