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7495B108-7855-46E0-BFD6-D250E67FF80A" style="width:450.75pt;height:424.5pt">
            <v:imagedata r:id="rId9" o:title=""/>
          </v:shape>
        </w:pict>
      </w:r>
    </w:p>
    <w:p>
      <w:pPr>
        <w:pStyle w:val="Pagedecouverture"/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pStyle w:val="Objetacteprincipal"/>
        <w:rPr>
          <w:noProof/>
        </w:rPr>
      </w:pPr>
      <w:r>
        <w:rPr>
          <w:noProof/>
        </w:rPr>
        <w:t>Указания за водене на преговорите, които Комисията да проведе от името на Европейския съюз, за създаване на регионална организация за управление на рибарството или на инструмент за опазване и управление на живите морски ресурси в централната западна част на Атлантическия океан</w:t>
      </w:r>
    </w:p>
    <w:p>
      <w:pPr>
        <w:pStyle w:val="NumPar1"/>
        <w:numPr>
          <w:ilvl w:val="0"/>
          <w:numId w:val="9"/>
        </w:numPr>
        <w:rPr>
          <w:noProof/>
        </w:rPr>
      </w:pPr>
      <w:r>
        <w:rPr>
          <w:noProof/>
        </w:rPr>
        <w:t>Целта на преговорите е да се осигури възможност на Европейския съюз да участва в процеса на преговори в рамките на Комисията по риболова в централната западна част на Атлантическия океан (WECAFC) за сключване на споразумение за създаване на регионална организация за управление на рибарството или на инструмент (наричано по-долу за краткост „споразумението“) с правомощия за вземане на правно обвързващи решения за опазване и управление на живите морски ресурси в централната западна част на Атлантическия океан.</w:t>
      </w:r>
    </w:p>
    <w:p>
      <w:pPr>
        <w:pStyle w:val="NumPar1"/>
        <w:rPr>
          <w:noProof/>
        </w:rPr>
      </w:pPr>
      <w:r>
        <w:rPr>
          <w:noProof/>
        </w:rPr>
        <w:t>В преговорите с другите страни, които участват в създаването на регионална организация за управление на рибарството или на инструмент за опазване и управление на живите морски ресурси в централната западна част на Атлантическия океан, Комисията трябва да действа така, че да осигури, че споразумението:</w:t>
      </w:r>
    </w:p>
    <w:p>
      <w:pPr>
        <w:pStyle w:val="Tiret1"/>
        <w:numPr>
          <w:ilvl w:val="0"/>
          <w:numId w:val="10"/>
        </w:numPr>
        <w:rPr>
          <w:noProof/>
        </w:rPr>
      </w:pPr>
      <w:r>
        <w:rPr>
          <w:noProof/>
        </w:rPr>
        <w:t xml:space="preserve">е съгласувано с международното право, и по-специално с разпоредбите на Конвенцията на Организацията на обединените нации от 1982 г. по морско право, Споразумението от 1995 г., свързано с опазването и управлението на трансгранично преминаващите и далекомигриращите рибни запаси, и Споразумението от 1995 г. за насърчаване на спазването на международните мерки за опазване и управление от риболовните кораби в открито море, без да се засягат правата и задълженията на крайбрежните държави, и Споразумението от 2009 г. за мерките на пристанищната държава с цел предотвратяване, възпиране и премахване на незаконния, недеклариран и нерегулиран риболов; </w:t>
      </w:r>
    </w:p>
    <w:p>
      <w:pPr>
        <w:pStyle w:val="Tiret1"/>
        <w:rPr>
          <w:noProof/>
        </w:rPr>
      </w:pPr>
      <w:r>
        <w:rPr>
          <w:noProof/>
        </w:rPr>
        <w:t>осигурява съвместимост между мерките за опазване и управление, въведени за същите запаси във водите под национална юрисдикция, и мерките, приети по отношение на открито море в съответствие с член 118 от Конвенцията на Организацията на обединените нации по морско право и член 8 от Споразумението на Организацията на обединените нации за рибните запаси;</w:t>
      </w:r>
    </w:p>
    <w:p>
      <w:pPr>
        <w:pStyle w:val="Tiret1"/>
        <w:rPr>
          <w:noProof/>
        </w:rPr>
      </w:pPr>
      <w:r>
        <w:rPr>
          <w:noProof/>
        </w:rPr>
        <w:t>не нарушава ролята и мандатите на Международната комисия за опазване на рибата тон в Атлантическия океан (ICCAT) и/или Организацията за риболова в северозападната част на Атлантическия океан (NAFO) и гарантира тясно сътрудничество и координиране между относимите мерки, предприети съответно въз основа на споразумението и от ICCAT и/или NAFO;</w:t>
      </w:r>
    </w:p>
    <w:p>
      <w:pPr>
        <w:pStyle w:val="Tiret1"/>
        <w:rPr>
          <w:noProof/>
        </w:rPr>
      </w:pPr>
      <w:r>
        <w:rPr>
          <w:noProof/>
        </w:rPr>
        <w:t>насърчава подхода на Съюза към опазването и управлението във всички океани и укрепва неговия ангажимент към дългосрочното опазване и устойчивото управление на световните рибни ресурси;</w:t>
      </w:r>
    </w:p>
    <w:p>
      <w:pPr>
        <w:pStyle w:val="Tiret1"/>
        <w:rPr>
          <w:noProof/>
        </w:rPr>
      </w:pPr>
      <w:r>
        <w:rPr>
          <w:noProof/>
        </w:rPr>
        <w:t>е съобразено с целите и принципите на общата политика на Съюза в областта на рибарството, установени в Регламент (ЕС) № 1380/2013;</w:t>
      </w:r>
    </w:p>
    <w:p>
      <w:pPr>
        <w:pStyle w:val="Tiret1"/>
        <w:rPr>
          <w:noProof/>
        </w:rPr>
      </w:pPr>
      <w:r>
        <w:rPr>
          <w:noProof/>
        </w:rPr>
        <w:lastRenderedPageBreak/>
        <w:t>създава регионална организация за управление на рибарството или инструмент с правомощия за вземане на правно обвързващи решения за опазване и управление на живите морски ресурси в централната западна част на Атлантическия океан;</w:t>
      </w:r>
    </w:p>
    <w:p>
      <w:pPr>
        <w:pStyle w:val="Tiret1"/>
        <w:rPr>
          <w:noProof/>
        </w:rPr>
      </w:pPr>
      <w:r>
        <w:rPr>
          <w:noProof/>
        </w:rPr>
        <w:t>дава възможност за участие на занимаващи се с риболов структури и на организации за регионална икономическа интеграция, на които членуващите в тях държави членки са прехвърлили правомощия по въпросите, обхванати от споразумението;</w:t>
      </w:r>
    </w:p>
    <w:p>
      <w:pPr>
        <w:pStyle w:val="Tiret1"/>
        <w:rPr>
          <w:noProof/>
        </w:rPr>
      </w:pPr>
      <w:r>
        <w:rPr>
          <w:noProof/>
        </w:rPr>
        <w:t>има за основна цел опазването и управлението на морските ресурси, включително проучвателния риболов, чрез прилагане на подхода на предпазливост и се стреми да прави необходимото, така че експлоатацията на живите морски биологични ресурси да осигурява възстановяването и поддържането на популациите на улавяните видове над нивата, позволяващи максимален устойчив улов, като същевременно се гарантира справедлив жизнен стандарт за хората, чийто поминък зависи от риболовните дейности, и се допринася за достъпността на доставките на морски храни;</w:t>
      </w:r>
    </w:p>
    <w:p>
      <w:pPr>
        <w:pStyle w:val="Tiret1"/>
        <w:rPr>
          <w:noProof/>
        </w:rPr>
      </w:pPr>
      <w:r>
        <w:rPr>
          <w:noProof/>
        </w:rPr>
        <w:t>се стреми към прилагането на екосистемен подход към управлението на рибарството, така че в рамките на борбата с изменението на климата да допринесе за устойчивото управление на океаните във всичките му измерения, да гарантира, че отрицателното въздействие на риболовните дейности върху морската екосистема се свежда до минимум, и да полага усилия да се избегне влошаването на състоянието на морската среда;</w:t>
      </w:r>
    </w:p>
    <w:p>
      <w:pPr>
        <w:pStyle w:val="Tiret1"/>
        <w:rPr>
          <w:noProof/>
        </w:rPr>
      </w:pPr>
      <w:r>
        <w:rPr>
          <w:noProof/>
        </w:rPr>
        <w:t>обхваща цялата зона на WECAFC или част от нея, която по възможност включва изключителните икономически зони на крайбрежните държави;</w:t>
      </w:r>
    </w:p>
    <w:p>
      <w:pPr>
        <w:pStyle w:val="Tiret1"/>
        <w:rPr>
          <w:noProof/>
        </w:rPr>
      </w:pPr>
      <w:r>
        <w:rPr>
          <w:noProof/>
        </w:rPr>
        <w:t>включва ефикасен процес на вземане на решения, който по възможност предвижда механизми за гласуване с мнозинство и процедури за представяне на възражения;</w:t>
      </w:r>
    </w:p>
    <w:p>
      <w:pPr>
        <w:pStyle w:val="Tiret1"/>
        <w:rPr>
          <w:noProof/>
        </w:rPr>
      </w:pPr>
      <w:r>
        <w:rPr>
          <w:noProof/>
        </w:rPr>
        <w:t>включва подходящи, приобщаващи и прозрачни механизми за събиране на необходимите данни и изготвяне на солидни научни становища за обосноваване на вземането на решения, както и адекватно участие на заинтересованите страни;</w:t>
      </w:r>
    </w:p>
    <w:p>
      <w:pPr>
        <w:pStyle w:val="Tiret1"/>
        <w:rPr>
          <w:noProof/>
        </w:rPr>
      </w:pPr>
      <w:r>
        <w:rPr>
          <w:noProof/>
        </w:rPr>
        <w:t>включва подходящи механизми за насърчаване на ефективното наблюдение, контрол и надзор на риболовните дейности, за борба с незаконния, недеклариран и нерегулиран риболов, а с цел насърчаване на регламентирането на дейностите по трансбордиране — програма за инспекции както в морето, така и в пристанището, и проследимост на продуктите от риболов;</w:t>
      </w:r>
    </w:p>
    <w:p>
      <w:pPr>
        <w:pStyle w:val="Tiret1"/>
        <w:rPr>
          <w:noProof/>
        </w:rPr>
      </w:pPr>
      <w:r>
        <w:rPr>
          <w:noProof/>
        </w:rPr>
        <w:t>подпомага сътрудничеството за борба с принудителния труд, свързан с незаконния, недеклариран и нерегулиран риболов, и за насърчаване на достойни условия на труд в съответствие с Конвенцията относно условията на труд в сектора на риболова на Международната организация на труда;</w:t>
      </w:r>
    </w:p>
    <w:p>
      <w:pPr>
        <w:pStyle w:val="Tiret1"/>
        <w:rPr>
          <w:noProof/>
        </w:rPr>
      </w:pPr>
      <w:r>
        <w:rPr>
          <w:noProof/>
        </w:rPr>
        <w:t>включва механизъм за насърчаване на спазването на споразумението и на мерките, приети от създадената със споразумението организация или инструмент;</w:t>
      </w:r>
    </w:p>
    <w:p>
      <w:pPr>
        <w:pStyle w:val="Tiret1"/>
        <w:rPr>
          <w:noProof/>
        </w:rPr>
      </w:pPr>
      <w:r>
        <w:rPr>
          <w:noProof/>
        </w:rPr>
        <w:lastRenderedPageBreak/>
        <w:t>въвежда периодичен преглед на мерките, приети от създадената със споразумението организация или инструмент;</w:t>
      </w:r>
    </w:p>
    <w:p>
      <w:pPr>
        <w:pStyle w:val="Tiret1"/>
        <w:rPr>
          <w:noProof/>
        </w:rPr>
      </w:pPr>
      <w:r>
        <w:rPr>
          <w:noProof/>
        </w:rPr>
        <w:t>включва подходяща административна структура и органи, както и адекватни финансови ресурси, към които всички членове допринасят по справедлив начин;</w:t>
      </w:r>
    </w:p>
    <w:p>
      <w:pPr>
        <w:pStyle w:val="Tiret1"/>
        <w:rPr>
          <w:noProof/>
        </w:rPr>
      </w:pPr>
      <w:r>
        <w:rPr>
          <w:noProof/>
        </w:rPr>
        <w:t>в зоната, която обхваща, осигурява възможност за достъп до риболовните ресурси, както и адекватен дял от тях за флота на ЕС;</w:t>
      </w:r>
    </w:p>
    <w:p>
      <w:pPr>
        <w:pStyle w:val="Tiret1"/>
        <w:rPr>
          <w:noProof/>
        </w:rPr>
      </w:pPr>
      <w:r>
        <w:rPr>
          <w:noProof/>
        </w:rPr>
        <w:t>включва процес на мирно уреждане на спорове;</w:t>
      </w:r>
    </w:p>
    <w:p>
      <w:pPr>
        <w:pStyle w:val="Tiret1"/>
        <w:rPr>
          <w:noProof/>
        </w:rPr>
      </w:pPr>
      <w:r>
        <w:rPr>
          <w:noProof/>
        </w:rPr>
        <w:t>в зоната, която обхваща, взема предвид по подходящ начин специфичните обстоятелства, свързани с развиващите се малки островни държави.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DE8E0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75272D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46012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CAEDB0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BEC56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28C143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D5274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1843F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6-26 09:00:2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7495B108-7855-46E0-BFD6-D250E67FF80A"/>
    <w:docVar w:name="LW_COVERPAGE_TYPE" w:val="1"/>
    <w:docVar w:name="LW_CROSSREFERENCE" w:val="&lt;UNUSED&gt;"/>
    <w:docVar w:name="LW_DocType" w:val="ANNEX"/>
    <w:docVar w:name="LW_EMISSION" w:val="27.6.2019"/>
    <w:docVar w:name="LW_EMISSION_ISODATE" w:val="2019-06-27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_x000b_"/>
    <w:docVar w:name="LW_OBJETACTEPRINCIPAL.CP" w:val="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9) 29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87?\u1086?\u1088?\u1098?\u1082?\u1072? \u1079?\u1072? \u1056?\u1077?\u1096?\u1077?\u1085?\u1080?\u1077? \u1085?\u1072? \u1057?\u1098?\u1074?\u1077?\u1090?\u1072? \u1079?\u1072? \u1088?\u1072?\u1079?\u1088?\u1077?\u1096?\u1072?\u1074?\u1072?\u1085?\u1077? \u1085?\u1072? \u1079?\u1072?\u1087?\u1086?\u1095?\u1074?\u1072?\u1085?\u1077?\u1090?\u1086? \u1085?\u1072? \u1087?\u1088?\u1077?\u1075?\u1086?\u1074?\u1086?\u1088?\u1080? \u1079?\u1072? \u1089?\u1098?\u1079?\u1076?\u1072?\u1074?\u1072?\u1085?\u1077? \u1085?\u1072? \u1088?\u1077?\u1075?\u1080?\u1086?\u1085?\u1072?\u1083?\u1085?\u1072? \u1086?\u1088?\u1075?\u1072?\u1085?\u1080?\u1079?\u1072?\u1094?\u1080?\u1103? \u1079?\u1072? \u1091?\u1087?\u1088?\u1072?\u1074?\u1083?\u1077?\u1085?\u1080?\u1077? \u1085?\u1072? \u1088?\u1080?\u1073?\u1072?\u1088?\u1089?\u1090?\u1074?\u1086?\u1090?\u1086? \u1080?\u1083?\u1080? \u1085?\u1072? \u1080?\u1085?\u1089?\u1090?\u1088?\u1091?\u1084?\u1077?\u1085?\u1090? \u1079?\u1072? \u1086?\u1087?\u1072?\u1079?\u1074?\u1072?\u1085?\u1077? \u1080? \u1091?\u1087?\u1088?\u1072?\u1074?\u1083?\u1077?\u1085?\u1080?\u1077? \u1085?\u1072? \u1078?\u1080?\u1074?\u1080?\u1090?\u1077? \u1084?\u1086?\u1088?\u1089?\u1082?\u1080? \u1088?\u1077?\u1089?\u1091?\u1088?\u1089?\u1080? \u1074? \u1094?\u1077?\u1085?\u1090?\u1088?\u1072?\u1083?\u1085?\u1072?\u1090?\u1072? \u1079?\u1072?\u1087?\u1072?\u1076?\u1085?\u1072? \u1095?\u1072?\u1089?\u1090? \u1085?\u1072? \u1040?\u1090?\u1083?\u1072?\u1085?\u1090?\u1080?\u1095?\u1077?\u1089?\u1082?\u1080?\u1103? \u1086?\u1082?\u1077?\u1072?\u1085?"/>
    <w:docVar w:name="LW_TYPEACTEPRINCIPAL.CP" w:val="\u1055?\u1088?\u1077?\u1087?\u1086?\u1088?\u1098?\u1082?\u1072? \u1079?\u1072? \u1056?\u1077?\u1096?\u1077?\u1085?\u1080?\u1077? \u1085?\u1072? \u1057?\u1098?\u1074?\u1077?\u1090?\u1072? \u1079?\u1072? \u1088?\u1072?\u1079?\u1088?\u1077?\u1096?\u1072?\u1074?\u1072?\u1085?\u1077? \u1085?\u1072? \u1079?\u1072?\u1087?\u1086?\u1095?\u1074?\u1072?\u1085?\u1077?\u1090?\u1086? \u1085?\u1072? \u1087?\u1088?\u1077?\u1075?\u1086?\u1074?\u1086?\u1088?\u1080? \u1079?\u1072? \u1089?\u1098?\u1079?\u1076?\u1072?\u1074?\u1072?\u1085?\u1077? \u1085?\u1072? \u1088?\u1077?\u1075?\u1080?\u1086?\u1085?\u1072?\u1083?\u1085?\u1072? \u1086?\u1088?\u1075?\u1072?\u1085?\u1080?\u1079?\u1072?\u1094?\u1080?\u1103? \u1079?\u1072? \u1091?\u1087?\u1088?\u1072?\u1074?\u1083?\u1077?\u1085?\u1080?\u1077? \u1085?\u1072? \u1088?\u1080?\u1073?\u1072?\u1088?\u1089?\u1090?\u1074?\u1086?\u1090?\u1086? \u1080?\u1083?\u1080? \u1085?\u1072? \u1080?\u1085?\u1089?\u1090?\u1088?\u1091?\u1084?\u1077?\u1085?\u1090? \u1079?\u1072? \u1086?\u1087?\u1072?\u1079?\u1074?\u1072?\u1085?\u1077? \u1080? \u1091?\u1087?\u1088?\u1072?\u1074?\u1083?\u1077?\u1085?\u1080?\u1077? \u1085?\u1072? \u1078?\u1080?\u1074?\u1080?\u1090?\u1077? \u1084?\u1086?\u1088?\u1089?\u1082?\u1080? \u1088?\u1077?\u1089?\u1091?\u1088?\u1089?\u1080? \u1074? \u1094?\u1077?\u1085?\u1090?\u1088?\u1072?\u1083?\u1085?\u1072?\u1090?\u1072? \u1079?\u1072?\u1087?\u1072?\u1076?\u1085?\u1072? \u1095?\u1072?\u1089?\u1090? \u1085?\u1072? \u1040?\u1090?\u1083?\u1072?\u1085?\u1090?\u1080?\u1095?\u1077?\u1089?\u1082?\u1080?\u1103? \u1086?\u1082?\u1077?\u1072?\u1085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20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120" w:after="120"/>
      <w:jc w:val="both"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20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120" w:after="120"/>
      <w:jc w:val="both"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6FAB4EB-CE72-4DC2-B626-C981BCE1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4</Pages>
  <Words>852</Words>
  <Characters>5175</Characters>
  <Application>Microsoft Office Word</Application>
  <DocSecurity>0</DocSecurity>
  <Lines>103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VARSAMOS Stamatios (MARE)</dc:creator>
  <cp:lastModifiedBy>WES PDFC Administrator</cp:lastModifiedBy>
  <cp:revision>8</cp:revision>
  <dcterms:created xsi:type="dcterms:W3CDTF">2019-06-24T16:31:00Z</dcterms:created>
  <dcterms:modified xsi:type="dcterms:W3CDTF">2019-06-26T07:00:00Z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