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975277F-ED84-46F4-B50E-A20E97E13A05" style="width:450.75pt;height:379.5pt">
            <v:imagedata r:id="rId9" o:title=""/>
          </v:shape>
        </w:pict>
      </w:r>
    </w:p>
    <w:p>
      <w:pPr>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ОБЯСНИТЕЛЕН МЕМОРАНДУМ</w:t>
      </w:r>
    </w:p>
    <w:p>
      <w:pPr>
        <w:pStyle w:val="ManualHeading1"/>
        <w:rPr>
          <w:noProof/>
          <w:color w:val="000000" w:themeColor="text1"/>
        </w:rPr>
      </w:pPr>
      <w:r>
        <w:rPr>
          <w:noProof/>
          <w:color w:val="000000" w:themeColor="text1"/>
        </w:rPr>
        <w:t>1.</w:t>
      </w:r>
      <w:r>
        <w:rPr>
          <w:noProof/>
        </w:rPr>
        <w:tab/>
      </w:r>
      <w:r>
        <w:rPr>
          <w:noProof/>
          <w:color w:val="000000" w:themeColor="text1"/>
        </w:rPr>
        <w:t>КОНТЕКСТ НА ПРЕПОРЪКАТА</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Основания и цели на препоръката</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Комисията по риболова в централната западна част на Атлантическия океан (WECAFC) е консултативен орган, създаден през 1973 г. съгласно член VI от Учредителния акт на Организацията на ООН за прехрана и земеделие (ФАО). WECAFC има за цел да насърчава опазването, управлението и развитието на живите морски ресурси в своята зона на компетентност. Решенията на WECAFC обаче не са обвързващи за нейните членове. Секретариатът на WECAFC се управлява и финансира от ФАО. Съюзът е член на WECAFC.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В рамките на действие 2 „Насърчаване на регионалното управление и сътрудничество в областта на рибарството в ключови области, свързани с океана, с цел запълване на пропуските в регионалното управление“ от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 Съюзът пое ангажимент да „подпомага обновяването до 2020 г. на Комитета по риболова в централната източна част на Атлантическия океан и на Комисията по риболова в централната западна част на Атлантическия океан“.</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През 2012 г. започна процес на стратегическо преориентиране, който включва преглед на ефективността (2013—2014 г.), стратегически план (2014 г.), два семинара по въпросите на преориентирането и стратегическото планиране (2014 и 2015 г.), както и анализ на разходите и ползите от процеса на преориентиране (2016 г.). </w:t>
      </w:r>
      <w:r>
        <w:rPr>
          <w:noProof/>
        </w:rPr>
        <w:t>На 16-ото пленарно заседание на WECAFC (2016 г.) членовете на тази комисия се договориха да започнат процес за изясняване на някои ключови въпроси, свързани със създаването на регионална организация за управление на рибарството (РОУР) в зоната на WECAFC.</w:t>
      </w:r>
      <w:r>
        <w:rPr>
          <w:noProof/>
          <w:color w:val="000000" w:themeColor="text1"/>
        </w:rPr>
        <w:t xml:space="preserve"> В края на 2018 г. секретариатът на WECAFC изготви документ за обсъждане, за да се изяснят някои въпроси, свързани с целите, зоната на компетентност, запасите, които да бъдат обхванати, институционалната структура, финансовите последици и др. На 25 и 26 март 2019 г. в Барбадос се състоя първият подготвителен семинар във връзка с преориентирането на WECAFC. Той имаше за задача да подготви планираното за юли 2019 г. 17-о пленарно заседание на WECAFC, на което ще се обсъжда въпросът за създаване на РОУР в зоната на WECAFC.</w:t>
      </w:r>
    </w:p>
    <w:p>
      <w:pPr>
        <w:pBdr>
          <w:top w:val="nil"/>
          <w:left w:val="nil"/>
          <w:bottom w:val="nil"/>
          <w:right w:val="nil"/>
          <w:between w:val="nil"/>
          <w:bar w:val="nil"/>
        </w:pBdr>
        <w:spacing w:after="240"/>
        <w:rPr>
          <w:rFonts w:eastAsia="Arial Unicode MS"/>
          <w:noProof/>
          <w:color w:val="000000" w:themeColor="text1"/>
        </w:rPr>
      </w:pPr>
      <w:r>
        <w:rPr>
          <w:noProof/>
          <w:color w:val="000000" w:themeColor="text1"/>
        </w:rPr>
        <w:t>Създаването на обвързващ инструмент за реформиране на WECAFC в централната западна част на Атлантическия океан ще осигури солидна основа за устойчивото управление и опазване на морските биологични ресурси в тази зона. Това е в съответствие с член 28 от Регламент (ЕС) № 1380/2013 на Европейския парламент и на Съвета относно общата политика в областта на рибарството и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РОУР са международни организации, формирани от държави. Членовете им включват държави от съответния регион (крайбрежни държави), организации за регионална интеграция, като например ЕС, и занимаващи се с риболов структури, които имат риболовни интереси в дадена зона. Някои РОУР управляват всички рибни запаси в дадена зона, докато други съсредоточават вниманието си върху определени далекомигриращи видове в обширни географски райони, и по-специално рибата тон. Някои са с чисто консултативен характер, докато повечето имат управленски правомощия да определят ограничения на улова и риболовното усилие, технически мерки и задължения за упражняване на контрол. </w:t>
      </w:r>
    </w:p>
    <w:p>
      <w:pPr>
        <w:pBdr>
          <w:top w:val="nil"/>
          <w:left w:val="nil"/>
          <w:bottom w:val="nil"/>
          <w:right w:val="nil"/>
          <w:between w:val="nil"/>
          <w:bar w:val="nil"/>
        </w:pBdr>
        <w:spacing w:before="0" w:after="240"/>
        <w:rPr>
          <w:noProof/>
        </w:rPr>
      </w:pPr>
      <w:r>
        <w:rPr>
          <w:noProof/>
        </w:rPr>
        <w:t>В съответствие със съобщението на Комисията „Участие в регионални организации по рибарство“ Европейският съюз, представляван от Комисията, изпълнява активна роля в 6 организации за риба тон и в 11 организации, отговарящи за улова на видове, различни от риба тон.</w:t>
      </w:r>
    </w:p>
    <w:p>
      <w:pPr>
        <w:pBdr>
          <w:top w:val="nil"/>
          <w:left w:val="nil"/>
          <w:bottom w:val="nil"/>
          <w:right w:val="nil"/>
          <w:between w:val="nil"/>
          <w:bar w:val="nil"/>
        </w:pBdr>
        <w:spacing w:before="0" w:after="240"/>
        <w:rPr>
          <w:rFonts w:eastAsia="Arial Unicode MS"/>
          <w:noProof/>
          <w:color w:val="000000" w:themeColor="text1"/>
        </w:rPr>
      </w:pPr>
      <w:r>
        <w:rPr>
          <w:noProof/>
        </w:rPr>
        <w:t>Насърчаването на мерките за повишаване на ефективността на РОУР и, когато е уместно, за подобряване на тяхното управление, е в центъра на действието на ЕС в рамките на тези форуми. Това е в съответствие със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 и заключенията на Съвета във връзка с това съвместно съобщение.</w:t>
      </w:r>
    </w:p>
    <w:p>
      <w:pPr>
        <w:pStyle w:val="ManualHeading1"/>
        <w:rPr>
          <w:noProof/>
          <w:color w:val="000000" w:themeColor="text1"/>
        </w:rPr>
      </w:pPr>
      <w:r>
        <w:rPr>
          <w:noProof/>
          <w:color w:val="000000" w:themeColor="text1"/>
        </w:rPr>
        <w:t>2.</w:t>
      </w:r>
      <w:r>
        <w:rPr>
          <w:noProof/>
        </w:rPr>
        <w:tab/>
      </w:r>
      <w:r>
        <w:rPr>
          <w:noProof/>
          <w:color w:val="000000" w:themeColor="text1"/>
        </w:rPr>
        <w:t>ПРАВНИ ЕЛЕМЕНТИ НА ПРЕПОРЪКАТА</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Целта на настоящата препоръка е Комисията да получи от Съвета разрешение да договори от името на ЕС създаването на регионална организация за управление на рибарството в централната западна част на Атлантическия океан.  Правното основание, на базата на което Съветът разрешава започването на преговори, е член 218, параграфи 3 и 4 от Договора за функционирането на Европейския съюз (ДФЕС).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rPr>
        <w:t>Съгласно член 218, параграфи 3 и 4 от ДФЕС Комисията представя препоръки до Съвета, а той на свой ред приема решение, с което разрешава започването на преговорите. Съветът може да дава указания на преговарящия и да определи специален комитет, който да следи преговорите в съответствие с указанията за воденето им.</w:t>
      </w:r>
    </w:p>
    <w:p>
      <w:pPr>
        <w:pStyle w:val="ManualHeading1"/>
        <w:rPr>
          <w:noProof/>
          <w:color w:val="000000" w:themeColor="text1"/>
        </w:rPr>
      </w:pPr>
      <w:r>
        <w:rPr>
          <w:noProof/>
          <w:color w:val="000000" w:themeColor="text1"/>
        </w:rPr>
        <w:t>3.</w:t>
      </w:r>
      <w:r>
        <w:rPr>
          <w:noProof/>
        </w:rPr>
        <w:tab/>
      </w:r>
      <w:r>
        <w:rPr>
          <w:noProof/>
          <w:color w:val="000000" w:themeColor="text1"/>
        </w:rPr>
        <w:t xml:space="preserve">РЕЗУЛТАТИ ОТ КОНСУЛТАЦИИТЕ СЪС ЗАИНТЕРЕСОВАНИТЕ СТРАНИ </w:t>
      </w:r>
    </w:p>
    <w:p>
      <w:pPr>
        <w:pStyle w:val="ManualHeading2"/>
        <w:tabs>
          <w:tab w:val="clear" w:pos="850"/>
          <w:tab w:val="left" w:pos="993"/>
        </w:tabs>
        <w:ind w:left="0" w:firstLine="0"/>
        <w:rPr>
          <w:rFonts w:eastAsia="Arial Unicode MS"/>
          <w:b w:val="0"/>
          <w:noProof/>
          <w:color w:val="000000" w:themeColor="text1"/>
        </w:rPr>
      </w:pPr>
      <w:r>
        <w:rPr>
          <w:b w:val="0"/>
          <w:noProof/>
        </w:rPr>
        <w:t>Настоящата инициатива е свързана с ангажимент, поет в съответствие със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 във връзка с който беше организирана консултация със заинтересованите страни. Освен това през март 2019 г. Комисията представи на работната група на Съвета неофициален документ, в който се предлага ЕС да подкрепи процеса на реформиране на WECAFC. Този документ получи широка подкрепа от държавите членки.</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noProof/>
        </w:rPr>
      </w:pPr>
      <w:r>
        <w:rPr>
          <w:noProof/>
        </w:rPr>
        <w:t>За присъединяването на ЕС към Конвенцията може да е необходимо плащането на годишна финансова вноска към новата организация по бюджетен ред 11.03.02 („Задължителни вноски в РОУР“), която се изчислява на 100 000 EUR годишно. Вноската на ЕС може да варира в зависимост от окончателната договореност относно критериите, които ще се използват за изчисляване на вноските на страните към разходите на организацията. Точната сума ще бъде заделена в съответните бюджетни редове при годишната бюджетна процедура.</w:t>
      </w:r>
    </w:p>
    <w:p>
      <w:pPr>
        <w:pBdr>
          <w:top w:val="nil"/>
          <w:left w:val="nil"/>
          <w:bottom w:val="nil"/>
          <w:right w:val="nil"/>
          <w:between w:val="nil"/>
          <w:bar w:val="nil"/>
        </w:pBdr>
        <w:spacing w:before="0" w:after="240"/>
        <w:rPr>
          <w:rFonts w:eastAsia="Arial Unicode MS"/>
          <w:noProof/>
          <w:color w:val="000000" w:themeColor="text1"/>
        </w:rPr>
      </w:pPr>
      <w:r>
        <w:rPr>
          <w:noProof/>
        </w:rPr>
        <w:t>Възможно е да са относими и доброволни вноски в бюджета на организацията по бюджетен ред 11.06.62.03 за насърчаване на научните изследвания, но на този етап е трудно да се определи точната сума. По бюджетен ред 11.01.04.01 се предвижда също така техническа помощ за осигуряване на научни консултации на заседанието на NPFC. Разходите за това се оценяват на 10 000 EUR годишно.</w:t>
      </w:r>
    </w:p>
    <w:p>
      <w:pPr>
        <w:rPr>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създаване на регионална организация за управление на рибарството или на инструмент за опазване и управление на живите морски ресурси в централната западна част на Атлантическия океан</w:t>
      </w:r>
      <w:r>
        <w:rPr>
          <w:noProof/>
        </w:rPr>
        <w:br/>
      </w:r>
    </w:p>
    <w:p>
      <w:pPr>
        <w:pStyle w:val="Institutionquiagit"/>
        <w:rPr>
          <w:noProof/>
          <w:color w:val="000000" w:themeColor="text1"/>
        </w:rPr>
      </w:pPr>
      <w:r>
        <w:rPr>
          <w:noProof/>
          <w:color w:val="000000" w:themeColor="text1"/>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 xml:space="preserve">като взе предвид препоръката на Европейската комисия, </w:t>
      </w:r>
    </w:p>
    <w:p>
      <w:pPr>
        <w:rPr>
          <w:noProof/>
        </w:rPr>
      </w:pPr>
      <w:r>
        <w:rPr>
          <w:noProof/>
        </w:rPr>
        <w:t xml:space="preserve">като има предвид, че: </w:t>
      </w:r>
    </w:p>
    <w:p>
      <w:pPr>
        <w:pStyle w:val="ManualConsidrant"/>
        <w:rPr>
          <w:noProof/>
        </w:rPr>
      </w:pPr>
      <w:r>
        <w:t>(1)</w:t>
      </w:r>
      <w:r>
        <w:tab/>
      </w:r>
      <w:r>
        <w:rPr>
          <w:noProof/>
        </w:rPr>
        <w:t>Съюзът е компетентен да приема мерки за опазване на морските биологични ресурси съгласно общата политика в областта на рибарството и да сключва споразумения с трети държави и с международни организации.</w:t>
      </w:r>
    </w:p>
    <w:p>
      <w:pPr>
        <w:pStyle w:val="ManualConsidrant"/>
        <w:rPr>
          <w:noProof/>
        </w:rPr>
      </w:pPr>
      <w:r>
        <w:t>(2)</w:t>
      </w:r>
      <w:r>
        <w:tab/>
      </w:r>
      <w:r>
        <w:rPr>
          <w:noProof/>
        </w:rPr>
        <w:t>В съответствие с Решение 98/392/ЕО на Съвета Съюзът е договаряща се страна по Конвенцията на Организацията на обединените нации по морско право от 10 декември 1982 г. Според посочената конвенция се изисква всички членове на международната общност да сътрудничат за опазването и управлението на морските биологични ресурси.</w:t>
      </w:r>
    </w:p>
    <w:p>
      <w:pPr>
        <w:pStyle w:val="ManualConsidrant"/>
        <w:rPr>
          <w:noProof/>
        </w:rPr>
      </w:pPr>
      <w:r>
        <w:t>(3)</w:t>
      </w:r>
      <w:r>
        <w:tab/>
      </w:r>
      <w:r>
        <w:rPr>
          <w:noProof/>
        </w:rPr>
        <w:t>Съгласно Решение 98/414/ЕО на Съвета Съюзът е договаряща се страна по 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далекомигриращите рибни запаси.</w:t>
      </w:r>
    </w:p>
    <w:p>
      <w:pPr>
        <w:pStyle w:val="ManualConsidrant"/>
        <w:rPr>
          <w:noProof/>
        </w:rPr>
      </w:pPr>
      <w:r>
        <w:t>(4)</w:t>
      </w:r>
      <w:r>
        <w:tab/>
      </w:r>
      <w:r>
        <w:rPr>
          <w:noProof/>
        </w:rPr>
        <w:t>В Регламент (ЕС) № 1380/2013 на Европейския парламент и на Съвета се предвижда, че Съюзът осъществява своите външни отношения в областта на рибарството в съответствие със своите международни задължения и цели на политиката, както и с целите и принципите, определени в членове 2 и 3 от посочения регламент, за да се осигурят устойчива експлоатация, управление и опазване на морските биологични ресурси и на морската среда.</w:t>
      </w:r>
    </w:p>
    <w:p>
      <w:pPr>
        <w:pStyle w:val="ManualConsidrant"/>
        <w:rPr>
          <w:noProof/>
        </w:rPr>
      </w:pPr>
      <w:r>
        <w:t>(5)</w:t>
      </w:r>
      <w:r>
        <w:tab/>
      </w:r>
      <w:r>
        <w:rPr>
          <w:noProof/>
        </w:rPr>
        <w:t xml:space="preserve">Комисията по риболова в централната западна част на Атлантическия океан (WECAFC) е консултативен орган, създаден през 1973 г. съгласно член VI от Учредителния акт на Организацията на ООН за прехрана и земеделие (ФАО), с цел да насърчава опазването, управлението и развитието на живите морски ресурси в своята зона на компетентност. </w:t>
      </w:r>
    </w:p>
    <w:p>
      <w:pPr>
        <w:pStyle w:val="ManualConsidrant"/>
        <w:rPr>
          <w:noProof/>
        </w:rPr>
      </w:pPr>
      <w:r>
        <w:t>(6)</w:t>
      </w:r>
      <w:r>
        <w:tab/>
      </w:r>
      <w:r>
        <w:rPr>
          <w:noProof/>
        </w:rPr>
        <w:t>През 2012 г. WECAFC започна процес на стратегическо преориентиране, който включва преглед на ефективността (2013—2014 г.), стратегически план (2014 г.), два семинара по въпросите на преориентирането и стратегическото планиране (2014 и 2015 г.), както и първия подготвителен семинар (март 2019 г.).</w:t>
      </w:r>
    </w:p>
    <w:p>
      <w:pPr>
        <w:pStyle w:val="ManualConsidrant"/>
        <w:rPr>
          <w:noProof/>
        </w:rPr>
      </w:pPr>
      <w:r>
        <w:t>(7)</w:t>
      </w:r>
      <w:r>
        <w:tab/>
      </w:r>
      <w:r>
        <w:rPr>
          <w:noProof/>
        </w:rPr>
        <w:t>От юли 2019 г. насетне ще се проведат международни консултации с цел сключване на международно споразумение за създаване на регионална организация за управление на рибарството или на инструмент с правомощия за вземане на правно обвързващи решения за опазване и управление на живите морски ресурси в централната западна част на Атлантическия океан с участието на членовете на WECAFC,</w:t>
      </w:r>
    </w:p>
    <w:p>
      <w:pPr>
        <w:rPr>
          <w:noProof/>
          <w:color w:val="000000" w:themeColor="text1"/>
        </w:rPr>
      </w:pPr>
    </w:p>
    <w:p>
      <w:pPr>
        <w:pStyle w:val="Formuledadoption"/>
        <w:rPr>
          <w:noProof/>
          <w:color w:val="000000" w:themeColor="text1"/>
        </w:rPr>
      </w:pPr>
      <w:r>
        <w:rPr>
          <w:noProof/>
          <w:color w:val="000000" w:themeColor="text1"/>
        </w:rPr>
        <w:t xml:space="preserve">ПРИЕ НАСТОЯЩОТО РЕШЕНИЕ: </w:t>
      </w:r>
    </w:p>
    <w:p>
      <w:pPr>
        <w:pStyle w:val="Titrearticle"/>
        <w:rPr>
          <w:noProof/>
        </w:rPr>
      </w:pPr>
      <w:r>
        <w:rPr>
          <w:noProof/>
        </w:rPr>
        <w:t>Член 1</w:t>
      </w:r>
    </w:p>
    <w:p>
      <w:pPr>
        <w:rPr>
          <w:noProof/>
          <w:color w:val="000000" w:themeColor="text1"/>
          <w:szCs w:val="24"/>
        </w:rPr>
      </w:pPr>
      <w:r>
        <w:rPr>
          <w:noProof/>
          <w:color w:val="000000" w:themeColor="text1"/>
        </w:rPr>
        <w:t>Комисията се упълномощава да договори от името на Европейския съюз споразумение за създаване на регионална организация за управление на рибарството или на инструмент за опазване и управление на живите морски ресурси в централната западна част на Атлантическия океан.</w:t>
      </w:r>
    </w:p>
    <w:p>
      <w:pPr>
        <w:pStyle w:val="Titrearticle"/>
        <w:rPr>
          <w:noProof/>
        </w:rPr>
      </w:pPr>
      <w:r>
        <w:rPr>
          <w:noProof/>
        </w:rPr>
        <w:t>Член 2</w:t>
      </w:r>
    </w:p>
    <w:p>
      <w:pPr>
        <w:rPr>
          <w:noProof/>
          <w:color w:val="000000" w:themeColor="text1"/>
          <w:szCs w:val="24"/>
        </w:rPr>
      </w:pPr>
      <w:r>
        <w:rPr>
          <w:noProof/>
        </w:rPr>
        <w:t>Преговорите се водят в консултация с [наименование на специалния комитет, определен от Съвета] и въз основа на указанията за водене на преговори, които се съдържат в приложението към настоящото решение.</w:t>
      </w:r>
      <w:r>
        <w:rPr>
          <w:noProof/>
          <w:color w:val="000000" w:themeColor="text1"/>
        </w:rPr>
        <w:t xml:space="preserve"> </w:t>
      </w:r>
    </w:p>
    <w:p>
      <w:pPr>
        <w:pStyle w:val="Titrearticle"/>
        <w:rPr>
          <w:noProof/>
        </w:rPr>
      </w:pPr>
      <w:r>
        <w:rPr>
          <w:noProof/>
        </w:rPr>
        <w:t>Член 3</w:t>
      </w:r>
    </w:p>
    <w:p>
      <w:pPr>
        <w:rPr>
          <w:noProof/>
          <w:color w:val="000000" w:themeColor="text1"/>
          <w:szCs w:val="24"/>
        </w:rPr>
      </w:pPr>
      <w:r>
        <w:rPr>
          <w:noProof/>
          <w:color w:val="000000" w:themeColor="text1"/>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themeColor="text1"/>
        </w:rPr>
      </w:pPr>
      <w:r>
        <w:rPr>
          <w:noProof/>
        </w:rPr>
        <w:tab/>
      </w:r>
      <w:r>
        <w:rPr>
          <w:noProof/>
          <w:color w:val="000000" w:themeColor="text1"/>
        </w:rPr>
        <w:t>За Съвета</w:t>
      </w:r>
    </w:p>
    <w:p>
      <w:pPr>
        <w:pStyle w:val="Personnequisigne"/>
        <w:rPr>
          <w:noProof/>
          <w:color w:val="000000" w:themeColor="text1"/>
        </w:rPr>
      </w:pPr>
      <w:r>
        <w:rPr>
          <w:noProof/>
        </w:rPr>
        <w:tab/>
      </w:r>
      <w:r>
        <w:rPr>
          <w:noProof/>
          <w:color w:val="000000" w:themeColor="text1"/>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F82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9404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FA92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9C83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AE9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700C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52DAC4"/>
    <w:lvl w:ilvl="0">
      <w:start w:val="1"/>
      <w:numFmt w:val="decimal"/>
      <w:pStyle w:val="ListNumber"/>
      <w:lvlText w:val="%1."/>
      <w:lvlJc w:val="left"/>
      <w:pPr>
        <w:tabs>
          <w:tab w:val="num" w:pos="360"/>
        </w:tabs>
        <w:ind w:left="360" w:hanging="360"/>
      </w:pPr>
    </w:lvl>
  </w:abstractNum>
  <w:abstractNum w:abstractNumId="7">
    <w:nsid w:val="FFFFFF89"/>
    <w:multiLevelType w:val="singleLevel"/>
    <w:tmpl w:val="24C4CE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6 08:58: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75277F-ED84-46F4-B50E-A20E97E13A05"/>
    <w:docVar w:name="LW_COVERPAGE_TYPE" w:val="1"/>
    <w:docVar w:name="LW_CROSSREFERENCE" w:val="&lt;UNUSED&gt;"/>
    <w:docVar w:name="LW_DocType" w:val="COM"/>
    <w:docVar w:name="LW_EMISSION" w:val="27.6.2019"/>
    <w:docVar w:name="LW_EMISSION_ISODATE" w:val="2019-06-27"/>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79?\u1072? \u1089?\u1098?\u1079?\u1076?\u1072?\u1074?\u1072?\u1085?\u1077? \u1085?\u1072? \u1088?\u1077?\u1075?\u1080?\u1086?\u1085?\u1072?\u1083?\u1085?\u1072? \u1086?\u1088?\u1075?\u1072?\u1085?\u1080?\u1079?\u1072?\u1094?\u1080?\u1103? \u1079?\u1072? \u1091?\u1087?\u1088?\u1072?\u1074?\u1083?\u1077?\u1085?\u1080?\u1077? \u1085?\u1072? \u1088?\u1080?\u1073?\u1072?\u1088?\u1089?\u1090?\u1074?\u1086?\u1090?\u1086? \u1080?\u1083?\u1080? \u1085?\u1072? \u1080?\u1085?\u1089?\u1090?\u1088?\u1091?\u1084?\u1077?\u1085?\u1090? \u1079?\u1072? \u1086?\u1087?\u1072?\u1079?\u1074?\u1072?\u1085?\u1077? \u1080? \u1091?\u1087?\u1088?\u1072?\u1074?\u1083?\u1077?\u1085?\u1080?\u1077? \u1085?\u1072? \u1078?\u1080?\u1074?\u1080?\u1090?\u1077? \u1084?\u1086?\u1088?\u1089?\u1082?\u1080? \u1088?\u1077?\u1089?\u1091?\u1088?\u1089?\u1080? \u1074? \u1094?\u1077?\u1085?\u1090?\u1088?\u1072?\u1083?\u1085?\u1072?\u1090?\u1072? \u1079?\u1072?\u1087?\u1072?\u1076?\u1085?\u1072? \u1095?\u1072?\u1089?\u1090? \u1085?\u1072? \u1040?\u1090?\u1083?\u1072?\u1085?\u1090?\u1080?\u1095?\u1077?\u1089?\u1082?\u1080?\u1103? \u1086?\u1082?\u1077?\u1072?\u1085?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FCB62C-D46E-465C-A380-B739AEFC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1510</Words>
  <Characters>8638</Characters>
  <Application>Microsoft Office Word</Application>
  <DocSecurity>0</DocSecurity>
  <Lines>162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2019-06-24T16:23:00Z</dcterms:created>
  <dcterms:modified xsi:type="dcterms:W3CDTF">2019-06-26T06:58:00Z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