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DMBM_13980"/>
      <w:bookmarkStart w:id="1" w:name="_CSF_TOC_1"/>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0AA377F-7C11-49BC-87AB-1E2F08511EF7" style="width:450.25pt;height:320.25pt">
            <v:imagedata r:id="rId10" o:title=""/>
          </v:shape>
        </w:pict>
      </w:r>
    </w:p>
    <w:bookmarkEnd w:id="2"/>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CoverPage"/>
        <w:rPr>
          <w:noProof/>
        </w:rPr>
      </w:pPr>
      <w:bookmarkStart w:id="3" w:name="_GoBack"/>
      <w:bookmarkEnd w:id="3"/>
    </w:p>
    <w:p>
      <w:pPr>
        <w:pStyle w:val="CoverPage"/>
        <w:rPr>
          <w:noProof/>
        </w:rPr>
      </w:pPr>
    </w:p>
    <w:p>
      <w:pPr>
        <w:pStyle w:val="CoverPage"/>
        <w:ind w:left="1701"/>
        <w:rPr>
          <w:noProof/>
        </w:rPr>
      </w:pPr>
      <w:r>
        <w:rPr>
          <w:noProof/>
        </w:rPr>
        <w:t xml:space="preserve">Annual accounts </w:t>
      </w:r>
      <w:r>
        <w:rPr>
          <w:noProof/>
        </w:rPr>
        <w:br/>
        <w:t>of the European Commission</w:t>
      </w:r>
    </w:p>
    <w:p>
      <w:pPr>
        <w:pStyle w:val="CoverPage"/>
        <w:tabs>
          <w:tab w:val="left" w:pos="8367"/>
        </w:tabs>
        <w:ind w:left="1701"/>
        <w:rPr>
          <w:noProof/>
        </w:rPr>
      </w:pPr>
      <w:r>
        <w:rPr>
          <w:noProof/>
        </w:rPr>
        <w:t>Financial year 2018</w:t>
      </w:r>
      <w:r>
        <w:rPr>
          <w:noProof/>
        </w:rPr>
        <w:tab/>
      </w:r>
    </w:p>
    <w:p>
      <w:pPr>
        <w:pStyle w:val="CoverPage"/>
        <w:rPr>
          <w:noProof/>
        </w:rPr>
      </w:pPr>
    </w:p>
    <w:bookmarkEnd w:id="0"/>
    <w:p>
      <w:pPr>
        <w:pStyle w:val="CoverPage"/>
        <w:rPr>
          <w:noProof/>
        </w:rPr>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pPr>
    </w:p>
    <w:p>
      <w:pPr>
        <w:pStyle w:val="HEADERTABLE"/>
        <w:rPr>
          <w:noProof/>
        </w:rPr>
      </w:pPr>
      <w:bookmarkStart w:id="4" w:name="_DMBM_13978"/>
      <w:r>
        <w:rPr>
          <w:noProof/>
        </w:rPr>
        <w:lastRenderedPageBreak/>
        <w:t>CONTENTS</w:t>
      </w:r>
    </w:p>
    <w:p>
      <w:pPr>
        <w:pStyle w:val="DGTextstand-alone"/>
      </w:pPr>
      <w:r>
        <w:t xml:space="preserve"> </w:t>
      </w:r>
      <w:r>
        <w:rPr>
          <w:lang w:val="fr-BE"/>
        </w:rPr>
        <w:fldChar w:fldCharType="begin"/>
      </w:r>
      <w:r>
        <w:instrText xml:space="preserve"> TOC \t "FIRST CHAPTER_PAGE_1;2;FIRST_CHAPTER_PAGE;1;HEADER_TITLE;1;HEADER_TITLE_1;2" </w:instrText>
      </w:r>
      <w:r>
        <w:rPr>
          <w:lang w:val="fr-BE"/>
        </w:rPr>
        <w:fldChar w:fldCharType="separate"/>
      </w:r>
    </w:p>
    <w:p>
      <w:pPr>
        <w:pStyle w:val="TOC1"/>
        <w:tabs>
          <w:tab w:val="right" w:leader="dot" w:pos="9628"/>
        </w:tabs>
        <w:rPr>
          <w:rFonts w:asciiTheme="minorHAnsi" w:eastAsiaTheme="minorEastAsia" w:hAnsiTheme="minorHAnsi" w:cstheme="minorBidi"/>
          <w:noProof/>
          <w:color w:val="auto"/>
          <w:szCs w:val="22"/>
          <w:lang w:eastAsia="fr-BE"/>
        </w:rPr>
      </w:pPr>
      <w:r>
        <w:rPr>
          <w:noProof/>
        </w:rPr>
        <w:t>CERTIFICATION OF THE ACCOUNTS</w:t>
      </w:r>
      <w:r>
        <w:rPr>
          <w:noProof/>
        </w:rPr>
        <w:tab/>
      </w:r>
      <w:r>
        <w:rPr>
          <w:noProof/>
        </w:rPr>
        <w:fldChar w:fldCharType="begin"/>
      </w:r>
      <w:r>
        <w:rPr>
          <w:noProof/>
        </w:rPr>
        <w:instrText xml:space="preserve"> PAGEREF _Toc11403231 \h </w:instrText>
      </w:r>
      <w:r>
        <w:rPr>
          <w:noProof/>
        </w:rPr>
      </w:r>
      <w:r>
        <w:rPr>
          <w:noProof/>
        </w:rPr>
        <w:fldChar w:fldCharType="separate"/>
      </w:r>
      <w:r>
        <w:rPr>
          <w:noProof/>
        </w:rPr>
        <w:t>3</w:t>
      </w:r>
      <w:r>
        <w:rPr>
          <w:noProof/>
        </w:rPr>
        <w:fldChar w:fldCharType="end"/>
      </w:r>
    </w:p>
    <w:p>
      <w:pPr>
        <w:pStyle w:val="TOC1"/>
        <w:tabs>
          <w:tab w:val="right" w:leader="dot" w:pos="9628"/>
        </w:tabs>
        <w:rPr>
          <w:rFonts w:asciiTheme="minorHAnsi" w:eastAsiaTheme="minorEastAsia" w:hAnsiTheme="minorHAnsi" w:cstheme="minorBidi"/>
          <w:noProof/>
          <w:color w:val="auto"/>
          <w:szCs w:val="22"/>
          <w:lang w:eastAsia="fr-BE"/>
        </w:rPr>
      </w:pPr>
      <w:r>
        <w:rPr>
          <w:noProof/>
        </w:rPr>
        <w:t>FINANCIAL STATEMENTS AND EXPLANATORY NOTES</w:t>
      </w:r>
      <w:r>
        <w:rPr>
          <w:noProof/>
        </w:rPr>
        <w:tab/>
      </w:r>
      <w:r>
        <w:rPr>
          <w:noProof/>
        </w:rPr>
        <w:fldChar w:fldCharType="begin"/>
      </w:r>
      <w:r>
        <w:rPr>
          <w:noProof/>
        </w:rPr>
        <w:instrText xml:space="preserve"> PAGEREF _Toc11403232 \h </w:instrText>
      </w:r>
      <w:r>
        <w:rPr>
          <w:noProof/>
        </w:rPr>
      </w:r>
      <w:r>
        <w:rPr>
          <w:noProof/>
        </w:rPr>
        <w:fldChar w:fldCharType="separate"/>
      </w:r>
      <w:r>
        <w:rPr>
          <w:noProof/>
        </w:rPr>
        <w:t>4</w:t>
      </w:r>
      <w:r>
        <w:rPr>
          <w:noProof/>
        </w:rPr>
        <w:fldChar w:fldCharType="end"/>
      </w:r>
    </w:p>
    <w:p>
      <w:pPr>
        <w:pStyle w:val="TOC2"/>
        <w:rPr>
          <w:rFonts w:asciiTheme="minorHAnsi" w:eastAsiaTheme="minorEastAsia" w:hAnsiTheme="minorHAnsi" w:cstheme="minorBidi"/>
          <w:noProof/>
          <w:color w:val="auto"/>
          <w:szCs w:val="22"/>
          <w:lang w:eastAsia="fr-BE"/>
        </w:rPr>
      </w:pPr>
      <w:r>
        <w:rPr>
          <w:noProof/>
        </w:rPr>
        <w:t>BALANCE SHEET</w:t>
      </w:r>
      <w:r>
        <w:rPr>
          <w:noProof/>
        </w:rPr>
        <w:tab/>
      </w:r>
      <w:r>
        <w:rPr>
          <w:noProof/>
        </w:rPr>
        <w:fldChar w:fldCharType="begin"/>
      </w:r>
      <w:r>
        <w:rPr>
          <w:noProof/>
        </w:rPr>
        <w:instrText xml:space="preserve"> PAGEREF _Toc11403233 \h </w:instrText>
      </w:r>
      <w:r>
        <w:rPr>
          <w:noProof/>
        </w:rPr>
      </w:r>
      <w:r>
        <w:rPr>
          <w:noProof/>
        </w:rPr>
        <w:fldChar w:fldCharType="separate"/>
      </w:r>
      <w:r>
        <w:rPr>
          <w:noProof/>
        </w:rPr>
        <w:t>6</w:t>
      </w:r>
      <w:r>
        <w:rPr>
          <w:noProof/>
        </w:rPr>
        <w:fldChar w:fldCharType="end"/>
      </w:r>
    </w:p>
    <w:p>
      <w:pPr>
        <w:pStyle w:val="TOC2"/>
        <w:rPr>
          <w:rFonts w:asciiTheme="minorHAnsi" w:eastAsiaTheme="minorEastAsia" w:hAnsiTheme="minorHAnsi" w:cstheme="minorBidi"/>
          <w:noProof/>
          <w:color w:val="auto"/>
          <w:szCs w:val="22"/>
          <w:lang w:eastAsia="fr-BE"/>
        </w:rPr>
      </w:pPr>
      <w:r>
        <w:rPr>
          <w:noProof/>
        </w:rPr>
        <w:t>STATEMENT OF FINANCIAL PERFORMANCE</w:t>
      </w:r>
      <w:r>
        <w:rPr>
          <w:noProof/>
        </w:rPr>
        <w:tab/>
      </w:r>
      <w:r>
        <w:rPr>
          <w:noProof/>
        </w:rPr>
        <w:fldChar w:fldCharType="begin"/>
      </w:r>
      <w:r>
        <w:rPr>
          <w:noProof/>
        </w:rPr>
        <w:instrText xml:space="preserve"> PAGEREF _Toc11403234 \h </w:instrText>
      </w:r>
      <w:r>
        <w:rPr>
          <w:noProof/>
        </w:rPr>
      </w:r>
      <w:r>
        <w:rPr>
          <w:noProof/>
        </w:rPr>
        <w:fldChar w:fldCharType="separate"/>
      </w:r>
      <w:r>
        <w:rPr>
          <w:noProof/>
        </w:rPr>
        <w:t>7</w:t>
      </w:r>
      <w:r>
        <w:rPr>
          <w:noProof/>
        </w:rPr>
        <w:fldChar w:fldCharType="end"/>
      </w:r>
    </w:p>
    <w:p>
      <w:pPr>
        <w:pStyle w:val="TOC2"/>
        <w:rPr>
          <w:rFonts w:asciiTheme="minorHAnsi" w:eastAsiaTheme="minorEastAsia" w:hAnsiTheme="minorHAnsi" w:cstheme="minorBidi"/>
          <w:noProof/>
          <w:color w:val="auto"/>
          <w:szCs w:val="22"/>
          <w:lang w:eastAsia="fr-BE"/>
        </w:rPr>
      </w:pPr>
      <w:r>
        <w:rPr>
          <w:noProof/>
        </w:rPr>
        <w:t>CASHFLOW STATEMENT</w:t>
      </w:r>
      <w:r>
        <w:rPr>
          <w:noProof/>
        </w:rPr>
        <w:tab/>
      </w:r>
      <w:r>
        <w:rPr>
          <w:noProof/>
        </w:rPr>
        <w:fldChar w:fldCharType="begin"/>
      </w:r>
      <w:r>
        <w:rPr>
          <w:noProof/>
        </w:rPr>
        <w:instrText xml:space="preserve"> PAGEREF _Toc11403235 \h </w:instrText>
      </w:r>
      <w:r>
        <w:rPr>
          <w:noProof/>
        </w:rPr>
      </w:r>
      <w:r>
        <w:rPr>
          <w:noProof/>
        </w:rPr>
        <w:fldChar w:fldCharType="separate"/>
      </w:r>
      <w:r>
        <w:rPr>
          <w:noProof/>
        </w:rPr>
        <w:t>8</w:t>
      </w:r>
      <w:r>
        <w:rPr>
          <w:noProof/>
        </w:rPr>
        <w:fldChar w:fldCharType="end"/>
      </w:r>
    </w:p>
    <w:p>
      <w:pPr>
        <w:pStyle w:val="TOC2"/>
        <w:rPr>
          <w:rFonts w:asciiTheme="minorHAnsi" w:eastAsiaTheme="minorEastAsia" w:hAnsiTheme="minorHAnsi" w:cstheme="minorBidi"/>
          <w:noProof/>
          <w:color w:val="auto"/>
          <w:szCs w:val="22"/>
          <w:lang w:eastAsia="fr-BE"/>
        </w:rPr>
      </w:pPr>
      <w:r>
        <w:rPr>
          <w:noProof/>
        </w:rPr>
        <w:t>STATEMENT OF CHANGES IN NET ASSETS</w:t>
      </w:r>
      <w:r>
        <w:rPr>
          <w:noProof/>
        </w:rPr>
        <w:tab/>
      </w:r>
      <w:r>
        <w:rPr>
          <w:noProof/>
        </w:rPr>
        <w:fldChar w:fldCharType="begin"/>
      </w:r>
      <w:r>
        <w:rPr>
          <w:noProof/>
        </w:rPr>
        <w:instrText xml:space="preserve"> PAGEREF _Toc11403236 \h </w:instrText>
      </w:r>
      <w:r>
        <w:rPr>
          <w:noProof/>
        </w:rPr>
      </w:r>
      <w:r>
        <w:rPr>
          <w:noProof/>
        </w:rPr>
        <w:fldChar w:fldCharType="separate"/>
      </w:r>
      <w:r>
        <w:rPr>
          <w:noProof/>
        </w:rPr>
        <w:t>9</w:t>
      </w:r>
      <w:r>
        <w:rPr>
          <w:noProof/>
        </w:rPr>
        <w:fldChar w:fldCharType="end"/>
      </w:r>
    </w:p>
    <w:p>
      <w:pPr>
        <w:pStyle w:val="TOC2"/>
        <w:rPr>
          <w:rFonts w:asciiTheme="minorHAnsi" w:eastAsiaTheme="minorEastAsia" w:hAnsiTheme="minorHAnsi" w:cstheme="minorBidi"/>
          <w:noProof/>
          <w:color w:val="auto"/>
          <w:szCs w:val="22"/>
          <w:lang w:eastAsia="fr-BE"/>
        </w:rPr>
      </w:pPr>
      <w:r>
        <w:rPr>
          <w:noProof/>
        </w:rPr>
        <w:t>NOTES TO THE FINANCIAL STATEMENTS</w:t>
      </w:r>
      <w:r>
        <w:rPr>
          <w:noProof/>
        </w:rPr>
        <w:tab/>
      </w:r>
      <w:r>
        <w:rPr>
          <w:noProof/>
        </w:rPr>
        <w:fldChar w:fldCharType="begin"/>
      </w:r>
      <w:r>
        <w:rPr>
          <w:noProof/>
        </w:rPr>
        <w:instrText xml:space="preserve"> PAGEREF _Toc11403237 \h </w:instrText>
      </w:r>
      <w:r>
        <w:rPr>
          <w:noProof/>
        </w:rPr>
      </w:r>
      <w:r>
        <w:rPr>
          <w:noProof/>
        </w:rPr>
        <w:fldChar w:fldCharType="separate"/>
      </w:r>
      <w:r>
        <w:rPr>
          <w:noProof/>
        </w:rPr>
        <w:t>10</w:t>
      </w:r>
      <w:r>
        <w:rPr>
          <w:noProof/>
        </w:rPr>
        <w:fldChar w:fldCharType="end"/>
      </w:r>
    </w:p>
    <w:p>
      <w:pPr>
        <w:pStyle w:val="TOC1"/>
        <w:tabs>
          <w:tab w:val="right" w:leader="dot" w:pos="9628"/>
        </w:tabs>
        <w:rPr>
          <w:rFonts w:asciiTheme="minorHAnsi" w:eastAsiaTheme="minorEastAsia" w:hAnsiTheme="minorHAnsi" w:cstheme="minorBidi"/>
          <w:noProof/>
          <w:color w:val="auto"/>
          <w:szCs w:val="22"/>
          <w:lang w:eastAsia="fr-BE"/>
        </w:rPr>
      </w:pPr>
      <w:r>
        <w:rPr>
          <w:noProof/>
        </w:rPr>
        <w:t>BUDGETARY IMPLEMENTATION REPORTS</w:t>
      </w:r>
      <w:r>
        <w:rPr>
          <w:noProof/>
        </w:rPr>
        <w:tab/>
      </w:r>
      <w:r>
        <w:rPr>
          <w:noProof/>
        </w:rPr>
        <w:fldChar w:fldCharType="begin"/>
      </w:r>
      <w:r>
        <w:rPr>
          <w:noProof/>
        </w:rPr>
        <w:instrText xml:space="preserve"> PAGEREF _Toc11403238 \h </w:instrText>
      </w:r>
      <w:r>
        <w:rPr>
          <w:noProof/>
        </w:rPr>
      </w:r>
      <w:r>
        <w:rPr>
          <w:noProof/>
        </w:rPr>
        <w:fldChar w:fldCharType="separate"/>
      </w:r>
      <w:r>
        <w:rPr>
          <w:noProof/>
        </w:rPr>
        <w:t>57</w:t>
      </w:r>
      <w:r>
        <w:rPr>
          <w:noProof/>
        </w:rPr>
        <w:fldChar w:fldCharType="end"/>
      </w:r>
    </w:p>
    <w:p>
      <w:pPr>
        <w:pStyle w:val="DGTextstand-alone"/>
        <w:sectPr>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09" w:footer="709" w:gutter="0"/>
          <w:cols w:space="708"/>
          <w:docGrid w:linePitch="360"/>
        </w:sectPr>
      </w:pPr>
      <w:r>
        <w:rPr>
          <w:lang w:val="fr-BE"/>
        </w:rPr>
        <w:fldChar w:fldCharType="end"/>
      </w:r>
      <w:r>
        <w:t xml:space="preserve"> </w:t>
      </w:r>
      <w:bookmarkEnd w:id="4"/>
    </w:p>
    <w:p>
      <w:pPr>
        <w:pStyle w:val="HEADERTITLE"/>
      </w:pPr>
      <w:bookmarkStart w:id="5" w:name="_Toc11403231"/>
      <w:bookmarkStart w:id="6" w:name="_DMBM_13964"/>
      <w:r>
        <w:t>CERTIFICATION OF THE ACCOUNTS</w:t>
      </w:r>
      <w:bookmarkEnd w:id="5"/>
    </w:p>
    <w:p>
      <w:pPr>
        <w:pStyle w:val="HEADERTITLE"/>
      </w:pPr>
    </w:p>
    <w:p>
      <w:pPr>
        <w:pStyle w:val="Textstand-alone"/>
      </w:pPr>
      <w:r>
        <w:t>The annual accounts of the European Commission for the year 2018 have been prepared in accordance with the Financial Regulation applicable to the general budget of the European Union and the accounting rules adopted by myself in my capacity as the Commission's Accounting Officer, as are to be applied by all the institutions and Union bodies.</w:t>
      </w:r>
    </w:p>
    <w:p>
      <w:pPr>
        <w:pStyle w:val="Textstand-alone"/>
      </w:pPr>
      <w:r>
        <w:t>I acknowledge my responsibility for the preparation and presentation of the annual accounts of the European Commission in accordance with Article 77 of the Financial Regulation.</w:t>
      </w:r>
    </w:p>
    <w:p>
      <w:pPr>
        <w:pStyle w:val="Textstand-alone"/>
      </w:pPr>
      <w:r>
        <w:t>I have obtained from the authorising officers, who certified its reliability, all the information necessary for the production of the accounts that show the European Commission's assets and liabilities and the budgetary implementation.</w:t>
      </w:r>
    </w:p>
    <w:p>
      <w:pPr>
        <w:pStyle w:val="Textstand-alone"/>
      </w:pPr>
      <w:r>
        <w:t>I hereby certify that based on this information, and on such checks as I deemed necessary to sign off the accounts, I have a reasonable assurance that the accounts present fairly, in all material aspects, the financial position, the results of the operations and the cash flow of the European Commission.</w:t>
      </w:r>
    </w:p>
    <w:p>
      <w:pPr>
        <w:pStyle w:val="Textstand-alone"/>
      </w:pPr>
    </w:p>
    <w:p>
      <w:pPr>
        <w:pStyle w:val="Textstand-alone"/>
      </w:pPr>
    </w:p>
    <w:p>
      <w:pPr>
        <w:pStyle w:val="SignatureRight"/>
        <w:rPr>
          <w:i/>
          <w:noProof/>
        </w:rPr>
      </w:pPr>
      <w:r>
        <w:rPr>
          <w:i/>
          <w:noProof/>
        </w:rPr>
        <w:t>[signed]</w:t>
      </w:r>
    </w:p>
    <w:p>
      <w:pPr>
        <w:pStyle w:val="SignatureRight"/>
        <w:rPr>
          <w:noProof/>
        </w:rPr>
      </w:pPr>
      <w:r>
        <w:rPr>
          <w:noProof/>
        </w:rPr>
        <w:t>Rosa ALDEA BUSQUETS</w:t>
      </w:r>
    </w:p>
    <w:p>
      <w:pPr>
        <w:pStyle w:val="SignatureRightBold"/>
        <w:rPr>
          <w:noProof/>
        </w:rPr>
      </w:pPr>
      <w:r>
        <w:rPr>
          <w:noProof/>
        </w:rPr>
        <w:t>Accounting Officer of the Commission</w:t>
      </w:r>
    </w:p>
    <w:p>
      <w:pPr>
        <w:pStyle w:val="SignatureRightItalic0"/>
        <w:rPr>
          <w:noProof/>
        </w:rPr>
      </w:pPr>
      <w:r>
        <w:rPr>
          <w:noProof/>
        </w:rPr>
        <w:t>21 June 2019</w:t>
      </w:r>
    </w:p>
    <w:p>
      <w:pPr>
        <w:pStyle w:val="SignatureRightItalic0"/>
        <w:rPr>
          <w:noProof/>
        </w:rPr>
        <w:sectPr>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709" w:gutter="0"/>
          <w:cols w:space="708"/>
          <w:docGrid w:linePitch="360"/>
        </w:sectPr>
      </w:pPr>
      <w:r>
        <w:rPr>
          <w:noProof/>
        </w:rPr>
        <w:t xml:space="preserve"> </w:t>
      </w:r>
      <w:bookmarkEnd w:id="6"/>
    </w:p>
    <w:p>
      <w:pPr>
        <w:pStyle w:val="FinancialYear"/>
        <w:rPr>
          <w:noProof/>
        </w:rPr>
      </w:pPr>
      <w:bookmarkStart w:id="7" w:name="_DMBM_13937"/>
      <w:r>
        <w:rPr>
          <w:noProof/>
        </w:rPr>
        <w:t>EUROPEAN COMMISSION</w:t>
      </w:r>
    </w:p>
    <w:p>
      <w:pPr>
        <w:pStyle w:val="FinancialYear"/>
        <w:rPr>
          <w:noProof/>
        </w:rPr>
      </w:pPr>
      <w:r>
        <w:rPr>
          <w:noProof/>
        </w:rPr>
        <w:t>FINANCIAL YEAR 2018</w:t>
      </w:r>
    </w:p>
    <w:p>
      <w:pPr>
        <w:pStyle w:val="FIRSTCHAPTERPAGE"/>
        <w:rPr>
          <w:noProof/>
        </w:rPr>
      </w:pPr>
    </w:p>
    <w:p>
      <w:pPr>
        <w:pStyle w:val="FIRSTCHAPTERPAGE"/>
        <w:rPr>
          <w:noProof/>
        </w:rPr>
      </w:pPr>
    </w:p>
    <w:p>
      <w:pPr>
        <w:pStyle w:val="FIRSTCHAPTERPAGE"/>
        <w:rPr>
          <w:noProof/>
        </w:rPr>
      </w:pPr>
    </w:p>
    <w:p>
      <w:pPr>
        <w:pStyle w:val="FIRSTCHAPTERPAGE"/>
        <w:rPr>
          <w:noProof/>
        </w:rPr>
      </w:pPr>
    </w:p>
    <w:p>
      <w:pPr>
        <w:pStyle w:val="FIRSTCHAPTERPAGE"/>
        <w:rPr>
          <w:noProof/>
        </w:rPr>
      </w:pPr>
      <w:bookmarkStart w:id="8" w:name="_Toc11403232"/>
      <w:r>
        <w:rPr>
          <w:noProof/>
        </w:rPr>
        <w:t>FINANCIAL STATEMENTS AND EXPLANATORY NOTES</w:t>
      </w:r>
      <w:bookmarkEnd w:id="8"/>
    </w:p>
    <w:p>
      <w:pPr>
        <w:pStyle w:val="FIRSTCHAPTERPAGE"/>
        <w:rPr>
          <w:noProof/>
        </w:rPr>
      </w:pPr>
    </w:p>
    <w:p>
      <w:pPr>
        <w:pStyle w:val="FIRSTCHAPTERPAGE"/>
        <w:rPr>
          <w:noProof/>
        </w:rPr>
      </w:pPr>
    </w:p>
    <w:p>
      <w:pPr>
        <w:pStyle w:val="FIRSTCHAPTERPAGE"/>
        <w:rPr>
          <w:noProof/>
        </w:rPr>
      </w:pPr>
    </w:p>
    <w:p>
      <w:pPr>
        <w:pStyle w:val="FIRSTCHAPTERPAGE"/>
        <w:rPr>
          <w:noProof/>
        </w:rPr>
      </w:pPr>
    </w:p>
    <w:p>
      <w:pPr>
        <w:pStyle w:val="TOPHEADERNOTE"/>
        <w:rPr>
          <w:noProof/>
        </w:rPr>
      </w:pPr>
      <w:r>
        <w:rPr>
          <w:noProof/>
        </w:rPr>
        <w:t xml:space="preserve"> </w:t>
      </w: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sectPr>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134" w:left="1134" w:header="709" w:footer="709" w:gutter="0"/>
          <w:cols w:space="708"/>
          <w:docGrid w:linePitch="360"/>
        </w:sectPr>
      </w:pPr>
      <w:r>
        <w:rPr>
          <w:noProof/>
        </w:rPr>
        <w:t>It should be noted that due to the rounding of figures into millions of euros, some financial data in the tables below may appear not to add-up.</w:t>
      </w:r>
      <w:bookmarkEnd w:id="7"/>
    </w:p>
    <w:p>
      <w:pPr>
        <w:pStyle w:val="HEADERTABLE"/>
        <w:rPr>
          <w:noProof/>
        </w:rPr>
      </w:pPr>
      <w:bookmarkStart w:id="9" w:name="_DMBM_14019"/>
      <w:r>
        <w:rPr>
          <w:noProof/>
        </w:rPr>
        <w:t>CONTENTS</w:t>
      </w:r>
    </w:p>
    <w:p>
      <w:pPr>
        <w:pStyle w:val="DGTextstand-alone"/>
      </w:pPr>
    </w:p>
    <w:p>
      <w:pPr>
        <w:pStyle w:val="TOC1"/>
        <w:tabs>
          <w:tab w:val="right" w:leader="dot" w:pos="9628"/>
        </w:tabs>
        <w:rPr>
          <w:rFonts w:asciiTheme="minorHAnsi" w:eastAsiaTheme="minorEastAsia" w:hAnsiTheme="minorHAnsi" w:cstheme="minorBidi"/>
          <w:noProof/>
          <w:color w:val="auto"/>
          <w:szCs w:val="22"/>
          <w:lang w:eastAsia="fr-BE"/>
        </w:rPr>
      </w:pPr>
      <w:r>
        <w:rPr>
          <w:rFonts w:eastAsia="Calibri"/>
          <w:noProof/>
          <w:color w:val="auto"/>
          <w:sz w:val="18"/>
          <w:szCs w:val="22"/>
          <w:bdr w:val="nil"/>
          <w:lang w:val="fr-BE" w:eastAsia="en-US"/>
        </w:rPr>
        <w:fldChar w:fldCharType="begin"/>
      </w:r>
      <w:r>
        <w:rPr>
          <w:noProof/>
          <w:szCs w:val="22"/>
        </w:rPr>
        <w:instrText xml:space="preserve"> TOC \o "1-3" \t "HEADER 1_NOTES;2;HEADER_TITLE_1;1;FIRST CHAPTER_PAGE_1;1" </w:instrText>
      </w:r>
      <w:r>
        <w:rPr>
          <w:rFonts w:eastAsia="Calibri"/>
          <w:noProof/>
          <w:color w:val="auto"/>
          <w:sz w:val="18"/>
          <w:szCs w:val="22"/>
          <w:bdr w:val="nil"/>
          <w:lang w:val="fr-BE" w:eastAsia="en-US"/>
        </w:rPr>
        <w:fldChar w:fldCharType="separate"/>
      </w:r>
      <w:r>
        <w:rPr>
          <w:noProof/>
        </w:rPr>
        <w:t>BALANCE SHEET</w:t>
      </w:r>
      <w:r>
        <w:rPr>
          <w:noProof/>
        </w:rPr>
        <w:tab/>
      </w:r>
      <w:r>
        <w:rPr>
          <w:noProof/>
        </w:rPr>
        <w:fldChar w:fldCharType="begin"/>
      </w:r>
      <w:r>
        <w:rPr>
          <w:noProof/>
        </w:rPr>
        <w:instrText xml:space="preserve"> PAGEREF _Toc11403245 \h </w:instrText>
      </w:r>
      <w:r>
        <w:rPr>
          <w:noProof/>
        </w:rPr>
      </w:r>
      <w:r>
        <w:rPr>
          <w:noProof/>
        </w:rPr>
        <w:fldChar w:fldCharType="separate"/>
      </w:r>
      <w:r>
        <w:rPr>
          <w:noProof/>
        </w:rPr>
        <w:t>6</w:t>
      </w:r>
      <w:r>
        <w:rPr>
          <w:noProof/>
        </w:rPr>
        <w:fldChar w:fldCharType="end"/>
      </w:r>
    </w:p>
    <w:p>
      <w:pPr>
        <w:pStyle w:val="TOC1"/>
        <w:tabs>
          <w:tab w:val="right" w:leader="dot" w:pos="9628"/>
        </w:tabs>
        <w:rPr>
          <w:rFonts w:asciiTheme="minorHAnsi" w:eastAsiaTheme="minorEastAsia" w:hAnsiTheme="minorHAnsi" w:cstheme="minorBidi"/>
          <w:noProof/>
          <w:color w:val="auto"/>
          <w:szCs w:val="22"/>
          <w:lang w:eastAsia="fr-BE"/>
        </w:rPr>
      </w:pPr>
      <w:r>
        <w:rPr>
          <w:noProof/>
        </w:rPr>
        <w:t>STATEMENT OF FINANCIAL PERFORMANCE</w:t>
      </w:r>
      <w:r>
        <w:rPr>
          <w:noProof/>
        </w:rPr>
        <w:tab/>
      </w:r>
      <w:r>
        <w:rPr>
          <w:noProof/>
        </w:rPr>
        <w:fldChar w:fldCharType="begin"/>
      </w:r>
      <w:r>
        <w:rPr>
          <w:noProof/>
        </w:rPr>
        <w:instrText xml:space="preserve"> PAGEREF _Toc11403246 \h </w:instrText>
      </w:r>
      <w:r>
        <w:rPr>
          <w:noProof/>
        </w:rPr>
      </w:r>
      <w:r>
        <w:rPr>
          <w:noProof/>
        </w:rPr>
        <w:fldChar w:fldCharType="separate"/>
      </w:r>
      <w:r>
        <w:rPr>
          <w:noProof/>
        </w:rPr>
        <w:t>7</w:t>
      </w:r>
      <w:r>
        <w:rPr>
          <w:noProof/>
        </w:rPr>
        <w:fldChar w:fldCharType="end"/>
      </w:r>
    </w:p>
    <w:p>
      <w:pPr>
        <w:pStyle w:val="TOC1"/>
        <w:tabs>
          <w:tab w:val="right" w:leader="dot" w:pos="9628"/>
        </w:tabs>
        <w:rPr>
          <w:rFonts w:asciiTheme="minorHAnsi" w:eastAsiaTheme="minorEastAsia" w:hAnsiTheme="minorHAnsi" w:cstheme="minorBidi"/>
          <w:noProof/>
          <w:color w:val="auto"/>
          <w:szCs w:val="22"/>
          <w:lang w:eastAsia="fr-BE"/>
        </w:rPr>
      </w:pPr>
      <w:r>
        <w:rPr>
          <w:noProof/>
        </w:rPr>
        <w:t>CASHFLOW STATEMENT</w:t>
      </w:r>
      <w:r>
        <w:rPr>
          <w:noProof/>
        </w:rPr>
        <w:tab/>
      </w:r>
      <w:r>
        <w:rPr>
          <w:noProof/>
        </w:rPr>
        <w:fldChar w:fldCharType="begin"/>
      </w:r>
      <w:r>
        <w:rPr>
          <w:noProof/>
        </w:rPr>
        <w:instrText xml:space="preserve"> PAGEREF _Toc11403247 \h </w:instrText>
      </w:r>
      <w:r>
        <w:rPr>
          <w:noProof/>
        </w:rPr>
      </w:r>
      <w:r>
        <w:rPr>
          <w:noProof/>
        </w:rPr>
        <w:fldChar w:fldCharType="separate"/>
      </w:r>
      <w:r>
        <w:rPr>
          <w:noProof/>
        </w:rPr>
        <w:t>8</w:t>
      </w:r>
      <w:r>
        <w:rPr>
          <w:noProof/>
        </w:rPr>
        <w:fldChar w:fldCharType="end"/>
      </w:r>
    </w:p>
    <w:p>
      <w:pPr>
        <w:pStyle w:val="TOC1"/>
        <w:tabs>
          <w:tab w:val="right" w:leader="dot" w:pos="9628"/>
        </w:tabs>
        <w:rPr>
          <w:rFonts w:asciiTheme="minorHAnsi" w:eastAsiaTheme="minorEastAsia" w:hAnsiTheme="minorHAnsi" w:cstheme="minorBidi"/>
          <w:noProof/>
          <w:color w:val="auto"/>
          <w:szCs w:val="22"/>
          <w:lang w:eastAsia="fr-BE"/>
        </w:rPr>
      </w:pPr>
      <w:r>
        <w:rPr>
          <w:noProof/>
        </w:rPr>
        <w:t>STATEMENT OF CHANGES IN NET ASSETS</w:t>
      </w:r>
      <w:r>
        <w:rPr>
          <w:noProof/>
        </w:rPr>
        <w:tab/>
      </w:r>
      <w:r>
        <w:rPr>
          <w:noProof/>
        </w:rPr>
        <w:fldChar w:fldCharType="begin"/>
      </w:r>
      <w:r>
        <w:rPr>
          <w:noProof/>
        </w:rPr>
        <w:instrText xml:space="preserve"> PAGEREF _Toc11403248 \h </w:instrText>
      </w:r>
      <w:r>
        <w:rPr>
          <w:noProof/>
        </w:rPr>
      </w:r>
      <w:r>
        <w:rPr>
          <w:noProof/>
        </w:rPr>
        <w:fldChar w:fldCharType="separate"/>
      </w:r>
      <w:r>
        <w:rPr>
          <w:noProof/>
        </w:rPr>
        <w:t>9</w:t>
      </w:r>
      <w:r>
        <w:rPr>
          <w:noProof/>
        </w:rPr>
        <w:fldChar w:fldCharType="end"/>
      </w:r>
    </w:p>
    <w:p>
      <w:pPr>
        <w:pStyle w:val="TOC1"/>
        <w:tabs>
          <w:tab w:val="right" w:leader="dot" w:pos="9628"/>
        </w:tabs>
        <w:rPr>
          <w:rFonts w:asciiTheme="minorHAnsi" w:eastAsiaTheme="minorEastAsia" w:hAnsiTheme="minorHAnsi" w:cstheme="minorBidi"/>
          <w:noProof/>
          <w:color w:val="auto"/>
          <w:szCs w:val="22"/>
          <w:lang w:eastAsia="fr-BE"/>
        </w:rPr>
      </w:pPr>
      <w:r>
        <w:rPr>
          <w:noProof/>
        </w:rPr>
        <w:t>NOTES TO THE FINANCIAL STATEMENTS</w:t>
      </w:r>
      <w:r>
        <w:rPr>
          <w:noProof/>
        </w:rPr>
        <w:tab/>
      </w:r>
      <w:r>
        <w:rPr>
          <w:noProof/>
        </w:rPr>
        <w:fldChar w:fldCharType="begin"/>
      </w:r>
      <w:r>
        <w:rPr>
          <w:noProof/>
        </w:rPr>
        <w:instrText xml:space="preserve"> PAGEREF _Toc11403249 \h </w:instrText>
      </w:r>
      <w:r>
        <w:rPr>
          <w:noProof/>
        </w:rPr>
      </w:r>
      <w:r>
        <w:rPr>
          <w:noProof/>
        </w:rPr>
        <w:fldChar w:fldCharType="separate"/>
      </w:r>
      <w:r>
        <w:rPr>
          <w:noProof/>
        </w:rPr>
        <w:t>10</w:t>
      </w:r>
      <w:r>
        <w:rPr>
          <w:noProof/>
        </w:rPr>
        <w:fldChar w:fldCharType="end"/>
      </w:r>
    </w:p>
    <w:p>
      <w:pPr>
        <w:pStyle w:val="TOC2"/>
        <w:rPr>
          <w:rFonts w:asciiTheme="minorHAnsi" w:eastAsiaTheme="minorEastAsia" w:hAnsiTheme="minorHAnsi" w:cstheme="minorBidi"/>
          <w:noProof/>
          <w:color w:val="auto"/>
          <w:szCs w:val="22"/>
          <w:lang w:eastAsia="fr-BE"/>
        </w:rPr>
      </w:pPr>
      <w:r>
        <w:rPr>
          <w:noProof/>
        </w:rPr>
        <w:t>1.</w:t>
      </w:r>
      <w:r>
        <w:rPr>
          <w:rFonts w:asciiTheme="minorHAnsi" w:eastAsiaTheme="minorEastAsia" w:hAnsiTheme="minorHAnsi" w:cstheme="minorBidi"/>
          <w:noProof/>
          <w:color w:val="auto"/>
          <w:szCs w:val="22"/>
          <w:lang w:eastAsia="fr-BE"/>
        </w:rPr>
        <w:tab/>
      </w:r>
      <w:r>
        <w:rPr>
          <w:noProof/>
        </w:rPr>
        <w:t>SIGNIFICANT ACCOUNTING POLICIES</w:t>
      </w:r>
      <w:r>
        <w:rPr>
          <w:noProof/>
        </w:rPr>
        <w:tab/>
      </w:r>
      <w:r>
        <w:rPr>
          <w:noProof/>
        </w:rPr>
        <w:fldChar w:fldCharType="begin"/>
      </w:r>
      <w:r>
        <w:rPr>
          <w:noProof/>
        </w:rPr>
        <w:instrText xml:space="preserve"> PAGEREF _Toc11403250 \h </w:instrText>
      </w:r>
      <w:r>
        <w:rPr>
          <w:noProof/>
        </w:rPr>
      </w:r>
      <w:r>
        <w:rPr>
          <w:noProof/>
        </w:rPr>
        <w:fldChar w:fldCharType="separate"/>
      </w:r>
      <w:r>
        <w:rPr>
          <w:noProof/>
        </w:rPr>
        <w:t>11</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w:t>
      </w:r>
      <w:r>
        <w:rPr>
          <w:rFonts w:asciiTheme="minorHAnsi" w:eastAsiaTheme="minorEastAsia" w:hAnsiTheme="minorHAnsi" w:cstheme="minorBidi"/>
          <w:noProof/>
          <w:color w:val="auto"/>
          <w:szCs w:val="22"/>
          <w:lang w:eastAsia="fr-BE"/>
        </w:rPr>
        <w:tab/>
      </w:r>
      <w:r>
        <w:rPr>
          <w:noProof/>
        </w:rPr>
        <w:t>NOTES TO THE BALANCE SHEET</w:t>
      </w:r>
      <w:r>
        <w:rPr>
          <w:noProof/>
        </w:rPr>
        <w:tab/>
      </w:r>
      <w:r>
        <w:rPr>
          <w:noProof/>
        </w:rPr>
        <w:fldChar w:fldCharType="begin"/>
      </w:r>
      <w:r>
        <w:rPr>
          <w:noProof/>
        </w:rPr>
        <w:instrText xml:space="preserve"> PAGEREF _Toc11403251 \h </w:instrText>
      </w:r>
      <w:r>
        <w:rPr>
          <w:noProof/>
        </w:rPr>
      </w:r>
      <w:r>
        <w:rPr>
          <w:noProof/>
        </w:rPr>
        <w:fldChar w:fldCharType="separate"/>
      </w:r>
      <w:r>
        <w:rPr>
          <w:noProof/>
        </w:rPr>
        <w:t>25</w:t>
      </w:r>
      <w:r>
        <w:rPr>
          <w:noProof/>
        </w:rPr>
        <w:fldChar w:fldCharType="end"/>
      </w:r>
    </w:p>
    <w:p>
      <w:pPr>
        <w:pStyle w:val="TOC2"/>
        <w:rPr>
          <w:rFonts w:asciiTheme="minorHAnsi" w:eastAsiaTheme="minorEastAsia" w:hAnsiTheme="minorHAnsi" w:cstheme="minorBidi"/>
          <w:noProof/>
          <w:color w:val="auto"/>
          <w:szCs w:val="22"/>
          <w:lang w:eastAsia="fr-BE"/>
        </w:rPr>
      </w:pPr>
      <w:r>
        <w:rPr>
          <w:noProof/>
        </w:rPr>
        <w:t>3.</w:t>
      </w:r>
      <w:r>
        <w:rPr>
          <w:rFonts w:asciiTheme="minorHAnsi" w:eastAsiaTheme="minorEastAsia" w:hAnsiTheme="minorHAnsi" w:cstheme="minorBidi"/>
          <w:noProof/>
          <w:color w:val="auto"/>
          <w:szCs w:val="22"/>
          <w:lang w:eastAsia="fr-BE"/>
        </w:rPr>
        <w:tab/>
      </w:r>
      <w:r>
        <w:rPr>
          <w:noProof/>
        </w:rPr>
        <w:t>NOTES TO THE STATEMENT OF FINANCIAL PERFORMANCE</w:t>
      </w:r>
      <w:r>
        <w:rPr>
          <w:noProof/>
        </w:rPr>
        <w:tab/>
      </w:r>
      <w:r>
        <w:rPr>
          <w:noProof/>
        </w:rPr>
        <w:fldChar w:fldCharType="begin"/>
      </w:r>
      <w:r>
        <w:rPr>
          <w:noProof/>
        </w:rPr>
        <w:instrText xml:space="preserve"> PAGEREF _Toc11403252 \h </w:instrText>
      </w:r>
      <w:r>
        <w:rPr>
          <w:noProof/>
        </w:rPr>
      </w:r>
      <w:r>
        <w:rPr>
          <w:noProof/>
        </w:rPr>
        <w:fldChar w:fldCharType="separate"/>
      </w:r>
      <w:r>
        <w:rPr>
          <w:noProof/>
        </w:rPr>
        <w:t>42</w:t>
      </w:r>
      <w:r>
        <w:rPr>
          <w:noProof/>
        </w:rPr>
        <w:fldChar w:fldCharType="end"/>
      </w:r>
    </w:p>
    <w:p>
      <w:pPr>
        <w:pStyle w:val="TOC2"/>
        <w:rPr>
          <w:rFonts w:asciiTheme="minorHAnsi" w:eastAsiaTheme="minorEastAsia" w:hAnsiTheme="minorHAnsi" w:cstheme="minorBidi"/>
          <w:noProof/>
          <w:color w:val="auto"/>
          <w:szCs w:val="22"/>
          <w:lang w:eastAsia="fr-BE"/>
        </w:rPr>
      </w:pPr>
      <w:r>
        <w:rPr>
          <w:noProof/>
        </w:rPr>
        <w:t>4.</w:t>
      </w:r>
      <w:r>
        <w:rPr>
          <w:rFonts w:asciiTheme="minorHAnsi" w:eastAsiaTheme="minorEastAsia" w:hAnsiTheme="minorHAnsi" w:cstheme="minorBidi"/>
          <w:noProof/>
          <w:color w:val="auto"/>
          <w:szCs w:val="22"/>
          <w:lang w:eastAsia="fr-BE"/>
        </w:rPr>
        <w:tab/>
      </w:r>
      <w:r>
        <w:rPr>
          <w:noProof/>
        </w:rPr>
        <w:t>CONTINGENT LIABILITIES AND ASSETS</w:t>
      </w:r>
      <w:r>
        <w:rPr>
          <w:noProof/>
        </w:rPr>
        <w:tab/>
      </w:r>
      <w:r>
        <w:rPr>
          <w:noProof/>
        </w:rPr>
        <w:fldChar w:fldCharType="begin"/>
      </w:r>
      <w:r>
        <w:rPr>
          <w:noProof/>
        </w:rPr>
        <w:instrText xml:space="preserve"> PAGEREF _Toc11403253 \h </w:instrText>
      </w:r>
      <w:r>
        <w:rPr>
          <w:noProof/>
        </w:rPr>
      </w:r>
      <w:r>
        <w:rPr>
          <w:noProof/>
        </w:rPr>
        <w:fldChar w:fldCharType="separate"/>
      </w:r>
      <w:r>
        <w:rPr>
          <w:noProof/>
        </w:rPr>
        <w:t>46</w:t>
      </w:r>
      <w:r>
        <w:rPr>
          <w:noProof/>
        </w:rPr>
        <w:fldChar w:fldCharType="end"/>
      </w:r>
    </w:p>
    <w:p>
      <w:pPr>
        <w:pStyle w:val="TOC2"/>
        <w:rPr>
          <w:rFonts w:asciiTheme="minorHAnsi" w:eastAsiaTheme="minorEastAsia" w:hAnsiTheme="minorHAnsi" w:cstheme="minorBidi"/>
          <w:noProof/>
          <w:color w:val="auto"/>
          <w:szCs w:val="22"/>
          <w:lang w:eastAsia="fr-BE"/>
        </w:rPr>
      </w:pPr>
      <w:r>
        <w:rPr>
          <w:noProof/>
        </w:rPr>
        <w:t>5.</w:t>
      </w:r>
      <w:r>
        <w:rPr>
          <w:rFonts w:asciiTheme="minorHAnsi" w:eastAsiaTheme="minorEastAsia" w:hAnsiTheme="minorHAnsi" w:cstheme="minorBidi"/>
          <w:noProof/>
          <w:color w:val="auto"/>
          <w:szCs w:val="22"/>
          <w:lang w:eastAsia="fr-BE"/>
        </w:rPr>
        <w:tab/>
      </w:r>
      <w:r>
        <w:rPr>
          <w:noProof/>
        </w:rPr>
        <w:t>BUDGETARY AND LEGAL COMMITMENTS</w:t>
      </w:r>
      <w:r>
        <w:rPr>
          <w:noProof/>
        </w:rPr>
        <w:tab/>
      </w:r>
      <w:r>
        <w:rPr>
          <w:noProof/>
        </w:rPr>
        <w:fldChar w:fldCharType="begin"/>
      </w:r>
      <w:r>
        <w:rPr>
          <w:noProof/>
        </w:rPr>
        <w:instrText xml:space="preserve"> PAGEREF _Toc11403254 \h </w:instrText>
      </w:r>
      <w:r>
        <w:rPr>
          <w:noProof/>
        </w:rPr>
      </w:r>
      <w:r>
        <w:rPr>
          <w:noProof/>
        </w:rPr>
        <w:fldChar w:fldCharType="separate"/>
      </w:r>
      <w:r>
        <w:rPr>
          <w:noProof/>
        </w:rPr>
        <w:t>48</w:t>
      </w:r>
      <w:r>
        <w:rPr>
          <w:noProof/>
        </w:rPr>
        <w:fldChar w:fldCharType="end"/>
      </w:r>
    </w:p>
    <w:p>
      <w:pPr>
        <w:pStyle w:val="TOC2"/>
        <w:rPr>
          <w:rFonts w:asciiTheme="minorHAnsi" w:eastAsiaTheme="minorEastAsia" w:hAnsiTheme="minorHAnsi" w:cstheme="minorBidi"/>
          <w:noProof/>
          <w:color w:val="auto"/>
          <w:szCs w:val="22"/>
          <w:lang w:eastAsia="fr-BE"/>
        </w:rPr>
      </w:pPr>
      <w:r>
        <w:rPr>
          <w:noProof/>
        </w:rPr>
        <w:t>6.</w:t>
      </w:r>
      <w:r>
        <w:rPr>
          <w:rFonts w:asciiTheme="minorHAnsi" w:eastAsiaTheme="minorEastAsia" w:hAnsiTheme="minorHAnsi" w:cstheme="minorBidi"/>
          <w:noProof/>
          <w:color w:val="auto"/>
          <w:szCs w:val="22"/>
          <w:lang w:eastAsia="fr-BE"/>
        </w:rPr>
        <w:tab/>
      </w:r>
      <w:r>
        <w:rPr>
          <w:noProof/>
        </w:rPr>
        <w:t>FINANCIAL INSTRUMENTS DISCLOSURES</w:t>
      </w:r>
      <w:r>
        <w:rPr>
          <w:noProof/>
        </w:rPr>
        <w:tab/>
      </w:r>
      <w:r>
        <w:rPr>
          <w:noProof/>
        </w:rPr>
        <w:fldChar w:fldCharType="begin"/>
      </w:r>
      <w:r>
        <w:rPr>
          <w:noProof/>
        </w:rPr>
        <w:instrText xml:space="preserve"> PAGEREF _Toc11403255 \h </w:instrText>
      </w:r>
      <w:r>
        <w:rPr>
          <w:noProof/>
        </w:rPr>
      </w:r>
      <w:r>
        <w:rPr>
          <w:noProof/>
        </w:rPr>
        <w:fldChar w:fldCharType="separate"/>
      </w:r>
      <w:r>
        <w:rPr>
          <w:noProof/>
        </w:rPr>
        <w:t>50</w:t>
      </w:r>
      <w:r>
        <w:rPr>
          <w:noProof/>
        </w:rPr>
        <w:fldChar w:fldCharType="end"/>
      </w:r>
    </w:p>
    <w:p>
      <w:pPr>
        <w:pStyle w:val="TOC2"/>
        <w:rPr>
          <w:rFonts w:asciiTheme="minorHAnsi" w:eastAsiaTheme="minorEastAsia" w:hAnsiTheme="minorHAnsi" w:cstheme="minorBidi"/>
          <w:noProof/>
          <w:color w:val="auto"/>
          <w:szCs w:val="22"/>
          <w:lang w:eastAsia="fr-BE"/>
        </w:rPr>
      </w:pPr>
      <w:r>
        <w:rPr>
          <w:noProof/>
        </w:rPr>
        <w:t>7.</w:t>
      </w:r>
      <w:r>
        <w:rPr>
          <w:rFonts w:asciiTheme="minorHAnsi" w:eastAsiaTheme="minorEastAsia" w:hAnsiTheme="minorHAnsi" w:cstheme="minorBidi"/>
          <w:noProof/>
          <w:color w:val="auto"/>
          <w:szCs w:val="22"/>
          <w:lang w:eastAsia="fr-BE"/>
        </w:rPr>
        <w:tab/>
      </w:r>
      <w:r>
        <w:rPr>
          <w:noProof/>
        </w:rPr>
        <w:t>RELATED PARTIES</w:t>
      </w:r>
      <w:r>
        <w:rPr>
          <w:noProof/>
        </w:rPr>
        <w:tab/>
      </w:r>
      <w:r>
        <w:rPr>
          <w:noProof/>
        </w:rPr>
        <w:fldChar w:fldCharType="begin"/>
      </w:r>
      <w:r>
        <w:rPr>
          <w:noProof/>
        </w:rPr>
        <w:instrText xml:space="preserve"> PAGEREF _Toc11403256 \h </w:instrText>
      </w:r>
      <w:r>
        <w:rPr>
          <w:noProof/>
        </w:rPr>
      </w:r>
      <w:r>
        <w:rPr>
          <w:noProof/>
        </w:rPr>
        <w:fldChar w:fldCharType="separate"/>
      </w:r>
      <w:r>
        <w:rPr>
          <w:noProof/>
        </w:rPr>
        <w:t>55</w:t>
      </w:r>
      <w:r>
        <w:rPr>
          <w:noProof/>
        </w:rPr>
        <w:fldChar w:fldCharType="end"/>
      </w:r>
    </w:p>
    <w:p>
      <w:pPr>
        <w:pStyle w:val="TOC2"/>
        <w:rPr>
          <w:rFonts w:asciiTheme="minorHAnsi" w:eastAsiaTheme="minorEastAsia" w:hAnsiTheme="minorHAnsi" w:cstheme="minorBidi"/>
          <w:noProof/>
          <w:color w:val="auto"/>
          <w:szCs w:val="22"/>
          <w:lang w:eastAsia="fr-BE"/>
        </w:rPr>
      </w:pPr>
      <w:r>
        <w:rPr>
          <w:noProof/>
        </w:rPr>
        <w:t>8.</w:t>
      </w:r>
      <w:r>
        <w:rPr>
          <w:rFonts w:asciiTheme="minorHAnsi" w:eastAsiaTheme="minorEastAsia" w:hAnsiTheme="minorHAnsi" w:cstheme="minorBidi"/>
          <w:noProof/>
          <w:color w:val="auto"/>
          <w:szCs w:val="22"/>
          <w:lang w:eastAsia="fr-BE"/>
        </w:rPr>
        <w:tab/>
      </w:r>
      <w:r>
        <w:rPr>
          <w:noProof/>
        </w:rPr>
        <w:t>EVENTS AFTER THE BALANCE SHEET DATE</w:t>
      </w:r>
      <w:r>
        <w:rPr>
          <w:noProof/>
        </w:rPr>
        <w:tab/>
      </w:r>
      <w:r>
        <w:rPr>
          <w:noProof/>
        </w:rPr>
        <w:fldChar w:fldCharType="begin"/>
      </w:r>
      <w:r>
        <w:rPr>
          <w:noProof/>
        </w:rPr>
        <w:instrText xml:space="preserve"> PAGEREF _Toc11403257 \h </w:instrText>
      </w:r>
      <w:r>
        <w:rPr>
          <w:noProof/>
        </w:rPr>
      </w:r>
      <w:r>
        <w:rPr>
          <w:noProof/>
        </w:rPr>
        <w:fldChar w:fldCharType="separate"/>
      </w:r>
      <w:r>
        <w:rPr>
          <w:noProof/>
        </w:rPr>
        <w:t>56</w:t>
      </w:r>
      <w:r>
        <w:rPr>
          <w:noProof/>
        </w:rPr>
        <w:fldChar w:fldCharType="end"/>
      </w:r>
    </w:p>
    <w:p>
      <w:pPr>
        <w:pStyle w:val="DGTextstand-alone"/>
        <w:sectPr>
          <w:headerReference w:type="even" r:id="rId41"/>
          <w:headerReference w:type="default" r:id="rId42"/>
          <w:footerReference w:type="even" r:id="rId43"/>
          <w:footerReference w:type="default" r:id="rId44"/>
          <w:headerReference w:type="first" r:id="rId45"/>
          <w:footerReference w:type="first" r:id="rId46"/>
          <w:pgSz w:w="11906" w:h="16838"/>
          <w:pgMar w:top="1134" w:right="1134" w:bottom="1134" w:left="1134" w:header="709" w:footer="709" w:gutter="0"/>
          <w:cols w:space="708"/>
          <w:docGrid w:linePitch="360"/>
        </w:sectPr>
      </w:pPr>
      <w:r>
        <w:rPr>
          <w:rFonts w:eastAsia="Times New Roman"/>
          <w:color w:val="365F91" w:themeColor="accent1" w:themeShade="BF"/>
          <w:sz w:val="22"/>
          <w:szCs w:val="22"/>
          <w:bdr w:val="none" w:sz="0" w:space="0" w:color="auto"/>
          <w:lang w:val="fr-BE" w:eastAsia="en-GB"/>
        </w:rPr>
        <w:fldChar w:fldCharType="end"/>
      </w:r>
      <w:r>
        <w:t xml:space="preserve"> </w:t>
      </w:r>
      <w:bookmarkEnd w:id="9"/>
    </w:p>
    <w:p>
      <w:pPr>
        <w:pStyle w:val="HEADERTITLE1"/>
      </w:pPr>
      <w:bookmarkStart w:id="10" w:name="_Toc11403233"/>
      <w:bookmarkStart w:id="11" w:name="_Toc11403245"/>
      <w:bookmarkStart w:id="12" w:name="_DMBM_13996"/>
      <w:r>
        <w:t>BALANCE SHEET</w:t>
      </w:r>
      <w:bookmarkEnd w:id="10"/>
      <w:bookmarkEnd w:id="11"/>
    </w:p>
    <w:p>
      <w:pPr>
        <w:pStyle w:val="Textstand-alone"/>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13" w:name="DOC_TBL00001_1_1"/>
            <w:bookmarkEnd w:id="13"/>
          </w:p>
        </w:tc>
        <w:tc>
          <w:tcPr>
            <w:tcW w:w="851"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i w:val="0"/>
              </w:rPr>
            </w:pPr>
          </w:p>
        </w:tc>
        <w:tc>
          <w:tcPr>
            <w:tcW w:w="1842"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i w:val="0"/>
              </w:rPr>
            </w:pPr>
          </w:p>
        </w:tc>
        <w:tc>
          <w:tcPr>
            <w:tcW w:w="1843"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 xml:space="preserve"> EUR million</w:t>
            </w:r>
          </w:p>
        </w:tc>
      </w:tr>
      <w:tr>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Times New Roman" w:cs="Verdana"/>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Times New Roman" w:cs="Verdana"/>
              </w:rPr>
            </w:pPr>
            <w:r>
              <w:rPr>
                <w:rFonts w:eastAsia="Times New Roman" w:cs="Verdana"/>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31.12.2017</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NON-CURRENT ASSETS</w:t>
            </w:r>
          </w:p>
        </w:tc>
        <w:tc>
          <w:tcPr>
            <w:tcW w:w="851"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Intangible assets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168</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149</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Property, plant and equipment</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2.2</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8 098</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7 544</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Investments accounted for using the equity method</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2.3</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591</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581</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Financial assets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2.4</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63 917</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58 533</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Pre-financing</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2.5</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25 807</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24 745</w:t>
            </w:r>
          </w:p>
        </w:tc>
      </w:tr>
      <w:tr>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Exchange receivables and non-exchange recoverables</w:t>
            </w:r>
          </w:p>
        </w:tc>
        <w:tc>
          <w:tcPr>
            <w:tcW w:w="851" w:type="dxa"/>
            <w:tcBorders>
              <w:top w:val="nil"/>
              <w:left w:val="nil"/>
              <w:bottom w:val="single" w:sz="4" w:space="0" w:color="016794"/>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2.6</w:t>
            </w:r>
          </w:p>
        </w:tc>
        <w:tc>
          <w:tcPr>
            <w:tcW w:w="1842"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415</w:t>
            </w:r>
          </w:p>
        </w:tc>
        <w:tc>
          <w:tcPr>
            <w:tcW w:w="1843"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619</w:t>
            </w:r>
          </w:p>
        </w:tc>
      </w:tr>
      <w:tr>
        <w:trPr>
          <w:cantSplit/>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Text9pItalicCentered"/>
              <w:rPr>
                <w:rFonts w:eastAsia="Times New Roman" w:cs="Verdana"/>
                <w:i w:val="0"/>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98 997</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92 172</w:t>
            </w:r>
          </w:p>
        </w:tc>
      </w:tr>
      <w:tr>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CURRENT ASSETS</w:t>
            </w:r>
          </w:p>
        </w:tc>
        <w:tc>
          <w:tcPr>
            <w:tcW w:w="851"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3"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Financial assets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2.4</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3 875</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8 339</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Pre-financing</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2.5</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24 502</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24 552</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Exchange receivables and non-exchange recoverables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2.6</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23 903</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11 421</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Inventories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2.7</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67</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62</w:t>
            </w:r>
          </w:p>
        </w:tc>
      </w:tr>
      <w:tr>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 xml:space="preserve">Cash and cash equivalents </w:t>
            </w:r>
          </w:p>
        </w:tc>
        <w:tc>
          <w:tcPr>
            <w:tcW w:w="851" w:type="dxa"/>
            <w:tcBorders>
              <w:top w:val="nil"/>
              <w:left w:val="nil"/>
              <w:bottom w:val="single" w:sz="4" w:space="0" w:color="016794"/>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2.8</w:t>
            </w:r>
          </w:p>
        </w:tc>
        <w:tc>
          <w:tcPr>
            <w:tcW w:w="1842"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16 946</w:t>
            </w:r>
          </w:p>
        </w:tc>
        <w:tc>
          <w:tcPr>
            <w:tcW w:w="1843"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23 113</w:t>
            </w:r>
          </w:p>
        </w:tc>
      </w:tr>
      <w:tr>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single" w:sz="4" w:space="0" w:color="016794"/>
              <w:left w:val="nil"/>
              <w:bottom w:val="nil"/>
              <w:right w:val="nil"/>
            </w:tcBorders>
            <w:tcMar>
              <w:top w:w="0" w:type="dxa"/>
              <w:left w:w="108" w:type="dxa"/>
              <w:bottom w:w="0" w:type="dxa"/>
              <w:right w:w="108" w:type="dxa"/>
            </w:tcMar>
          </w:tcPr>
          <w:p>
            <w:pPr>
              <w:pStyle w:val="Text9pItalicCentered"/>
              <w:rPr>
                <w:rFonts w:eastAsia="Times New Roman" w:cs="Verdana"/>
              </w:rPr>
            </w:pPr>
          </w:p>
        </w:tc>
        <w:tc>
          <w:tcPr>
            <w:tcW w:w="1842" w:type="dxa"/>
            <w:tcBorders>
              <w:top w:val="single" w:sz="4" w:space="0" w:color="016794"/>
              <w:left w:val="nil"/>
              <w:bottom w:val="nil"/>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69 293</w:t>
            </w:r>
          </w:p>
        </w:tc>
        <w:tc>
          <w:tcPr>
            <w:tcW w:w="1843" w:type="dxa"/>
            <w:tcBorders>
              <w:top w:val="single" w:sz="4" w:space="0" w:color="016794"/>
              <w:left w:val="nil"/>
              <w:bottom w:val="nil"/>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67 488</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TOTAL ASSETS</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168 290</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159 659</w:t>
            </w:r>
          </w:p>
        </w:tc>
      </w:tr>
      <w:tr>
        <w:trPr>
          <w:cantSplit/>
          <w:trHeight w:val="124"/>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i w:val="0"/>
              </w:rPr>
            </w:pP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i w:val="0"/>
              </w:rPr>
            </w:pP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NON-CURRENT LIABILITIES</w:t>
            </w:r>
          </w:p>
        </w:tc>
        <w:tc>
          <w:tcPr>
            <w:tcW w:w="851"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Pension and other employee benefits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2.9</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(79 865)</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(72 495)</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Provisions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2.10</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(3 013)</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(2 617)</w:t>
            </w:r>
          </w:p>
        </w:tc>
      </w:tr>
      <w:tr>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Financial liabilities</w:t>
            </w:r>
          </w:p>
        </w:tc>
        <w:tc>
          <w:tcPr>
            <w:tcW w:w="851" w:type="dxa"/>
            <w:tcBorders>
              <w:top w:val="nil"/>
              <w:left w:val="nil"/>
              <w:bottom w:val="single" w:sz="4" w:space="0" w:color="016794"/>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2.11</w:t>
            </w:r>
          </w:p>
        </w:tc>
        <w:tc>
          <w:tcPr>
            <w:tcW w:w="1842"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(52 764)</w:t>
            </w:r>
          </w:p>
        </w:tc>
        <w:tc>
          <w:tcPr>
            <w:tcW w:w="1843"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(49 414)</w:t>
            </w:r>
          </w:p>
        </w:tc>
      </w:tr>
      <w:tr>
        <w:trPr>
          <w:cantSplit/>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Text9pItalicCentered"/>
              <w:rPr>
                <w:rFonts w:eastAsia="Times New Roman" w:cs="Verdana"/>
                <w:i w:val="0"/>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(135 642)</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(124 526)</w:t>
            </w:r>
          </w:p>
        </w:tc>
      </w:tr>
      <w:tr>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CURRENT LIABILITIES</w:t>
            </w:r>
          </w:p>
        </w:tc>
        <w:tc>
          <w:tcPr>
            <w:tcW w:w="851"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c>
          <w:tcPr>
            <w:tcW w:w="1843"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b/>
                <w:i w:val="0"/>
              </w:rPr>
            </w:pP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Provisions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2.10</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(820)</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(645)</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Financial liabilities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2.11</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(2 489)</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(6 813)</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Payables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2.12</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(32 539)</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(39 376)</w:t>
            </w:r>
          </w:p>
        </w:tc>
      </w:tr>
      <w:tr>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Accrued charges and deferred income</w:t>
            </w:r>
          </w:p>
        </w:tc>
        <w:tc>
          <w:tcPr>
            <w:tcW w:w="851" w:type="dxa"/>
            <w:tcBorders>
              <w:top w:val="nil"/>
              <w:left w:val="nil"/>
              <w:bottom w:val="single" w:sz="4" w:space="0" w:color="016794"/>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2.13</w:t>
            </w:r>
          </w:p>
        </w:tc>
        <w:tc>
          <w:tcPr>
            <w:tcW w:w="1842"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(62 500)</w:t>
            </w:r>
          </w:p>
        </w:tc>
        <w:tc>
          <w:tcPr>
            <w:tcW w:w="1843"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(63 314)</w:t>
            </w:r>
          </w:p>
        </w:tc>
      </w:tr>
      <w:tr>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single" w:sz="4" w:space="0" w:color="016794"/>
              <w:left w:val="nil"/>
              <w:bottom w:val="nil"/>
              <w:right w:val="nil"/>
            </w:tcBorders>
            <w:tcMar>
              <w:top w:w="0" w:type="dxa"/>
              <w:left w:w="108" w:type="dxa"/>
              <w:bottom w:w="0" w:type="dxa"/>
              <w:right w:w="108" w:type="dxa"/>
            </w:tcMar>
          </w:tcPr>
          <w:p>
            <w:pPr>
              <w:pStyle w:val="Text9pItalicCentered"/>
              <w:rPr>
                <w:rFonts w:eastAsia="Times New Roman" w:cs="Verdana"/>
              </w:rPr>
            </w:pPr>
          </w:p>
        </w:tc>
        <w:tc>
          <w:tcPr>
            <w:tcW w:w="1842" w:type="dxa"/>
            <w:tcBorders>
              <w:top w:val="single" w:sz="4" w:space="0" w:color="016794"/>
              <w:left w:val="nil"/>
              <w:bottom w:val="nil"/>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(98 348)</w:t>
            </w:r>
          </w:p>
        </w:tc>
        <w:tc>
          <w:tcPr>
            <w:tcW w:w="1843" w:type="dxa"/>
            <w:tcBorders>
              <w:top w:val="single" w:sz="4" w:space="0" w:color="016794"/>
              <w:left w:val="nil"/>
              <w:bottom w:val="nil"/>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(110 148)</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TOTAL LIABILITIES</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(233 990)</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(234 674)</w:t>
            </w:r>
          </w:p>
        </w:tc>
      </w:tr>
      <w:tr>
        <w:trPr>
          <w:cantSplit/>
          <w:trHeight w:val="124"/>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i w:val="0"/>
              </w:rPr>
            </w:pP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i w:val="0"/>
              </w:rPr>
            </w:pP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NET ASSETS</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(65 700)</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(75 014)</w:t>
            </w:r>
          </w:p>
        </w:tc>
      </w:tr>
      <w:tr>
        <w:trPr>
          <w:cantSplit/>
          <w:trHeight w:val="124"/>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i w:val="0"/>
              </w:rPr>
            </w:pP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i w:val="0"/>
              </w:rPr>
            </w:pP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Reserves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2.14</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3 186</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3 062</w:t>
            </w:r>
          </w:p>
        </w:tc>
      </w:tr>
      <w:tr>
        <w:trPr>
          <w:cantSplit/>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Amounts to be called from Member States*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2.15</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(68 885)</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(78 077)</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NET ASSETS</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(65 700)</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(75 014)</w:t>
            </w:r>
          </w:p>
        </w:tc>
      </w:tr>
    </w:tbl>
    <w:p>
      <w:pPr>
        <w:pStyle w:val="Textstand-alone"/>
        <w:tabs>
          <w:tab w:val="left" w:pos="284"/>
        </w:tabs>
        <w:spacing w:before="60"/>
        <w:ind w:left="284" w:hanging="284"/>
        <w:rPr>
          <w:i/>
          <w:sz w:val="14"/>
        </w:rPr>
      </w:pPr>
      <w:r>
        <w:rPr>
          <w:i/>
          <w:sz w:val="14"/>
        </w:rPr>
        <w:t>*</w:t>
      </w:r>
      <w:r>
        <w:rPr>
          <w:i/>
          <w:sz w:val="14"/>
        </w:rPr>
        <w:tab/>
        <w:t>The European Parliament adopted a budget on 12 December 2018 which provides for the payment of the Commission's short-term liabilities from own resources to be collected by, or called up from, the Member States in 2019. Additionally, under article 83 of the Staff Regulations (Council Regulation 259/68 of 29 February 1968 as amended), the Member States shall jointly guarantee the liability for pensions.</w:t>
      </w:r>
    </w:p>
    <w:p>
      <w:pPr>
        <w:pStyle w:val="Textstand-alone"/>
        <w:sectPr>
          <w:headerReference w:type="even" r:id="rId47"/>
          <w:headerReference w:type="default" r:id="rId48"/>
          <w:footerReference w:type="even" r:id="rId49"/>
          <w:footerReference w:type="default" r:id="rId50"/>
          <w:headerReference w:type="first" r:id="rId51"/>
          <w:footerReference w:type="first" r:id="rId52"/>
          <w:pgSz w:w="11906" w:h="16838"/>
          <w:pgMar w:top="1134" w:right="1134" w:bottom="1134" w:left="1134" w:header="709" w:footer="709" w:gutter="0"/>
          <w:cols w:space="708"/>
          <w:docGrid w:linePitch="360"/>
        </w:sectPr>
      </w:pPr>
      <w:r>
        <w:rPr>
          <w:i/>
        </w:rPr>
        <w:t xml:space="preserve"> </w:t>
      </w:r>
      <w:bookmarkEnd w:id="12"/>
    </w:p>
    <w:p>
      <w:pPr>
        <w:pStyle w:val="HEADERTITLE1"/>
      </w:pPr>
      <w:bookmarkStart w:id="14" w:name="_Toc11403234"/>
      <w:bookmarkStart w:id="15" w:name="_Toc11403246"/>
      <w:bookmarkStart w:id="16" w:name="_DMBM_13987"/>
      <w:r>
        <w:t>STATEMENT OF FINANCIAL PERFORMANCE</w:t>
      </w:r>
      <w:bookmarkEnd w:id="14"/>
      <w:bookmarkEnd w:id="15"/>
    </w:p>
    <w:p>
      <w:pPr>
        <w:pStyle w:val="DGTextstand-alone"/>
        <w:rPr>
          <w:lang w:val="fr-BE"/>
        </w:rPr>
      </w:pPr>
      <w:r>
        <w:rPr>
          <w:lang w:val="fr-B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7" w:name="DOC_TBL00002_1_1"/>
            <w:bookmarkEnd w:id="17"/>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REVENUE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Revenue from non-exchange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GNI resources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105 780</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78 620</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Traditional own resources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22 767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20 520</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VAT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17 624</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16 947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6 740</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4 664</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Recovery of expenses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2 213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1 879</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3.3</w:t>
            </w: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(674)</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6 515</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BoldLeft"/>
              <w:rPr>
                <w:rFonts w:eastAsia="Verdana" w:cs="Verdana"/>
                <w:lang w:bidi="en-GB"/>
              </w:rPr>
            </w:pP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154 450</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129 145</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Revenue from exchange transactions</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revenue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3.4</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3 103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1 820</w:t>
            </w:r>
          </w:p>
        </w:tc>
      </w:tr>
      <w:tr>
        <w:trPr>
          <w:trHeight w:val="268"/>
        </w:trPr>
        <w:tc>
          <w:tcPr>
            <w:tcW w:w="521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8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3.5</w:t>
            </w:r>
          </w:p>
        </w:tc>
        <w:tc>
          <w:tcPr>
            <w:tcW w:w="1842"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716</w:t>
            </w:r>
          </w:p>
        </w:tc>
        <w:tc>
          <w:tcPr>
            <w:tcW w:w="184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692</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3 819</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2 511</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Revenue</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158 270</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131 657</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EXPENSES</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Member States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3.6</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ind w:left="200"/>
              <w:rPr>
                <w:rFonts w:eastAsia="Verdana" w:cs="Verdana"/>
                <w:lang w:bidi="en-GB"/>
              </w:rPr>
            </w:pPr>
            <w:r>
              <w:rPr>
                <w:rFonts w:eastAsia="Verdana" w:cs="Verdana"/>
                <w:lang w:bidi="en-GB"/>
              </w:rPr>
              <w:t>European Agricultural Guarantee Fund</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(43 527)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(44 289)</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ind w:left="200"/>
              <w:rPr>
                <w:rFonts w:eastAsia="Verdana" w:cs="Verdana"/>
                <w:lang w:bidi="en-GB"/>
              </w:rPr>
            </w:pPr>
            <w:r>
              <w:rPr>
                <w:rFonts w:eastAsia="Verdana" w:cs="Verdana"/>
                <w:lang w:bidi="en-GB"/>
              </w:rPr>
              <w:t>European Agricultural Fund for Rural Development and other rural development instruments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(13 149)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(11 359)</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ind w:left="200"/>
              <w:rPr>
                <w:rFonts w:eastAsia="Verdana" w:cs="Verdana"/>
                <w:lang w:bidi="en-GB"/>
              </w:rPr>
            </w:pPr>
            <w:r>
              <w:rPr>
                <w:rFonts w:eastAsia="Verdana" w:cs="Verdana"/>
                <w:lang w:bidi="en-GB"/>
              </w:rPr>
              <w:t>European Regional Development Fund &amp;         Cohesion Fund</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(30 230)</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(17 650)</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ind w:left="200"/>
              <w:rPr>
                <w:rFonts w:eastAsia="Verdana" w:cs="Verdana"/>
                <w:lang w:bidi="en-GB"/>
              </w:rPr>
            </w:pPr>
            <w:r>
              <w:rPr>
                <w:rFonts w:eastAsia="Verdana" w:cs="Verdana"/>
                <w:lang w:bidi="en-GB"/>
              </w:rPr>
              <w:t>European Social Fund</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(11 935)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(7 353)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ind w:left="200"/>
              <w:rPr>
                <w:rFonts w:eastAsia="Verdana" w:cs="Verdana"/>
                <w:lang w:bidi="en-GB"/>
              </w:rPr>
            </w:pPr>
            <w:r>
              <w:rPr>
                <w:rFonts w:eastAsia="Verdana" w:cs="Verdana"/>
                <w:lang w:bidi="en-GB"/>
              </w:rPr>
              <w:t>Other</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(2 826)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(1 253)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the Commission, executive agencies and trust funds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3.7</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(17 576)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(15 763)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other EU agencies and bodies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3.8</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(3 622)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(3 429)</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third countries and int. organisations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3.8</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(4 016)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(4 115)</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other entities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3.8</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(3 569)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(1 478)</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Staff and pension costs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3.9</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(7 789)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(6 995)</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Changes in employee benefits actuarial assumptions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(3 581)</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Finance costs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3.10</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(1 640)</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(1 849)</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3.11</w:t>
            </w: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(4 019)</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(4 642)</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Expenses</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(143 897)</w:t>
            </w: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(123 756)</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ECONOMIC RESULT OF THE YEAR</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14 372</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7 901</w:t>
            </w:r>
          </w:p>
        </w:tc>
      </w:tr>
    </w:tbl>
    <w:p>
      <w:pPr>
        <w:pStyle w:val="DGTextstand-alone"/>
        <w:rPr>
          <w:lang w:bidi="en-GB"/>
        </w:rPr>
        <w:sectPr>
          <w:headerReference w:type="even" r:id="rId53"/>
          <w:headerReference w:type="default" r:id="rId54"/>
          <w:footerReference w:type="even" r:id="rId55"/>
          <w:footerReference w:type="default" r:id="rId56"/>
          <w:headerReference w:type="first" r:id="rId57"/>
          <w:footerReference w:type="first" r:id="rId58"/>
          <w:pgSz w:w="11906" w:h="16838"/>
          <w:pgMar w:top="1134" w:right="1134" w:bottom="1134" w:left="1134" w:header="709" w:footer="709" w:gutter="0"/>
          <w:cols w:space="708"/>
          <w:docGrid w:linePitch="360"/>
        </w:sectPr>
      </w:pPr>
      <w:r>
        <w:rPr>
          <w:lang w:bidi="en-GB"/>
        </w:rPr>
        <w:t xml:space="preserve"> </w:t>
      </w:r>
      <w:bookmarkEnd w:id="16"/>
    </w:p>
    <w:p>
      <w:pPr>
        <w:pStyle w:val="HEADERTITLE1"/>
        <w:rPr>
          <w:lang w:val="fr-BE"/>
        </w:rPr>
      </w:pPr>
      <w:bookmarkStart w:id="18" w:name="_Toc11403235"/>
      <w:bookmarkStart w:id="19" w:name="_Toc11403247"/>
      <w:bookmarkStart w:id="20" w:name="_DMBM_13942"/>
      <w:r>
        <w:rPr>
          <w:lang w:val="fr-BE"/>
        </w:rPr>
        <w:t>CASHFLOW STATEMENT</w:t>
      </w:r>
      <w:bookmarkEnd w:id="18"/>
      <w:bookmarkEnd w:id="19"/>
    </w:p>
    <w:p>
      <w:pPr>
        <w:pStyle w:val="HEADERTITLE1"/>
        <w:rPr>
          <w:lang w:val="fr-BE"/>
        </w:rPr>
      </w:pPr>
      <w:r>
        <w:rPr>
          <w:lang w:val="fr-B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21" w:name="DOC_TBL00003_1_1"/>
            <w:bookmarkEnd w:id="21"/>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fr-BE"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val="fr-BE" w:bidi="en-GB"/>
              </w:rPr>
            </w:pP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Economic result of the year</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14 372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7 901</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Operating activities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Amortisation</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Depreciation</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705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630</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(Increase)/decrease in loans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1 037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395</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pre-financing</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(1 012)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(3 557)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exchange receivables and           non-exchange recoverables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(12 278)</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(705)</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(Increase)/decrease in inventories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pension and other employee benefits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7 369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5 945</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Increase/(decrease) in provisions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571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850</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financial liabilities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(974)</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(313)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Increase/(decrease) in payables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(6 837)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(864)</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accrued charges and deferred income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(814)</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(3 713)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Prior year budgetary surplus taken as non-cash revenue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(556)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(6 405)</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Remeasurement of employee benefits liability (non-cash movement not included in statement of financial performance)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(4 432)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 non-cash movements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(70)</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Investing activities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(Increase)/decrease in intangible assets and property, plant and equipment </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(1 307)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(1 382)</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investments accounted for using the equity method</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available for sale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(1 964)</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(3 217)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(Increase)/decrease in financial assets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(22)</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NET CASHFLOW</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(6 167)</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(4 467)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Net increase/(decrease) in cash and cash equivalents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(6 167)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(4 467)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Cash and cash equivalents at the beginning of the year</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23 113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27 579</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Cash and cash equivalents at year-end</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16 946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23 113</w:t>
            </w:r>
          </w:p>
        </w:tc>
      </w:tr>
      <w:bookmarkEnd w:id="20"/>
    </w:tbl>
    <w:p>
      <w:pPr>
        <w:pStyle w:val="HEADERTITLE1"/>
        <w:rPr>
          <w:lang w:val="fr-BE" w:bidi="en-GB"/>
        </w:rPr>
        <w:sectPr>
          <w:headerReference w:type="even" r:id="rId59"/>
          <w:headerReference w:type="default" r:id="rId60"/>
          <w:footerReference w:type="even" r:id="rId61"/>
          <w:footerReference w:type="default" r:id="rId62"/>
          <w:headerReference w:type="first" r:id="rId63"/>
          <w:footerReference w:type="first" r:id="rId64"/>
          <w:pgSz w:w="11906" w:h="16838"/>
          <w:pgMar w:top="1134" w:right="1134" w:bottom="1134" w:left="1134" w:header="709" w:footer="709" w:gutter="0"/>
          <w:cols w:space="708"/>
          <w:docGrid w:linePitch="360"/>
        </w:sectPr>
      </w:pPr>
    </w:p>
    <w:p>
      <w:pPr>
        <w:pStyle w:val="HEADERTITLE1"/>
      </w:pPr>
      <w:bookmarkStart w:id="22" w:name="_Toc11403236"/>
      <w:bookmarkStart w:id="23" w:name="_Toc11403248"/>
      <w:bookmarkStart w:id="24" w:name="_DMBM_13954"/>
      <w:r>
        <w:t>STATEMENT OF CHANGES IN NET ASSETS</w:t>
      </w:r>
      <w:bookmarkEnd w:id="22"/>
      <w:bookmarkEnd w:id="23"/>
    </w:p>
    <w:tbl>
      <w:tblPr>
        <w:tblW w:w="14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110"/>
        <w:gridCol w:w="1843"/>
        <w:gridCol w:w="1825"/>
        <w:gridCol w:w="1771"/>
      </w:tblGrid>
      <w:tr>
        <w:trPr>
          <w:trHeight w:val="204"/>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25" w:name="DOC_TBL00004_1_1"/>
            <w:bookmarkEnd w:id="25"/>
          </w:p>
        </w:tc>
        <w:tc>
          <w:tcPr>
            <w:tcW w:w="4110"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i w:val="0"/>
                <w:lang w:bidi="en-GB"/>
              </w:rPr>
            </w:pPr>
          </w:p>
        </w:tc>
        <w:tc>
          <w:tcPr>
            <w:tcW w:w="1825"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i w:val="0"/>
                <w:lang w:bidi="en-GB"/>
              </w:rPr>
            </w:pPr>
          </w:p>
        </w:tc>
        <w:tc>
          <w:tcPr>
            <w:tcW w:w="1771" w:type="dxa"/>
            <w:tcBorders>
              <w:top w:val="nil"/>
              <w:left w:val="nil"/>
              <w:bottom w:val="nil"/>
              <w:right w:val="nil"/>
            </w:tcBorders>
            <w:shd w:val="clear" w:color="auto" w:fill="auto"/>
            <w:tcMar>
              <w:top w:w="0" w:type="dxa"/>
              <w:left w:w="108" w:type="dxa"/>
              <w:bottom w:w="0" w:type="dxa"/>
              <w:right w:w="108" w:type="dxa"/>
            </w:tcMar>
            <w:vAlign w:val="center"/>
          </w:tcPr>
          <w:p>
            <w:pPr>
              <w:pStyle w:val="Text8pItalicRight025EUR"/>
              <w:rPr>
                <w:rFonts w:eastAsia="Verdana" w:cs="Verdana"/>
                <w:lang w:bidi="en-GB"/>
              </w:rPr>
            </w:pPr>
            <w:r>
              <w:rPr>
                <w:rFonts w:eastAsia="Verdana" w:cs="Verdana"/>
                <w:lang w:bidi="en-GB"/>
              </w:rPr>
              <w:t>EUR million</w:t>
            </w:r>
          </w:p>
        </w:tc>
      </w:tr>
      <w:tr>
        <w:trPr>
          <w:trHeight w:val="665"/>
        </w:trPr>
        <w:tc>
          <w:tcPr>
            <w:tcW w:w="5070"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p>
        </w:tc>
        <w:tc>
          <w:tcPr>
            <w:tcW w:w="411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Amounts to be called from Member States</w:t>
            </w:r>
          </w:p>
          <w:p>
            <w:pPr>
              <w:pStyle w:val="Heading9pNormalCentered"/>
              <w:rPr>
                <w:rFonts w:eastAsia="Verdana" w:cs="Verdana"/>
                <w:noProof/>
                <w:lang w:bidi="en-GB"/>
              </w:rPr>
            </w:pPr>
            <w:r>
              <w:rPr>
                <w:rFonts w:eastAsia="Verdana" w:cs="Verdana"/>
                <w:noProof/>
                <w:lang w:bidi="en-GB"/>
              </w:rPr>
              <w:t>Accumulated Surplus/(Deficit)</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Other reserves</w:t>
            </w:r>
          </w:p>
        </w:tc>
        <w:tc>
          <w:tcPr>
            <w:tcW w:w="1825"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Fair value reserve</w:t>
            </w:r>
          </w:p>
        </w:tc>
        <w:tc>
          <w:tcPr>
            <w:tcW w:w="1771"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Net Assets</w:t>
            </w:r>
          </w:p>
        </w:tc>
      </w:tr>
      <w:tr>
        <w:trPr>
          <w:trHeight w:val="218"/>
        </w:trPr>
        <w:tc>
          <w:tcPr>
            <w:tcW w:w="5070"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BALANCE AS AT 31.12.2016</w:t>
            </w:r>
          </w:p>
        </w:tc>
        <w:tc>
          <w:tcPr>
            <w:tcW w:w="4110"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(79 546)</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2 720</w:t>
            </w:r>
          </w:p>
        </w:tc>
        <w:tc>
          <w:tcPr>
            <w:tcW w:w="182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311</w:t>
            </w:r>
          </w:p>
        </w:tc>
        <w:tc>
          <w:tcPr>
            <w:tcW w:w="1771"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(76 515)</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Movement in Guarantee Fund reserve</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(20)</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20</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Fair value movements</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10</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10</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47</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2016 budget result credited to Member States</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(6 405)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(6 405)</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Economic result of the year</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7 901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7 901</w:t>
            </w:r>
          </w:p>
        </w:tc>
      </w:tr>
      <w:tr>
        <w:trPr>
          <w:trHeight w:val="218"/>
        </w:trPr>
        <w:tc>
          <w:tcPr>
            <w:tcW w:w="5070"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BALANCE AS AT 31.12.2017</w:t>
            </w:r>
          </w:p>
        </w:tc>
        <w:tc>
          <w:tcPr>
            <w:tcW w:w="4110"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(78 077)</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2 788</w:t>
            </w:r>
          </w:p>
        </w:tc>
        <w:tc>
          <w:tcPr>
            <w:tcW w:w="182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275</w:t>
            </w:r>
          </w:p>
        </w:tc>
        <w:tc>
          <w:tcPr>
            <w:tcW w:w="1771"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(75 014)</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Movement in Guarantee Fund reserve</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186</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Fair value movements</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Remeasurements in employee benefits liability</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(4 432)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(4 432)</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(17)</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(24)</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2017 budget result credited to Member States</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(556)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(556)</w:t>
            </w:r>
          </w:p>
        </w:tc>
      </w:tr>
      <w:tr>
        <w:trPr>
          <w:trHeight w:val="230"/>
        </w:trPr>
        <w:tc>
          <w:tcPr>
            <w:tcW w:w="507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Economic result of the year</w:t>
            </w:r>
          </w:p>
        </w:tc>
        <w:tc>
          <w:tcPr>
            <w:tcW w:w="41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14 372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82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7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14 372</w:t>
            </w:r>
          </w:p>
        </w:tc>
      </w:tr>
      <w:tr>
        <w:trPr>
          <w:trHeight w:val="218"/>
        </w:trPr>
        <w:tc>
          <w:tcPr>
            <w:tcW w:w="5070"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BALANCE AS AT 31.12.2018</w:t>
            </w:r>
          </w:p>
        </w:tc>
        <w:tc>
          <w:tcPr>
            <w:tcW w:w="4110"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(68 885)</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2 957</w:t>
            </w:r>
          </w:p>
        </w:tc>
        <w:tc>
          <w:tcPr>
            <w:tcW w:w="182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229</w:t>
            </w:r>
          </w:p>
        </w:tc>
        <w:tc>
          <w:tcPr>
            <w:tcW w:w="1771"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(65 700)</w:t>
            </w:r>
          </w:p>
        </w:tc>
      </w:tr>
    </w:tbl>
    <w:p>
      <w:pPr>
        <w:pStyle w:val="HEADERTITLE1"/>
        <w:rPr>
          <w:lang w:bidi="en-GB"/>
        </w:rPr>
      </w:pPr>
    </w:p>
    <w:p>
      <w:pPr>
        <w:pStyle w:val="HEADERTITLE1"/>
      </w:pPr>
      <w:r>
        <w:t xml:space="preserve"> </w:t>
      </w:r>
    </w:p>
    <w:p>
      <w:pPr>
        <w:pStyle w:val="Textstand-alone"/>
        <w:rPr>
          <w:lang w:bidi="en-GB"/>
        </w:rPr>
        <w:sectPr>
          <w:headerReference w:type="even" r:id="rId65"/>
          <w:headerReference w:type="default" r:id="rId66"/>
          <w:footerReference w:type="even" r:id="rId67"/>
          <w:footerReference w:type="default" r:id="rId68"/>
          <w:headerReference w:type="first" r:id="rId69"/>
          <w:footerReference w:type="first" r:id="rId70"/>
          <w:pgSz w:w="16838" w:h="11906" w:orient="landscape"/>
          <w:pgMar w:top="1134" w:right="1134" w:bottom="1134" w:left="1134" w:header="708" w:footer="708" w:gutter="0"/>
          <w:cols w:space="708"/>
          <w:docGrid w:linePitch="360"/>
        </w:sectPr>
      </w:pPr>
      <w:r>
        <w:rPr>
          <w:lang w:bidi="en-GB"/>
        </w:rPr>
        <w:t xml:space="preserve"> </w:t>
      </w:r>
      <w:bookmarkEnd w:id="24"/>
    </w:p>
    <w:p>
      <w:pPr>
        <w:pStyle w:val="FIRSTCHAPTERPAGE1"/>
      </w:pPr>
      <w:bookmarkStart w:id="26" w:name="_DMBM_13965"/>
    </w:p>
    <w:p>
      <w:pPr>
        <w:pStyle w:val="FIRSTCHAPTERPAGE1"/>
      </w:pPr>
    </w:p>
    <w:p>
      <w:pPr>
        <w:pStyle w:val="FIRSTCHAPTERPAGE1"/>
      </w:pPr>
    </w:p>
    <w:p>
      <w:pPr>
        <w:pStyle w:val="FIRSTCHAPTERPAGE1"/>
      </w:pPr>
    </w:p>
    <w:p>
      <w:pPr>
        <w:pStyle w:val="FIRSTCHAPTERPAGE1"/>
      </w:pPr>
    </w:p>
    <w:p>
      <w:pPr>
        <w:pStyle w:val="FIRSTCHAPTERPAGE1"/>
      </w:pPr>
      <w:bookmarkStart w:id="27" w:name="_Toc11403237"/>
      <w:bookmarkStart w:id="28" w:name="_Toc11403249"/>
      <w:r>
        <w:t>NOTES TO THE FINANCIAL STATEMENTS</w:t>
      </w:r>
      <w:bookmarkEnd w:id="27"/>
      <w:bookmarkEnd w:id="28"/>
    </w:p>
    <w:p>
      <w:pPr>
        <w:pStyle w:val="FIRSTCHAPTERPAGE1"/>
      </w:pPr>
      <w:r>
        <w:t xml:space="preserve"> </w:t>
      </w:r>
    </w:p>
    <w:p>
      <w:pPr>
        <w:pStyle w:val="FIRSTCHAPTERPAGE1"/>
      </w:pPr>
    </w:p>
    <w:p>
      <w:pPr>
        <w:pStyle w:val="FIRSTCHAPTERPAGE1"/>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sectPr>
          <w:headerReference w:type="even" r:id="rId71"/>
          <w:headerReference w:type="default" r:id="rId72"/>
          <w:footerReference w:type="even" r:id="rId73"/>
          <w:footerReference w:type="default" r:id="rId74"/>
          <w:headerReference w:type="first" r:id="rId75"/>
          <w:footerReference w:type="first" r:id="rId76"/>
          <w:pgSz w:w="11906" w:h="16838"/>
          <w:pgMar w:top="1134" w:right="1134" w:bottom="1134" w:left="1134" w:header="709" w:footer="709" w:gutter="0"/>
          <w:cols w:space="708"/>
          <w:docGrid w:linePitch="360"/>
        </w:sectPr>
      </w:pPr>
      <w:r>
        <w:rPr>
          <w:noProof/>
        </w:rPr>
        <w:t>For further information in addition to the notes below, please also see the 2018 EU consolidated annual accounts.</w:t>
      </w:r>
      <w:bookmarkEnd w:id="26"/>
    </w:p>
    <w:p>
      <w:pPr>
        <w:pStyle w:val="HEADER1NOTES"/>
        <w:rPr>
          <w:noProof/>
          <w:lang w:val="fr-BE"/>
        </w:rPr>
      </w:pPr>
      <w:bookmarkStart w:id="29" w:name="_Toc11403250"/>
      <w:bookmarkStart w:id="30" w:name="_DMBM_14056"/>
      <w:r>
        <w:rPr>
          <w:noProof/>
          <w:lang w:val="fr-BE"/>
        </w:rPr>
        <w:t>SIGNIFICANT ACCOUNTING POLICIES</w:t>
      </w:r>
      <w:bookmarkEnd w:id="29"/>
    </w:p>
    <w:p>
      <w:pPr>
        <w:pStyle w:val="Textstand-alone"/>
        <w:spacing w:before="0" w:after="0"/>
      </w:pPr>
      <w:bookmarkStart w:id="31" w:name="DOC_TBL00002_1_1_0"/>
      <w:bookmarkStart w:id="32" w:name="DOC_TBL00001_1_1_0"/>
      <w:bookmarkEnd w:id="31"/>
      <w:bookmarkEnd w:id="32"/>
      <w:r>
        <w:t>The European Commission (hereinafter referred to as the Commission) applies the accounting policies of the European Union (hereinafter referred to as the EU). A summary of the significant EU accounting policies is given below.</w:t>
      </w:r>
    </w:p>
    <w:p>
      <w:pPr>
        <w:pStyle w:val="DGTextstand-alone"/>
        <w:spacing w:before="0" w:after="0"/>
        <w:sectPr>
          <w:headerReference w:type="even" r:id="rId77"/>
          <w:headerReference w:type="default" r:id="rId78"/>
          <w:footerReference w:type="even" r:id="rId79"/>
          <w:footerReference w:type="default" r:id="rId80"/>
          <w:headerReference w:type="first" r:id="rId81"/>
          <w:footerReference w:type="first" r:id="rId82"/>
          <w:pgSz w:w="11906" w:h="16838"/>
          <w:pgMar w:top="1134" w:right="1134" w:bottom="1134" w:left="1134" w:header="709" w:footer="709" w:gutter="0"/>
          <w:cols w:space="708"/>
          <w:docGrid w:linePitch="360"/>
        </w:sectPr>
      </w:pPr>
      <w:r>
        <w:t xml:space="preserve"> </w:t>
      </w:r>
      <w:bookmarkEnd w:id="30"/>
    </w:p>
    <w:p>
      <w:pPr>
        <w:pStyle w:val="HEADER2NOTES"/>
        <w:rPr>
          <w:noProof/>
          <w:lang w:val="fr-BE"/>
        </w:rPr>
      </w:pPr>
      <w:bookmarkStart w:id="33" w:name="_DMBM_14760"/>
      <w:r>
        <w:rPr>
          <w:noProof/>
          <w:lang w:val="fr-BE"/>
        </w:rPr>
        <w:t xml:space="preserve">LEGAL </w:t>
      </w:r>
      <w:r>
        <w:rPr>
          <w:noProof/>
        </w:rPr>
        <w:t>BASIS</w:t>
      </w:r>
      <w:r>
        <w:rPr>
          <w:noProof/>
          <w:lang w:val="fr-BE"/>
        </w:rPr>
        <w:t xml:space="preserve"> AND ACCOUNTING RULES</w:t>
      </w:r>
    </w:p>
    <w:p>
      <w:pPr>
        <w:pStyle w:val="DGTextstand-alone"/>
      </w:pPr>
      <w:r>
        <w:t>The accounts of the EU are kept in accordance with Regulation (EU, Euratom) No 1046/2018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 July 2018, p. 1) hereinafter referred to as the 'Financial Regulation' (FR).</w:t>
      </w:r>
    </w:p>
    <w:p>
      <w:pPr>
        <w:pStyle w:val="DGTextstand-alone"/>
      </w:pPr>
      <w:r>
        <w:t>In accordance with article 80 of the Financial Regulation, the EU prepares its financial statements on the basis of accrual-based accounting rules that are based on International Public Sector Accounting Standards (IPSAS). These accounting rules, adopted by the Accounting Officer of the Commission, have to be applied by all the institutions and EU bodies falling within the scope of consolidation in order to establish a uniform set of rules for accounting, valuation and presentation of the accounts with a view to harmonising the process for drawing up the financial statements and consolidation.</w:t>
      </w:r>
    </w:p>
    <w:p>
      <w:pPr>
        <w:pStyle w:val="HEADER5"/>
        <w:rPr>
          <w:noProof/>
        </w:rPr>
      </w:pPr>
      <w:r>
        <w:rPr>
          <w:noProof/>
        </w:rPr>
        <w:t>Application of new and amended European Union accounting rules (EAR)</w:t>
      </w:r>
    </w:p>
    <w:p>
      <w:pPr>
        <w:pStyle w:val="DGTextstand-alone"/>
        <w:rPr>
          <w:u w:val="single"/>
        </w:rPr>
      </w:pPr>
      <w:r>
        <w:rPr>
          <w:u w:val="single"/>
        </w:rPr>
        <w:t>Revised EAR which is effective for annual periods beginning on or after 1 January 2018</w:t>
      </w:r>
    </w:p>
    <w:p>
      <w:pPr>
        <w:pStyle w:val="DGTextstand-alone"/>
      </w:pPr>
      <w:r>
        <w:t>The following accounting rules, adopted by the Accounting Officer of the Commission, became mandatorily effective in the current year:</w:t>
      </w:r>
    </w:p>
    <w:p>
      <w:pPr>
        <w:pStyle w:val="DGTextstand-alone"/>
        <w:numPr>
          <w:ilvl w:val="0"/>
          <w:numId w:val="27"/>
        </w:numPr>
      </w:pPr>
      <w:r>
        <w:t>Revision of EAR 12 "Employee Benefits": The revised EAR 12 was adopted by the Accounting Officer in 2017 which is based on the new IPSAS 39 “Employee Benefits” published in July 2016. For the first application of the revised EAR 12 there were no significant impacts on the EU consolidated financial statements, aside from the recognition of any gain or loss resulting from changes in the actuarial assumptions, which under the revised EAR is recognised directly in net assets, in contrast with the previous requirement to recognise in surplus or deficit.</w:t>
      </w:r>
    </w:p>
    <w:p>
      <w:pPr>
        <w:pStyle w:val="DGTextstand-alone"/>
        <w:rPr>
          <w:u w:val="single"/>
        </w:rPr>
      </w:pPr>
      <w:r>
        <w:rPr>
          <w:u w:val="single"/>
        </w:rPr>
        <w:t>New EAR adopted but not yet effective at 31 December 2018</w:t>
      </w:r>
    </w:p>
    <w:p>
      <w:pPr>
        <w:pStyle w:val="DGTextstand-alone"/>
      </w:pPr>
      <w:r>
        <w:t>The EU has not applied the following new EAR, which have been adopted by the Accounting Officer of the Commission, but which is not yet effective:</w:t>
      </w:r>
    </w:p>
    <w:p>
      <w:pPr>
        <w:pStyle w:val="DGTextstand-alone"/>
        <w:numPr>
          <w:ilvl w:val="0"/>
          <w:numId w:val="27"/>
        </w:numPr>
      </w:pPr>
      <w:r>
        <w:t xml:space="preserve">New EAR 20 "Public Sector Combinations" (effective for annual periods beginning on or after 1 January 2019): The EAR 20, which is based on the IPSAS 40 "Public Sector Combinations", establishes the classification of a public sector combination into two different types depending on whether the transaction takes place under common control or not: (i) amalgamation, in which the transaction is based on the carrying amounts of the entity combined with the EU; and (ii) acquisition, in which the transaction is based on the acquisition date fair values of the entity acquired by the EU. Both have distinct requirements and levels of disclosure, in order to provide a better understanding of its effects to users of the financial statements of the EU. </w:t>
      </w:r>
    </w:p>
    <w:p>
      <w:pPr>
        <w:pStyle w:val="DGTextstand-alone"/>
        <w:ind w:left="340"/>
      </w:pPr>
      <w:r>
        <w:t>The impact on the EU financial statements in the year of initial application will depend on whether in that period the EU would enter into a public sector combination transaction.</w:t>
      </w:r>
    </w:p>
    <w:p>
      <w:pPr>
        <w:pStyle w:val="HEADER2NOTES"/>
        <w:keepNext/>
        <w:rPr>
          <w:noProof/>
        </w:rPr>
      </w:pPr>
      <w:r>
        <w:rPr>
          <w:noProof/>
        </w:rPr>
        <w:t>ACCOUNTING PRINCIPLES</w:t>
      </w:r>
    </w:p>
    <w:p>
      <w:pPr>
        <w:pStyle w:val="DGTextstand-alone"/>
      </w:pPr>
      <w:r>
        <w:t xml:space="preserve">The objective of financial statements is to provide information about the financial position, performance and cashflows of an entity that is useful to a wide range of users. For the EU as a public sector entity, the objectives are more specifically to provide information useful for decision making, and to demonstrate the accountability of the entity for the resources entrusted to it. It is with these goals in mind that the present document has been drawn up. </w:t>
      </w:r>
    </w:p>
    <w:p>
      <w:pPr>
        <w:pStyle w:val="DGTextstand-alone"/>
      </w:pPr>
      <w:r>
        <w:t>The overall considerations (or accounting principles) to be followed when preparing the financial statements are laid down in EU accounting rule 1 "Financial Statements" and are the same as those described in IPSAS 1: fair presentation, accrual basis, going concern, consistency of presentation, materiality, aggregation, offsetting and comparative information. The qualitative characteristics of financial reporting are relevance, faithful representation (reliability), understandability, timeliness, comparability and verifiability.</w:t>
      </w:r>
    </w:p>
    <w:p>
      <w:pPr>
        <w:pStyle w:val="HEADER2NOTES"/>
        <w:rPr>
          <w:noProof/>
        </w:rPr>
      </w:pPr>
      <w:r>
        <w:rPr>
          <w:noProof/>
        </w:rPr>
        <w:t>CONSOLIDATION</w:t>
      </w:r>
    </w:p>
    <w:p>
      <w:pPr>
        <w:pStyle w:val="HEADER5"/>
        <w:rPr>
          <w:b/>
          <w:noProof/>
        </w:rPr>
      </w:pPr>
      <w:r>
        <w:rPr>
          <w:noProof/>
        </w:rPr>
        <w:t>Scope of consolidation</w:t>
      </w:r>
    </w:p>
    <w:p>
      <w:pPr>
        <w:pStyle w:val="DGTextstand-alone"/>
      </w:pPr>
      <w:r>
        <w:t xml:space="preserve">The consolidated financial statements of the EU comprise all significant controlled entities (i.e. the EU institutions (including the Commission) and the EU agencies), associates and joint ventures. The complete list of consolidated entities can be found in note </w:t>
      </w:r>
      <w:r>
        <w:rPr>
          <w:b/>
        </w:rPr>
        <w:t>9</w:t>
      </w:r>
      <w:r>
        <w:t xml:space="preserve"> of the EU financial statements. It now comprises 52 controlled entities and 1 associate. Entities that fall under the consolidation scope, but which are immaterial to the EU consolidated financial statements as a whole, need not be consolidated or accounted for using equity method where to do so would result in excessive time or cost to the EU. Those entities are referred to as 'Minor entities' and are separately listed in note </w:t>
      </w:r>
      <w:r>
        <w:rPr>
          <w:b/>
        </w:rPr>
        <w:t>9</w:t>
      </w:r>
      <w:r>
        <w:t>. In 2018, 7 entities have been classified as minor entities.</w:t>
      </w:r>
    </w:p>
    <w:p>
      <w:pPr>
        <w:pStyle w:val="HEADER5"/>
        <w:rPr>
          <w:b/>
          <w:noProof/>
        </w:rPr>
      </w:pPr>
      <w:r>
        <w:rPr>
          <w:noProof/>
        </w:rPr>
        <w:t>Controlled entities</w:t>
      </w:r>
    </w:p>
    <w:p>
      <w:pPr>
        <w:pStyle w:val="DGTextstand-alone"/>
        <w:spacing w:after="0"/>
      </w:pPr>
      <w:r>
        <w:t>The decision to include an entity in the scope of consolidation is based on the control concept. Controlled entities are all entities for which the EU is exposed, or has right, to variable benefits from its involvement and has the ability to affect the nature and amount of those benefits through its power over the other entity. This power must be presently exercisable and must relate to the relevant activities of the entity. Controlled entities are fully consolidated. The consolidation begins at the first date on which control exists, and ends when such control no longer exists.</w:t>
      </w:r>
    </w:p>
    <w:p>
      <w:pPr>
        <w:pStyle w:val="DGTextstand-alone"/>
      </w:pPr>
      <w:r>
        <w:t>The most common indicators of control within the EU are: creation of the entity through founding treaties or secondary legislation, financing of the entity from the EU budget, the existence of voting rights in the governing bodies, audit by the European Court of Auditors and discharge by the European Parliament. An individual assessment for each entity is made in order to decide whether one or all of the criteria listed above are sufficient to result in control.</w:t>
      </w:r>
    </w:p>
    <w:p>
      <w:pPr>
        <w:pStyle w:val="DGTextstand-alone"/>
      </w:pPr>
      <w:r>
        <w:t xml:space="preserve">Under this approach, the EU's institutions (except the European Central Bank) and agencies (excluding the agencies of the former 2nd pillar) are considered as under the exclusive control of the EU and are therefore included in the consolidation scope. Furthermore the European Coal and Steel Community (ECSC) in Liquidation is also considered as a controlled entity. </w:t>
      </w:r>
    </w:p>
    <w:p>
      <w:pPr>
        <w:pStyle w:val="DGTextstand-alone"/>
      </w:pPr>
      <w:r>
        <w:t>All material "inter-entity transactions and balances" between EU controlled entities are eliminated, while unrealised gains and losses on such transactions are not material and so have not been eliminated.</w:t>
      </w:r>
    </w:p>
    <w:p>
      <w:pPr>
        <w:pStyle w:val="HEADER5"/>
        <w:rPr>
          <w:b/>
          <w:noProof/>
        </w:rPr>
      </w:pPr>
      <w:r>
        <w:rPr>
          <w:noProof/>
        </w:rPr>
        <w:t>Joint Arrangements</w:t>
      </w:r>
    </w:p>
    <w:p>
      <w:pPr>
        <w:pStyle w:val="DGTextstand-alone"/>
      </w:pPr>
      <w:r>
        <w:t xml:space="preserve">A joint arrangement is an agreement over which the EU and one or more parties have joint control. Joint control is contractually agreed sharing of control over an arrangement, which exists only when decisions about the relevant activities require the unanimous consent of parties sharing control. Joint agreements can be either joint operations or joint ventures. In case a joint arrangement is structured through a separate vehicle and parties to the joint arrangement have rights to the net assets of the arrangement, this joint arrangement classifies as a joint venture. Participations in joint ventures are accounted for using the equity method (see note </w:t>
      </w:r>
      <w:r>
        <w:rPr>
          <w:b/>
        </w:rPr>
        <w:t>1.5.4</w:t>
      </w:r>
      <w:r>
        <w:t>). In case the parties have rights to the assets, and obligations for the liabilities, related to the arrangement, this joint arrangement is classified as a joint operation. In relation to its interest in joint operations, the EU recognises in its financial statements: its assets and liabilities, revenue and expense, as well as its share of assets, liabilities, revenue and expense held or incurred jointly.</w:t>
      </w:r>
    </w:p>
    <w:p>
      <w:pPr>
        <w:pStyle w:val="HEADER5"/>
        <w:rPr>
          <w:b/>
          <w:noProof/>
        </w:rPr>
      </w:pPr>
      <w:r>
        <w:rPr>
          <w:noProof/>
        </w:rPr>
        <w:t>Associates</w:t>
      </w:r>
    </w:p>
    <w:p>
      <w:pPr>
        <w:pStyle w:val="DGTextstand-alone"/>
      </w:pPr>
      <w:r>
        <w:t xml:space="preserve">Associates are entities over which the EU has, directly or indirectly, significant influence but not control. It is presumed that significant influence exists if the EU holds directly or indirectly 20 % or more of the voting rights. Participations in associates are accounted for using the equity method (see note </w:t>
      </w:r>
      <w:r>
        <w:rPr>
          <w:b/>
        </w:rPr>
        <w:t>1.5.4</w:t>
      </w:r>
      <w:r>
        <w:t>).</w:t>
      </w:r>
    </w:p>
    <w:p>
      <w:pPr>
        <w:pStyle w:val="HEADER5"/>
        <w:rPr>
          <w:b/>
          <w:noProof/>
        </w:rPr>
      </w:pPr>
      <w:r>
        <w:rPr>
          <w:noProof/>
        </w:rPr>
        <w:t>Non-consolidated entities the funds of which are managed by the Commission</w:t>
      </w:r>
    </w:p>
    <w:p>
      <w:pPr>
        <w:pStyle w:val="DGTextstand-alone"/>
      </w:pPr>
      <w:r>
        <w:t>The funds of the Joint Sickness Insurance Scheme for staff of the EU, the European Development Fund and the Participants Guarantee Fund are managed by the Commission on their behalf. However, since these entities are not controlled by the EU, they are not consolidated in its financial statements.</w:t>
      </w:r>
    </w:p>
    <w:p>
      <w:pPr>
        <w:pStyle w:val="HEADER2NOTES"/>
        <w:rPr>
          <w:noProof/>
        </w:rPr>
      </w:pPr>
      <w:r>
        <w:rPr>
          <w:noProof/>
        </w:rPr>
        <w:t>BASIS OF PREPARATION</w:t>
      </w:r>
    </w:p>
    <w:p>
      <w:pPr>
        <w:pStyle w:val="DGTextstand-alone"/>
      </w:pPr>
      <w:r>
        <w:t>Financial statements are presented annually. The accounting year begins on 1 January and ends on 31 December.</w:t>
      </w:r>
    </w:p>
    <w:p>
      <w:pPr>
        <w:pStyle w:val="HEADER3NOTES"/>
        <w:rPr>
          <w:noProof/>
        </w:rPr>
      </w:pPr>
      <w:r>
        <w:rPr>
          <w:noProof/>
        </w:rPr>
        <w:t>Currency and basis for conversion</w:t>
      </w:r>
    </w:p>
    <w:p>
      <w:pPr>
        <w:pStyle w:val="HEADER5"/>
        <w:rPr>
          <w:b/>
          <w:noProof/>
        </w:rPr>
      </w:pPr>
      <w:r>
        <w:rPr>
          <w:noProof/>
        </w:rPr>
        <w:t>Functional and reporting currency</w:t>
      </w:r>
    </w:p>
    <w:p>
      <w:pPr>
        <w:pStyle w:val="DGTextstand-alone"/>
      </w:pPr>
      <w:r>
        <w:t>The financial statements are presented in millions of euros, unless stated otherwise, the euro being the EU's functional and reporting currency.</w:t>
      </w:r>
    </w:p>
    <w:p>
      <w:pPr>
        <w:pStyle w:val="HEADER5"/>
        <w:rPr>
          <w:b/>
          <w:noProof/>
        </w:rPr>
      </w:pPr>
      <w:r>
        <w:rPr>
          <w:noProof/>
        </w:rPr>
        <w:t>Transactions and balances</w:t>
      </w:r>
    </w:p>
    <w:p>
      <w:pPr>
        <w:pStyle w:val="DGTextstand-alone"/>
        <w:spacing w:after="0"/>
      </w:pPr>
      <w:r>
        <w:t>Foreign currency transactions are translated into euros using the exchange rates prevailing at the dates of the transactions. Foreign exchange gains and losses resulting from the settlement of foreign currency transactions and from the re-translation at year-end exchange rates of monetary assets and liabilities denominated in foreign currencies are recognised in the statement of financial performance. Translation differences on non-monetary financial instruments classified as available for sale financial assets are included in the fair value reserve.</w:t>
      </w:r>
    </w:p>
    <w:p>
      <w:pPr>
        <w:pStyle w:val="DGTextstand-alone"/>
      </w:pPr>
      <w:r>
        <w:t>Different conversion methods apply to property, plant and equipment and intangible assets, which retain their value in euros at the rate that applied at the date when they were purchased.</w:t>
      </w:r>
    </w:p>
    <w:p>
      <w:pPr>
        <w:pStyle w:val="DGTextstand-alone"/>
      </w:pPr>
      <w:r>
        <w:t>Year-end balances of monetary assets and liabilities denominated in foreign currencies are converted into euros on the basis of the European Central Bank (ECB) exchange rates applying on 31 December:</w:t>
      </w:r>
    </w:p>
    <w:p>
      <w:pPr>
        <w:pStyle w:val="HEADER5"/>
        <w:rPr>
          <w:b/>
          <w:noProof/>
        </w:rPr>
      </w:pPr>
      <w:r>
        <w:rPr>
          <w:noProof/>
        </w:rPr>
        <w:t>Euro exchange rates</w:t>
      </w:r>
    </w:p>
    <w:p>
      <w:pPr>
        <w:pStyle w:val="DGTextstand-alone"/>
        <w:spacing w:before="0" w:after="0"/>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25"/>
        <w:gridCol w:w="1624"/>
        <w:gridCol w:w="1625"/>
        <w:gridCol w:w="1624"/>
        <w:gridCol w:w="1625"/>
      </w:tblGrid>
      <w:tr>
        <w:tc>
          <w:tcPr>
            <w:tcW w:w="1624"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Left"/>
              <w:rPr>
                <w:rFonts w:eastAsia="Verdana" w:cs="Verdana"/>
                <w:lang w:bidi="en-GB"/>
              </w:rPr>
            </w:pPr>
            <w:bookmarkStart w:id="34" w:name="DOC_TBL00005_1_1"/>
            <w:bookmarkEnd w:id="34"/>
            <w:r>
              <w:rPr>
                <w:rFonts w:eastAsia="Verdana" w:cs="Verdana"/>
                <w:lang w:bidi="en-GB"/>
              </w:rPr>
              <w:t>Currency</w:t>
            </w:r>
          </w:p>
        </w:tc>
        <w:tc>
          <w:tcPr>
            <w:tcW w:w="1625"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31.12.2018</w:t>
            </w:r>
          </w:p>
        </w:tc>
        <w:tc>
          <w:tcPr>
            <w:tcW w:w="1624"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31.12.2017</w:t>
            </w:r>
          </w:p>
        </w:tc>
        <w:tc>
          <w:tcPr>
            <w:tcW w:w="1625"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Currency</w:t>
            </w:r>
          </w:p>
        </w:tc>
        <w:tc>
          <w:tcPr>
            <w:tcW w:w="1624"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31.12.2018</w:t>
            </w:r>
          </w:p>
        </w:tc>
        <w:tc>
          <w:tcPr>
            <w:tcW w:w="1625"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31.12.2017</w:t>
            </w:r>
          </w:p>
        </w:tc>
      </w:tr>
      <w:tr>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025"/>
              <w:ind w:left="0"/>
              <w:rPr>
                <w:rFonts w:eastAsia="Verdana" w:cs="Verdana"/>
                <w:lang w:bidi="en-GB"/>
              </w:rPr>
            </w:pPr>
            <w:r>
              <w:rPr>
                <w:rFonts w:eastAsia="Verdana" w:cs="Verdana"/>
                <w:lang w:bidi="en-GB"/>
              </w:rPr>
              <w:t>BGN</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1.9558</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1.9558</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PLN</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4.3014</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4.177</w:t>
            </w:r>
          </w:p>
        </w:tc>
      </w:tr>
      <w:tr>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025"/>
              <w:ind w:left="0"/>
              <w:rPr>
                <w:rFonts w:eastAsia="Verdana" w:cs="Verdana"/>
                <w:lang w:bidi="en-GB"/>
              </w:rPr>
            </w:pPr>
            <w:r>
              <w:rPr>
                <w:rFonts w:eastAsia="Verdana" w:cs="Verdana"/>
                <w:lang w:bidi="en-GB"/>
              </w:rPr>
              <w:t>CZK</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25.7240</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25.5350</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RON</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4.6635</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4.6585</w:t>
            </w:r>
          </w:p>
        </w:tc>
      </w:tr>
      <w:tr>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025"/>
              <w:ind w:left="0"/>
              <w:rPr>
                <w:rFonts w:eastAsia="Verdana" w:cs="Verdana"/>
                <w:lang w:bidi="en-GB"/>
              </w:rPr>
            </w:pPr>
            <w:r>
              <w:rPr>
                <w:rFonts w:eastAsia="Verdana" w:cs="Verdana"/>
                <w:lang w:bidi="en-GB"/>
              </w:rPr>
              <w:t>DKK</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7.4673</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7.4449</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SEK</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10.2548</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9.8438</w:t>
            </w:r>
          </w:p>
        </w:tc>
      </w:tr>
      <w:tr>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025"/>
              <w:ind w:left="0"/>
              <w:rPr>
                <w:rFonts w:eastAsia="Verdana" w:cs="Verdana"/>
                <w:lang w:bidi="en-GB"/>
              </w:rPr>
            </w:pPr>
            <w:r>
              <w:rPr>
                <w:rFonts w:eastAsia="Verdana" w:cs="Verdana"/>
                <w:lang w:bidi="en-GB"/>
              </w:rPr>
              <w:t>GBP</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0.8945</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0.8872</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CHF</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1.1269</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1.1702</w:t>
            </w:r>
          </w:p>
        </w:tc>
      </w:tr>
      <w:tr>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025"/>
              <w:ind w:left="0"/>
              <w:rPr>
                <w:rFonts w:eastAsia="Verdana" w:cs="Verdana"/>
                <w:lang w:bidi="en-GB"/>
              </w:rPr>
            </w:pPr>
            <w:r>
              <w:rPr>
                <w:rFonts w:eastAsia="Verdana" w:cs="Verdana"/>
                <w:lang w:bidi="en-GB"/>
              </w:rPr>
              <w:t>HRK</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7.4125</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7.4400</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JPY</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125.8500</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135.01</w:t>
            </w:r>
          </w:p>
        </w:tc>
      </w:tr>
      <w:tr>
        <w:tc>
          <w:tcPr>
            <w:tcW w:w="162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025"/>
              <w:ind w:left="0"/>
              <w:rPr>
                <w:rFonts w:eastAsia="Verdana" w:cs="Verdana"/>
                <w:lang w:bidi="en-GB"/>
              </w:rPr>
            </w:pPr>
            <w:r>
              <w:rPr>
                <w:rFonts w:eastAsia="Verdana" w:cs="Verdana"/>
                <w:lang w:bidi="en-GB"/>
              </w:rPr>
              <w:t>HUF</w:t>
            </w:r>
          </w:p>
        </w:tc>
        <w:tc>
          <w:tcPr>
            <w:tcW w:w="162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320.9800</w:t>
            </w:r>
          </w:p>
        </w:tc>
        <w:tc>
          <w:tcPr>
            <w:tcW w:w="162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310.3300</w:t>
            </w:r>
          </w:p>
        </w:tc>
        <w:tc>
          <w:tcPr>
            <w:tcW w:w="162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USD</w:t>
            </w:r>
          </w:p>
        </w:tc>
        <w:tc>
          <w:tcPr>
            <w:tcW w:w="162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1.145</w:t>
            </w:r>
          </w:p>
        </w:tc>
        <w:tc>
          <w:tcPr>
            <w:tcW w:w="162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1.1993</w:t>
            </w:r>
          </w:p>
        </w:tc>
      </w:tr>
    </w:tbl>
    <w:p>
      <w:pPr>
        <w:pStyle w:val="DGTextstand-alone"/>
        <w:spacing w:before="0" w:after="0"/>
        <w:rPr>
          <w:lang w:bidi="en-GB"/>
        </w:rPr>
      </w:pPr>
    </w:p>
    <w:p>
      <w:pPr>
        <w:pStyle w:val="HEADER3NOTES"/>
        <w:keepNext/>
        <w:rPr>
          <w:noProof/>
        </w:rPr>
      </w:pPr>
      <w:r>
        <w:rPr>
          <w:noProof/>
        </w:rPr>
        <w:t>Use of estimates</w:t>
      </w:r>
    </w:p>
    <w:p>
      <w:pPr>
        <w:pStyle w:val="DGTextstand-alone"/>
      </w:pPr>
      <w:r>
        <w:t>In accordance with IPSAS and generally accepted accounting principles, the financial statements necessarily include amounts based on estimates and assumptions by management based on the most reliable information available. Significant estimates include, but are not limited to: amounts for employee benefit liabilities, provisions, financial risk on inventories and accounts receivable, accrued revenue and charges, contingent assets and liabilities, degree of impairment of intangible assets and property, plant and equipment and amounts disclosed in the notes concerning financial instruments. Actual results could differ from those estimates. Changes in estimates are reflected in the period in which they become known.</w:t>
      </w:r>
    </w:p>
    <w:p>
      <w:pPr>
        <w:rPr>
          <w:rFonts w:ascii="Verdana" w:hAnsi="Verdana"/>
          <w:b/>
          <w:noProof/>
          <w:color w:val="016794"/>
          <w:sz w:val="28"/>
          <w:szCs w:val="28"/>
        </w:rPr>
      </w:pPr>
      <w:r>
        <w:rPr>
          <w:noProof/>
        </w:rPr>
        <w:br w:type="page"/>
      </w:r>
    </w:p>
    <w:p>
      <w:pPr>
        <w:pStyle w:val="HEADER2NOTES"/>
        <w:rPr>
          <w:noProof/>
        </w:rPr>
      </w:pPr>
      <w:r>
        <w:rPr>
          <w:noProof/>
        </w:rPr>
        <w:t>BALANCE SHEET</w:t>
      </w:r>
    </w:p>
    <w:p>
      <w:pPr>
        <w:pStyle w:val="HEADER3NOTES"/>
        <w:rPr>
          <w:noProof/>
        </w:rPr>
      </w:pPr>
      <w:r>
        <w:rPr>
          <w:noProof/>
        </w:rPr>
        <w:t>Intangible assets</w:t>
      </w:r>
    </w:p>
    <w:p>
      <w:pPr>
        <w:pStyle w:val="DGTextstand-alone"/>
      </w:pPr>
      <w:r>
        <w:t>Acquired computer software licences are stated at historical cost less accumulated amortisation and impairment losses. The assets are amortised on a straight-line basis over their estimated useful lives (3</w:t>
      </w:r>
      <w:r>
        <w:noBreakHyphen/>
        <w:t>11 years). The estimated useful lives of intangible assets depend on their specific economic lifetime or legal lifetime determined by an agreement. Internally developed intangible assets are capitalised when the relevant criteria of the EU accounting rules are met and the expenses relate solely to the development phase of the asset. The costs capitalisable include all directly attributable costs necessary to create, produce, and prepare the asset to be capable of operating in the manner intended by management. Costs associated with research activities, non-capitalisable development costs and maintenance costs are recognised as expenses as incurred.</w:t>
      </w:r>
      <w:r>
        <w:tab/>
      </w:r>
    </w:p>
    <w:p>
      <w:pPr>
        <w:pStyle w:val="HEADER3NOTES"/>
        <w:rPr>
          <w:noProof/>
        </w:rPr>
      </w:pPr>
      <w:r>
        <w:rPr>
          <w:noProof/>
        </w:rPr>
        <w:t>Property, plant and equipment</w:t>
      </w:r>
    </w:p>
    <w:p>
      <w:pPr>
        <w:pStyle w:val="DGTextstand-alone"/>
      </w:pPr>
      <w:r>
        <w:t>All property, plant and equipment are stated at historical cost less accumulated depreciation and impairment losses. Cost includes expenditure that is directly attributable to the acquisition, construction or transfer of the asset.</w:t>
      </w:r>
    </w:p>
    <w:p>
      <w:pPr>
        <w:pStyle w:val="DGTextstand-alone"/>
        <w:spacing w:after="0"/>
      </w:pPr>
      <w:r>
        <w:t>Subsequent costs are included in the asset’s carrying amount or recognised as a separate asset, as appropriate, only when it is probable that future economic benefits or service potential associated with the item will flow to the EU and its cost can be measured reliably. Repairs and maintenance costs are charged to the statement of financial performance during the financial period in which they are incurred.</w:t>
      </w:r>
    </w:p>
    <w:p>
      <w:pPr>
        <w:pStyle w:val="DGTextstand-alone"/>
      </w:pPr>
      <w:r>
        <w:t>Land and works of art are not depreciated as they are deemed to have an indefinite useful life. Assets under construction are not depreciated as these assets are not yet available for use. Depreciation on other assets is calculated using the straight-line method to allocate their cost less their residual values over their estimated useful lives,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969"/>
      </w:tblGrid>
      <w:tr>
        <w:tc>
          <w:tcPr>
            <w:tcW w:w="5778"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Left"/>
              <w:rPr>
                <w:rFonts w:eastAsia="Verdana" w:cs="Verdana"/>
                <w:lang w:bidi="en-GB"/>
              </w:rPr>
            </w:pPr>
            <w:bookmarkStart w:id="35" w:name="DOC_TBL00006_1_1"/>
            <w:bookmarkEnd w:id="35"/>
            <w:r>
              <w:rPr>
                <w:rFonts w:eastAsia="Verdana" w:cs="Verdana"/>
                <w:lang w:bidi="en-GB"/>
              </w:rPr>
              <w:t>Type of asset</w:t>
            </w:r>
          </w:p>
        </w:tc>
        <w:tc>
          <w:tcPr>
            <w:tcW w:w="3969" w:type="dxa"/>
            <w:tcBorders>
              <w:top w:val="nil"/>
              <w:left w:val="nil"/>
              <w:bottom w:val="single" w:sz="4" w:space="0" w:color="016794"/>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Straight line depreciation rate</w:t>
            </w:r>
          </w:p>
        </w:tc>
      </w:tr>
      <w:tr>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Buildings</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Centered"/>
              <w:rPr>
                <w:rFonts w:eastAsia="Verdana" w:cs="Verdana"/>
                <w:lang w:bidi="en-GB"/>
              </w:rPr>
            </w:pPr>
            <w:r>
              <w:rPr>
                <w:rFonts w:eastAsia="Verdana" w:cs="Verdana"/>
                <w:lang w:bidi="en-GB"/>
              </w:rPr>
              <w:t>4 % to 10 %</w:t>
            </w:r>
          </w:p>
        </w:tc>
      </w:tr>
      <w:tr>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Space assets</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Centered"/>
              <w:rPr>
                <w:rFonts w:eastAsia="Verdana" w:cs="Verdana"/>
                <w:lang w:bidi="en-GB"/>
              </w:rPr>
            </w:pPr>
            <w:r>
              <w:rPr>
                <w:rFonts w:eastAsia="Verdana" w:cs="Verdana"/>
                <w:lang w:bidi="en-GB"/>
              </w:rPr>
              <w:t>8 % to 25 %</w:t>
            </w:r>
          </w:p>
        </w:tc>
      </w:tr>
      <w:tr>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Plant and equipment</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Centered"/>
              <w:rPr>
                <w:rFonts w:eastAsia="Verdana" w:cs="Verdana"/>
                <w:lang w:bidi="en-GB"/>
              </w:rPr>
            </w:pPr>
            <w:r>
              <w:rPr>
                <w:rFonts w:eastAsia="Verdana" w:cs="Verdana"/>
                <w:lang w:bidi="en-GB"/>
              </w:rPr>
              <w:t>10 % to 25 %</w:t>
            </w:r>
          </w:p>
        </w:tc>
      </w:tr>
      <w:tr>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Furniture and vehicles</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Centered"/>
              <w:rPr>
                <w:rFonts w:eastAsia="Verdana" w:cs="Verdana"/>
                <w:lang w:bidi="en-GB"/>
              </w:rPr>
            </w:pPr>
            <w:r>
              <w:rPr>
                <w:rFonts w:eastAsia="Verdana" w:cs="Verdana"/>
                <w:lang w:bidi="en-GB"/>
              </w:rPr>
              <w:t>0 % to 25 %</w:t>
            </w:r>
          </w:p>
        </w:tc>
      </w:tr>
      <w:tr>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Computer hardware</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Centered"/>
              <w:rPr>
                <w:rFonts w:eastAsia="Verdana" w:cs="Verdana"/>
                <w:lang w:bidi="en-GB"/>
              </w:rPr>
            </w:pPr>
            <w:r>
              <w:rPr>
                <w:rFonts w:eastAsia="Verdana" w:cs="Verdana"/>
                <w:lang w:bidi="en-GB"/>
              </w:rPr>
              <w:t>25 % to 33 %</w:t>
            </w:r>
          </w:p>
        </w:tc>
      </w:tr>
      <w:tr>
        <w:tc>
          <w:tcPr>
            <w:tcW w:w="5778"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396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Centered"/>
              <w:rPr>
                <w:rFonts w:eastAsia="Verdana" w:cs="Verdana"/>
                <w:lang w:bidi="en-GB"/>
              </w:rPr>
            </w:pPr>
            <w:r>
              <w:rPr>
                <w:rFonts w:eastAsia="Verdana" w:cs="Verdana"/>
                <w:lang w:bidi="en-GB"/>
              </w:rPr>
              <w:t>10 % to 33 %</w:t>
            </w:r>
          </w:p>
        </w:tc>
      </w:tr>
    </w:tbl>
    <w:p>
      <w:pPr>
        <w:pStyle w:val="DGTextstand-alone"/>
      </w:pPr>
      <w:r>
        <w:t>Gains or losses on disposals are determined by comparing proceeds less selling expenses with the carrying amount of the disposed asset and are included in the statement of financial performance.</w:t>
      </w:r>
    </w:p>
    <w:p>
      <w:pPr>
        <w:pStyle w:val="HEADER5"/>
        <w:keepNext/>
        <w:rPr>
          <w:b/>
          <w:noProof/>
        </w:rPr>
      </w:pPr>
      <w:r>
        <w:rPr>
          <w:noProof/>
        </w:rPr>
        <w:t>Leases</w:t>
      </w:r>
    </w:p>
    <w:p>
      <w:pPr>
        <w:pStyle w:val="DGTextstand-alone"/>
      </w:pPr>
      <w:r>
        <w:t xml:space="preserve">Leases of tangible assets, where the EU has substantially all the risks and rewards of ownership, are classified as finance leases. Finance leases are capitalised at the lease’s commencement at the lower of the fair value of the leased asset and the present value of the minimum lease payments. The interest element of the finance lease payment is </w:t>
      </w:r>
      <w:r>
        <w:rPr>
          <w:color w:val="000000" w:themeColor="text1"/>
        </w:rPr>
        <w:t xml:space="preserve">charged to expenditure </w:t>
      </w:r>
      <w:r>
        <w:t>over the period of the lease at a constant periodic rate in relation to the balance outstanding. The rental obligations, net of finance charges, are included in financial liabilities (non-current and current). The interest element of the finance cost is charged to the statement of financial performance over the lease period so as to produce a constant periodic interest rate on the remaining balance of the liability for each period. The assets held under finance leases are depreciated over the shorter of the asset's useful life and the lease term.</w:t>
      </w:r>
    </w:p>
    <w:p>
      <w:pPr>
        <w:pStyle w:val="DGTextstand-alone"/>
      </w:pPr>
      <w:r>
        <w:t>Leases where the lessor retains a significant portion of the risks and rewards inherent to ownership are classified as operating leases. Operating lease payments are recognised as an expense in the statement of financial performance on a straight-line basis over the lease term.</w:t>
      </w:r>
    </w:p>
    <w:p>
      <w:pPr>
        <w:rPr>
          <w:rFonts w:ascii="Verdana" w:hAnsi="Verdana"/>
          <w:noProof/>
          <w:color w:val="016794"/>
          <w:sz w:val="20"/>
          <w:szCs w:val="20"/>
        </w:rPr>
      </w:pPr>
      <w:r>
        <w:rPr>
          <w:noProof/>
        </w:rPr>
        <w:br w:type="page"/>
      </w:r>
    </w:p>
    <w:p>
      <w:pPr>
        <w:pStyle w:val="HEADER3NOTES"/>
        <w:rPr>
          <w:noProof/>
        </w:rPr>
      </w:pPr>
      <w:r>
        <w:rPr>
          <w:noProof/>
        </w:rPr>
        <w:t>Impairment of non-financial assets</w:t>
      </w:r>
    </w:p>
    <w:p>
      <w:pPr>
        <w:pStyle w:val="DGTextstand-alone"/>
      </w:pPr>
      <w:r>
        <w:t>Assets that have an indefinite useful life are not subject to amortisation/depreciation and are tested annually for impairment. Assets that are subject to amortisation/depreciation are reviewed for impairment whenever events or changes in circumstances indicate that the carrying amount may not be recoverable. An impairment loss is recognised for the amount by which the asset’s carrying amount exceeds its recoverable (service) amount. The recoverable (service) amount is the higher of an asset’s fair value less costs to sell and its value in use.</w:t>
      </w:r>
    </w:p>
    <w:p>
      <w:pPr>
        <w:pStyle w:val="DGTextstand-alone"/>
      </w:pPr>
      <w:r>
        <w:t>Intangible assets and property, plant and equipment residual values and useful lives are reviewed, and adjusted if appropriate, at least once per year. An asset’s carrying amount is written down immediately to its recoverable (service) amount if the asset’s carrying amount is greater than its estimated recoverable (service) amount. If the reasons for impairments recognised in previous years no longer apply, the impairment losses are reversed accordingly.</w:t>
      </w:r>
    </w:p>
    <w:p>
      <w:pPr>
        <w:pStyle w:val="HEADER3NOTES"/>
        <w:rPr>
          <w:noProof/>
        </w:rPr>
      </w:pPr>
      <w:r>
        <w:rPr>
          <w:noProof/>
        </w:rPr>
        <w:t>Investments accounted for using the equity method</w:t>
      </w:r>
    </w:p>
    <w:p>
      <w:pPr>
        <w:pStyle w:val="HEADER5"/>
        <w:rPr>
          <w:b/>
          <w:noProof/>
        </w:rPr>
      </w:pPr>
      <w:r>
        <w:rPr>
          <w:noProof/>
        </w:rPr>
        <w:t>Participations in associates and joint ventures</w:t>
      </w:r>
    </w:p>
    <w:p>
      <w:pPr>
        <w:pStyle w:val="DGTextstand-alone"/>
      </w:pPr>
      <w:r>
        <w:t>Investments accounted for using the equity method are initially recognised at cost, being the carrying amount subsequently increased or decreased to recognise the EU’s share of the surplus or deficit of the investee after the date of acquisition. The EU's share of the investee’s surplus or deficit is recognised in the statement of financial performance, and its share of investee’s movements in equity is recognised in the reserves within net assets. The initial cost together with all movements (further contributions, share of economic results and reserve movements, impairments and dividends) give the book value of the investment in the financial statements at the balance sheet date. Distributions received from the investment reduce the carrying amount of the asset.</w:t>
      </w:r>
    </w:p>
    <w:p>
      <w:pPr>
        <w:pStyle w:val="DGTextstand-alone"/>
      </w:pPr>
      <w:r>
        <w:t>If the EU's share of deficits of an investment accounted for using the equity method equals or exceeds its interest in the investment, the EU discontinues recognising its share of further losses ("unrecognised losses"). After the EU's interest is reduced to zero, additional losses are provided for and a liability is recognised only to the extent that the EU has incurred legal or constructive obligation or made payments on behalf of the entity.</w:t>
      </w:r>
    </w:p>
    <w:p>
      <w:pPr>
        <w:pStyle w:val="DGTextstand-alone"/>
      </w:pPr>
      <w:r>
        <w:t xml:space="preserve">If there are indications of impairment, a write-down to the lower recoverable amount is necessary. The recoverable amount is determined as described under note </w:t>
      </w:r>
      <w:r>
        <w:rPr>
          <w:b/>
          <w:bCs/>
        </w:rPr>
        <w:t>1.5.3</w:t>
      </w:r>
      <w:r>
        <w:t>. If the reason for impairment ceases to apply at a later date, the impairment loss is reversed to the carrying amount that would have been determined had no impairment loss been recognised.</w:t>
      </w:r>
    </w:p>
    <w:p>
      <w:pPr>
        <w:pStyle w:val="DGTextstand-alone"/>
      </w:pPr>
      <w:r>
        <w:t>In cases where the EU holds 20 % or more of an investment capital fund, it does not seek to exert significant influence. Such funds are therefore treated as financial instruments and categorised as available for sale financial assets.</w:t>
      </w:r>
    </w:p>
    <w:p>
      <w:pPr>
        <w:pStyle w:val="DGTextstand-alone"/>
      </w:pPr>
      <w:r>
        <w:t xml:space="preserve">Associates and joint ventures classified as minor entities are not accounted for under the equity method. EU contributions to those entities are accounted for as an expense of the period. </w:t>
      </w:r>
    </w:p>
    <w:p>
      <w:pPr>
        <w:pStyle w:val="HEADER3NOTES"/>
        <w:keepNext/>
        <w:rPr>
          <w:noProof/>
        </w:rPr>
      </w:pPr>
      <w:r>
        <w:rPr>
          <w:noProof/>
        </w:rPr>
        <w:t>Financial assets</w:t>
      </w:r>
    </w:p>
    <w:p>
      <w:pPr>
        <w:pStyle w:val="HEADER5"/>
        <w:rPr>
          <w:b/>
          <w:noProof/>
        </w:rPr>
      </w:pPr>
      <w:r>
        <w:rPr>
          <w:noProof/>
        </w:rPr>
        <w:t>Classification</w:t>
      </w:r>
    </w:p>
    <w:p>
      <w:pPr>
        <w:pStyle w:val="DGTextstand-alone"/>
      </w:pPr>
      <w:r>
        <w:t>The EU classifies their financial assets in the following categories: financial assets at fair value through surplus or deficit; loans and receivables; held-to-maturity investments; and available for sale financial assets. The classification of financial instruments is determined at initial recognition and re-evaluated at each balance sheet date.</w:t>
      </w:r>
    </w:p>
    <w:p>
      <w:pPr>
        <w:pStyle w:val="TextSubtitlenumberingRCItalic"/>
        <w:rPr>
          <w:noProof/>
        </w:rPr>
      </w:pPr>
      <w:r>
        <w:rPr>
          <w:noProof/>
        </w:rPr>
        <w:t>Financial assets at fair value through surplus or deficit</w:t>
      </w:r>
    </w:p>
    <w:p>
      <w:pPr>
        <w:pStyle w:val="DGTextstand-alone"/>
      </w:pPr>
      <w:r>
        <w:t>A financial asset is classified in this category if acquired principally for the purpose of selling in the short term or if so designated by the entity. Derivatives are also categorised in this category. Assets in this category are classified as current assets if they are expected to be realised within 12 months of the balance sheet date.</w:t>
      </w:r>
    </w:p>
    <w:p>
      <w:pPr>
        <w:pStyle w:val="TextSubtitlenumberingRCItalic"/>
        <w:keepNext/>
        <w:rPr>
          <w:noProof/>
        </w:rPr>
      </w:pPr>
      <w:r>
        <w:rPr>
          <w:noProof/>
        </w:rPr>
        <w:t>Loans and receivables</w:t>
      </w:r>
    </w:p>
    <w:p>
      <w:pPr>
        <w:pStyle w:val="DGTextstand-alone"/>
      </w:pPr>
      <w:r>
        <w:t>Loans and receivables are non-derivative financial assets with fixed or determinable payments that are not quoted in an active market. They arise when the EU provides money, goods or services directly to a debtor with no intention of trading the receivable, or in case the EU is subrogated to the rights of the original lender following a payment made by the EU under a guarantee contract. Payments due within 12 months of the balance sheet date are classified as current assets. Payments due after 12 months from the balance sheet date are classified as non-current assets. Loans and receivables include term deposits with the original maturity above three months.</w:t>
      </w:r>
    </w:p>
    <w:p>
      <w:pPr>
        <w:pStyle w:val="TextSubtitlenumberingRCItalic"/>
        <w:rPr>
          <w:noProof/>
        </w:rPr>
      </w:pPr>
      <w:r>
        <w:rPr>
          <w:noProof/>
        </w:rPr>
        <w:t>Held-to-maturity investments</w:t>
      </w:r>
    </w:p>
    <w:p>
      <w:pPr>
        <w:pStyle w:val="DGTextstand-alone"/>
      </w:pPr>
      <w:r>
        <w:t xml:space="preserve">Held-to-maturity investments are non-derivative financial assets with fixed or determinable payments and fixed maturities that the EU has the positive intention and ability to hold to maturity. During this financial year, the EU did not hold any investments in this category. </w:t>
      </w:r>
    </w:p>
    <w:p>
      <w:pPr>
        <w:pStyle w:val="TextSubtitlenumberingRCItalic"/>
        <w:rPr>
          <w:noProof/>
        </w:rPr>
      </w:pPr>
      <w:r>
        <w:rPr>
          <w:noProof/>
        </w:rPr>
        <w:t>Available for sale financial assets</w:t>
      </w:r>
    </w:p>
    <w:p>
      <w:pPr>
        <w:pStyle w:val="DGTextstand-alone"/>
      </w:pPr>
      <w:r>
        <w:t>Available for sale financial assets are non-derivatives that are either designated in this category or not classified in any of the other categories. They are classified as either current or non-current assets, depending on the period of time the EU expects to hold them. Investments in entities that are neither consolidated nor accounted for using the equity method and other equity-type investments (e.g. Risk Capital Operations) are also classified as available for sale financial assets.</w:t>
      </w:r>
    </w:p>
    <w:p>
      <w:pPr>
        <w:pStyle w:val="HEADER5"/>
        <w:rPr>
          <w:b/>
          <w:noProof/>
        </w:rPr>
      </w:pPr>
      <w:r>
        <w:rPr>
          <w:noProof/>
        </w:rPr>
        <w:t>Initial recognition and measurement</w:t>
      </w:r>
    </w:p>
    <w:p>
      <w:pPr>
        <w:pStyle w:val="DGTextstand-alone"/>
      </w:pPr>
      <w:r>
        <w:t>Purchases and sales of financial assets at fair value through surplus or deficit, held-to-maturity and available for sale are recognised on trade-date – the date on which the EU commits to purchase or sell the asset. Cash equivalents and loans are recognised when cash is deposited in a financial institution or advanced to borrowers. Financial instruments are initially recognised at fair value. For all financial assets not carried at fair value through surplus or deficit transactions costs are added to the fair value at initial recognition. Financial assets carried at fair value through surplus or deficit are initially recognised at fair value and transaction costs are expensed in the statement of financial performance.</w:t>
      </w:r>
    </w:p>
    <w:p>
      <w:pPr>
        <w:pStyle w:val="DGTextstand-alone"/>
      </w:pPr>
      <w:r>
        <w:t>The fair value of a financial asset on initial recognition is normally the transaction price (i.e. the fair value of the consideration received), unless the fair value of that instrument is evidenced by comparison with other observable current market transactions in the same instrument or based on a valuation technique whose variables include only data from observable markets (e.g. in case of some derivative contracts). However, when a long-term loan that carries no interest or an interest below market conditions is granted, its fair value can be estimated as the present value of all future cash receipts discounted using the prevailing market rate of interest for a similar instrument with a similar credit rating.</w:t>
      </w:r>
    </w:p>
    <w:p>
      <w:pPr>
        <w:pStyle w:val="DGTextstand-alone"/>
      </w:pPr>
      <w:r>
        <w:t>Loans granted are measured at their nominal amount, which is considered to be the fair value of the loan. The reasoning for this is as follows:</w:t>
      </w:r>
    </w:p>
    <w:p>
      <w:pPr>
        <w:pStyle w:val="DGTextstand-alone"/>
        <w:numPr>
          <w:ilvl w:val="0"/>
          <w:numId w:val="28"/>
        </w:numPr>
      </w:pPr>
      <w:r>
        <w:t>The “market environment” for EU lending is very specific and different from the capital market used to issue commercial or government bonds. As lenders in these markets have the opportunity to choose alternative investments, the opportunity possibility is factored into market prices. However, this opportunity for alternative investments does not exist for the EU which is not allowed to invest money on the capital markets; it only borrows funds for the purpose of lending at the same rate. This means that there is no alternative lending or investment option available to the EU for the sums borrowed. Thus, there is no opportunity cost and therefore no basis of comparison with market rates. In fact, the EU lending operation itself represents the market. Essentially, since the opportunity cost "option" is not applicable, the market price does not fairly reflect the substance of the EU lending transactions. Therefore, it is not appropriate to determine the fair value of EU lending with reference to commercial or government bonds.</w:t>
      </w:r>
    </w:p>
    <w:p>
      <w:pPr>
        <w:pStyle w:val="DGTextstand-alone"/>
        <w:numPr>
          <w:ilvl w:val="0"/>
          <w:numId w:val="28"/>
        </w:numPr>
      </w:pPr>
      <w:r>
        <w:t>Furthermore as there is no active market or similar transactions to compare with, the interest rate to be used by the EU for fair valuing its lending operations under the EFSM, BOP and other such loans, should be the interest rate charged.</w:t>
      </w:r>
    </w:p>
    <w:p>
      <w:pPr>
        <w:pStyle w:val="DGTextstand-alone"/>
        <w:numPr>
          <w:ilvl w:val="0"/>
          <w:numId w:val="28"/>
        </w:numPr>
      </w:pPr>
      <w:r>
        <w:t>In addition, for these loans, there are compensating effects between loans and borrowings due to their back-to-back character. Thus, the effective interest for the loan equals the effective interest rate for the related borrowings. The transaction costs incurred by the EU and then recharged to the beneficiary of the loan are directly recognised in the statement of financial performance.</w:t>
      </w:r>
    </w:p>
    <w:p>
      <w:pPr>
        <w:pStyle w:val="DGTextstand-alone"/>
      </w:pPr>
      <w:r>
        <w:t>Financial instruments are derecognised when the rights to receive cashflows from the investments have expired or the EU has transferred substantially all risks and rewards of ownership to another party.</w:t>
      </w:r>
    </w:p>
    <w:p>
      <w:pPr>
        <w:pStyle w:val="HEADER5"/>
        <w:rPr>
          <w:noProof/>
        </w:rPr>
      </w:pPr>
      <w:r>
        <w:rPr>
          <w:noProof/>
        </w:rPr>
        <w:t>Subsequent measurement</w:t>
      </w:r>
    </w:p>
    <w:p>
      <w:pPr>
        <w:pStyle w:val="DGTextstand-alone"/>
        <w:numPr>
          <w:ilvl w:val="0"/>
          <w:numId w:val="29"/>
        </w:numPr>
      </w:pPr>
      <w:r>
        <w:t>Financial assets at fair value through surplus or deficit are subsequently carried at fair value. Gains and losses arising from changes in the fair value of the ‘financial instruments at fair value through surplus or deficit’ category are included in the statement of financial performance in the period in which they arise.</w:t>
      </w:r>
    </w:p>
    <w:p>
      <w:pPr>
        <w:pStyle w:val="DGTextstand-alone"/>
        <w:numPr>
          <w:ilvl w:val="0"/>
          <w:numId w:val="29"/>
        </w:numPr>
      </w:pPr>
      <w:r>
        <w:t>Loans and receivables are carried at amortised cost using the effective interest method. In the case of loans granted on borrowed funds, the same effective interest rate is applied to both the loans and borrowings since these loans have the characteristics of 'back-to-back operations' and the differences between the loan and the borrowing conditions and amounts are not material. The transaction costs incurred by the EU and then recharged to the beneficiary of the loan are directly recognised in the statement of financial performance.</w:t>
      </w:r>
    </w:p>
    <w:p>
      <w:pPr>
        <w:pStyle w:val="DGTextstand-alone"/>
        <w:numPr>
          <w:ilvl w:val="0"/>
          <w:numId w:val="29"/>
        </w:numPr>
      </w:pPr>
      <w:r>
        <w:t>Held to maturity assets are carried at amortised cost using the effective interest method. The EU currently holds no held to maturity investments.</w:t>
      </w:r>
    </w:p>
    <w:p>
      <w:pPr>
        <w:pStyle w:val="DGTextstand-alone"/>
        <w:numPr>
          <w:ilvl w:val="0"/>
          <w:numId w:val="29"/>
        </w:numPr>
      </w:pPr>
      <w:r>
        <w:t>Available for sale financial assets are subsequently carried at fair value. Gains and losses arising from changes in the fair value of available for sale financial assets are recognised in the fair value reserve, except for translation differences on monetary assets which are recognised in the statement of financial performance. When assets classified as available for sale financial assets are derecognised or impaired, the cumulative fair value adjustments previously recognised in the fair value reserve are recognised in the statement of financial performance. Interest on available for sale financial assets calculated using the effective interest method is recognised in the statement of financial performance. Dividends on available for sale equity instruments are recognised when the EU's right to receive payment is established.</w:t>
      </w:r>
    </w:p>
    <w:p>
      <w:pPr>
        <w:pStyle w:val="DGTextstand-alone"/>
      </w:pPr>
      <w:r>
        <w:t xml:space="preserve">The fair values of quoted investments in active markets are based on current bid prices. If the market for a financial asset is not active (and for unlisted securities and over-the–counter derivatives), the EU establishes a fair value by using valuation techniques. These include the use of recent arm’s length transactions, reference to other instruments that are substantially the same, discounted cashflow analysis, option pricing models and other valuation techniques commonly used by market participants. </w:t>
      </w:r>
    </w:p>
    <w:p>
      <w:pPr>
        <w:pStyle w:val="DGTextstand-alone"/>
      </w:pPr>
      <w:r>
        <w:t>Investments in Venture Capital Funds, classified as available for sale financial assets, which do not have a quoted market price in an active market are valued at the attributable net asset value, which is considered as an equivalent of their fair value.</w:t>
      </w:r>
    </w:p>
    <w:p>
      <w:pPr>
        <w:pStyle w:val="DGTextstand-alone"/>
      </w:pPr>
      <w:r>
        <w:t>In cases where the fair value of investments in equity instruments that do not have a quoted market price in an active market cannot be reliably measured, these investments are valued at cost less impairment losses.</w:t>
      </w:r>
    </w:p>
    <w:p>
      <w:pPr>
        <w:pStyle w:val="HEADER5"/>
        <w:rPr>
          <w:b/>
          <w:noProof/>
        </w:rPr>
      </w:pPr>
      <w:r>
        <w:rPr>
          <w:noProof/>
        </w:rPr>
        <w:t>Impairment of financial assets</w:t>
      </w:r>
    </w:p>
    <w:p>
      <w:pPr>
        <w:pStyle w:val="DGTextstand-alone"/>
      </w:pPr>
      <w:r>
        <w:t>A financial asset is impaired and a loss is recognised if, and only if, there is objective evidence of impairment as a result of one or more events that occurred after the initial recognition of the asset and that loss event (or events) has an impact on the estimated future cashflows of the financial asset that can be reliably estimated. The EU assesses at each reporting date whether there is objective evidence that a financial asset is impaired.</w:t>
      </w:r>
    </w:p>
    <w:p>
      <w:pPr>
        <w:pStyle w:val="TextSubtitleItalicnumberinglettera"/>
        <w:rPr>
          <w:noProof/>
        </w:rPr>
      </w:pPr>
      <w:r>
        <w:rPr>
          <w:noProof/>
        </w:rPr>
        <w:t>Assets carried at amortised cost</w:t>
      </w:r>
    </w:p>
    <w:p>
      <w:pPr>
        <w:pStyle w:val="DGTextstand-alone"/>
      </w:pPr>
      <w:r>
        <w:t>If there is objective evidence that an impairment loss on loans and receivables or held-to-maturity investments carried at amortised cost has been incurred, the amount of the loss is measured as the difference between the asset’s carrying amount and the present value of estimated future cashflows (excluding future credit losses that have not been incurred) discounted at the financial asset’s original effective interest rate. The carrying amount of the asset is reduced and the amount of the loss is recognised in the statement of financial performance. If a loan or held-to-maturity investment has a variable interest rate, the discount rate for measuring any impairment loss is the current effective interest rate determined under the contract. The calculation of the present value of the estimated future cashflows of a collateralised financial asset reflects the cashflows that may result from foreclosure less costs for obtaining and selling the collateral, whether or not foreclosure is probable. If, in a subsequent period, the amount of the impairment loss decreases and the decrease can be related objectively to an event occurring after the impairment was recognised, the previously recognised impairment loss is reversed through the statement of financial performance.</w:t>
      </w:r>
    </w:p>
    <w:p>
      <w:pPr>
        <w:pStyle w:val="TextSubtitleItalicnumberinglettera"/>
        <w:rPr>
          <w:noProof/>
        </w:rPr>
      </w:pPr>
      <w:r>
        <w:rPr>
          <w:noProof/>
        </w:rPr>
        <w:t>Assets carried at fair value</w:t>
      </w:r>
    </w:p>
    <w:p>
      <w:pPr>
        <w:pStyle w:val="DGTextstand-alone"/>
      </w:pPr>
      <w:r>
        <w:t>In the case of equity investments classified as available for sale financial assets, a significant or permanent (prolonged) decline in the fair value of the security below its cost is considered in determining whether the securities are impaired. If any such evidence exists for available for sale financial assets, the cumulative loss – measured as the difference between the acquisition cost and the current fair value, less any impairment loss on that financial asset previously recognised in the statement of financial performance – is removed from reserves and recognised in the statement of financial performance. Impairment losses recognised in the statement of financial performance on equity instruments are not reversed through the statement of financial performance. If, in a subsequent period, the fair value of a debt instrument classified as available for sale financial asset increases and the increase can be objectively related to an event occurring after the impairment loss was recognised, the impairment loss is reversed through the statement of financial performance.</w:t>
      </w:r>
    </w:p>
    <w:p>
      <w:pPr>
        <w:pStyle w:val="HEADER3NOTES"/>
        <w:rPr>
          <w:noProof/>
        </w:rPr>
      </w:pPr>
      <w:r>
        <w:rPr>
          <w:noProof/>
        </w:rPr>
        <w:t>Inventories</w:t>
      </w:r>
    </w:p>
    <w:p>
      <w:pPr>
        <w:pStyle w:val="DGTextstand-alone"/>
        <w:spacing w:after="0"/>
      </w:pPr>
      <w:r>
        <w:t>Inventories are stated at the lower of cost and net realisable value. Cost is determined using the first-in, first-out (FIFO) method. The cost of finished goods and work in progress comprises raw materials, direct labour, other directly attributable costs and related production overheads (based on normal operating capacity). Net realisable value is the estimated selling price in the ordinary course of business, less the costs of completion and selling expenses. When inventories are held for distribution at no charge or for a nominal charge, they are measured at the lower of cost and current replacement cost. Current replacement cost is the cost the EU would incur to acquire the asset on the reporting date.</w:t>
      </w:r>
    </w:p>
    <w:p>
      <w:pPr>
        <w:pStyle w:val="HEADER3NOTES"/>
        <w:rPr>
          <w:noProof/>
        </w:rPr>
      </w:pPr>
      <w:r>
        <w:rPr>
          <w:noProof/>
        </w:rPr>
        <w:t>Pre-financing amounts</w:t>
      </w:r>
    </w:p>
    <w:p>
      <w:pPr>
        <w:pStyle w:val="DGTextstand-alone"/>
      </w:pPr>
      <w:r>
        <w:t xml:space="preserve">Pre-financing is a payment intended to provide the beneficiary with a cash advance, i.e. a float. It may be split into a number of payments over a period defined in the particular contract, decision, agreement or basic legal act. The float or advance is either used for the purpose for which it was provided during the period defined in the agreement or it is repaid. If the beneficiary does not incur eligible expenditure, they have the obligation to return the pre-financing advance to the EU. The amount of the pre-financing may be reduced (wholly or partially) by the acceptance of eligible costs (which are recognised as expenses). </w:t>
      </w:r>
    </w:p>
    <w:p>
      <w:pPr>
        <w:pStyle w:val="DGTextstand-alone"/>
      </w:pPr>
      <w:r>
        <w:t xml:space="preserve">Pre-financing is, on subsequent balance sheet dates, measured at the amount initially recognised on the balance sheet less eligible expenses (including estimated amounts where necessary) incurred during the period. </w:t>
      </w:r>
    </w:p>
    <w:p>
      <w:pPr>
        <w:pStyle w:val="DGTextstand-alone"/>
      </w:pPr>
      <w:r>
        <w:t>Interest on pre-financing is recognised as it is earned in accordance with the provisions of the relevant agreement. An estimate of the accrued interest revenue, based on the most reliable information, is made at the year-end and included on the balance sheet.</w:t>
      </w:r>
    </w:p>
    <w:p>
      <w:pPr>
        <w:pStyle w:val="DGTextstand-alone"/>
      </w:pPr>
      <w:r>
        <w:t>Other advances to Member States which originate from reimbursement by the EU of amounts paid as advances by the Member States to their beneficiaries (including "financial instruments under shared management") are recognised as assets and presented under the pre-financing heading. Other advances to Member States are subsequently measured at the amount initially recognised on the balance sheet less a best estimate of the eligible expenses incurred by final beneficiaries, calculated on the basis of reasonable and supportable assumptions.</w:t>
      </w:r>
    </w:p>
    <w:p>
      <w:pPr>
        <w:pStyle w:val="DGTextstand-alone"/>
      </w:pPr>
      <w:r>
        <w:t>The EU contributions to the trust funds of the European Development Fund or other unconsolidated entities are also classified as pre-financing since their purpose is to give a float to the trust fund to allow it to finance specific actions defined under the trust fund's objectives. The EU contributions to trust funds are measured at the initial amount of the EU contribution less eligible expenses, including estimated amounts where necessary, incurred by the trust fund during the reporting period and allocated to the EU contribution in accordance with the underlying agreement.</w:t>
      </w:r>
    </w:p>
    <w:p>
      <w:pPr>
        <w:rPr>
          <w:rFonts w:ascii="Verdana" w:hAnsi="Verdana"/>
          <w:noProof/>
          <w:color w:val="016794"/>
          <w:sz w:val="20"/>
          <w:szCs w:val="20"/>
        </w:rPr>
      </w:pPr>
      <w:r>
        <w:rPr>
          <w:noProof/>
        </w:rPr>
        <w:br w:type="page"/>
      </w:r>
    </w:p>
    <w:p>
      <w:pPr>
        <w:pStyle w:val="HEADER3NOTES"/>
        <w:rPr>
          <w:noProof/>
        </w:rPr>
      </w:pPr>
      <w:r>
        <w:rPr>
          <w:noProof/>
        </w:rPr>
        <w:t>Exchange receivables and non-exchange recoverables</w:t>
      </w:r>
    </w:p>
    <w:p>
      <w:pPr>
        <w:pStyle w:val="DGTextstand-alone"/>
      </w:pPr>
      <w:r>
        <w:t>As the EU accounting rules require a separate presentation of exchange and non-exchange transactions, for the purpose of drawing up the accounts, receivables are defined as stemming from exchange transactions and recoverables are defined as stemming from non-exchange transactions, i.e. when the EU receives value from another entity without directly giving approximately equal value in exchange (for example recoverables from Member States related to own resources).</w:t>
      </w:r>
    </w:p>
    <w:p>
      <w:pPr>
        <w:pStyle w:val="DGTextstand-alone"/>
      </w:pPr>
      <w:r>
        <w:t xml:space="preserve">Receivables from exchange transactions meet the definition of financial instruments and are thus classified as loans and receivables and measured accordingly (see note </w:t>
      </w:r>
      <w:r>
        <w:rPr>
          <w:b/>
        </w:rPr>
        <w:t>1.5.5</w:t>
      </w:r>
      <w:r>
        <w:t>). The financial instruments notes disclosures concerning receivables from exchange transactions include accrued revenue and deferred charges from exchange transactions as they are not material. A general write-down based on past experience is made for outstanding recovery orders not already subject to a specific write-down.</w:t>
      </w:r>
    </w:p>
    <w:p>
      <w:pPr>
        <w:pStyle w:val="DGTextstand-alone"/>
        <w:spacing w:after="0"/>
      </w:pPr>
      <w:r>
        <w:t xml:space="preserve">Recoverables from non-exchange transactions are carried at original amount (adjusted for interest and penalties) less write-down for impairment. A write-down for impairment of recoverables from </w:t>
      </w:r>
      <w:r>
        <w:br/>
        <w:t xml:space="preserve">non-exchange transactions is established when there is objective evidence that the EU will not be able to collect all amounts due according to the original terms of recoverables from non-exchange transactions. The amount of the write-down is the difference between the asset’s carrying amount and the recoverable amount. The amount of the write-down is recognised in the statement of financial performance. A general write-down, based on past experience, is also made for outstanding recovery orders not already subject to a specific write-down. See note </w:t>
      </w:r>
      <w:r>
        <w:rPr>
          <w:b/>
        </w:rPr>
        <w:t>1.5.14</w:t>
      </w:r>
      <w:r>
        <w:t xml:space="preserve"> concerning the treatment of accrued revenue at year-end. Amounts displayed and disclosed as recoverables from non-exchanges transactions are not financial instruments as they do not arise from a contract that would give rise to a financial liability or equity instrument. However, in the notes to the financial statements recoverables from non-exchange transactions are disclosed together with receivables from exchange transactions where appropriate.</w:t>
      </w:r>
    </w:p>
    <w:p>
      <w:pPr>
        <w:pStyle w:val="HEADER3NOTES"/>
        <w:rPr>
          <w:noProof/>
        </w:rPr>
      </w:pPr>
      <w:r>
        <w:rPr>
          <w:noProof/>
        </w:rPr>
        <w:t>Cash and cash equivalents</w:t>
      </w:r>
    </w:p>
    <w:p>
      <w:pPr>
        <w:pStyle w:val="DGTextstand-alone"/>
      </w:pPr>
      <w:r>
        <w:t>Cash and cash equivalents are financial instruments and include cash at hand, deposits held at call or at short notice with banks and other short-term highly liquid investments with original maturities of three months or less.</w:t>
      </w:r>
    </w:p>
    <w:p>
      <w:pPr>
        <w:pStyle w:val="HEADER3NOTES"/>
        <w:rPr>
          <w:noProof/>
        </w:rPr>
      </w:pPr>
      <w:r>
        <w:rPr>
          <w:noProof/>
        </w:rPr>
        <w:t>Employee benefits</w:t>
      </w:r>
    </w:p>
    <w:p>
      <w:pPr>
        <w:pStyle w:val="DGTextstand-alone"/>
      </w:pPr>
      <w:r>
        <w:t>The accounting policy for employee benefits has been updated in line with the requirements of the revised accounting rule EAR 12 Employee Benefits, effective for periods beginning on or after 1 January 2018 which is based on the new IPSAS 39 (Employee Benefits) published in July 2016. The main change, arising from the revision of accounting rule 12, is the presentation of actuarial gains and losses as a movement in net assets instead of in the statement of financial performance.</w:t>
      </w:r>
    </w:p>
    <w:p>
      <w:pPr>
        <w:pStyle w:val="DGTextstand-alone"/>
      </w:pPr>
      <w:r>
        <w:t>Accounting for defined benefit plans is complex because actuarial assumptions and judgement are required to measure the obligation. In applying the revised accounting rule, the EU has reassessed the judgements used, in particular, as regards to the estimate of the ultimate cost of the benefit attributed to the employees. As a result of this exercise, the appropriateness of the use of the estimated active service period of the employee as the basis for attributing benefits to periods of service was confirmed. The benefits which the EU’s employees are entitled to are given under a single plan – although split in two schemes – and they must be treated similarly so as to give a fair presentation of the situation and reflect the economic reality.</w:t>
      </w:r>
    </w:p>
    <w:p>
      <w:pPr>
        <w:pStyle w:val="DGTextstand-alone"/>
      </w:pPr>
      <w:r>
        <w:t>The EU provides a set of benefits (emoluments and social security) to employees. For accounting purposes these have to be classified into short term and post-employment benefits.</w:t>
      </w:r>
    </w:p>
    <w:p>
      <w:pPr>
        <w:pStyle w:val="HEADER5"/>
        <w:rPr>
          <w:b/>
          <w:noProof/>
        </w:rPr>
      </w:pPr>
      <w:r>
        <w:rPr>
          <w:noProof/>
        </w:rPr>
        <w:t>Short-term employee benefits</w:t>
      </w:r>
    </w:p>
    <w:p>
      <w:pPr>
        <w:pStyle w:val="DGTextstand-alone"/>
      </w:pPr>
      <w:r>
        <w:t>Short-term employee benefits are those benefits due to be settled before twelve months after the end of the reporting period in which employees rendered the service, such as salaries, annual and paid sick leaves, and other short-term allowances. Short-term employee benefits are recognised as an expense when the related service is provided. A liability is recognised for the amount expected to be paid if the EU has a present legal or constructive obligation to pay as a result of past service provided by the employee and the obligation can be estimated reliably.</w:t>
      </w:r>
    </w:p>
    <w:p>
      <w:pPr>
        <w:pStyle w:val="HEADER5"/>
        <w:rPr>
          <w:b/>
          <w:noProof/>
        </w:rPr>
      </w:pPr>
      <w:r>
        <w:rPr>
          <w:noProof/>
        </w:rPr>
        <w:t>Post-employment benefits</w:t>
      </w:r>
    </w:p>
    <w:p>
      <w:pPr>
        <w:pStyle w:val="DGTextstand-alone"/>
      </w:pPr>
      <w:r>
        <w:t xml:space="preserve">The EU grants a set of post-employment benefits to employees, which include retirement, invalidity and survival pensions, as well as medical coverage (see note </w:t>
      </w:r>
      <w:r>
        <w:rPr>
          <w:b/>
        </w:rPr>
        <w:t>2.9</w:t>
      </w:r>
      <w:r>
        <w:t xml:space="preserve">). </w:t>
      </w:r>
    </w:p>
    <w:p>
      <w:pPr>
        <w:pStyle w:val="DGTextstand-alone"/>
      </w:pPr>
      <w:r>
        <w:t xml:space="preserve">The EU provides its staff with a post-employment benefit plan that includes: </w:t>
      </w:r>
    </w:p>
    <w:p>
      <w:pPr>
        <w:pStyle w:val="DGTextstand-alone"/>
        <w:numPr>
          <w:ilvl w:val="0"/>
          <w:numId w:val="30"/>
        </w:numPr>
      </w:pPr>
      <w:r>
        <w:t>Pension Scheme of European Officials (PSEO): The benefits granted under this notionally funded</w:t>
      </w:r>
      <w:r>
        <w:rPr>
          <w:rStyle w:val="FootnoteReference"/>
        </w:rPr>
        <w:footnoteReference w:id="1"/>
      </w:r>
      <w:r>
        <w:t xml:space="preserve"> scheme relate to seniority, invalidity and survival, as well as, family allowances, death before retirement to those employees that work or worked in the EU Institutions, Agencies and other EU bodies or are survivors of deceased officials or pensioners. Staff contribute one third of the expected cost of these benefits from their salaries. </w:t>
      </w:r>
    </w:p>
    <w:p>
      <w:pPr>
        <w:pStyle w:val="DGTextstand-alone"/>
        <w:numPr>
          <w:ilvl w:val="0"/>
          <w:numId w:val="30"/>
        </w:numPr>
      </w:pPr>
      <w:r>
        <w:t>Joint Sickness Insurance Scheme (JSIS): Under this scheme, the EU provides health coverage for staff of the European Commission, Institutions, Agencies and other EU bodies through the reimbursement of medical expenses. The benefits granted to the "inactives" of this scheme (i.e. pensioners, orphans, etc.) are classified as post-employment benefits.</w:t>
      </w:r>
    </w:p>
    <w:p>
      <w:pPr>
        <w:pStyle w:val="DGTextstand-alone"/>
      </w:pPr>
      <w:r>
        <w:t xml:space="preserve">The EU also provides post-employment benefits to members of the EU institutions via separate pension schemes. These are shown under the heading other retirement benefit schemes. Under these schemes the EU provides pension benefits to members of the Commission, Court of Justice and General Court, Court of Auditors, Council, European Parliament, Ombudsman, Data Protection Supervisor, Civil Service Tribunal. The EU provides health coverage to the members of the EU Institutions via the JSIS. </w:t>
      </w:r>
    </w:p>
    <w:p>
      <w:pPr>
        <w:pStyle w:val="DGTextstand-alone"/>
      </w:pPr>
      <w:r>
        <w:t>The above post-employment benefits qualify as defined benefit obligations of the EU and are calculated at each reporting date by estimating the amount of future benefit that employees have earned in the current and prior periods, discounting that amount and deducting the fair value of any plan assets. The calculation of defined benefit obligation is performed annually using the projected unit credit method. The present value of the defined benefit obligation is determined by discounting the estimated future cash outflows using interest rates of government bonds that are denominated in the currency in which the benefits will be paid, and that have terms to maturity approximating to the terms of the related pension liability.</w:t>
      </w:r>
    </w:p>
    <w:p>
      <w:pPr>
        <w:pStyle w:val="DGTextstand-alone"/>
      </w:pPr>
      <w:r>
        <w:t xml:space="preserve">The post-employment benefits provided to EU staff are incorporated in a single plan comprising  both a pension scheme (PSEO) and a sickness insurance scheme (JSIS), with the right to coverage under the JSIS scheme being dependent on having acquired the right to coverage under the PSEO scheme. Under the terms of this single plan, as set out in the Staff Regulation, certain entitlements, such as the right to a deferred and reduced pension under the PSEO scheme, are acquired after 10 years of service. However, the entitlements acquired under the single plan by the employee’s subsequent service are materially higher than those initial entitlements as reflected by subsequent annually accrued pension rights. </w:t>
      </w:r>
    </w:p>
    <w:p>
      <w:pPr>
        <w:pStyle w:val="DGTextstand-alone"/>
      </w:pPr>
      <w:r>
        <w:t>Therefore, in order to depict the economic substance of the underlying transaction required by the faithful representation qualitiative characteristic of financial reporting as outlined in both EAR 1 and the IPSAS Conceptual Framework, the service cost incurred is accrued on a straight-line basis over staff’s estimated active service period, i.e. the period from the date when service by the employee first leads to benefits under the plan (whether or not the benefits are conditional on further service) until the date when further service by the employee will lead to no material amount of further benefits under the plan, other than from further salary increases. This approach is applied consistently to the benefits provided for under the single plan.</w:t>
      </w:r>
    </w:p>
    <w:p>
      <w:pPr>
        <w:pStyle w:val="DGTextstand-alone"/>
      </w:pPr>
      <w:r>
        <w:t xml:space="preserve">Remeasurements of the net defined benefit liability comprise actuarial gains and losses and the return on plan assets, and are recognised immediately in net assets. </w:t>
      </w:r>
    </w:p>
    <w:p>
      <w:pPr>
        <w:pStyle w:val="DGTextstand-alone"/>
      </w:pPr>
      <w:r>
        <w:t>The EU recognises the net interest expense (income) and other expenses related to the defined benefit plans in the statement of financial performance within the caption ‘staff and pension costs’.</w:t>
      </w:r>
    </w:p>
    <w:p>
      <w:pPr>
        <w:pStyle w:val="DGTextstand-alone"/>
      </w:pPr>
      <w:r>
        <w:t>When benefits provided are changed or curtailed, the resulting change in benefits that relates to past service or the gain or loss on curtailment is recognised immediately in the statement of financial performance. Gains and losses on settlement are recognised when the settlement occurs. Past service cost is recognised immediately in the statement of financial performance, unless the changes are conditional on the employees remaining in service for a specified period of time.</w:t>
      </w:r>
    </w:p>
    <w:p>
      <w:pPr>
        <w:pStyle w:val="HEADER3NOTES"/>
        <w:rPr>
          <w:noProof/>
        </w:rPr>
      </w:pPr>
      <w:r>
        <w:rPr>
          <w:noProof/>
        </w:rPr>
        <w:t>Provisions</w:t>
      </w:r>
    </w:p>
    <w:p>
      <w:pPr>
        <w:pStyle w:val="DGTextstand-alone"/>
      </w:pPr>
      <w:r>
        <w:t>Provisions are recognised when the EU has a present legal or constructive obligation towards third parties as a result of past events, it is more likely than not that an outflow of resources will be required to settle the obligation, and the amount can be reliably estimated. Provisions are not recognised for future operating losses. The amount of the provision is the best estimate of the expenses expected to be required to settle the present obligation at the reporting date. Where the provision involves a large number of items, the obligation is estimated by weighting all possible outcomes by their associated probabilities (“expected value” method).</w:t>
      </w:r>
    </w:p>
    <w:p>
      <w:pPr>
        <w:pStyle w:val="DGTextstand-alone"/>
      </w:pPr>
      <w:r>
        <w:t>Provisions for onerous contracts are measured at the present value of the lower of the expected cost of terminating the contract and the expected net cost of continuing with the contract.</w:t>
      </w:r>
    </w:p>
    <w:p>
      <w:pPr>
        <w:pStyle w:val="HEADER3NOTES"/>
        <w:rPr>
          <w:noProof/>
        </w:rPr>
      </w:pPr>
      <w:r>
        <w:rPr>
          <w:noProof/>
        </w:rPr>
        <w:t>Financial liabilities</w:t>
      </w:r>
    </w:p>
    <w:p>
      <w:pPr>
        <w:pStyle w:val="DGTextstand-alone"/>
      </w:pPr>
      <w:r>
        <w:t>Financial liabilities are classified as financial liabilities at fair value through surplus or deficit, financial liabilities carried at amortised cost or as financial guarantee liabilities.</w:t>
      </w:r>
    </w:p>
    <w:p>
      <w:pPr>
        <w:pStyle w:val="DGTextstand-alone"/>
      </w:pPr>
      <w:r>
        <w:t>Borrowings are composed of borrowings from credit institutions and debts evidenced by certificates. They are recognised initially at fair value, being their issue proceeds (fair value of consideration received) net of transaction costs incurred, then subsequently carried at amortised cost using the effective interest method; any difference between proceeds, net of transaction costs, and the redemption value is recognised in the statement of financial performance over the period of the borrowings using the effective interest method. In the case of loans granted on borrowed funds, the effective interest method may not be applied to loans and borrowings, based on materiality considerations. The transaction costs incurred by the EU and then recharged to the beneficiary of the loan are directly recognised in the statement of financial performance.</w:t>
      </w:r>
    </w:p>
    <w:p>
      <w:pPr>
        <w:pStyle w:val="DGTextstand-alone"/>
      </w:pPr>
      <w:r>
        <w:t xml:space="preserve">Financial liabilities categorised at fair value through surplus or deficit include derivatives where fair value is negative. They follow the same accounting treatment as financial assets at fair value through surplus or deficit, see note </w:t>
      </w:r>
      <w:r>
        <w:rPr>
          <w:b/>
        </w:rPr>
        <w:t>1.5.5</w:t>
      </w:r>
      <w:r>
        <w:t xml:space="preserve">. </w:t>
      </w:r>
    </w:p>
    <w:p>
      <w:pPr>
        <w:pStyle w:val="DGTextstand-alone"/>
      </w:pPr>
      <w:r>
        <w:t xml:space="preserve">Financial guarantee liabilities are initially recognised at fair value, being the premium received. Subsequently, financial guarantee liabilities are measured at the higher of the best estimate of the expenses expected to be required to settle the financial guarantee liability and the amount initially recognised less, when appropriate, cumulative amortisation. The EU recognises a financial guarantee liability when it receives consideration for granting of the guarantee, that is at market terms, or when the fair value of the guarantee can be measured reliably. In case no active market for a directly equivalent guarantee contract exists, the EU discloses the guarantee given as a contingent liability (see note </w:t>
      </w:r>
      <w:r>
        <w:rPr>
          <w:b/>
        </w:rPr>
        <w:t>1.7.2</w:t>
      </w:r>
      <w:r>
        <w:t xml:space="preserve">) or - when it is more likely than not that an outflow of resources will be required to settle the obligation – the EU recognises a provision (see note </w:t>
      </w:r>
      <w:r>
        <w:rPr>
          <w:b/>
        </w:rPr>
        <w:t>1.5.11</w:t>
      </w:r>
      <w:r>
        <w:t>).</w:t>
      </w:r>
    </w:p>
    <w:p>
      <w:pPr>
        <w:pStyle w:val="DGTextstand-alone"/>
      </w:pPr>
      <w:r>
        <w:t xml:space="preserve">Financial liabilities are classified as non-current liabilities, except for maturities less than 12 months after the balance sheet date. </w:t>
      </w:r>
    </w:p>
    <w:p>
      <w:pPr>
        <w:pStyle w:val="DGTextstand-alone"/>
      </w:pPr>
      <w:r>
        <w:t>EU trust funds that are considered as part of the Commission's operational activities are accounted for in the Commission accounts and further consolidated in the EU annual accounts. Therefore, contributions from other donors to the EU trust funds fulfil the criteria of revenues from non-exchange transactions under conditions and they are presented as financial liabilities until the conditions attached to the contributions transferred are met, i.e. eligible costs are incurred by the trust fund. The trust fund is required to finance specific projects and return remaining funds at the time of winding-up. At the balance sheet date the outstanding contribution liabilities are measured at contributions received less the expenses incurred by the trust fund, including estimated amounts when necessary. For reporting purposes the net expenses are allocated to the contributions of other donors in proportion to net contributions paid as at 31 December. This allocation of contributions is only indicative. When the trust fund is wound up the actual split of remaining resources will be decided by the trust fund board.</w:t>
      </w:r>
    </w:p>
    <w:p>
      <w:pPr>
        <w:rPr>
          <w:rFonts w:ascii="Verdana" w:hAnsi="Verdana"/>
          <w:noProof/>
          <w:color w:val="016794"/>
          <w:sz w:val="20"/>
          <w:szCs w:val="20"/>
        </w:rPr>
      </w:pPr>
      <w:r>
        <w:rPr>
          <w:noProof/>
        </w:rPr>
        <w:br w:type="page"/>
      </w:r>
    </w:p>
    <w:p>
      <w:pPr>
        <w:pStyle w:val="HEADER3NOTES"/>
        <w:rPr>
          <w:noProof/>
        </w:rPr>
      </w:pPr>
      <w:r>
        <w:rPr>
          <w:noProof/>
        </w:rPr>
        <w:t>Payables</w:t>
      </w:r>
    </w:p>
    <w:p>
      <w:pPr>
        <w:pStyle w:val="DGTextstand-alone"/>
      </w:pPr>
      <w:r>
        <w:t>A significant amount of the payables of the EU are unpaid cost claims from beneficiaries of grants or other EU funding (non-exchange transactions). They are recorded as payables for the requested amount when the cost claim is received. Upon verification and acceptance of the eligible costs, the payables are valued at the accepted and eligible amount.</w:t>
      </w:r>
    </w:p>
    <w:p>
      <w:pPr>
        <w:pStyle w:val="DGTextstand-alone"/>
      </w:pPr>
      <w:r>
        <w:t>Payables arising from the purchase of goods and services are recognised at invoice reception for the original amount and corresponding expenses are entered in the accounts when the supplies or services are delivered and accepted by the EU.</w:t>
      </w:r>
    </w:p>
    <w:p>
      <w:pPr>
        <w:pStyle w:val="HEADER3NOTES"/>
        <w:keepNext/>
        <w:rPr>
          <w:noProof/>
        </w:rPr>
      </w:pPr>
      <w:r>
        <w:rPr>
          <w:noProof/>
        </w:rPr>
        <w:t>Accrued and deferred revenue and charges</w:t>
      </w:r>
    </w:p>
    <w:p>
      <w:pPr>
        <w:pStyle w:val="DGTextstand-alone"/>
      </w:pPr>
      <w:r>
        <w:t>Transactions and events are recognised in the financial statements in the period to which they relate. At year-end, if an invoice is not yet issued but the service has been rendered, the supplies have been delivered by the EU or a contractual agreement exists (e.g. by reference to a treaty), an accrued revenue will be recognised in the financial statements. In addition, at year-end, if an invoice is issued but the services have not yet been rendered or the goods supplied have not yet been delivered, the revenue will be deferred and recognised in the subsequent accounting period.</w:t>
      </w:r>
    </w:p>
    <w:p>
      <w:pPr>
        <w:pStyle w:val="DGTextstand-alone"/>
      </w:pPr>
      <w:r>
        <w:t>Expenses are also accounted for in the period to which they relate. At the end of the accounting period, accrued expenses are recognised based on an estimated amount of the transfer obligation of the period. The calculation of accrued expenses is done in accordance with detailed operational and practical guidelines issued by the Commission which aim at ensuring that the financial statements provide a faithful representation of the economic and other phenomena they purport to represent. By analogy, if payment has been made in advance for services or goods that have not yet been received, the expense will be deferred and recognised in the subsequent accounting period.</w:t>
      </w:r>
    </w:p>
    <w:p>
      <w:pPr>
        <w:pStyle w:val="HEADER2NOTES"/>
        <w:rPr>
          <w:noProof/>
        </w:rPr>
      </w:pPr>
      <w:r>
        <w:rPr>
          <w:noProof/>
        </w:rPr>
        <w:t>STATEMENT OF FINANCIAL PERFORMANCE</w:t>
      </w:r>
    </w:p>
    <w:p>
      <w:pPr>
        <w:pStyle w:val="HEADER3NOTES"/>
        <w:rPr>
          <w:noProof/>
        </w:rPr>
      </w:pPr>
      <w:r>
        <w:rPr>
          <w:noProof/>
        </w:rPr>
        <w:t>Revenue</w:t>
      </w:r>
    </w:p>
    <w:p>
      <w:pPr>
        <w:pStyle w:val="HEADER5"/>
        <w:rPr>
          <w:b/>
          <w:noProof/>
        </w:rPr>
      </w:pPr>
      <w:r>
        <w:rPr>
          <w:noProof/>
        </w:rPr>
        <w:t>REVENUE FROM NON-EXCHANGE TRANSACTIONS</w:t>
      </w:r>
    </w:p>
    <w:p>
      <w:pPr>
        <w:pStyle w:val="DGTextstand-alone"/>
      </w:pPr>
      <w:r>
        <w:t>The vast majority of the EU's revenue relates to non-exchange transactions:</w:t>
      </w:r>
    </w:p>
    <w:p>
      <w:pPr>
        <w:pStyle w:val="HEADER5"/>
        <w:rPr>
          <w:b/>
          <w:noProof/>
        </w:rPr>
      </w:pPr>
      <w:r>
        <w:rPr>
          <w:noProof/>
        </w:rPr>
        <w:t>GNI based resources and VAT resources</w:t>
      </w:r>
    </w:p>
    <w:p>
      <w:pPr>
        <w:pStyle w:val="DGTextstand-alone"/>
      </w:pPr>
      <w:r>
        <w:t>Revenue is recognised for the period for which the Commission sends out a call for funds to the Member States claiming their contribution. They are measured at their “called amount”. As VAT and GNI resources are based on estimates of the data for the budgetary year concerned, they may be revised as changes occur until the final data are issued by the Member States. The effect of a change in estimate is included when determining the net surplus or deficit for the period in which the change occurred.</w:t>
      </w:r>
    </w:p>
    <w:p>
      <w:pPr>
        <w:pStyle w:val="HEADER5"/>
        <w:rPr>
          <w:b/>
          <w:noProof/>
        </w:rPr>
      </w:pPr>
      <w:r>
        <w:rPr>
          <w:noProof/>
        </w:rPr>
        <w:t>Traditional own resources</w:t>
      </w:r>
    </w:p>
    <w:p>
      <w:pPr>
        <w:pStyle w:val="DGTextstand-alone"/>
      </w:pPr>
      <w:r>
        <w:t>Recoverables from non-exchange transactions and related revenues are recognised when the relevant monthly "A" statements (including duties collected and amounts due that are guaranteed and not contested) are received from the Member States. At the reporting date, revenue collected by the Member States for the period but not yet paid to the Commission is estimated and recognised as accrued revenue. The quarterly "B" statements (including duties neither collected nor guaranteed, as well as guaranteed amounts that have been contested by the debtor) received from the Member States are recognised as revenue less the collection costs to which they are entitled. In addition, a value reduction is recognised for the amount of the estimated recovery gap.</w:t>
      </w:r>
    </w:p>
    <w:p>
      <w:pPr>
        <w:pStyle w:val="HEADER5"/>
        <w:rPr>
          <w:b/>
          <w:noProof/>
        </w:rPr>
      </w:pPr>
      <w:r>
        <w:rPr>
          <w:noProof/>
        </w:rPr>
        <w:t>Fines</w:t>
      </w:r>
    </w:p>
    <w:p>
      <w:pPr>
        <w:pStyle w:val="DGTextstand-alone"/>
      </w:pPr>
      <w:r>
        <w:t>Revenue from fines is recognised when the EU's decision imposing a fine has been taken and it is officially notified to the addressee. If there are doubts about the undertaking's solvency, a value reduction on the entitlement is recognised. After the decision to impose a fine, the debtors have two months from the date of notification:</w:t>
      </w:r>
    </w:p>
    <w:p>
      <w:pPr>
        <w:pStyle w:val="DGTextstand-alone"/>
        <w:numPr>
          <w:ilvl w:val="0"/>
          <w:numId w:val="31"/>
        </w:numPr>
      </w:pPr>
      <w:r>
        <w:t>either to accept the decision, in which case they must pay the fine within the time limit laid down and the amount is definitively collected by the EU;</w:t>
      </w:r>
    </w:p>
    <w:p>
      <w:pPr>
        <w:pStyle w:val="DGTextstand-alone"/>
        <w:numPr>
          <w:ilvl w:val="0"/>
          <w:numId w:val="31"/>
        </w:numPr>
      </w:pPr>
      <w:r>
        <w:t xml:space="preserve">or not to accept the decision, in which case they lodge an appeal under EU law. </w:t>
      </w:r>
    </w:p>
    <w:p>
      <w:pPr>
        <w:pStyle w:val="DGTextstand-alone"/>
      </w:pPr>
      <w:r>
        <w:t>However, even if appealed, the fine must be paid within the time limit of three months laid down as the appeal does not have suspensory effect (Article 278 of the EU Treaty) or, under certain circumstances and subject to the agreement of the Commission's Accounting Officer, the debtor may present a bank guarantee for the amount instead.</w:t>
      </w:r>
    </w:p>
    <w:p>
      <w:pPr>
        <w:pStyle w:val="DGTextstand-alone"/>
      </w:pPr>
      <w:r>
        <w:t>If the undertaking appeals against the decision, and has already provisionally paid the fine, the amount is disclosed as a contingent liability. However, since an appeal against an EU decision by the addressee does not have suspensory effect, the cash received is used to clear the recoverable. If a guarantee is received instead of payment, the fine remains as a recoverable. If it appears probable that the General Court may not rule in favour of the EU, a provision is recognised to cover this risk. If a guarantee had been given instead, then the recoverable outstanding is written-down as required. The accumulated interest received by the Commission on the bank accounts where received payments are deposited is recognised as revenue, and any contingent liability is increased accordingly.</w:t>
      </w:r>
    </w:p>
    <w:p>
      <w:pPr>
        <w:pStyle w:val="DGTextstand-alone"/>
      </w:pPr>
      <w:r>
        <w:t>Since 2010, all provisionally cashed fines are managed by the Commission in a specifically created fund (BUFI) and invested in financial instruments.</w:t>
      </w:r>
    </w:p>
    <w:p>
      <w:pPr>
        <w:pStyle w:val="HEADER5"/>
        <w:rPr>
          <w:b/>
          <w:noProof/>
        </w:rPr>
      </w:pPr>
      <w:r>
        <w:rPr>
          <w:noProof/>
        </w:rPr>
        <w:t>REVENUE FROM EXCHANGE TRANSACTIONS</w:t>
      </w:r>
    </w:p>
    <w:p>
      <w:pPr>
        <w:pStyle w:val="DGTextstand-alone"/>
      </w:pPr>
      <w:r>
        <w:t>Revenue from the sale of goods and services is recognised when the significant risk and rewards of ownership of the goods are transferred to the purchaser. Revenue associated with a transaction involving the provision of services is recognised by reference to the stage of completion of the transaction at the reporting date.</w:t>
      </w:r>
    </w:p>
    <w:p>
      <w:pPr>
        <w:pStyle w:val="HEADER5"/>
        <w:rPr>
          <w:b/>
          <w:noProof/>
        </w:rPr>
      </w:pPr>
      <w:r>
        <w:rPr>
          <w:noProof/>
        </w:rPr>
        <w:t>Interest revenue and expense</w:t>
      </w:r>
    </w:p>
    <w:p>
      <w:pPr>
        <w:pStyle w:val="DGTextstand-alone"/>
      </w:pPr>
      <w:r>
        <w:t>Interest revenue and expense are recognised in the statement of financial performance using the effective interest method. This is a method of calculating the amortised cost of a financial asset or a financial liability and of allocating the interest revenue or interest expense over the relevant period. When calculating the effective interest rate, the EU estimates cashflows considering all contractual terms of the financial instrument (for example prepayment options) but does not consider future credit losses. The calculation includes all fees and points paid or received between parties to the contract that are an integral part of the effective interest rate, transaction costs and all other premiums or discounts.</w:t>
      </w:r>
    </w:p>
    <w:p>
      <w:pPr>
        <w:pStyle w:val="DGTextstand-alone"/>
      </w:pPr>
      <w:r>
        <w:t>Once a financial asset or a group of similar financial assets has been written down as a result of an impairment loss, interest revenue is recognised using the rate of interest to discount the future cashflows for the purpose of measuring the impairment loss.</w:t>
      </w:r>
    </w:p>
    <w:p>
      <w:pPr>
        <w:pStyle w:val="HEADER5"/>
        <w:rPr>
          <w:b/>
          <w:noProof/>
        </w:rPr>
      </w:pPr>
      <w:r>
        <w:rPr>
          <w:noProof/>
        </w:rPr>
        <w:t>Revenue from dividends</w:t>
      </w:r>
    </w:p>
    <w:p>
      <w:pPr>
        <w:pStyle w:val="DGTextstand-alone"/>
      </w:pPr>
      <w:r>
        <w:t>Revenue from dividends and similar distributions is recognised when the right to receive payment is established.</w:t>
      </w:r>
    </w:p>
    <w:p>
      <w:pPr>
        <w:pStyle w:val="HEADER3NOTES"/>
        <w:rPr>
          <w:noProof/>
        </w:rPr>
      </w:pPr>
      <w:r>
        <w:rPr>
          <w:noProof/>
        </w:rPr>
        <w:t>Expenses</w:t>
      </w:r>
    </w:p>
    <w:p>
      <w:pPr>
        <w:pStyle w:val="DGTextstand-alone"/>
      </w:pPr>
      <w:r>
        <w:t>Expenses from non-exchange transactions account for the majority of the EU's expenses. They relate to transfers to beneficiaries and can be of three types: entitlements, transfers under agreement and discretionary grants, contributions and donations.</w:t>
      </w:r>
    </w:p>
    <w:p>
      <w:pPr>
        <w:pStyle w:val="DGTextstand-alone"/>
      </w:pPr>
      <w:r>
        <w:t>Transfers are recognised as expenses in the period during which the events giving rise to the transfer occurred, as long as the nature of the transfer is allowed by regulation (Financial Regulation, Staff Regulations, or other regulation) or an agreement has been signed authorising the transfer; any eligibility criteria have been met by the beneficiary; and a reasonable estimate of the amount can be made.</w:t>
      </w:r>
    </w:p>
    <w:p>
      <w:pPr>
        <w:pStyle w:val="DGTextstand-alone"/>
      </w:pPr>
      <w:r>
        <w:t>When a request for payment or cost claim is received and meets the recognition criteria, it is recognised as an expense for the eligible amount. At year-end, incurred eligible expenses due to the beneficiaries but not yet reported are estimated and recorded as accrued expenses.</w:t>
      </w:r>
    </w:p>
    <w:p>
      <w:pPr>
        <w:pStyle w:val="DGTextstand-alone"/>
      </w:pPr>
      <w:r>
        <w:t>Expenses from exchange transactions arising from the purchase of goods and services are recognised when the supplies are delivered and accepted by the EU. They are valued at original invoice amount. Furthermore, at the balance sheet date expenses related to the service delivered during the period for which an invoice has not yet been received or accepted are estimated and recognised in the statement of financial performance.</w:t>
      </w:r>
    </w:p>
    <w:p>
      <w:pPr>
        <w:pStyle w:val="HEADER2NOTES"/>
        <w:keepNext/>
        <w:rPr>
          <w:noProof/>
        </w:rPr>
      </w:pPr>
      <w:r>
        <w:rPr>
          <w:noProof/>
        </w:rPr>
        <w:t>CONTINGENT ASSETS AND LIABILITIES</w:t>
      </w:r>
    </w:p>
    <w:p>
      <w:pPr>
        <w:pStyle w:val="HEADER3NOTES"/>
        <w:keepNext/>
        <w:rPr>
          <w:noProof/>
        </w:rPr>
      </w:pPr>
      <w:r>
        <w:rPr>
          <w:noProof/>
        </w:rPr>
        <w:t>Contingent assets</w:t>
      </w:r>
    </w:p>
    <w:p>
      <w:pPr>
        <w:pStyle w:val="DGTextstand-alone"/>
      </w:pPr>
      <w:r>
        <w:t>A contingent asset is a possible asset that arises from past events and of which the existence will be confirmed only by the occurrence or non-occurrence of one or more uncertain future events not wholly within the control of the EU. A contingent asset is disclosed when an inflow of economic benefits or service potential is probable.</w:t>
      </w:r>
    </w:p>
    <w:p>
      <w:pPr>
        <w:pStyle w:val="HEADER3NOTES"/>
        <w:rPr>
          <w:noProof/>
        </w:rPr>
      </w:pPr>
      <w:r>
        <w:rPr>
          <w:noProof/>
        </w:rPr>
        <w:t>Contingent liabilities</w:t>
      </w:r>
    </w:p>
    <w:p>
      <w:pPr>
        <w:pStyle w:val="DGTextstand-alone"/>
      </w:pPr>
      <w:r>
        <w:t>A contingent liability is a possible obligation that arises from past events and of which the existence will be confirmed only by the occurrence or non-occurrence of one or more uncertain future events not wholly within the control of the EU; or a present obligation that arises from past events but is not recognised because: it is not probable that an outflow of resources embodying economic benefits or service potential will be required to settle the obligation or in the rare circumstances where the amount of the obligation cannot be measured with sufficient reliability.</w:t>
      </w:r>
    </w:p>
    <w:p>
      <w:pPr>
        <w:pStyle w:val="HEADER2NOTES"/>
        <w:rPr>
          <w:noProof/>
        </w:rPr>
      </w:pPr>
      <w:r>
        <w:rPr>
          <w:noProof/>
        </w:rPr>
        <w:t>CASHFLOW STATEMENT</w:t>
      </w:r>
    </w:p>
    <w:p>
      <w:pPr>
        <w:pStyle w:val="DGTextstand-alone"/>
      </w:pPr>
      <w:r>
        <w:t>Cashflow information is used to provide a basis for assessing the ability of the EU to generate cash and cash equivalents, and its needs to utilise those cashflows.</w:t>
      </w:r>
    </w:p>
    <w:p>
      <w:pPr>
        <w:pStyle w:val="DGTextstand-alone"/>
      </w:pPr>
      <w:r>
        <w:t>The cashflow statement is prepared using the indirect method. This means that the economic result for the financial year is adjusted for the effects of transactions of a non-cash nature, any deferrals or accruals of past or future operating cash receipts or payments, and items of revenue or expense associated with investing cashflows.</w:t>
      </w:r>
    </w:p>
    <w:p>
      <w:pPr>
        <w:pStyle w:val="DGTextstand-alone"/>
      </w:pPr>
      <w:r>
        <w:t>Cashflows arising from transactions in a foreign currency are recorded in the EU’s reporting currency (Euro), by applying to the foreign currency amount the exchange rate between the euro and the foreign currency at the date of the cashflow.</w:t>
      </w:r>
    </w:p>
    <w:p>
      <w:pPr>
        <w:pStyle w:val="DGTextstand-alone"/>
      </w:pPr>
      <w:r>
        <w:t>The cashflow statement reports cashflows during the period classified by operating and investing activities (the EU does not have financing activities).</w:t>
      </w:r>
    </w:p>
    <w:p>
      <w:pPr>
        <w:pStyle w:val="DGTextstand-alone"/>
      </w:pPr>
      <w:r>
        <w:t xml:space="preserve">Operating activities are the activities of the EU that are not investing activities. These are the majority of the activities performed. Loans granted to beneficiaries (and the related borrowings, when applicable) are not considered as investing (or financing) activities as they are part of the general objectives and thus daily operations of the EU. </w:t>
      </w:r>
    </w:p>
    <w:p>
      <w:pPr>
        <w:pStyle w:val="DGTextstand-alone"/>
      </w:pPr>
      <w:r>
        <w:t>Investing activities are the acquisition and disposal of intangible assets and property, plant and equipment and of other investments which are not included in cash equivalents. Investing activities do not include loans granted to beneficiaries. The objective is to show the real investments made by the EU.</w:t>
      </w:r>
    </w:p>
    <w:p>
      <w:pPr>
        <w:pStyle w:val="DGTextstand-alone"/>
        <w:sectPr>
          <w:headerReference w:type="even" r:id="rId83"/>
          <w:headerReference w:type="default" r:id="rId84"/>
          <w:footerReference w:type="even" r:id="rId85"/>
          <w:footerReference w:type="default" r:id="rId86"/>
          <w:headerReference w:type="first" r:id="rId87"/>
          <w:footerReference w:type="first" r:id="rId88"/>
          <w:type w:val="continuous"/>
          <w:pgSz w:w="11906" w:h="16838"/>
          <w:pgMar w:top="1134" w:right="1134" w:bottom="1134" w:left="1134" w:header="708" w:footer="708" w:gutter="0"/>
          <w:cols w:space="708"/>
          <w:docGrid w:linePitch="360"/>
        </w:sectPr>
      </w:pPr>
      <w:r>
        <w:t xml:space="preserve"> </w:t>
      </w:r>
      <w:bookmarkEnd w:id="33"/>
    </w:p>
    <w:p>
      <w:pPr>
        <w:pStyle w:val="HEADER1NOTES"/>
        <w:rPr>
          <w:noProof/>
        </w:rPr>
      </w:pPr>
      <w:bookmarkStart w:id="36" w:name="_Toc11403251"/>
      <w:bookmarkStart w:id="37" w:name="_DMBM_13956"/>
      <w:r>
        <w:rPr>
          <w:noProof/>
        </w:rPr>
        <w:t>NOTES TO THE BALANCE SHEET</w:t>
      </w:r>
      <w:bookmarkEnd w:id="36"/>
      <w:r>
        <w:rPr>
          <w:noProof/>
        </w:rPr>
        <w:t xml:space="preserve"> </w:t>
      </w:r>
    </w:p>
    <w:bookmarkEnd w:id="37"/>
    <w:p>
      <w:pPr>
        <w:pStyle w:val="DGTextstand-alone"/>
        <w:sectPr>
          <w:headerReference w:type="even" r:id="rId89"/>
          <w:headerReference w:type="default" r:id="rId90"/>
          <w:footerReference w:type="even" r:id="rId91"/>
          <w:footerReference w:type="default" r:id="rId92"/>
          <w:headerReference w:type="first" r:id="rId93"/>
          <w:footerReference w:type="first" r:id="rId94"/>
          <w:pgSz w:w="11906" w:h="16838"/>
          <w:pgMar w:top="1134" w:right="1134" w:bottom="1134" w:left="1134" w:header="709" w:footer="709" w:gutter="0"/>
          <w:cols w:space="708"/>
          <w:docGrid w:linePitch="360"/>
        </w:sectPr>
      </w:pPr>
    </w:p>
    <w:p>
      <w:pPr>
        <w:pStyle w:val="HEADERTABLE"/>
        <w:spacing w:after="0"/>
        <w:rPr>
          <w:noProof/>
          <w:lang w:val="fr-BE"/>
        </w:rPr>
      </w:pPr>
      <w:bookmarkStart w:id="38" w:name="_DMBM_13946"/>
      <w:r>
        <w:rPr>
          <w:noProof/>
          <w:lang w:val="fr-BE"/>
        </w:rPr>
        <w:t>ASSETS</w:t>
      </w:r>
    </w:p>
    <w:p>
      <w:pPr>
        <w:rPr>
          <w:noProof/>
          <w:lang w:val="fr-BE"/>
        </w:rPr>
        <w:sectPr>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1134" w:right="1134" w:bottom="1134" w:left="1134" w:header="709" w:footer="709" w:gutter="0"/>
          <w:cols w:space="708"/>
          <w:docGrid w:linePitch="360"/>
        </w:sectPr>
      </w:pPr>
      <w:r>
        <w:rPr>
          <w:noProof/>
          <w:lang w:val="fr-BE"/>
        </w:rPr>
        <w:t xml:space="preserve"> </w:t>
      </w:r>
      <w:bookmarkEnd w:id="38"/>
    </w:p>
    <w:p>
      <w:pPr>
        <w:pStyle w:val="HEADER2NOTES"/>
        <w:rPr>
          <w:noProof/>
        </w:rPr>
      </w:pPr>
      <w:bookmarkStart w:id="39" w:name="_DMBM_13974"/>
      <w:r>
        <w:rPr>
          <w:noProof/>
        </w:rPr>
        <w:t>INTANGIBLE ASSETS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tc>
          <w:tcPr>
            <w:tcW w:w="762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40" w:name="DOC_TBL00007_1_1"/>
            <w:bookmarkEnd w:id="40"/>
          </w:p>
        </w:tc>
        <w:tc>
          <w:tcPr>
            <w:tcW w:w="212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c>
          <w:tcPr>
            <w:tcW w:w="762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val="fr-BE" w:bidi="en-GB"/>
              </w:rPr>
            </w:pP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Gross carrying amount at 31.12.2017</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292</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Additions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49</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Disposals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(9)</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Transfer between asset categories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r>
      <w:tr>
        <w:tc>
          <w:tcPr>
            <w:tcW w:w="762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 changes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r>
      <w:tr>
        <w:tc>
          <w:tcPr>
            <w:tcW w:w="762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Gross carrying amount at 31.12.2018</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 xml:space="preserve"> 333</w:t>
            </w:r>
          </w:p>
        </w:tc>
      </w:tr>
      <w:tr>
        <w:tc>
          <w:tcPr>
            <w:tcW w:w="762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Accumulated amortisation at 31.12.2017</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(143)</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Amortisation charge for the year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(29)</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Amortisation written back</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Disposals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8</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Transfer between asset categories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w:t>
            </w:r>
          </w:p>
        </w:tc>
      </w:tr>
      <w:tr>
        <w:tc>
          <w:tcPr>
            <w:tcW w:w="762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 changes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w:t>
            </w:r>
          </w:p>
        </w:tc>
      </w:tr>
      <w:tr>
        <w:tc>
          <w:tcPr>
            <w:tcW w:w="762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Accumulated amortisation at 31.12.2018</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 xml:space="preserve"> (165)</w:t>
            </w:r>
          </w:p>
        </w:tc>
      </w:tr>
      <w:tr>
        <w:tc>
          <w:tcPr>
            <w:tcW w:w="762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NET CARRYING AMOUNT AT 31.12.2018</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 xml:space="preserve"> 168</w:t>
            </w:r>
          </w:p>
        </w:tc>
      </w:tr>
      <w:tr>
        <w:tc>
          <w:tcPr>
            <w:tcW w:w="762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NET CARRYING AMOUNT AT 31.12.2017</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149</w:t>
            </w:r>
          </w:p>
        </w:tc>
      </w:tr>
    </w:tbl>
    <w:p>
      <w:pPr>
        <w:pStyle w:val="Textstand-alone"/>
        <w:rPr>
          <w:lang w:val="fr-BE" w:bidi="en-GB"/>
        </w:rPr>
        <w:sectPr>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1134" w:right="1134" w:bottom="1134" w:left="1134" w:header="709" w:footer="709" w:gutter="0"/>
          <w:cols w:space="708"/>
          <w:docGrid w:linePitch="360"/>
        </w:sectPr>
      </w:pPr>
      <w:r>
        <w:rPr>
          <w:lang w:val="fr-BE" w:bidi="en-GB"/>
        </w:rPr>
        <w:t xml:space="preserve"> </w:t>
      </w:r>
      <w:bookmarkEnd w:id="39"/>
    </w:p>
    <w:p>
      <w:pPr>
        <w:pStyle w:val="HEADER2NOTES"/>
        <w:rPr>
          <w:noProof/>
        </w:rPr>
      </w:pPr>
      <w:bookmarkStart w:id="41" w:name="_DMBM_13989"/>
      <w:r>
        <w:rPr>
          <w:noProof/>
        </w:rPr>
        <w:t>PROPERTY, PLANT AND EQUIPMENT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34"/>
        <w:gridCol w:w="1134"/>
        <w:gridCol w:w="1134"/>
        <w:gridCol w:w="1417"/>
        <w:gridCol w:w="1134"/>
        <w:gridCol w:w="992"/>
        <w:gridCol w:w="1134"/>
        <w:gridCol w:w="1418"/>
        <w:gridCol w:w="1134"/>
      </w:tblGrid>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42" w:name="DOC_TBL00008_1_1"/>
            <w:bookmarkEnd w:id="42"/>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2552" w:type="dxa"/>
            <w:gridSpan w:val="2"/>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rPr>
          <w:trHeight w:val="437"/>
        </w:trPr>
        <w:tc>
          <w:tcPr>
            <w:tcW w:w="3936" w:type="dxa"/>
            <w:tcBorders>
              <w:top w:val="nil"/>
              <w:left w:val="nil"/>
              <w:bottom w:val="nil"/>
              <w:right w:val="nil"/>
            </w:tcBorders>
            <w:shd w:val="clear" w:color="auto" w:fill="016794"/>
            <w:tcMar>
              <w:top w:w="0" w:type="dxa"/>
              <w:left w:w="108" w:type="dxa"/>
              <w:bottom w:w="0" w:type="dxa"/>
              <w:right w:w="108" w:type="dxa"/>
            </w:tcMar>
          </w:tcPr>
          <w:p>
            <w:pPr>
              <w:pStyle w:val="Heading8pNormalLeft"/>
              <w:rPr>
                <w:rFonts w:eastAsia="Verdana" w:cs="Verdana"/>
                <w:noProof/>
                <w:lang w:val="fr-BE" w:bidi="en-GB"/>
              </w:rPr>
            </w:pP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Land and buildings</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Space assets</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Plant and equipment</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 xml:space="preserve">Furniture and vehicles </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Computer hardware</w:t>
            </w:r>
          </w:p>
        </w:tc>
        <w:tc>
          <w:tcPr>
            <w:tcW w:w="992"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Other</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 xml:space="preserve">Finance leases </w:t>
            </w: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Assets under construction</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val="fr-BE" w:bidi="en-GB"/>
              </w:rPr>
            </w:pPr>
            <w:r>
              <w:rPr>
                <w:rFonts w:eastAsia="Verdana" w:cs="Verdana"/>
                <w:lang w:val="fr-BE" w:bidi="en-GB"/>
              </w:rPr>
              <w:t>TOTAL</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Gross carrying amount at 31.12.2017</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1 448</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4 264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260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71</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248</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156</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1 552</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2 544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10 544</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Additions</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12</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9</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15</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8</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1 198</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1 263</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Disposals</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(8)</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(16)</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(35)</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(9)</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(73)</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Transfer between asset categories</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982</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(983)</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w:t>
            </w:r>
          </w:p>
        </w:tc>
      </w:tr>
      <w:tr>
        <w:tc>
          <w:tcPr>
            <w:tcW w:w="3936"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Other changes</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12</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16</w:t>
            </w:r>
          </w:p>
        </w:tc>
      </w:tr>
      <w:tr>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val="fr-BE" w:bidi="en-GB"/>
              </w:rPr>
            </w:pPr>
            <w:r>
              <w:rPr>
                <w:rFonts w:eastAsia="Verdana" w:cs="Verdana"/>
                <w:lang w:val="fr-BE" w:bidi="en-GB"/>
              </w:rPr>
              <w:t>Gross carrying amount at 31.12.2018</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1 450</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5 259</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266</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69</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235</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161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1 548</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2 759</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11 747</w:t>
            </w:r>
          </w:p>
        </w:tc>
      </w:tr>
      <w:tr>
        <w:tc>
          <w:tcPr>
            <w:tcW w:w="3936"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Accumulated depreciation at 31.12.2017</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(840)</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(780)</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(240)</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(57)</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(207)</w:t>
            </w: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(121)</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(756)</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(3 000)</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Depreciation charge for the year</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bidi="en-GB"/>
              </w:rPr>
              <w:t xml:space="preserve"> </w:t>
            </w:r>
            <w:r>
              <w:rPr>
                <w:rFonts w:eastAsia="Verdana" w:cs="Verdana"/>
                <w:lang w:val="fr-BE" w:bidi="en-GB"/>
              </w:rPr>
              <w:t>(43)</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(561)</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(21)</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(11)</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(54)</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(705)</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Depreciation written back</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Disposals</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8</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9</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33</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63</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Transfer between asset categories</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r>
      <w:tr>
        <w:tc>
          <w:tcPr>
            <w:tcW w:w="3936"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Other changes</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(5)</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w:t>
            </w:r>
          </w:p>
        </w:tc>
      </w:tr>
      <w:tr>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val="fr-BE" w:bidi="en-GB"/>
              </w:rPr>
            </w:pPr>
            <w:r>
              <w:rPr>
                <w:rFonts w:eastAsia="Verdana" w:cs="Verdana"/>
                <w:lang w:val="fr-BE" w:bidi="en-GB"/>
              </w:rPr>
              <w:t>Accumulated depreciation at 31.12.2018</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(875)</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(1 341)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(246)</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(58)</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(200)</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(130)</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(798)</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(3 649)</w:t>
            </w:r>
          </w:p>
        </w:tc>
      </w:tr>
      <w:tr>
        <w:tc>
          <w:tcPr>
            <w:tcW w:w="3936"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p>
        </w:tc>
      </w:tr>
      <w:tr>
        <w:tc>
          <w:tcPr>
            <w:tcW w:w="3936"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val="fr-BE" w:bidi="en-GB"/>
              </w:rPr>
            </w:pPr>
            <w:r>
              <w:rPr>
                <w:rFonts w:eastAsia="Verdana" w:cs="Verdana"/>
                <w:lang w:val="fr-BE" w:bidi="en-GB"/>
              </w:rPr>
              <w:t>NET CARRYING AMOUNT AT 31.12.2018</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575</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3 918</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20</w:t>
            </w:r>
          </w:p>
        </w:tc>
        <w:tc>
          <w:tcPr>
            <w:tcW w:w="141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11</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35</w:t>
            </w:r>
          </w:p>
        </w:tc>
        <w:tc>
          <w:tcPr>
            <w:tcW w:w="992"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30</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 xml:space="preserve"> 750</w:t>
            </w:r>
          </w:p>
        </w:tc>
        <w:tc>
          <w:tcPr>
            <w:tcW w:w="1418"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2 759</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val="fr-BE" w:bidi="en-GB"/>
              </w:rPr>
            </w:pPr>
            <w:r>
              <w:rPr>
                <w:rFonts w:eastAsia="Verdana" w:cs="Verdana"/>
                <w:lang w:val="fr-BE" w:bidi="en-GB"/>
              </w:rPr>
              <w:t>8 098</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val="fr-BE" w:bidi="en-GB"/>
              </w:rPr>
            </w:pPr>
            <w:r>
              <w:rPr>
                <w:rFonts w:eastAsia="Verdana" w:cs="Verdana"/>
                <w:lang w:val="fr-BE" w:bidi="en-GB"/>
              </w:rPr>
              <w:t>NET CARRYING AMOUNT AT 31.12.2017</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608</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3 484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21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14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41</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35</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 xml:space="preserve"> 797</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2 544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val="fr-BE" w:bidi="en-GB"/>
              </w:rPr>
            </w:pPr>
            <w:r>
              <w:rPr>
                <w:rFonts w:eastAsia="Verdana" w:cs="Verdana"/>
                <w:lang w:val="fr-BE" w:bidi="en-GB"/>
              </w:rPr>
              <w:t>7 544</w:t>
            </w:r>
          </w:p>
        </w:tc>
      </w:tr>
    </w:tbl>
    <w:p>
      <w:pPr>
        <w:pStyle w:val="Textstand-alone"/>
        <w:rPr>
          <w:lang w:val="fr-BE" w:bidi="en-GB"/>
        </w:rPr>
        <w:sectPr>
          <w:headerReference w:type="even" r:id="rId107"/>
          <w:headerReference w:type="default" r:id="rId108"/>
          <w:footerReference w:type="even" r:id="rId109"/>
          <w:footerReference w:type="default" r:id="rId110"/>
          <w:headerReference w:type="first" r:id="rId111"/>
          <w:footerReference w:type="first" r:id="rId112"/>
          <w:pgSz w:w="16838" w:h="11906" w:orient="landscape"/>
          <w:pgMar w:top="1134" w:right="1134" w:bottom="1134" w:left="1134" w:header="708" w:footer="708" w:gutter="0"/>
          <w:cols w:space="708"/>
          <w:docGrid w:linePitch="360"/>
        </w:sectPr>
      </w:pPr>
      <w:r>
        <w:rPr>
          <w:lang w:val="fr-BE" w:bidi="en-GB"/>
        </w:rPr>
        <w:t xml:space="preserve"> </w:t>
      </w:r>
      <w:bookmarkEnd w:id="41"/>
    </w:p>
    <w:p>
      <w:pPr>
        <w:pStyle w:val="HEADER2NOTES"/>
        <w:rPr>
          <w:noProof/>
        </w:rPr>
      </w:pPr>
      <w:bookmarkStart w:id="43" w:name="_DMBM_13979"/>
      <w:r>
        <w:rPr>
          <w:noProof/>
        </w:rPr>
        <w:t>INVESTMENTS ACCOUNTED FOR USING THE EQUITY METHOD</w:t>
      </w:r>
    </w:p>
    <w:p>
      <w:pPr>
        <w:pStyle w:val="DGTextstand-alone"/>
      </w:pPr>
      <w:r>
        <w:t>The participation of the EU represented by the Commission in the European Investment Fund (EIF) is treated as an associate using the equity method of accounting. At 31 December 2018, the EU holds 29.7 % of the ownership interest in EIF (2017: 29.7 %).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tc>
          <w:tcPr>
            <w:tcW w:w="762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44" w:name="DOC_TBL00009_1_1"/>
            <w:bookmarkEnd w:id="44"/>
          </w:p>
        </w:tc>
        <w:tc>
          <w:tcPr>
            <w:tcW w:w="212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9747" w:type="dxa"/>
            <w:gridSpan w:val="2"/>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European Investment Fund</w:t>
            </w:r>
          </w:p>
        </w:tc>
      </w:tr>
      <w:tr>
        <w:tc>
          <w:tcPr>
            <w:tcW w:w="762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Participation at 31.12.2017</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581</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Contributions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Dividends received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Share of net result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37</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Share in the net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(24)</w:t>
            </w:r>
          </w:p>
        </w:tc>
      </w:tr>
      <w:tr>
        <w:tc>
          <w:tcPr>
            <w:tcW w:w="762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Participation at 31.12.2018</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591</w:t>
            </w:r>
          </w:p>
        </w:tc>
      </w:tr>
    </w:tbl>
    <w:p>
      <w:pPr>
        <w:pStyle w:val="DGTextstand-alone"/>
      </w:pPr>
      <w:r>
        <w:t>EIF summarised financial information:</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45" w:name="DOC_TBL00010_1_1"/>
            <w:bookmarkEnd w:id="45"/>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Total EIF</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Total EIF</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2 662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2 488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Liabilities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(674)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(532)</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Revenue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291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263</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Expenses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(153)</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Surplus/(deficit)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124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110</w:t>
            </w:r>
          </w:p>
        </w:tc>
      </w:tr>
    </w:tbl>
    <w:p>
      <w:pPr>
        <w:pStyle w:val="DGTextstand-alone"/>
      </w:pPr>
      <w:r>
        <w:t>Reconciliation of the above summarised financial information to the carrying amount of the interest held in the EIF is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46" w:name="DOC_TBL00011_1_1"/>
            <w:bookmarkEnd w:id="46"/>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Net assets of the associate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1 988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1 956</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EC ownership interests in EIF</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29.7%</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29.7%</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Carrying amount</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591</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581</w:t>
            </w:r>
          </w:p>
        </w:tc>
      </w:tr>
    </w:tbl>
    <w:p>
      <w:pPr>
        <w:pStyle w:val="DGTextstand-alone"/>
      </w:pPr>
      <w:r>
        <w:t>The Commission has paid-in 20 % of its subscribed shares in the EIF capital at 31 December 2018, the amount uncalled being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47" w:name="DOC_TBL00012_1_1"/>
            <w:bookmarkEnd w:id="47"/>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Total EIF capital</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EU subscription</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Total share capital</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4 500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1 337</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Paid-in</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(900)</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(267)</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Uncalled</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3 600</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1 070</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bl>
    <w:p>
      <w:pPr>
        <w:pStyle w:val="DGTextstand-alone"/>
        <w:rPr>
          <w:lang w:bidi="en-GB"/>
        </w:rPr>
        <w:sectPr>
          <w:headerReference w:type="even" r:id="rId113"/>
          <w:headerReference w:type="default" r:id="rId114"/>
          <w:footerReference w:type="even" r:id="rId115"/>
          <w:footerReference w:type="default" r:id="rId116"/>
          <w:headerReference w:type="first" r:id="rId117"/>
          <w:footerReference w:type="first" r:id="rId118"/>
          <w:pgSz w:w="11906" w:h="16838"/>
          <w:pgMar w:top="1134" w:right="1134" w:bottom="1134" w:left="1134" w:header="709" w:footer="709" w:gutter="0"/>
          <w:cols w:space="708"/>
          <w:docGrid w:linePitch="360"/>
        </w:sectPr>
      </w:pPr>
      <w:r>
        <w:rPr>
          <w:lang w:bidi="en-GB"/>
        </w:rPr>
        <w:t xml:space="preserve"> </w:t>
      </w:r>
      <w:bookmarkEnd w:id="43"/>
    </w:p>
    <w:p>
      <w:pPr>
        <w:pStyle w:val="HEADER2NOTES"/>
        <w:rPr>
          <w:noProof/>
        </w:rPr>
      </w:pPr>
      <w:bookmarkStart w:id="48" w:name="_DMBM_13976"/>
      <w:r>
        <w:rPr>
          <w:noProof/>
        </w:rPr>
        <w:t>FINANCIAL ASSETS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49" w:name="DOC_TBL00013_1_1"/>
            <w:bookmarkEnd w:id="49"/>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Non-current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Available for sale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12 345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10 410</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assets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14</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Loans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2.4.3</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51 559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48 107</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63 917</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58 533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Current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Available for sale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1 592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1 563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assets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Loans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2.4.3</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2 281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6 770</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3 875</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8 339</w:t>
            </w:r>
          </w:p>
        </w:tc>
      </w:tr>
      <w:tr>
        <w:trPr>
          <w:cantSplit/>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67 793</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66 872</w:t>
            </w:r>
          </w:p>
        </w:tc>
      </w:tr>
      <w:tr>
        <w:trPr>
          <w:cantSplit/>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bl>
    <w:p>
      <w:pPr>
        <w:pStyle w:val="HEADER3NOTES"/>
        <w:rPr>
          <w:noProof/>
        </w:rPr>
      </w:pPr>
      <w:r>
        <w:rPr>
          <w:noProof/>
        </w:rPr>
        <w:t xml:space="preserve"> Available for sale financial assets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0" w:name="DOC_TBL00014_1_1"/>
            <w:bookmarkEnd w:id="50"/>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BUFI investments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1 888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2 158</w:t>
            </w:r>
          </w:p>
        </w:tc>
      </w:tr>
      <w:tr>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Bank for Reconstruction and Development</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188</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188</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r>
              <w:rPr>
                <w:rFonts w:eastAsia="Verdana" w:cs="Verdana"/>
                <w:lang w:bidi="en-GB"/>
              </w:rPr>
              <w:t>2 076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r>
              <w:rPr>
                <w:rFonts w:eastAsia="Verdana" w:cs="Verdana"/>
                <w:lang w:bidi="en-GB"/>
              </w:rPr>
              <w:t>2 346</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Guarantee Funds for budgetary guarantees:</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EFSI Guarantee Fund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5 000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3 414</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Guarantee Fund for external actions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2 465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2 199</w:t>
            </w:r>
          </w:p>
        </w:tc>
      </w:tr>
      <w:tr>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EFSD Guarantee Fund</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r>
              <w:rPr>
                <w:rFonts w:eastAsia="Verdana" w:cs="Verdana"/>
                <w:lang w:bidi="en-GB"/>
              </w:rPr>
              <w:t>7 474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r>
              <w:rPr>
                <w:rFonts w:eastAsia="Verdana" w:cs="Verdana"/>
                <w:lang w:bidi="en-GB"/>
              </w:rPr>
              <w:t>5 613</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Financial instruments supported by the EU budget: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Horizon 2020</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2 031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1 730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Risk Sharing Finance Facility</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679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665</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Connecting Europe Facility</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540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482</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 SME Equity Facilities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508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Risk Capital Operations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113</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Fund for South East Europe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119</w:t>
            </w:r>
          </w:p>
        </w:tc>
      </w:tr>
      <w:tr>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444</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398</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r>
              <w:rPr>
                <w:rFonts w:eastAsia="Verdana" w:cs="Verdana"/>
                <w:lang w:bidi="en-GB"/>
              </w:rPr>
              <w:t>4 386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r>
              <w:rPr>
                <w:rFonts w:eastAsia="Verdana" w:cs="Verdana"/>
                <w:lang w:bidi="en-GB"/>
              </w:rPr>
              <w:t>4 014</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13 937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11 973</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12 345</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10 410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1 592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1 563</w:t>
            </w:r>
          </w:p>
        </w:tc>
      </w:tr>
    </w:tbl>
    <w:p>
      <w:pPr>
        <w:pStyle w:val="Text8pItalicLeft"/>
        <w:rPr>
          <w:b/>
          <w:lang w:bidi="en-GB"/>
        </w:rPr>
      </w:pPr>
    </w:p>
    <w:p>
      <w:pPr>
        <w:pStyle w:val="HEADER3NOTES"/>
        <w:rPr>
          <w:noProof/>
        </w:rPr>
      </w:pPr>
      <w:r>
        <w:rPr>
          <w:noProof/>
        </w:rPr>
        <w:t>Financial assets at fair value through surplus or deficit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tc>
          <w:tcPr>
            <w:tcW w:w="3794"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1" w:name="DOC_TBL00015_1_1"/>
            <w:bookmarkEnd w:id="51"/>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2976" w:type="dxa"/>
            <w:gridSpan w:val="2"/>
            <w:tcBorders>
              <w:top w:val="nil"/>
              <w:left w:val="nil"/>
              <w:bottom w:val="nil"/>
              <w:right w:val="nil"/>
            </w:tcBorders>
            <w:shd w:val="clear" w:color="auto" w:fill="016794"/>
            <w:tcMar>
              <w:top w:w="0" w:type="dxa"/>
              <w:left w:w="108" w:type="dxa"/>
              <w:bottom w:w="0" w:type="dxa"/>
              <w:right w:w="108" w:type="dxa"/>
            </w:tcMar>
          </w:tcPr>
          <w:p>
            <w:pPr>
              <w:pStyle w:val="Heading10pNormalCentered"/>
              <w:rPr>
                <w:rFonts w:eastAsia="Verdana" w:cs="Verdana"/>
                <w:lang w:bidi="en-GB"/>
              </w:rPr>
            </w:pPr>
            <w:r>
              <w:rPr>
                <w:rFonts w:eastAsia="Verdana" w:cs="Verdana"/>
                <w:lang w:bidi="en-GB"/>
              </w:rPr>
              <w:t>31.12.2018</w:t>
            </w:r>
          </w:p>
        </w:tc>
        <w:tc>
          <w:tcPr>
            <w:tcW w:w="2977" w:type="dxa"/>
            <w:gridSpan w:val="2"/>
            <w:tcBorders>
              <w:top w:val="nil"/>
              <w:left w:val="nil"/>
              <w:bottom w:val="nil"/>
              <w:right w:val="nil"/>
            </w:tcBorders>
            <w:shd w:val="clear" w:color="auto" w:fill="016794"/>
            <w:tcMar>
              <w:top w:w="0" w:type="dxa"/>
              <w:left w:w="108" w:type="dxa"/>
              <w:bottom w:w="0" w:type="dxa"/>
              <w:right w:w="108" w:type="dxa"/>
            </w:tcMar>
          </w:tcPr>
          <w:p>
            <w:pPr>
              <w:pStyle w:val="Heading10pNormalCentered"/>
              <w:rPr>
                <w:rFonts w:eastAsia="Verdana" w:cs="Verdana"/>
                <w:lang w:bidi="en-GB"/>
              </w:rPr>
            </w:pPr>
            <w:r>
              <w:rPr>
                <w:rFonts w:eastAsia="Verdana" w:cs="Verdana"/>
                <w:lang w:bidi="en-GB"/>
              </w:rPr>
              <w:t>31.12.2017</w:t>
            </w:r>
          </w:p>
        </w:tc>
      </w:tr>
      <w:t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r>
              <w:rPr>
                <w:rFonts w:eastAsia="Verdana" w:cs="Verdana"/>
                <w:lang w:bidi="en-GB"/>
              </w:rPr>
              <w:t>Type of derivative</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 xml:space="preserve">Notional amount </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Fair value</w:t>
            </w:r>
          </w:p>
        </w:tc>
        <w:tc>
          <w:tcPr>
            <w:tcW w:w="1418"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 xml:space="preserve">Notional amount </w:t>
            </w:r>
          </w:p>
        </w:tc>
        <w:tc>
          <w:tcPr>
            <w:tcW w:w="1559"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Fair value</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Foreign currency forward contract</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476</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2</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634</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6</w:t>
            </w:r>
          </w:p>
        </w:tc>
      </w:tr>
      <w:tr>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Guarantee on equity portfolio</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674</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14</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258</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16</w:t>
            </w:r>
          </w:p>
        </w:tc>
      </w:tr>
      <w:t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1 150</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16</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892</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23</w:t>
            </w:r>
          </w:p>
        </w:tc>
      </w:tr>
      <w:t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674</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14</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258</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16</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476</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2</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634</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6</w:t>
            </w:r>
          </w:p>
        </w:tc>
      </w:tr>
    </w:tbl>
    <w:p>
      <w:pPr>
        <w:pStyle w:val="Text7pItalicRight025"/>
        <w:rPr>
          <w:lang w:bidi="en-GB"/>
        </w:rPr>
      </w:pPr>
    </w:p>
    <w:p>
      <w:pPr>
        <w:rPr>
          <w:rFonts w:ascii="Verdana" w:hAnsi="Verdana"/>
          <w:noProof/>
          <w:color w:val="016794"/>
          <w:sz w:val="18"/>
          <w:szCs w:val="18"/>
        </w:rPr>
      </w:pPr>
      <w:r>
        <w:rPr>
          <w:noProof/>
        </w:rPr>
        <w:br w:type="page"/>
      </w:r>
    </w:p>
    <w:p>
      <w:pPr>
        <w:pStyle w:val="HEADER5"/>
        <w:rPr>
          <w:noProof/>
        </w:rPr>
      </w:pPr>
      <w:r>
        <w:rPr>
          <w:noProof/>
        </w:rPr>
        <w:t>Fair value hierarchy of financial assets measured at fair value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2" w:name="DOC_TBL00016_1_1"/>
            <w:bookmarkEnd w:id="52"/>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Level 1: Quoted prices in active markets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12 487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10 325</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Level 2: Observable inputs other than quoted prices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275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510</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Level 3: Valuation techniques with inputs not based on observable market data</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1 191</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1 161</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13 953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11 996</w:t>
            </w:r>
          </w:p>
        </w:tc>
      </w:tr>
    </w:tbl>
    <w:p>
      <w:pPr>
        <w:pStyle w:val="DGTextstand-alone"/>
        <w:rPr>
          <w:lang w:bidi="en-GB"/>
        </w:rPr>
      </w:pPr>
    </w:p>
    <w:p>
      <w:pPr>
        <w:pStyle w:val="HEADER5"/>
        <w:rPr>
          <w:noProof/>
        </w:rPr>
      </w:pPr>
      <w:r>
        <w:rPr>
          <w:noProof/>
        </w:rPr>
        <w:t>Reconciliation of financial assets measured using valuation techniques with inputs not based on observable market data (level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tc>
          <w:tcPr>
            <w:tcW w:w="762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3" w:name="DOC_TBL00017_1_1"/>
            <w:bookmarkEnd w:id="53"/>
          </w:p>
        </w:tc>
        <w:tc>
          <w:tcPr>
            <w:tcW w:w="212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762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Opening balance at 1.1.2018</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1 161</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Purchases, sales, issues and settlements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104</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Gains or losses for the period in financial income or finance costs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(36)</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Gains or losses in net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(37)</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Transfers into level 3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Transfers out of level 3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762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762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Closing balance at 31.12.2018</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1 191</w:t>
            </w:r>
          </w:p>
        </w:tc>
      </w:tr>
    </w:tbl>
    <w:p>
      <w:pPr>
        <w:pStyle w:val="HEADER3NOTES"/>
        <w:rPr>
          <w:noProof/>
        </w:rPr>
      </w:pPr>
      <w:r>
        <w:rPr>
          <w:noProof/>
        </w:rPr>
        <w:t xml:space="preserve"> Loans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871"/>
        <w:gridCol w:w="1841"/>
        <w:gridCol w:w="1842"/>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4" w:name="DOC_TBL00018_1_1"/>
            <w:bookmarkEnd w:id="54"/>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Loans for financial assistance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2.4.3.1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53 775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54 744</w:t>
            </w:r>
          </w:p>
        </w:tc>
      </w:tr>
      <w:tr>
        <w:trPr>
          <w:trHeight w:val="268"/>
        </w:trPr>
        <w:tc>
          <w:tcPr>
            <w:tcW w:w="521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loans</w:t>
            </w:r>
          </w:p>
        </w:tc>
        <w:tc>
          <w:tcPr>
            <w:tcW w:w="8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2.4.3.2</w:t>
            </w:r>
          </w:p>
        </w:tc>
        <w:tc>
          <w:tcPr>
            <w:tcW w:w="1842"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64</w:t>
            </w:r>
          </w:p>
        </w:tc>
        <w:tc>
          <w:tcPr>
            <w:tcW w:w="184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133</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53 840</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54 877</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i w:val="0"/>
                <w:color w:val="auto"/>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51 559</w:t>
            </w: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48 107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i w:val="0"/>
                <w:color w:val="auto"/>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2 281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6 770</w:t>
            </w:r>
          </w:p>
        </w:tc>
      </w:tr>
    </w:tbl>
    <w:p>
      <w:pPr>
        <w:pStyle w:val="HEADER4Part1"/>
        <w:rPr>
          <w:noProof/>
        </w:rPr>
      </w:pPr>
      <w:r>
        <w:rPr>
          <w:noProof/>
        </w:rPr>
        <w:t>Loans for financial assistance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270"/>
        <w:gridCol w:w="1306"/>
        <w:gridCol w:w="1273"/>
        <w:gridCol w:w="1271"/>
        <w:gridCol w:w="1417"/>
      </w:tblGrid>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5" w:name="DOC_TBL00019_1_1"/>
            <w:bookmarkEnd w:id="55"/>
          </w:p>
        </w:tc>
        <w:tc>
          <w:tcPr>
            <w:tcW w:w="1270"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cantSplit/>
        </w:trPr>
        <w:tc>
          <w:tcPr>
            <w:tcW w:w="3210"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EFSM</w:t>
            </w:r>
          </w:p>
        </w:tc>
        <w:tc>
          <w:tcPr>
            <w:tcW w:w="1306"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BOP</w:t>
            </w:r>
          </w:p>
        </w:tc>
        <w:tc>
          <w:tcPr>
            <w:tcW w:w="1273"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MFA</w:t>
            </w:r>
          </w:p>
        </w:tc>
        <w:tc>
          <w:tcPr>
            <w:tcW w:w="127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Euratom</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Total</w:t>
            </w:r>
          </w:p>
        </w:tc>
      </w:tr>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Total at 31.12.2017</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47 456</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3 114</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3 924</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54 744</w:t>
            </w:r>
          </w:p>
        </w:tc>
      </w:tr>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New loans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4 500</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515</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5 065</w:t>
            </w:r>
          </w:p>
        </w:tc>
      </w:tr>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Repayments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(4 500)</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(1 350)</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(56)</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(5 952)</w:t>
            </w:r>
          </w:p>
        </w:tc>
      </w:tr>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Exchange differences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(0)</w:t>
            </w:r>
          </w:p>
        </w:tc>
      </w:tr>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Changes in carrying amount</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(56)</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(30)</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(82)</w:t>
            </w:r>
          </w:p>
        </w:tc>
      </w:tr>
      <w:tr>
        <w:trPr>
          <w:cantSplit/>
        </w:trPr>
        <w:tc>
          <w:tcPr>
            <w:tcW w:w="3210"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Impairment</w:t>
            </w:r>
          </w:p>
        </w:tc>
        <w:tc>
          <w:tcPr>
            <w:tcW w:w="127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w:t>
            </w:r>
          </w:p>
        </w:tc>
        <w:tc>
          <w:tcPr>
            <w:tcW w:w="130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w:t>
            </w:r>
          </w:p>
        </w:tc>
        <w:tc>
          <w:tcPr>
            <w:tcW w:w="127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w:t>
            </w:r>
          </w:p>
        </w:tc>
        <w:tc>
          <w:tcPr>
            <w:tcW w:w="1271"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w:t>
            </w:r>
          </w:p>
        </w:tc>
      </w:tr>
      <w:tr>
        <w:trPr>
          <w:cantSplit/>
        </w:trPr>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at 31.12.2018</w:t>
            </w: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47 400</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1 734</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4 388</w:t>
            </w:r>
          </w:p>
        </w:tc>
        <w:tc>
          <w:tcPr>
            <w:tcW w:w="127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254</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53 775</w:t>
            </w:r>
          </w:p>
        </w:tc>
      </w:tr>
      <w:tr>
        <w:trPr>
          <w:cantSplit/>
        </w:trPr>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46 800</w:t>
            </w: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200</w:t>
            </w: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4 309</w:t>
            </w:r>
          </w:p>
        </w:tc>
        <w:tc>
          <w:tcPr>
            <w:tcW w:w="127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 xml:space="preserve"> 213</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51 521</w:t>
            </w:r>
          </w:p>
        </w:tc>
      </w:tr>
      <w:tr>
        <w:trPr>
          <w:cantSplit/>
        </w:trP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600</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1 534</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79</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 xml:space="preserve"> 41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2 254</w:t>
            </w:r>
          </w:p>
        </w:tc>
      </w:tr>
    </w:tbl>
    <w:p>
      <w:pPr>
        <w:pStyle w:val="DGTextstand-alone"/>
      </w:pPr>
      <w:r>
        <w:t>The change in carrying amount corresponds to the change in accrued interests.</w:t>
      </w:r>
    </w:p>
    <w:p>
      <w:pPr>
        <w:pStyle w:val="DGTextstand-alone"/>
      </w:pPr>
      <w:r>
        <w:t>Nominal value of loans for financial assistance at 31 December 2018 total EUR 53 114 million (2017: EUR 54 000 million).</w:t>
      </w:r>
    </w:p>
    <w:p>
      <w:pPr>
        <w:pStyle w:val="HEADER5"/>
        <w:spacing w:after="120"/>
        <w:rPr>
          <w:noProof/>
        </w:rPr>
      </w:pPr>
      <w:r>
        <w:rPr>
          <w:noProof/>
        </w:rPr>
        <w:t>Loans effective interest rates (expressed as a range of interest rates)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bookmarkStart w:id="56" w:name="DOC_TBL00020_1_1"/>
            <w:bookmarkEnd w:id="56"/>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Macro Financial Assistance (MFA)</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0 % - 3.82 %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0 % - 4.54 %</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Euratom</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0.08 % - 5.76 %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0.08 % - 5.76 %</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Balance of Payment (BOP)</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2.88 % - 3.38 %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2.88 % - 3.38 %</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Financial Stability Mechanism (EFSM)</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0.50 % - 3.75 %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0.62 % - 3.75 %</w:t>
            </w:r>
          </w:p>
        </w:tc>
      </w:tr>
    </w:tbl>
    <w:p>
      <w:pPr>
        <w:pStyle w:val="DGTextstand-alone"/>
        <w:spacing w:before="0" w:after="0"/>
        <w:rPr>
          <w:lang w:bidi="en-GB"/>
        </w:rPr>
      </w:pPr>
    </w:p>
    <w:p>
      <w:pPr>
        <w:pStyle w:val="HEADER4Part1"/>
        <w:rPr>
          <w:noProof/>
        </w:rPr>
      </w:pPr>
      <w:r>
        <w:rPr>
          <w:noProof/>
        </w:rPr>
        <w:t>Other loans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57" w:name="DOC_TBL00021_1_1"/>
            <w:bookmarkEnd w:id="57"/>
          </w:p>
        </w:tc>
        <w:tc>
          <w:tcPr>
            <w:tcW w:w="2126" w:type="dxa"/>
            <w:tcBorders>
              <w:top w:val="nil"/>
              <w:left w:val="nil"/>
              <w:bottom w:val="nil"/>
              <w:right w:val="nil"/>
            </w:tcBorders>
            <w:tcMar>
              <w:top w:w="0" w:type="dxa"/>
              <w:left w:w="108" w:type="dxa"/>
              <w:bottom w:w="0" w:type="dxa"/>
              <w:right w:w="108" w:type="dxa"/>
            </w:tcMar>
          </w:tcPr>
          <w:p>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Times New Roman"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31.12.2017</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Loans with special conditions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64</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78</w:t>
            </w:r>
          </w:p>
        </w:tc>
      </w:tr>
      <w:tr>
        <w:tc>
          <w:tcPr>
            <w:tcW w:w="5637" w:type="dxa"/>
            <w:tcBorders>
              <w:top w:val="nil"/>
              <w:left w:val="nil"/>
              <w:bottom w:val="single" w:sz="4" w:space="0" w:color="016794"/>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Term deposits</w:t>
            </w:r>
          </w:p>
        </w:tc>
        <w:tc>
          <w:tcPr>
            <w:tcW w:w="2126"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0</w:t>
            </w:r>
          </w:p>
        </w:tc>
        <w:tc>
          <w:tcPr>
            <w:tcW w:w="1985" w:type="dxa"/>
            <w:tcBorders>
              <w:top w:val="nil"/>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55</w:t>
            </w:r>
          </w:p>
        </w:tc>
      </w:tr>
      <w:tr>
        <w:tc>
          <w:tcPr>
            <w:tcW w:w="5637" w:type="dxa"/>
            <w:tcBorders>
              <w:top w:val="single" w:sz="4" w:space="0" w:color="016794"/>
              <w:left w:val="nil"/>
              <w:bottom w:val="single" w:sz="4" w:space="0" w:color="016794"/>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Total</w:t>
            </w:r>
          </w:p>
        </w:tc>
        <w:tc>
          <w:tcPr>
            <w:tcW w:w="2126" w:type="dxa"/>
            <w:tcBorders>
              <w:top w:val="single" w:sz="4" w:space="0" w:color="016794"/>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b/>
                <w:i w:val="0"/>
              </w:rPr>
            </w:pPr>
            <w:r>
              <w:rPr>
                <w:rFonts w:eastAsia="Times New Roman" w:cs="Verdana"/>
                <w:b/>
                <w:i w:val="0"/>
              </w:rPr>
              <w:t xml:space="preserve"> 64</w:t>
            </w:r>
          </w:p>
        </w:tc>
        <w:tc>
          <w:tcPr>
            <w:tcW w:w="1985" w:type="dxa"/>
            <w:tcBorders>
              <w:top w:val="single" w:sz="4" w:space="0" w:color="016794"/>
              <w:left w:val="nil"/>
              <w:bottom w:val="single" w:sz="4" w:space="0" w:color="016794"/>
              <w:right w:val="nil"/>
            </w:tcBorders>
            <w:tcMar>
              <w:top w:w="0" w:type="dxa"/>
              <w:left w:w="108" w:type="dxa"/>
              <w:bottom w:w="0" w:type="dxa"/>
              <w:right w:w="108" w:type="dxa"/>
            </w:tcMar>
          </w:tcPr>
          <w:p>
            <w:pPr>
              <w:pStyle w:val="Figures9pItalicRight025"/>
              <w:rPr>
                <w:rFonts w:eastAsia="Times New Roman" w:cs="Verdana"/>
                <w:b/>
                <w:i w:val="0"/>
              </w:rPr>
            </w:pPr>
            <w:r>
              <w:rPr>
                <w:rFonts w:eastAsia="Times New Roman" w:cs="Verdana"/>
                <w:b/>
                <w:i w:val="0"/>
              </w:rPr>
              <w:t xml:space="preserve"> 133</w:t>
            </w:r>
          </w:p>
        </w:tc>
      </w:tr>
      <w:tr>
        <w:tc>
          <w:tcPr>
            <w:tcW w:w="5637" w:type="dxa"/>
            <w:tcBorders>
              <w:top w:val="single" w:sz="4" w:space="0" w:color="016794"/>
              <w:left w:val="nil"/>
              <w:bottom w:val="nil"/>
              <w:right w:val="nil"/>
            </w:tcBorders>
            <w:tcMar>
              <w:top w:w="0" w:type="dxa"/>
              <w:left w:w="108" w:type="dxa"/>
              <w:bottom w:w="0" w:type="dxa"/>
              <w:right w:w="108" w:type="dxa"/>
            </w:tcMar>
          </w:tcPr>
          <w:p>
            <w:pPr>
              <w:pStyle w:val="Text9pItalicleftBlue"/>
              <w:rPr>
                <w:rFonts w:eastAsia="Times New Roman" w:cs="Verdana"/>
              </w:rPr>
            </w:pPr>
            <w:r>
              <w:rPr>
                <w:rFonts w:eastAsia="Times New Roman" w:cs="Verdana"/>
              </w:rPr>
              <w:t>Non-current</w:t>
            </w:r>
          </w:p>
        </w:tc>
        <w:tc>
          <w:tcPr>
            <w:tcW w:w="2126" w:type="dxa"/>
            <w:tcBorders>
              <w:top w:val="single" w:sz="4" w:space="0" w:color="016794"/>
              <w:left w:val="nil"/>
              <w:bottom w:val="nil"/>
              <w:right w:val="nil"/>
            </w:tcBorders>
            <w:tcMar>
              <w:top w:w="0" w:type="dxa"/>
              <w:left w:w="108" w:type="dxa"/>
              <w:bottom w:w="0" w:type="dxa"/>
              <w:right w:w="108" w:type="dxa"/>
            </w:tcMar>
          </w:tcPr>
          <w:p>
            <w:pPr>
              <w:pStyle w:val="Figures9pItalicBlueRight"/>
              <w:rPr>
                <w:rFonts w:eastAsia="Times New Roman" w:cs="Verdana"/>
              </w:rPr>
            </w:pPr>
            <w:r>
              <w:rPr>
                <w:rFonts w:eastAsia="Times New Roman" w:cs="Verdana"/>
              </w:rPr>
              <w:t xml:space="preserve"> 37</w:t>
            </w:r>
          </w:p>
        </w:tc>
        <w:tc>
          <w:tcPr>
            <w:tcW w:w="1985" w:type="dxa"/>
            <w:tcBorders>
              <w:top w:val="single" w:sz="4" w:space="0" w:color="016794"/>
              <w:left w:val="nil"/>
              <w:bottom w:val="nil"/>
              <w:right w:val="nil"/>
            </w:tcBorders>
            <w:tcMar>
              <w:top w:w="0" w:type="dxa"/>
              <w:left w:w="108" w:type="dxa"/>
              <w:bottom w:w="0" w:type="dxa"/>
              <w:right w:w="108" w:type="dxa"/>
            </w:tcMar>
          </w:tcPr>
          <w:p>
            <w:pPr>
              <w:pStyle w:val="Figures9pItalicBlueRight"/>
              <w:rPr>
                <w:rFonts w:eastAsia="Times New Roman" w:cs="Verdana"/>
              </w:rPr>
            </w:pPr>
            <w:r>
              <w:rPr>
                <w:rFonts w:eastAsia="Times New Roman" w:cs="Verdana"/>
              </w:rPr>
              <w:t xml:space="preserve"> 59</w:t>
            </w:r>
          </w:p>
        </w:tc>
      </w:tr>
      <w:tr>
        <w:tc>
          <w:tcPr>
            <w:tcW w:w="5637" w:type="dxa"/>
            <w:tcBorders>
              <w:top w:val="nil"/>
              <w:left w:val="nil"/>
              <w:bottom w:val="nil"/>
              <w:right w:val="nil"/>
            </w:tcBorders>
            <w:tcMar>
              <w:top w:w="0" w:type="dxa"/>
              <w:left w:w="108" w:type="dxa"/>
              <w:bottom w:w="0" w:type="dxa"/>
              <w:right w:w="108" w:type="dxa"/>
            </w:tcMar>
          </w:tcPr>
          <w:p>
            <w:pPr>
              <w:pStyle w:val="Text9pItalicleftBlue"/>
              <w:rPr>
                <w:rFonts w:eastAsia="Times New Roman" w:cs="Verdana"/>
              </w:rPr>
            </w:pPr>
            <w:r>
              <w:rPr>
                <w:rFonts w:eastAsia="Times New Roman" w:cs="Verdana"/>
              </w:rPr>
              <w:t>Current</w:t>
            </w:r>
          </w:p>
        </w:tc>
        <w:tc>
          <w:tcPr>
            <w:tcW w:w="2126" w:type="dxa"/>
            <w:tcBorders>
              <w:top w:val="nil"/>
              <w:left w:val="nil"/>
              <w:bottom w:val="nil"/>
              <w:right w:val="nil"/>
            </w:tcBorders>
            <w:tcMar>
              <w:top w:w="0" w:type="dxa"/>
              <w:left w:w="108" w:type="dxa"/>
              <w:bottom w:w="0" w:type="dxa"/>
              <w:right w:w="108" w:type="dxa"/>
            </w:tcMar>
          </w:tcPr>
          <w:p>
            <w:pPr>
              <w:pStyle w:val="Figures9pItalicBlueRight"/>
              <w:rPr>
                <w:rFonts w:eastAsia="Times New Roman" w:cs="Verdana"/>
              </w:rPr>
            </w:pPr>
            <w:r>
              <w:rPr>
                <w:rFonts w:eastAsia="Times New Roman" w:cs="Verdana"/>
              </w:rPr>
              <w:t xml:space="preserve"> 27</w:t>
            </w:r>
          </w:p>
        </w:tc>
        <w:tc>
          <w:tcPr>
            <w:tcW w:w="1985" w:type="dxa"/>
            <w:tcBorders>
              <w:top w:val="nil"/>
              <w:left w:val="nil"/>
              <w:bottom w:val="nil"/>
              <w:right w:val="nil"/>
            </w:tcBorders>
            <w:tcMar>
              <w:top w:w="0" w:type="dxa"/>
              <w:left w:w="108" w:type="dxa"/>
              <w:bottom w:w="0" w:type="dxa"/>
              <w:right w:w="108" w:type="dxa"/>
            </w:tcMar>
          </w:tcPr>
          <w:p>
            <w:pPr>
              <w:pStyle w:val="Figures9pItalicBlueRight"/>
              <w:rPr>
                <w:rFonts w:eastAsia="Times New Roman" w:cs="Verdana"/>
              </w:rPr>
            </w:pPr>
            <w:r>
              <w:rPr>
                <w:rFonts w:eastAsia="Times New Roman" w:cs="Verdana"/>
              </w:rPr>
              <w:t xml:space="preserve"> 75</w:t>
            </w:r>
          </w:p>
        </w:tc>
      </w:tr>
    </w:tbl>
    <w:p>
      <w:pPr>
        <w:pStyle w:val="DGTextstand-alone"/>
        <w:rPr>
          <w:b/>
          <w:lang w:bidi="en-GB"/>
        </w:rPr>
      </w:pPr>
      <w:r>
        <w:rPr>
          <w:lang w:bidi="en-GB"/>
        </w:rPr>
        <w:t>Nominal value of other loans at 31 December 2018 total EUR 615 million (2017: EUR 557 million).</w:t>
      </w:r>
    </w:p>
    <w:p>
      <w:pPr>
        <w:pStyle w:val="HEADER5"/>
        <w:rPr>
          <w:noProof/>
        </w:rPr>
      </w:pPr>
      <w:r>
        <w:rPr>
          <w:noProof/>
        </w:rPr>
        <w:t>Impairment on other loans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275"/>
        <w:gridCol w:w="1418"/>
        <w:gridCol w:w="1134"/>
        <w:gridCol w:w="1276"/>
        <w:gridCol w:w="1417"/>
      </w:tblGrid>
      <w:t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58" w:name="DOC_TBL00022_1_1"/>
            <w:bookmarkEnd w:id="58"/>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31.12.2017</w:t>
            </w:r>
          </w:p>
        </w:tc>
        <w:tc>
          <w:tcPr>
            <w:tcW w:w="1275"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Additions</w:t>
            </w: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Reversals</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Write-off </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Other</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31.12.2018</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Loans with special conditions</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w:t>
            </w:r>
          </w:p>
        </w:tc>
      </w:tr>
      <w:tr>
        <w:trPr>
          <w:trHeight w:val="247"/>
        </w:trPr>
        <w:tc>
          <w:tcPr>
            <w:tcW w:w="19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Subrogated loans</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432</w:t>
            </w:r>
          </w:p>
        </w:tc>
        <w:tc>
          <w:tcPr>
            <w:tcW w:w="127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147</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579</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440</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148</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(0)</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587</w:t>
            </w:r>
          </w:p>
        </w:tc>
      </w:tr>
    </w:tbl>
    <w:p>
      <w:pPr>
        <w:pStyle w:val="HEADER2NOTES"/>
        <w:spacing w:before="600"/>
        <w:rPr>
          <w:noProof/>
          <w:lang w:val="fr-BE"/>
        </w:rPr>
      </w:pPr>
      <w:bookmarkStart w:id="59" w:name="_DMBM_13977"/>
      <w:bookmarkEnd w:id="48"/>
      <w:r>
        <w:rPr>
          <w:noProof/>
          <w:lang w:val="fr-BE"/>
        </w:rPr>
        <w:t>PRE-FINANCING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60" w:name="DOC_TBL00023_1_1"/>
            <w:bookmarkEnd w:id="60"/>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fr-BE"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val="fr-BE" w:bidi="en-GB"/>
              </w:rPr>
            </w:pPr>
            <w:r>
              <w:rPr>
                <w:rFonts w:eastAsia="Verdana" w:cs="Verdana"/>
                <w:lang w:val="fr-BE"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31.12.2017</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Non-current pre-financing</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Pre-financing</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r>
              <w:rPr>
                <w:rFonts w:eastAsia="Verdana" w:cs="Verdana"/>
                <w:lang w:val="fr-BE" w:bidi="en-GB"/>
              </w:rPr>
              <w:t>2.5.1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21 615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21 663</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advances to Member States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r>
              <w:rPr>
                <w:rFonts w:eastAsia="Verdana" w:cs="Verdana"/>
                <w:lang w:val="fr-BE" w:bidi="en-GB"/>
              </w:rPr>
              <w:t>2.5.2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4 122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3 018</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Contribution to Trust Funds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64</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25 807</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24 745</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Current pre-financing</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Pre-financing</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r>
              <w:rPr>
                <w:rFonts w:eastAsia="Verdana" w:cs="Verdana"/>
                <w:lang w:val="fr-BE" w:bidi="en-GB"/>
              </w:rPr>
              <w:t>2.5.1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22 106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22 908</w:t>
            </w:r>
          </w:p>
        </w:tc>
      </w:tr>
      <w:tr>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advances to Member States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r>
              <w:rPr>
                <w:rFonts w:eastAsia="Verdana" w:cs="Verdana"/>
                <w:lang w:val="fr-BE" w:bidi="en-GB"/>
              </w:rPr>
              <w:t>2.5.2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2 396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1 645</w:t>
            </w:r>
          </w:p>
        </w:tc>
      </w:tr>
      <w:tr>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24 502</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24 552</w:t>
            </w:r>
          </w:p>
        </w:tc>
      </w:tr>
      <w:tr>
        <w:trPr>
          <w:cantSplit/>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50 309</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49 297</w:t>
            </w:r>
          </w:p>
        </w:tc>
      </w:tr>
    </w:tbl>
    <w:p>
      <w:pPr>
        <w:pStyle w:val="HEADER3NOTES"/>
        <w:numPr>
          <w:ilvl w:val="0"/>
          <w:numId w:val="0"/>
        </w:numPr>
        <w:rPr>
          <w:noProof/>
          <w:lang w:val="fr-BE"/>
        </w:rPr>
      </w:pPr>
    </w:p>
    <w:p>
      <w:pPr>
        <w:rPr>
          <w:rFonts w:ascii="Verdana" w:hAnsi="Verdana"/>
          <w:noProof/>
          <w:color w:val="016794"/>
          <w:sz w:val="20"/>
          <w:szCs w:val="20"/>
          <w:lang w:val="fr-BE"/>
        </w:rPr>
      </w:pPr>
      <w:r>
        <w:rPr>
          <w:noProof/>
          <w:lang w:val="fr-BE"/>
        </w:rPr>
        <w:br w:type="page"/>
      </w:r>
    </w:p>
    <w:p>
      <w:pPr>
        <w:pStyle w:val="HEADER3NOTES"/>
        <w:rPr>
          <w:noProof/>
          <w:lang w:val="fr-BE"/>
        </w:rPr>
      </w:pPr>
      <w:r>
        <w:rPr>
          <w:noProof/>
          <w:lang w:val="fr-BE"/>
        </w:rPr>
        <w:t>Pre-financing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1" w:name="DOC_TBL00024_1_1"/>
            <w:bookmarkEnd w:id="61"/>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Cleared via accruals</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Net amount at 31.12.2018</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Cleared via accruals</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Net amount at 31.12.2017</w:t>
            </w:r>
          </w:p>
        </w:tc>
      </w:tr>
      <w:tr>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pPr>
              <w:pStyle w:val="Figures8pBoldRight025"/>
              <w:jc w:val="left"/>
              <w:rPr>
                <w:rFonts w:eastAsia="Verdana" w:cs="Verdana"/>
                <w:lang w:bidi="en-GB"/>
              </w:rPr>
            </w:pPr>
            <w:r>
              <w:rPr>
                <w:rFonts w:eastAsia="Verdana" w:cs="Verdana"/>
                <w:lang w:bidi="en-GB"/>
              </w:rPr>
              <w:t>Shared Management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EAFRD &amp; other rural development instruments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3 743</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3 743</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3 735</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3 735</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ERDF &amp; CF</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18 088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(3 461)</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14 627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20 561</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(5 678)</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14 883</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ESF</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6 548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(1 147)</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5 401</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6 792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(1 182)</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5 610</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Other</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4 684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(2 498)</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2 186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5 037</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(2 267)</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2 770</w:t>
            </w:r>
          </w:p>
        </w:tc>
      </w:tr>
      <w:tr>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pPr>
              <w:pStyle w:val="Figures8pBoldRight025"/>
              <w:jc w:val="left"/>
              <w:rPr>
                <w:rFonts w:eastAsia="Verdana" w:cs="Verdana"/>
                <w:lang w:bidi="en-GB"/>
              </w:rPr>
            </w:pPr>
            <w:r>
              <w:rPr>
                <w:rFonts w:eastAsia="Verdana" w:cs="Verdana"/>
                <w:lang w:bidi="en-GB"/>
              </w:rPr>
              <w:t>Direct Management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200"/>
              <w:rPr>
                <w:rFonts w:eastAsia="Verdana" w:cs="Verdana"/>
                <w:lang w:bidi="en-GB"/>
              </w:rPr>
            </w:pPr>
            <w:r>
              <w:rPr>
                <w:rFonts w:eastAsia="Verdana" w:cs="Verdana"/>
                <w:lang w:bidi="en-GB"/>
              </w:rPr>
              <w:t xml:space="preserve">Implemented by: </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Commission</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12 827</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(8 523)</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4 304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12 454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(8 587)</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3 867</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EU executive agencies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15 012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(9 540)</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5 472</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13 845</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(8 751)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5 094</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Trust funds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585</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(432)</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152</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440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(212)</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228</w:t>
            </w:r>
          </w:p>
        </w:tc>
      </w:tr>
      <w:tr>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pPr>
              <w:pStyle w:val="Figures8pBoldRight025"/>
              <w:jc w:val="left"/>
              <w:rPr>
                <w:rFonts w:eastAsia="Verdana" w:cs="Verdana"/>
                <w:lang w:bidi="en-GB"/>
              </w:rPr>
            </w:pPr>
            <w:r>
              <w:rPr>
                <w:rFonts w:eastAsia="Verdana" w:cs="Verdana"/>
                <w:lang w:bidi="en-GB"/>
              </w:rPr>
              <w:t>Indirect Management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200"/>
              <w:rPr>
                <w:rFonts w:eastAsia="Verdana" w:cs="Verdana"/>
                <w:lang w:bidi="en-GB"/>
              </w:rPr>
            </w:pPr>
            <w:r>
              <w:rPr>
                <w:rFonts w:eastAsia="Verdana" w:cs="Verdana"/>
                <w:lang w:bidi="en-GB"/>
              </w:rPr>
              <w:t>Implemented by:</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Other EU agencies &amp; bodies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3 830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(2 975)</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856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3 767</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(2 951)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816</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Third countries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1 546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(879)</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667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1 586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(956)</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630</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International organisations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7 684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(5 053)</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2 631</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9 001</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(5 879)</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3 121</w:t>
            </w:r>
          </w:p>
        </w:tc>
      </w:tr>
      <w:tr>
        <w:trPr>
          <w:trHeight w:val="247"/>
        </w:trPr>
        <w:tc>
          <w:tcPr>
            <w:tcW w:w="1809"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8pItalicLeft"/>
              <w:ind w:left="400"/>
              <w:rPr>
                <w:rFonts w:eastAsia="Verdana" w:cs="Verdana"/>
                <w:lang w:bidi="en-GB"/>
              </w:rPr>
            </w:pPr>
            <w:r>
              <w:rPr>
                <w:rFonts w:eastAsia="Verdana" w:cs="Verdana"/>
                <w:lang w:bidi="en-GB"/>
              </w:rPr>
              <w:t>Other entities</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9 107</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(5 426)</w:t>
            </w:r>
          </w:p>
        </w:tc>
        <w:tc>
          <w:tcPr>
            <w:tcW w:w="1417" w:type="dxa"/>
            <w:tcBorders>
              <w:top w:val="nil"/>
              <w:left w:val="nil"/>
              <w:bottom w:val="single" w:sz="4" w:space="0" w:color="016794"/>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3 681</w:t>
            </w:r>
          </w:p>
        </w:tc>
        <w:tc>
          <w:tcPr>
            <w:tcW w:w="1276" w:type="dxa"/>
            <w:tcBorders>
              <w:top w:val="nil"/>
              <w:left w:val="single" w:sz="4" w:space="0" w:color="016794"/>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7 752</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(3 936)</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3 816</w:t>
            </w:r>
          </w:p>
        </w:tc>
      </w:tr>
      <w:tr>
        <w:trPr>
          <w:trHeight w:val="247"/>
        </w:trPr>
        <w:tc>
          <w:tcPr>
            <w:tcW w:w="18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83 655</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(39 933)</w:t>
            </w:r>
          </w:p>
        </w:tc>
        <w:tc>
          <w:tcPr>
            <w:tcW w:w="1417" w:type="dxa"/>
            <w:tcBorders>
              <w:top w:val="single" w:sz="4" w:space="0" w:color="016794"/>
              <w:left w:val="nil"/>
              <w:bottom w:val="single" w:sz="4" w:space="0" w:color="016794"/>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43 721</w:t>
            </w:r>
          </w:p>
        </w:tc>
        <w:tc>
          <w:tcPr>
            <w:tcW w:w="1276" w:type="dxa"/>
            <w:tcBorders>
              <w:top w:val="single" w:sz="4" w:space="0" w:color="016794"/>
              <w:left w:val="single" w:sz="4" w:space="0" w:color="016794"/>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84 969</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(40 399)</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44 570</w:t>
            </w:r>
          </w:p>
        </w:tc>
      </w:tr>
      <w:tr>
        <w:trPr>
          <w:trHeight w:val="247"/>
        </w:trPr>
        <w:tc>
          <w:tcPr>
            <w:tcW w:w="1809"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ItalicleftBlue"/>
              <w:rPr>
                <w:rFonts w:eastAsia="Verdana" w:cs="Verdana"/>
                <w:lang w:bidi="en-GB"/>
              </w:rPr>
            </w:pPr>
            <w:r>
              <w:rPr>
                <w:rFonts w:eastAsia="Verdana" w:cs="Verdana"/>
                <w:lang w:bidi="en-GB"/>
              </w:rPr>
              <w:t>Non-current</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21 615</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w:t>
            </w:r>
          </w:p>
        </w:tc>
        <w:tc>
          <w:tcPr>
            <w:tcW w:w="1417" w:type="dxa"/>
            <w:tcBorders>
              <w:top w:val="single" w:sz="4" w:space="0" w:color="016794"/>
              <w:left w:val="nil"/>
              <w:bottom w:val="nil"/>
              <w:right w:val="single" w:sz="4" w:space="0" w:color="016794"/>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21 615</w:t>
            </w:r>
          </w:p>
        </w:tc>
        <w:tc>
          <w:tcPr>
            <w:tcW w:w="1276" w:type="dxa"/>
            <w:tcBorders>
              <w:top w:val="single" w:sz="4" w:space="0" w:color="016794"/>
              <w:left w:val="single" w:sz="4" w:space="0" w:color="016794"/>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21 663</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21 663</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Blue"/>
              <w:rPr>
                <w:rFonts w:eastAsia="Verdana" w:cs="Verdana"/>
                <w:lang w:bidi="en-GB"/>
              </w:rPr>
            </w:pPr>
            <w:r>
              <w:rPr>
                <w:rFonts w:eastAsia="Verdana" w:cs="Verdana"/>
                <w:lang w:bidi="en-GB"/>
              </w:rPr>
              <w:t>Current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62 040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(39 933)</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22 106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63 307</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(40 399)</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lang w:bidi="en-GB"/>
              </w:rPr>
            </w:pPr>
            <w:r>
              <w:rPr>
                <w:rFonts w:eastAsia="Verdana" w:cs="Verdana"/>
                <w:lang w:bidi="en-GB"/>
              </w:rPr>
              <w:t>22 908</w:t>
            </w:r>
          </w:p>
        </w:tc>
      </w:tr>
    </w:tbl>
    <w:p>
      <w:pPr>
        <w:rPr>
          <w:rFonts w:ascii="Verdana" w:hAnsi="Verdana"/>
          <w:noProof/>
          <w:color w:val="016794"/>
          <w:sz w:val="20"/>
          <w:szCs w:val="20"/>
        </w:rPr>
      </w:pPr>
    </w:p>
    <w:p>
      <w:pPr>
        <w:pStyle w:val="HEADER3NOTES"/>
        <w:rPr>
          <w:noProof/>
        </w:rPr>
      </w:pPr>
      <w:r>
        <w:rPr>
          <w:noProof/>
        </w:rPr>
        <w:t>Other advances to Member States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2" w:name="DOC_TBL00025_1_1"/>
            <w:bookmarkEnd w:id="62"/>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Advances to Member States for financial instruments under shared management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3 675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2 768</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Aid Schemes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2 843</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1 895</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6 518</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4 663</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4 122</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3 018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2 396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1 645</w:t>
            </w:r>
          </w:p>
        </w:tc>
      </w:tr>
    </w:tbl>
    <w:p>
      <w:pPr>
        <w:pStyle w:val="Textstand-alone"/>
        <w:spacing w:before="0" w:after="0"/>
        <w:sectPr>
          <w:headerReference w:type="even" r:id="rId119"/>
          <w:headerReference w:type="default" r:id="rId120"/>
          <w:footerReference w:type="even" r:id="rId121"/>
          <w:footerReference w:type="default" r:id="rId122"/>
          <w:headerReference w:type="first" r:id="rId123"/>
          <w:footerReference w:type="first" r:id="rId124"/>
          <w:pgSz w:w="11906" w:h="16838"/>
          <w:pgMar w:top="1134" w:right="1134" w:bottom="1134" w:left="1134" w:header="709" w:footer="709" w:gutter="0"/>
          <w:cols w:space="708"/>
          <w:docGrid w:linePitch="360"/>
        </w:sectPr>
      </w:pPr>
      <w:r>
        <w:t xml:space="preserve"> </w:t>
      </w:r>
      <w:bookmarkEnd w:id="59"/>
    </w:p>
    <w:p>
      <w:pPr>
        <w:pStyle w:val="HEADER2NOTES"/>
        <w:rPr>
          <w:noProof/>
        </w:rPr>
      </w:pPr>
      <w:bookmarkStart w:id="63" w:name="_DMBM_13957"/>
      <w:r>
        <w:rPr>
          <w:noProof/>
        </w:rPr>
        <w:t>EXCHANGE RECEIVABLES AND NON-EXCHANGE RECOVERABLES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4" w:name="DOC_TBL00026_1_1"/>
            <w:bookmarkEnd w:id="64"/>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Non-current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Recoverables from non-exchange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409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616</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Receivables from 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415</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619</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Current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Recoverables from non-exchange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22 075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10 924</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Receivables from 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1 828</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497</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23 903</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11 421</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24 318</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12 040</w:t>
            </w:r>
          </w:p>
        </w:tc>
      </w:tr>
    </w:tbl>
    <w:p>
      <w:pPr>
        <w:pStyle w:val="HEADER3NOTES"/>
        <w:rPr>
          <w:noProof/>
        </w:rPr>
      </w:pPr>
      <w:r>
        <w:rPr>
          <w:noProof/>
        </w:rPr>
        <w:t xml:space="preserve"> Recoverables from non-exchange transactions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871"/>
        <w:gridCol w:w="1841"/>
        <w:gridCol w:w="1842"/>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5" w:name="DOC_TBL00027_1_1"/>
            <w:bookmarkEnd w:id="65"/>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Non-current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Member States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2.6.1.1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397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594</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recoverables</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12</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22</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ItalicCentered"/>
              <w:rPr>
                <w:rFonts w:eastAsia="Verdana" w:cs="Verdana"/>
                <w:i w:val="0"/>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409</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616</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Current</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Member States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2.6.1.1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10 836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6 123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Competition fines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2.6.1.2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9 727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4 225</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Accrued income and deferred charges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2.6.1.3</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1 291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384</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recoverables</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222</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192</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22 075</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10 924</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22 485</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11 540</w:t>
            </w:r>
          </w:p>
        </w:tc>
      </w:tr>
    </w:tbl>
    <w:p>
      <w:pPr>
        <w:pStyle w:val="HEADER4Part1"/>
        <w:numPr>
          <w:ilvl w:val="0"/>
          <w:numId w:val="0"/>
        </w:numPr>
        <w:rPr>
          <w:noProof/>
        </w:rPr>
      </w:pPr>
    </w:p>
    <w:p>
      <w:pPr>
        <w:rPr>
          <w:rFonts w:ascii="Verdana" w:hAnsi="Verdana"/>
          <w:noProof/>
          <w:color w:val="016794"/>
          <w:sz w:val="18"/>
          <w:szCs w:val="18"/>
        </w:rPr>
      </w:pPr>
      <w:r>
        <w:rPr>
          <w:noProof/>
        </w:rPr>
        <w:br w:type="page"/>
      </w:r>
    </w:p>
    <w:p>
      <w:pPr>
        <w:pStyle w:val="HEADER4Part1"/>
        <w:rPr>
          <w:noProof/>
        </w:rPr>
      </w:pPr>
      <w:r>
        <w:rPr>
          <w:noProof/>
        </w:rPr>
        <w:t>Recoverables from Member States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6" w:name="DOC_TBL00028_1_1"/>
            <w:bookmarkEnd w:id="66"/>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Recoverables related to own resources: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TOR A accounts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5 609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3 113</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TOR separate accounts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1 612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1 617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Own resources to be received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2 758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Impairment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(991)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(997)</w:t>
            </w:r>
          </w:p>
        </w:tc>
      </w:tr>
      <w:tr>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86</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56</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Own resource recoverables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9 075</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3 836</w:t>
            </w:r>
          </w:p>
        </w:tc>
      </w:tr>
      <w:tr>
        <w:trPr>
          <w:cantSplit/>
        </w:trP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Recoverables in the area of agriculture and rural development: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Agricultural Guarantee Fund (EAGF)</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1 708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2 280</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Agricultural Fund for Rural Development (EAFRD)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859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955</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Temporary Rural Development Instrument (TRDI)</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Special Accession Programme for Agriculture and Rural Development (SAPARD)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136</w:t>
            </w:r>
          </w:p>
        </w:tc>
      </w:tr>
      <w:tr>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Impairment</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(788)</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(804)</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EAGF and rural development recoverables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1 875</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2 583</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Pre-financing recovery expected</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145</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182</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VAT paid and recoverable</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12</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22</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Other recoverables from Member States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127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94</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11 232</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6 717</w:t>
            </w:r>
          </w:p>
        </w:tc>
      </w:tr>
      <w:tr>
        <w:trPr>
          <w:cantSplit/>
        </w:trP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397</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594</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10 836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6 123</w:t>
            </w:r>
          </w:p>
        </w:tc>
      </w:tr>
    </w:tbl>
    <w:p>
      <w:pPr>
        <w:pStyle w:val="HEADER4Part1"/>
        <w:rPr>
          <w:noProof/>
        </w:rPr>
      </w:pPr>
      <w:r>
        <w:rPr>
          <w:noProof/>
        </w:rPr>
        <w:t>Recoverables from competition fines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7" w:name="DOC_TBL00029_1_1"/>
            <w:bookmarkEnd w:id="67"/>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Recoverable from fines gross amount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13 022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7 679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Provisional payments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(3 131)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(3 282)</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Impairment</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(164)</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(172)</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9 727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4 225</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9 727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4 225</w:t>
            </w:r>
          </w:p>
        </w:tc>
      </w:tr>
    </w:tbl>
    <w:p>
      <w:pPr>
        <w:pStyle w:val="HEADER4Part1"/>
        <w:rPr>
          <w:noProof/>
        </w:rPr>
      </w:pPr>
      <w:r>
        <w:rPr>
          <w:noProof/>
        </w:rPr>
        <w:t>Accrued income and deferred charges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8" w:name="DOC_TBL00030_1_1"/>
            <w:bookmarkEnd w:id="68"/>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accrued income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1 238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323</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Deferred charges relating to non-exchange transactions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53</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61</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1 291</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384</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1 291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384</w:t>
            </w:r>
          </w:p>
        </w:tc>
      </w:tr>
    </w:tbl>
    <w:p>
      <w:pPr>
        <w:pStyle w:val="HEADER3NOTES"/>
        <w:numPr>
          <w:ilvl w:val="0"/>
          <w:numId w:val="0"/>
        </w:numPr>
        <w:rPr>
          <w:noProof/>
        </w:rPr>
      </w:pPr>
    </w:p>
    <w:p>
      <w:pPr>
        <w:rPr>
          <w:rFonts w:ascii="Verdana" w:hAnsi="Verdana"/>
          <w:noProof/>
          <w:color w:val="016794"/>
          <w:sz w:val="20"/>
          <w:szCs w:val="20"/>
        </w:rPr>
      </w:pPr>
      <w:r>
        <w:rPr>
          <w:noProof/>
        </w:rPr>
        <w:br w:type="page"/>
      </w:r>
    </w:p>
    <w:p>
      <w:pPr>
        <w:pStyle w:val="HEADER3NOTES"/>
        <w:rPr>
          <w:noProof/>
        </w:rPr>
      </w:pPr>
      <w:r>
        <w:rPr>
          <w:noProof/>
        </w:rPr>
        <w:t>Receivables from exchange transactions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69" w:name="DOC_TBL00031_1_1"/>
            <w:bookmarkEnd w:id="69"/>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Non-current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r>
      <w:tr>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receivables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Normal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3</w:t>
            </w:r>
          </w:p>
        </w:tc>
      </w:tr>
      <w:tr>
        <w:trPr>
          <w:cantSplit/>
        </w:trP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Customers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184</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Impairment on receivables from customers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(141)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Deferred charges relating to exchange transactions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157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172</w:t>
            </w:r>
          </w:p>
        </w:tc>
      </w:tr>
      <w:tr>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1 631</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277</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1 828</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497</w:t>
            </w:r>
          </w:p>
        </w:tc>
      </w:tr>
      <w:tr>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1 834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501</w:t>
            </w:r>
          </w:p>
        </w:tc>
      </w:tr>
    </w:tbl>
    <w:p>
      <w:pPr>
        <w:pStyle w:val="HEADER2NOTES"/>
        <w:rPr>
          <w:noProof/>
        </w:rPr>
      </w:pPr>
      <w:bookmarkStart w:id="70" w:name="_DMBM_14007"/>
      <w:bookmarkEnd w:id="63"/>
      <w:r>
        <w:rPr>
          <w:noProof/>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gridCol w:w="2148"/>
        <w:gridCol w:w="2006"/>
      </w:tblGrid>
      <w:tr>
        <w:trPr>
          <w:cantSplit/>
        </w:trPr>
        <w:tc>
          <w:tcPr>
            <w:tcW w:w="2891" w:type="pct"/>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71" w:name="DOC_TBL00032_1_1"/>
            <w:bookmarkEnd w:id="71"/>
          </w:p>
        </w:tc>
        <w:tc>
          <w:tcPr>
            <w:tcW w:w="1090" w:type="pct"/>
            <w:tcBorders>
              <w:top w:val="nil"/>
              <w:left w:val="nil"/>
              <w:bottom w:val="nil"/>
              <w:right w:val="nil"/>
            </w:tcBorders>
            <w:tcMar>
              <w:top w:w="0" w:type="dxa"/>
              <w:left w:w="108" w:type="dxa"/>
              <w:bottom w:w="0" w:type="dxa"/>
              <w:right w:w="108" w:type="dxa"/>
            </w:tcMar>
          </w:tcPr>
          <w:p>
            <w:pPr>
              <w:pStyle w:val="Heading10pNormalCentered"/>
              <w:rPr>
                <w:rFonts w:eastAsia="Times New Roman" w:cs="Verdana"/>
                <w:color w:val="auto"/>
              </w:rPr>
            </w:pPr>
            <w:bookmarkStart w:id="72" w:name="DOC_TBL00032_1_2"/>
            <w:bookmarkEnd w:id="72"/>
          </w:p>
        </w:tc>
        <w:tc>
          <w:tcPr>
            <w:tcW w:w="1018" w:type="pct"/>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bookmarkStart w:id="73" w:name="DOC_TBL00032_1_3"/>
            <w:r>
              <w:rPr>
                <w:rFonts w:eastAsia="Times New Roman" w:cs="Verdana"/>
              </w:rPr>
              <w:t>EUR million</w:t>
            </w:r>
            <w:bookmarkEnd w:id="73"/>
          </w:p>
        </w:tc>
      </w:tr>
      <w:tr>
        <w:trPr>
          <w:cantSplit/>
        </w:trPr>
        <w:tc>
          <w:tcPr>
            <w:tcW w:w="2891" w:type="pct"/>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Times New Roman" w:cs="Verdana"/>
              </w:rPr>
            </w:pPr>
            <w:bookmarkStart w:id="74" w:name="DOC_TBL00032_2_1"/>
            <w:bookmarkEnd w:id="74"/>
          </w:p>
        </w:tc>
        <w:tc>
          <w:tcPr>
            <w:tcW w:w="1090" w:type="pct"/>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Times New Roman" w:cs="Verdana"/>
              </w:rPr>
            </w:pPr>
            <w:bookmarkStart w:id="75" w:name="DOC_TBL00032_2_2"/>
            <w:r>
              <w:rPr>
                <w:rFonts w:eastAsia="Times New Roman" w:cs="Verdana"/>
              </w:rPr>
              <w:t>31.12.2018</w:t>
            </w:r>
            <w:bookmarkEnd w:id="75"/>
          </w:p>
        </w:tc>
        <w:tc>
          <w:tcPr>
            <w:tcW w:w="1018" w:type="pct"/>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Times New Roman" w:cs="Verdana"/>
              </w:rPr>
            </w:pPr>
            <w:bookmarkStart w:id="76" w:name="DOC_TBL00032_2_3"/>
            <w:r>
              <w:rPr>
                <w:rFonts w:eastAsia="Times New Roman" w:cs="Verdana"/>
              </w:rPr>
              <w:t>31.12.2017</w:t>
            </w:r>
            <w:bookmarkEnd w:id="76"/>
          </w:p>
        </w:tc>
      </w:tr>
      <w:tr>
        <w:trPr>
          <w:cantSplit/>
        </w:trPr>
        <w:tc>
          <w:tcPr>
            <w:tcW w:w="2891" w:type="pct"/>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bookmarkStart w:id="77" w:name="DOC_TBL00032_3_1"/>
            <w:r>
              <w:rPr>
                <w:rFonts w:eastAsia="Times New Roman" w:cs="Verdana"/>
              </w:rPr>
              <w:t>Scientific materials</w:t>
            </w:r>
            <w:bookmarkEnd w:id="77"/>
          </w:p>
        </w:tc>
        <w:tc>
          <w:tcPr>
            <w:tcW w:w="1090" w:type="pct"/>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bookmarkStart w:id="78" w:name="DOC_TBL00032_3_2"/>
            <w:r>
              <w:rPr>
                <w:rFonts w:eastAsia="Times New Roman" w:cs="Verdana"/>
              </w:rPr>
              <w:t xml:space="preserve"> 52</w:t>
            </w:r>
            <w:bookmarkEnd w:id="78"/>
          </w:p>
        </w:tc>
        <w:tc>
          <w:tcPr>
            <w:tcW w:w="1018" w:type="pct"/>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bookmarkStart w:id="79" w:name="DOC_TBL00032_3_3"/>
            <w:r>
              <w:rPr>
                <w:rFonts w:eastAsia="Times New Roman" w:cs="Verdana"/>
              </w:rPr>
              <w:t xml:space="preserve"> 45</w:t>
            </w:r>
            <w:bookmarkEnd w:id="79"/>
          </w:p>
        </w:tc>
      </w:tr>
      <w:tr>
        <w:trPr>
          <w:cantSplit/>
        </w:trPr>
        <w:tc>
          <w:tcPr>
            <w:tcW w:w="2891" w:type="pct"/>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bookmarkStart w:id="80" w:name="DOC_TBL00032_4_1"/>
            <w:r>
              <w:rPr>
                <w:rFonts w:eastAsia="Times New Roman" w:cs="Verdana"/>
              </w:rPr>
              <w:t>Other</w:t>
            </w:r>
            <w:bookmarkEnd w:id="80"/>
          </w:p>
        </w:tc>
        <w:tc>
          <w:tcPr>
            <w:tcW w:w="1090" w:type="pct"/>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bookmarkStart w:id="81" w:name="DOC_TBL00032_4_2"/>
            <w:r>
              <w:rPr>
                <w:rFonts w:eastAsia="Times New Roman" w:cs="Verdana"/>
              </w:rPr>
              <w:t xml:space="preserve"> 16</w:t>
            </w:r>
            <w:bookmarkEnd w:id="81"/>
          </w:p>
        </w:tc>
        <w:tc>
          <w:tcPr>
            <w:tcW w:w="1018" w:type="pct"/>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bookmarkStart w:id="82" w:name="DOC_TBL00032_4_3"/>
            <w:r>
              <w:rPr>
                <w:rFonts w:eastAsia="Times New Roman" w:cs="Verdana"/>
              </w:rPr>
              <w:t xml:space="preserve"> 18</w:t>
            </w:r>
            <w:bookmarkEnd w:id="82"/>
          </w:p>
        </w:tc>
      </w:tr>
      <w:tr>
        <w:trPr>
          <w:cantSplit/>
        </w:trPr>
        <w:tc>
          <w:tcPr>
            <w:tcW w:w="2891" w:type="pct"/>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bookmarkStart w:id="83" w:name="DOC_TBL00032_5_1"/>
            <w:r>
              <w:rPr>
                <w:rFonts w:eastAsia="Times New Roman" w:cs="Verdana"/>
              </w:rPr>
              <w:t>Total</w:t>
            </w:r>
            <w:bookmarkEnd w:id="83"/>
          </w:p>
        </w:tc>
        <w:tc>
          <w:tcPr>
            <w:tcW w:w="1090" w:type="pct"/>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bookmarkStart w:id="84" w:name="DOC_TBL00032_5_2"/>
            <w:r>
              <w:rPr>
                <w:rFonts w:eastAsia="Times New Roman" w:cs="Verdana"/>
              </w:rPr>
              <w:t xml:space="preserve"> 67</w:t>
            </w:r>
            <w:bookmarkEnd w:id="84"/>
          </w:p>
        </w:tc>
        <w:tc>
          <w:tcPr>
            <w:tcW w:w="1018" w:type="pct"/>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bookmarkStart w:id="85" w:name="DOC_TBL00032_5_3"/>
            <w:r>
              <w:rPr>
                <w:rFonts w:eastAsia="Times New Roman" w:cs="Verdana"/>
              </w:rPr>
              <w:t xml:space="preserve"> 62</w:t>
            </w:r>
            <w:bookmarkEnd w:id="85"/>
          </w:p>
        </w:tc>
      </w:tr>
    </w:tbl>
    <w:p>
      <w:pPr>
        <w:pStyle w:val="Textstand-alone"/>
        <w:rPr>
          <w:lang w:val="fr-BE" w:bidi="en-GB"/>
        </w:rPr>
        <w:sectPr>
          <w:headerReference w:type="even" r:id="rId125"/>
          <w:headerReference w:type="default" r:id="rId126"/>
          <w:footerReference w:type="even" r:id="rId127"/>
          <w:footerReference w:type="default" r:id="rId128"/>
          <w:headerReference w:type="first" r:id="rId129"/>
          <w:footerReference w:type="first" r:id="rId130"/>
          <w:pgSz w:w="11906" w:h="16838"/>
          <w:pgMar w:top="1134" w:right="1134" w:bottom="1134" w:left="1134" w:header="709" w:footer="709" w:gutter="0"/>
          <w:cols w:space="708"/>
          <w:docGrid w:linePitch="360"/>
        </w:sectPr>
      </w:pPr>
      <w:r>
        <w:rPr>
          <w:lang w:val="fr-BE" w:bidi="en-GB"/>
        </w:rPr>
        <w:t xml:space="preserve"> </w:t>
      </w:r>
      <w:bookmarkEnd w:id="70"/>
    </w:p>
    <w:p>
      <w:pPr>
        <w:pStyle w:val="HEADER2NOTES"/>
        <w:rPr>
          <w:noProof/>
          <w:lang w:val="fr-BE"/>
        </w:rPr>
      </w:pPr>
      <w:bookmarkStart w:id="86" w:name="_DMBM_13985"/>
      <w:r>
        <w:rPr>
          <w:noProof/>
          <w:lang w:val="fr-BE"/>
        </w:rPr>
        <w:t>CASH AND CASH EQUIVALENTS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87" w:name="DOC_TBL00033_1_1"/>
            <w:bookmarkEnd w:id="87"/>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Accounts with Treasuries and Central Banks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12 932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20 078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Current accounts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152</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Imprest accounts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Transfers (cash in transit)</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0</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0</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NormalLeft"/>
              <w:rPr>
                <w:rFonts w:eastAsia="Verdana" w:cs="Verdana"/>
                <w:lang w:bidi="en-GB"/>
              </w:rPr>
            </w:pPr>
            <w:r>
              <w:rPr>
                <w:rFonts w:eastAsia="Verdana" w:cs="Verdana"/>
                <w:lang w:bidi="en-GB"/>
              </w:rPr>
              <w:t>Bank accounts for budget implementation</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13 017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20 236</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NormalLeft"/>
              <w:rPr>
                <w:rFonts w:eastAsia="Verdana" w:cs="Verdana"/>
                <w:lang w:bidi="en-GB"/>
              </w:rPr>
            </w:pPr>
            <w:r>
              <w:rPr>
                <w:rFonts w:eastAsia="Verdana" w:cs="Verdana"/>
                <w:lang w:bidi="en-GB"/>
              </w:rPr>
              <w:t>Cash belonging to financial instruments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2 377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1 608</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NormalLeft"/>
              <w:rPr>
                <w:rFonts w:eastAsia="Verdana" w:cs="Verdana"/>
                <w:lang w:val="fr-BE" w:bidi="en-GB"/>
              </w:rPr>
            </w:pPr>
            <w:r>
              <w:rPr>
                <w:rFonts w:eastAsia="Verdana" w:cs="Verdana"/>
                <w:lang w:val="fr-BE" w:bidi="en-GB"/>
              </w:rPr>
              <w:t>Cash relating to fines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1 438</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1 234</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NormalLeft"/>
              <w:rPr>
                <w:rFonts w:eastAsia="Verdana" w:cs="Verdana"/>
                <w:lang w:bidi="en-GB"/>
              </w:rPr>
            </w:pPr>
            <w:r>
              <w:rPr>
                <w:rFonts w:eastAsia="Verdana" w:cs="Verdana"/>
                <w:lang w:bidi="en-GB"/>
              </w:rPr>
              <w:t>Cash relating to trust funds</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bidi="en-GB"/>
              </w:rPr>
              <w:t xml:space="preserve"> </w:t>
            </w:r>
            <w:r>
              <w:rPr>
                <w:rFonts w:eastAsia="Verdana" w:cs="Verdana"/>
                <w:b/>
                <w:i w:val="0"/>
                <w:lang w:val="fr-BE" w:bidi="en-GB"/>
              </w:rPr>
              <w:t>114</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val="fr-BE" w:bidi="en-GB"/>
              </w:rPr>
            </w:pPr>
            <w:r>
              <w:rPr>
                <w:rFonts w:eastAsia="Verdana" w:cs="Verdana"/>
                <w:b/>
                <w:i w:val="0"/>
                <w:lang w:val="fr-BE" w:bidi="en-GB"/>
              </w:rPr>
              <w:t xml:space="preserve"> 34</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16 946</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23 113</w:t>
            </w:r>
          </w:p>
        </w:tc>
      </w:tr>
    </w:tbl>
    <w:p>
      <w:pPr>
        <w:pStyle w:val="Textstand-alone"/>
        <w:rPr>
          <w:lang w:val="fr-BE" w:bidi="en-GB"/>
        </w:rPr>
        <w:sectPr>
          <w:headerReference w:type="even" r:id="rId131"/>
          <w:headerReference w:type="default" r:id="rId132"/>
          <w:footerReference w:type="even" r:id="rId133"/>
          <w:footerReference w:type="default" r:id="rId134"/>
          <w:headerReference w:type="first" r:id="rId135"/>
          <w:footerReference w:type="first" r:id="rId136"/>
          <w:type w:val="continuous"/>
          <w:pgSz w:w="11906" w:h="16838"/>
          <w:pgMar w:top="1134" w:right="1134" w:bottom="1134" w:left="1134" w:header="709" w:footer="709" w:gutter="0"/>
          <w:cols w:space="708"/>
          <w:docGrid w:linePitch="360"/>
        </w:sectPr>
      </w:pPr>
      <w:r>
        <w:rPr>
          <w:lang w:val="fr-BE" w:bidi="en-GB"/>
        </w:rPr>
        <w:t xml:space="preserve"> </w:t>
      </w:r>
      <w:bookmarkEnd w:id="86"/>
    </w:p>
    <w:p>
      <w:pPr>
        <w:pStyle w:val="HEADERTABLE"/>
        <w:spacing w:after="0"/>
        <w:rPr>
          <w:noProof/>
        </w:rPr>
        <w:sectPr>
          <w:headerReference w:type="even" r:id="rId137"/>
          <w:headerReference w:type="default" r:id="rId138"/>
          <w:footerReference w:type="even" r:id="rId139"/>
          <w:footerReference w:type="default" r:id="rId140"/>
          <w:headerReference w:type="first" r:id="rId141"/>
          <w:footerReference w:type="first" r:id="rId142"/>
          <w:pgSz w:w="11906" w:h="16838"/>
          <w:pgMar w:top="1134" w:right="1134" w:bottom="1134" w:left="1134" w:header="709" w:footer="709" w:gutter="0"/>
          <w:cols w:space="708"/>
          <w:docGrid w:linePitch="360"/>
        </w:sectPr>
      </w:pPr>
      <w:bookmarkStart w:id="88" w:name="_DMBM_13959"/>
      <w:r>
        <w:rPr>
          <w:noProof/>
          <w:lang w:val="fr-BE"/>
        </w:rPr>
        <w:t xml:space="preserve">LIABILITIES </w:t>
      </w:r>
      <w:bookmarkEnd w:id="88"/>
    </w:p>
    <w:p>
      <w:pPr>
        <w:pStyle w:val="HEADER2NOTES"/>
        <w:rPr>
          <w:noProof/>
        </w:rPr>
      </w:pPr>
      <w:bookmarkStart w:id="89" w:name="_DMBM_14005"/>
      <w:r>
        <w:rPr>
          <w:noProof/>
        </w:rPr>
        <w:t>PENSION AND OTHER EMPLOYEE BENEFITS</w:t>
      </w:r>
    </w:p>
    <w:p>
      <w:pPr>
        <w:pStyle w:val="HEADER5"/>
        <w:rPr>
          <w:b/>
          <w:noProof/>
        </w:rPr>
      </w:pPr>
      <w:r>
        <w:rPr>
          <w:noProof/>
        </w:rPr>
        <w:t>Net employee benefit scheme liability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1263"/>
        <w:gridCol w:w="1314"/>
        <w:gridCol w:w="1271"/>
        <w:gridCol w:w="1405"/>
        <w:gridCol w:w="1540"/>
      </w:tblGrid>
      <w:tr>
        <w:tc>
          <w:tcPr>
            <w:tcW w:w="3210"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90" w:name="DOC_TBL00034_1_1"/>
            <w:bookmarkEnd w:id="90"/>
          </w:p>
        </w:tc>
        <w:tc>
          <w:tcPr>
            <w:tcW w:w="1270"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12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3210"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Pension Scheme of European Officials</w:t>
            </w:r>
          </w:p>
        </w:tc>
        <w:tc>
          <w:tcPr>
            <w:tcW w:w="1306" w:type="dxa"/>
            <w:tcBorders>
              <w:top w:val="nil"/>
              <w:left w:val="nil"/>
              <w:bottom w:val="nil"/>
              <w:right w:val="nil"/>
            </w:tcBorders>
            <w:shd w:val="clear" w:color="auto" w:fill="016794"/>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Other retirement benefit schemes</w:t>
            </w:r>
          </w:p>
        </w:tc>
        <w:tc>
          <w:tcPr>
            <w:tcW w:w="1273" w:type="dxa"/>
            <w:tcBorders>
              <w:top w:val="nil"/>
              <w:left w:val="nil"/>
              <w:bottom w:val="nil"/>
              <w:right w:val="nil"/>
            </w:tcBorders>
            <w:shd w:val="clear" w:color="auto" w:fill="016794"/>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Joint Sickness Insurance Scheme</w:t>
            </w:r>
          </w:p>
        </w:tc>
        <w:tc>
          <w:tcPr>
            <w:tcW w:w="1129" w:type="dxa"/>
            <w:tcBorders>
              <w:top w:val="nil"/>
              <w:left w:val="nil"/>
              <w:bottom w:val="nil"/>
              <w:right w:val="nil"/>
            </w:tcBorders>
            <w:shd w:val="clear" w:color="auto" w:fill="016794"/>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31.12.2018</w:t>
            </w:r>
          </w:p>
          <w:p>
            <w:pPr>
              <w:pStyle w:val="Heading9pNormalRight025"/>
              <w:rPr>
                <w:rFonts w:eastAsia="Verdana" w:cs="Verdana"/>
                <w:noProof/>
                <w:lang w:bidi="en-GB"/>
              </w:rPr>
            </w:pPr>
            <w:r>
              <w:rPr>
                <w:rFonts w:eastAsia="Verdana" w:cs="Verdana"/>
                <w:noProof/>
                <w:lang w:bidi="en-GB"/>
              </w:rPr>
              <w:t>Total</w:t>
            </w:r>
          </w:p>
        </w:tc>
        <w:tc>
          <w:tcPr>
            <w:tcW w:w="1559" w:type="dxa"/>
            <w:tcBorders>
              <w:top w:val="nil"/>
              <w:left w:val="nil"/>
              <w:bottom w:val="nil"/>
              <w:right w:val="nil"/>
            </w:tcBorders>
            <w:shd w:val="clear" w:color="auto" w:fill="016794"/>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31.12.2017</w:t>
            </w:r>
          </w:p>
          <w:p>
            <w:pPr>
              <w:pStyle w:val="Heading9pNormalRight025"/>
              <w:rPr>
                <w:rFonts w:eastAsia="Verdana" w:cs="Verdana"/>
                <w:noProof/>
                <w:lang w:bidi="en-GB"/>
              </w:rPr>
            </w:pPr>
            <w:r>
              <w:rPr>
                <w:rFonts w:eastAsia="Verdana" w:cs="Verdana"/>
                <w:noProof/>
                <w:lang w:bidi="en-GB"/>
              </w:rPr>
              <w:t>Total</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70 017</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1 154</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8 990</w:t>
            </w:r>
          </w:p>
        </w:tc>
        <w:tc>
          <w:tcPr>
            <w:tcW w:w="112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80 160</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72 796</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Plan assets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N/A</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N/A</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(296)</w:t>
            </w:r>
          </w:p>
        </w:tc>
        <w:tc>
          <w:tcPr>
            <w:tcW w:w="112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(296)</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(301)</w:t>
            </w:r>
          </w:p>
        </w:tc>
      </w:tr>
      <w:tr>
        <w:tc>
          <w:tcPr>
            <w:tcW w:w="3210"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Net liability</w:t>
            </w:r>
          </w:p>
        </w:tc>
        <w:tc>
          <w:tcPr>
            <w:tcW w:w="1270"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70 017</w:t>
            </w:r>
          </w:p>
        </w:tc>
        <w:tc>
          <w:tcPr>
            <w:tcW w:w="130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1 154</w:t>
            </w:r>
          </w:p>
        </w:tc>
        <w:tc>
          <w:tcPr>
            <w:tcW w:w="127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8 694</w:t>
            </w:r>
          </w:p>
        </w:tc>
        <w:tc>
          <w:tcPr>
            <w:tcW w:w="1129"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79 865</w:t>
            </w:r>
          </w:p>
        </w:tc>
        <w:tc>
          <w:tcPr>
            <w:tcW w:w="1559"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72 495</w:t>
            </w:r>
          </w:p>
        </w:tc>
      </w:tr>
    </w:tbl>
    <w:p>
      <w:pPr>
        <w:pStyle w:val="Textstand-alone"/>
        <w:spacing w:before="0" w:after="0"/>
        <w:rPr>
          <w:lang w:bidi="en-GB"/>
        </w:rPr>
      </w:pPr>
    </w:p>
    <w:p>
      <w:pPr>
        <w:pStyle w:val="Textstand-alone"/>
        <w:spacing w:before="0" w:after="0"/>
        <w:rPr>
          <w:lang w:bidi="en-GB"/>
        </w:rPr>
      </w:pPr>
    </w:p>
    <w:p>
      <w:pPr>
        <w:pStyle w:val="HEADER5"/>
        <w:rPr>
          <w:noProof/>
        </w:rPr>
      </w:pPr>
      <w:r>
        <w:rPr>
          <w:noProof/>
        </w:rPr>
        <w:t>Actuarial assumptions - employee benefits</w:t>
      </w:r>
    </w:p>
    <w:p>
      <w:pPr>
        <w:pStyle w:val="Textstand-alone"/>
        <w:spacing w:before="0" w:after="0"/>
        <w:rPr>
          <w:lang w:bidi="en-G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bookmarkStart w:id="91" w:name="DOC_TBL00035_1_1"/>
            <w:bookmarkEnd w:id="91"/>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Pension Scheme of European Officials</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Joint Sickness Insurance Scheme</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2018</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Nominal discount rate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1.9 %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2.0 %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Expected inflation rate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1.4 %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1.5 %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Real discount rate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0.5 %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0.5 %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Expected rate of salary increases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1.9 %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1.8 %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Medical cost trend rates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N/A</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3.0 %</w:t>
            </w:r>
          </w:p>
        </w:tc>
      </w:tr>
      <w:tr>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Retirement age</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63/64/66</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63/64/66</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2017</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Nominal discount rate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1.9 %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2.0 %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Expected inflation rate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1.5 %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1.6 %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Real discount rate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0.4 %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0.4 %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Expected rate of salary increases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1.8 %</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Medical cost trend rates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N/A</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3.0 %</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Retirement age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63/64/66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63/64/66</w:t>
            </w:r>
          </w:p>
        </w:tc>
      </w:tr>
    </w:tbl>
    <w:p>
      <w:pPr>
        <w:pStyle w:val="Textstand-alone"/>
        <w:spacing w:before="0" w:after="0"/>
        <w:rPr>
          <w:lang w:bidi="en-GB"/>
        </w:rPr>
      </w:pPr>
      <w:r>
        <w:rPr>
          <w:lang w:bidi="en-GB"/>
        </w:rPr>
        <w:t xml:space="preserve"> </w:t>
      </w:r>
    </w:p>
    <w:p>
      <w:pPr>
        <w:pStyle w:val="HEADER5"/>
        <w:rPr>
          <w:b/>
          <w:noProof/>
        </w:rPr>
      </w:pPr>
      <w:r>
        <w:rPr>
          <w:noProof/>
        </w:rPr>
        <w:t>Movement in present value of employee benefits defined benefit obligation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tc>
          <w:tcPr>
            <w:tcW w:w="3794"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92" w:name="DOC_TBL00036_1_1"/>
            <w:bookmarkEnd w:id="92"/>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48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 xml:space="preserve">Pension Scheme of European Officials </w:t>
            </w:r>
          </w:p>
        </w:tc>
        <w:tc>
          <w:tcPr>
            <w:tcW w:w="148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Other retirement benefit Schemes</w:t>
            </w: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Joint Sickness Insurance Scheme</w:t>
            </w:r>
          </w:p>
        </w:tc>
        <w:tc>
          <w:tcPr>
            <w:tcW w:w="1559"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Total</w:t>
            </w:r>
          </w:p>
        </w:tc>
      </w:tr>
      <w:tr>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Present value as at 31.12.2017</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63 951</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1 089</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7 756</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72 796</w:t>
            </w:r>
          </w:p>
        </w:tc>
      </w:tr>
      <w:t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Recognised in statement of financial performance</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Current service cost</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2 716</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84</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270</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3 070</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Interest expense</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1 215</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20</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155</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1 391</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Recognised in net assets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Remeasurements in employee benefits liabilities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ind w:left="200"/>
              <w:rPr>
                <w:rFonts w:eastAsia="Verdana" w:cs="Verdana"/>
                <w:i/>
                <w:lang w:bidi="en-GB"/>
              </w:rPr>
            </w:pPr>
            <w:r>
              <w:rPr>
                <w:rFonts w:eastAsia="Verdana" w:cs="Verdana"/>
                <w:i/>
                <w:lang w:bidi="en-GB"/>
              </w:rPr>
              <w:t>Actuarial (gains)/losses from experience</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3 380</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6</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4</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3 390</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ind w:left="200"/>
              <w:rPr>
                <w:rFonts w:eastAsia="Verdana" w:cs="Verdana"/>
                <w:i/>
                <w:lang w:bidi="en-GB"/>
              </w:rPr>
            </w:pPr>
            <w:r>
              <w:rPr>
                <w:rFonts w:eastAsia="Verdana" w:cs="Verdana"/>
                <w:i/>
                <w:lang w:bidi="en-GB"/>
              </w:rPr>
              <w:t>Actuarial (gains)/losses from demographic assumptions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ind w:left="200"/>
              <w:rPr>
                <w:rFonts w:eastAsia="Verdana" w:cs="Verdana"/>
                <w:i/>
                <w:lang w:bidi="en-GB"/>
              </w:rPr>
            </w:pPr>
            <w:r>
              <w:rPr>
                <w:rFonts w:eastAsia="Verdana" w:cs="Verdana"/>
                <w:i/>
                <w:lang w:bidi="en-GB"/>
              </w:rPr>
              <w:t>Actuarial (gains)/losses from financial assumptions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251</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(20)</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901</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1 132</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Other</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BoldRight025"/>
              <w:rPr>
                <w:rFonts w:eastAsia="Verdana" w:cs="Verdana"/>
                <w:lang w:bidi="en-GB"/>
              </w:rPr>
            </w:pPr>
          </w:p>
        </w:tc>
      </w:tr>
      <w:tr>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Benefits paid</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(1 496)</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(27)</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(96)</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(1 619)</w:t>
            </w:r>
          </w:p>
        </w:tc>
      </w:tr>
      <w:t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Present value as at 31.12.2018</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70 017</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1 154</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8 990</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80 160</w:t>
            </w:r>
          </w:p>
        </w:tc>
      </w:tr>
    </w:tbl>
    <w:p>
      <w:pPr>
        <w:pStyle w:val="DGTextstand-alone"/>
        <w:spacing w:before="0" w:after="0"/>
        <w:rPr>
          <w:lang w:bidi="en-GB"/>
        </w:rPr>
      </w:pPr>
    </w:p>
    <w:p>
      <w:pPr>
        <w:pStyle w:val="HEADER5"/>
        <w:rPr>
          <w:noProof/>
        </w:rPr>
      </w:pPr>
    </w:p>
    <w:p>
      <w:pPr>
        <w:pStyle w:val="HEADER5"/>
        <w:rPr>
          <w:noProof/>
        </w:rPr>
      </w:pPr>
    </w:p>
    <w:p>
      <w:pPr>
        <w:rPr>
          <w:rFonts w:ascii="Verdana" w:hAnsi="Verdana"/>
          <w:noProof/>
          <w:color w:val="016794"/>
          <w:sz w:val="18"/>
          <w:szCs w:val="18"/>
        </w:rPr>
      </w:pPr>
      <w:r>
        <w:rPr>
          <w:noProof/>
        </w:rPr>
        <w:br w:type="page"/>
      </w:r>
    </w:p>
    <w:p>
      <w:pPr>
        <w:pStyle w:val="HEADER5"/>
        <w:rPr>
          <w:noProof/>
        </w:rPr>
      </w:pPr>
      <w:r>
        <w:rPr>
          <w:noProof/>
        </w:rPr>
        <w:t xml:space="preserve">Movement in present value of plan assets of the Joint Sickness Insurance Scheme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tc>
          <w:tcPr>
            <w:tcW w:w="762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93" w:name="DOC_TBL00037_1_1"/>
            <w:bookmarkEnd w:id="93"/>
          </w:p>
        </w:tc>
        <w:tc>
          <w:tcPr>
            <w:tcW w:w="212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762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p>
        </w:tc>
      </w:tr>
      <w:tr>
        <w:tc>
          <w:tcPr>
            <w:tcW w:w="762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Present value as at 31.12.2017</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301</w:t>
            </w:r>
          </w:p>
        </w:tc>
      </w:tr>
      <w:tr>
        <w:tc>
          <w:tcPr>
            <w:tcW w:w="762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Net movement in plan assets</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r>
      <w:tr>
        <w:tc>
          <w:tcPr>
            <w:tcW w:w="762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Present value as at 31.12.2018</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296</w:t>
            </w:r>
          </w:p>
        </w:tc>
      </w:tr>
    </w:tbl>
    <w:p>
      <w:pPr>
        <w:pStyle w:val="Textstand-alone"/>
        <w:spacing w:before="0" w:after="0"/>
        <w:rPr>
          <w:lang w:bidi="en-GB"/>
        </w:rPr>
      </w:pPr>
    </w:p>
    <w:p>
      <w:pPr>
        <w:pStyle w:val="Textstand-alone"/>
        <w:spacing w:before="0" w:after="0"/>
        <w:rPr>
          <w:lang w:bidi="en-GB"/>
        </w:rPr>
      </w:pPr>
    </w:p>
    <w:p>
      <w:pPr>
        <w:pStyle w:val="HEADER5"/>
        <w:spacing w:after="120"/>
        <w:rPr>
          <w:noProof/>
        </w:rPr>
      </w:pPr>
      <w:r>
        <w:rPr>
          <w:noProof/>
        </w:rPr>
        <w:t>Joint Sickness Insurance Scheme sensitivity</w:t>
      </w:r>
    </w:p>
    <w:p>
      <w:pPr>
        <w:pStyle w:val="HEADER5"/>
        <w:rPr>
          <w:b/>
          <w:noProof/>
          <w:color w:val="auto"/>
        </w:rPr>
      </w:pPr>
      <w:r>
        <w:rPr>
          <w:noProof/>
          <w:color w:val="auto"/>
        </w:rPr>
        <w:t>A ten basis points change in the assumed medical cost trend rates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94" w:name="DOC_TBL00038_1_1"/>
            <w:bookmarkEnd w:id="94"/>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r>
      <w:t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The aggregate of the current service cost and interest cost components of net periodic post-employment medical costs</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12</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(12)</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(246)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220</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(213)</w:t>
            </w:r>
          </w:p>
        </w:tc>
      </w:tr>
    </w:tbl>
    <w:p>
      <w:pPr>
        <w:pStyle w:val="Textstand-alone"/>
        <w:spacing w:before="0" w:after="0"/>
        <w:rPr>
          <w:lang w:bidi="en-GB"/>
        </w:rPr>
      </w:pPr>
      <w:r>
        <w:rPr>
          <w:lang w:bidi="en-GB"/>
        </w:rPr>
        <w:t xml:space="preserve"> </w:t>
      </w:r>
    </w:p>
    <w:p>
      <w:pPr>
        <w:rPr>
          <w:rFonts w:ascii="Verdana" w:hAnsi="Verdana"/>
          <w:noProof/>
          <w:sz w:val="18"/>
          <w:szCs w:val="18"/>
        </w:rPr>
      </w:pPr>
      <w:r>
        <w:rPr>
          <w:rFonts w:ascii="Verdana" w:hAnsi="Verdana"/>
          <w:noProof/>
          <w:sz w:val="18"/>
          <w:szCs w:val="18"/>
        </w:rPr>
        <w:t>A ten basis points change in the assumed discount rate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rPr>
          <w:cantSplit/>
        </w:trP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95" w:name="DOC_TBL00039_1_1"/>
            <w:bookmarkEnd w:id="95"/>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rPr>
          <w:cantSplit/>
        </w:trP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rPr>
          <w:cantSplit/>
        </w:trP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r>
      <w:tr>
        <w:trPr>
          <w:cantSplit/>
        </w:trP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(219)</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226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(188)</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194</w:t>
            </w:r>
          </w:p>
        </w:tc>
      </w:tr>
    </w:tbl>
    <w:p>
      <w:pPr>
        <w:tabs>
          <w:tab w:val="left" w:pos="2340"/>
        </w:tabs>
        <w:rPr>
          <w:noProof/>
          <w:lang w:bidi="en-GB"/>
        </w:rPr>
      </w:pPr>
    </w:p>
    <w:p>
      <w:pPr>
        <w:rPr>
          <w:noProof/>
          <w:sz w:val="22"/>
        </w:rPr>
      </w:pPr>
      <w:r>
        <w:rPr>
          <w:rFonts w:ascii="Verdana" w:hAnsi="Verdana"/>
          <w:noProof/>
          <w:sz w:val="18"/>
          <w:szCs w:val="18"/>
        </w:rPr>
        <w:t>A ten basis points change in the expected salary increases rate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96" w:name="DOC_TBL00040_1_1"/>
            <w:bookmarkEnd w:id="96"/>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24</w:t>
            </w:r>
          </w:p>
        </w:tc>
      </w:tr>
    </w:tbl>
    <w:p>
      <w:pPr>
        <w:tabs>
          <w:tab w:val="left" w:pos="2340"/>
        </w:tabs>
        <w:rPr>
          <w:noProof/>
          <w:lang w:bidi="en-GB"/>
        </w:rPr>
      </w:pPr>
    </w:p>
    <w:p>
      <w:pPr>
        <w:rPr>
          <w:rFonts w:ascii="Verdana" w:hAnsi="Verdana"/>
          <w:noProof/>
          <w:sz w:val="18"/>
          <w:szCs w:val="18"/>
        </w:rPr>
      </w:pPr>
      <w:r>
        <w:rPr>
          <w:rFonts w:ascii="Verdana" w:hAnsi="Verdana"/>
          <w:noProof/>
          <w:sz w:val="18"/>
          <w:szCs w:val="18"/>
        </w:rPr>
        <w:t>A one year change in the assumed retirement age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97" w:name="DOC_TBL00041_1_1"/>
            <w:bookmarkEnd w:id="97"/>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increase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decrease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increase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decrease</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(91)</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(82)</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44</w:t>
            </w:r>
          </w:p>
        </w:tc>
      </w:tr>
    </w:tbl>
    <w:p>
      <w:pPr>
        <w:tabs>
          <w:tab w:val="left" w:pos="2340"/>
        </w:tabs>
        <w:rPr>
          <w:noProof/>
          <w:lang w:bidi="en-GB"/>
        </w:rPr>
      </w:pPr>
    </w:p>
    <w:p>
      <w:pPr>
        <w:pStyle w:val="HEADER5"/>
        <w:spacing w:after="120"/>
        <w:rPr>
          <w:noProof/>
        </w:rPr>
      </w:pPr>
      <w:r>
        <w:rPr>
          <w:noProof/>
        </w:rPr>
        <w:t>Pension Scheme of European Officials sensitivity</w:t>
      </w:r>
    </w:p>
    <w:p>
      <w:pPr>
        <w:rPr>
          <w:rFonts w:ascii="Verdana" w:hAnsi="Verdana"/>
          <w:noProof/>
          <w:sz w:val="18"/>
          <w:szCs w:val="18"/>
        </w:rPr>
      </w:pPr>
      <w:r>
        <w:rPr>
          <w:rFonts w:ascii="Verdana" w:hAnsi="Verdana"/>
          <w:noProof/>
          <w:sz w:val="18"/>
          <w:szCs w:val="18"/>
        </w:rPr>
        <w:t>A ten basis points change in the assumed discount rate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98" w:name="DOC_TBL00042_1_1"/>
            <w:bookmarkEnd w:id="98"/>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(1 434)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1 478</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(1 281)</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1 319</w:t>
            </w:r>
          </w:p>
        </w:tc>
      </w:tr>
    </w:tbl>
    <w:p>
      <w:pPr>
        <w:tabs>
          <w:tab w:val="left" w:pos="2340"/>
        </w:tabs>
        <w:rPr>
          <w:noProof/>
          <w:lang w:bidi="en-GB"/>
        </w:rPr>
      </w:pPr>
    </w:p>
    <w:p>
      <w:pPr>
        <w:rPr>
          <w:rFonts w:ascii="Verdana" w:hAnsi="Verdana"/>
          <w:noProof/>
          <w:sz w:val="18"/>
          <w:szCs w:val="18"/>
        </w:rPr>
      </w:pPr>
      <w:r>
        <w:rPr>
          <w:rFonts w:ascii="Verdana" w:hAnsi="Verdana"/>
          <w:noProof/>
          <w:sz w:val="18"/>
          <w:szCs w:val="18"/>
        </w:rPr>
        <w:t>A ten basis points change in the expected salary increases rate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99" w:name="DOC_TBL00043_1_1"/>
            <w:bookmarkEnd w:id="99"/>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Increase 0.1%</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Decrease 0.1%</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1 427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(1 388)</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1 313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(1 192)</w:t>
            </w:r>
          </w:p>
        </w:tc>
      </w:tr>
    </w:tbl>
    <w:p>
      <w:pPr>
        <w:tabs>
          <w:tab w:val="left" w:pos="2340"/>
        </w:tabs>
        <w:rPr>
          <w:noProof/>
          <w:lang w:bidi="en-GB"/>
        </w:rPr>
      </w:pPr>
    </w:p>
    <w:p>
      <w:pPr>
        <w:rPr>
          <w:rFonts w:ascii="Verdana" w:hAnsi="Verdana"/>
          <w:noProof/>
          <w:sz w:val="18"/>
          <w:szCs w:val="18"/>
        </w:rPr>
      </w:pPr>
      <w:r>
        <w:rPr>
          <w:rFonts w:ascii="Verdana" w:hAnsi="Verdana"/>
          <w:noProof/>
          <w:sz w:val="18"/>
          <w:szCs w:val="18"/>
        </w:rPr>
        <w:t>A one year change in the assumed retirement age would have the following effects: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100" w:name="DOC_TBL00044_1_1"/>
            <w:bookmarkEnd w:id="100"/>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2018</w:t>
            </w:r>
          </w:p>
        </w:tc>
        <w:tc>
          <w:tcPr>
            <w:tcW w:w="3260" w:type="dxa"/>
            <w:gridSpan w:val="2"/>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2017</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increase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decrease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increase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One year decrease</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Defined benefit obligation</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(573)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645</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(496)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639</w:t>
            </w:r>
          </w:p>
        </w:tc>
      </w:tr>
      <w:bookmarkEnd w:id="89"/>
    </w:tbl>
    <w:p>
      <w:pPr>
        <w:tabs>
          <w:tab w:val="left" w:pos="2340"/>
        </w:tabs>
        <w:rPr>
          <w:noProof/>
          <w:lang w:bidi="en-GB"/>
        </w:rPr>
        <w:sectPr>
          <w:headerReference w:type="even" r:id="rId143"/>
          <w:headerReference w:type="default" r:id="rId144"/>
          <w:footerReference w:type="even" r:id="rId145"/>
          <w:footerReference w:type="default" r:id="rId146"/>
          <w:headerReference w:type="first" r:id="rId147"/>
          <w:footerReference w:type="first" r:id="rId148"/>
          <w:type w:val="continuous"/>
          <w:pgSz w:w="11906" w:h="16838"/>
          <w:pgMar w:top="1134" w:right="1134" w:bottom="1134" w:left="1134" w:header="709" w:footer="709" w:gutter="0"/>
          <w:cols w:space="708"/>
          <w:docGrid w:linePitch="360"/>
        </w:sectPr>
      </w:pPr>
    </w:p>
    <w:p>
      <w:pPr>
        <w:pStyle w:val="HEADER2NOTES"/>
        <w:rPr>
          <w:noProof/>
        </w:rPr>
      </w:pPr>
      <w:bookmarkStart w:id="101" w:name="_DMBM_13951"/>
      <w:r>
        <w:rPr>
          <w:noProof/>
        </w:rPr>
        <w:t>PROVISIONS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134"/>
        <w:gridCol w:w="1134"/>
        <w:gridCol w:w="992"/>
        <w:gridCol w:w="1134"/>
        <w:gridCol w:w="1134"/>
        <w:gridCol w:w="1417"/>
      </w:tblGrid>
      <w:tr>
        <w:trPr>
          <w:cantSplit/>
          <w:trHeight w:val="274"/>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02" w:name="DOC_TBL00045_1_1"/>
            <w:bookmarkEnd w:id="102"/>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pPr>
              <w:pStyle w:val="Text8pItalicRight025EUR"/>
              <w:rPr>
                <w:rFonts w:eastAsia="Verdana" w:cs="Verdana"/>
                <w:lang w:bidi="en-GB"/>
              </w:rPr>
            </w:pPr>
            <w:r>
              <w:rPr>
                <w:rFonts w:eastAsia="Verdana" w:cs="Verdana"/>
                <w:lang w:bidi="en-GB"/>
              </w:rPr>
              <w:t>EUR million</w:t>
            </w:r>
          </w:p>
        </w:tc>
      </w:tr>
      <w:tr>
        <w:trPr>
          <w:cantSplit/>
        </w:trPr>
        <w:tc>
          <w:tcPr>
            <w:tcW w:w="152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Amount at 31.12.2017</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Additional provisions</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Unused amounts reversed</w:t>
            </w:r>
          </w:p>
        </w:tc>
        <w:tc>
          <w:tcPr>
            <w:tcW w:w="992"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Amounts used</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Transfer between categories</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Change in estimation</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Amount at 31.12.2018</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Legal cases: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Agriculture</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49</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r>
              <w:rPr>
                <w:rFonts w:eastAsia="Verdana" w:cs="Verdana"/>
                <w:i w:val="0"/>
                <w:lang w:bidi="en-GB"/>
              </w:rPr>
              <w:t xml:space="preserve"> 270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(47)</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270</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Cohesion</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r>
              <w:rPr>
                <w:rFonts w:eastAsia="Verdana" w:cs="Verdana"/>
                <w:i w:val="0"/>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(20)</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Other</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29</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r>
              <w:rPr>
                <w:rFonts w:eastAsia="Verdana" w:cs="Verdana"/>
                <w:i w:val="0"/>
                <w:lang w:bidi="en-GB"/>
              </w:rPr>
              <w:t xml:space="preserve"> 1</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(17)</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11</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Nuclear site dismantling</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1 934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r>
              <w:rPr>
                <w:rFonts w:eastAsia="Verdana" w:cs="Verdana"/>
                <w:i w:val="0"/>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(34)</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32</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1 933</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Financial</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1 115</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r>
              <w:rPr>
                <w:rFonts w:eastAsia="Verdana" w:cs="Verdana"/>
                <w:i w:val="0"/>
                <w:lang w:bidi="en-GB"/>
              </w:rPr>
              <w:t xml:space="preserve"> 590</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(149)</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1 551</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Fines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27</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i w:val="0"/>
                <w:lang w:bidi="en-GB"/>
              </w:rPr>
            </w:pPr>
            <w:r>
              <w:rPr>
                <w:rFonts w:eastAsia="Verdana" w:cs="Verdana"/>
                <w:i w:val="0"/>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(27)</w:t>
            </w: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r>
      <w:tr>
        <w:trPr>
          <w:cantSplit/>
        </w:trPr>
        <w:tc>
          <w:tcPr>
            <w:tcW w:w="1526"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Other</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87</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24</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(30)</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(13)</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68</w:t>
            </w:r>
          </w:p>
        </w:tc>
      </w:tr>
      <w:tr>
        <w:trPr>
          <w:cantSplit/>
        </w:trPr>
        <w:tc>
          <w:tcPr>
            <w:tcW w:w="1526"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3 262</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885</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(105)</w:t>
            </w: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(243)</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34</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3 833</w:t>
            </w:r>
          </w:p>
        </w:tc>
      </w:tr>
      <w:tr>
        <w:trPr>
          <w:cantSplit/>
        </w:trPr>
        <w:tc>
          <w:tcPr>
            <w:tcW w:w="1526"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bidi="en-GB"/>
              </w:rPr>
            </w:pPr>
            <w:r>
              <w:rPr>
                <w:rFonts w:eastAsia="Verdana" w:cs="Verdana"/>
                <w:lang w:bidi="en-GB"/>
              </w:rPr>
              <w:t>Non-current</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2 617</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693</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(30)</w:t>
            </w:r>
          </w:p>
        </w:tc>
        <w:tc>
          <w:tcPr>
            <w:tcW w:w="992"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(52)</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(250)</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36</w:t>
            </w:r>
          </w:p>
        </w:tc>
        <w:tc>
          <w:tcPr>
            <w:tcW w:w="141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3 013</w:t>
            </w:r>
          </w:p>
        </w:tc>
      </w:tr>
      <w:tr>
        <w:trPr>
          <w:cantSplit/>
        </w:trPr>
        <w:tc>
          <w:tcPr>
            <w:tcW w:w="1526"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p>
        </w:tc>
      </w:tr>
      <w:tr>
        <w:trPr>
          <w:cantSplit/>
        </w:trPr>
        <w:tc>
          <w:tcPr>
            <w:tcW w:w="1526"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bidi="en-GB"/>
              </w:rPr>
            </w:pPr>
            <w:r>
              <w:rPr>
                <w:rFonts w:eastAsia="Verdana" w:cs="Verdana"/>
                <w:lang w:bidi="en-GB"/>
              </w:rPr>
              <w:t>Current</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645</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192</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(74)</w:t>
            </w:r>
          </w:p>
        </w:tc>
        <w:tc>
          <w:tcPr>
            <w:tcW w:w="992"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(191)</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250</w:t>
            </w:r>
          </w:p>
        </w:tc>
        <w:tc>
          <w:tcPr>
            <w:tcW w:w="1134"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w:t>
            </w:r>
          </w:p>
        </w:tc>
        <w:tc>
          <w:tcPr>
            <w:tcW w:w="141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820</w:t>
            </w:r>
          </w:p>
        </w:tc>
      </w:tr>
    </w:tbl>
    <w:p>
      <w:pPr>
        <w:pStyle w:val="HEADER2NOTES"/>
        <w:spacing w:before="600"/>
        <w:rPr>
          <w:noProof/>
        </w:rPr>
      </w:pPr>
      <w:bookmarkStart w:id="103" w:name="_DMBM_13948"/>
      <w:bookmarkEnd w:id="101"/>
      <w:r>
        <w:rPr>
          <w:noProof/>
        </w:rPr>
        <w:t>FINANCIAL LIABILITIES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04" w:name="DOC_TBL00046_1_1"/>
            <w:bookmarkEnd w:id="104"/>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Non-current financial liabilities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liabilities at amortised cost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2.11.1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52 757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49 412</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liabilities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2.11.2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52 764</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49 414</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Current financial liabilities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liabilities at amortised cost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2.11.1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2 475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6 813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liabilities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2.11.2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2 489</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6 813</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55 253</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56 227</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bl>
    <w:p>
      <w:pPr>
        <w:pStyle w:val="HEADER3NOTES"/>
        <w:rPr>
          <w:noProof/>
        </w:rPr>
      </w:pPr>
      <w:r>
        <w:rPr>
          <w:noProof/>
        </w:rPr>
        <w:t xml:space="preserve">Financial liabilities at amortised cost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985"/>
        <w:gridCol w:w="1833"/>
        <w:gridCol w:w="1834"/>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05" w:name="DOC_TBL00047_1_1"/>
            <w:bookmarkEnd w:id="105"/>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Borrowings for financial assistance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2.11.1.1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53 775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54 744</w:t>
            </w:r>
          </w:p>
        </w:tc>
      </w:tr>
      <w:tr>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financial liabilities</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2.11.1.2</w:t>
            </w: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1 456</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1 482</w:t>
            </w:r>
          </w:p>
        </w:tc>
      </w:tr>
      <w:tr>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55 231</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56 225</w:t>
            </w:r>
          </w:p>
        </w:tc>
      </w:tr>
      <w:tr>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i w:val="0"/>
                <w:color w:val="auto"/>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52 757</w:t>
            </w: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49 412</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Figures8pItalicBlueRight"/>
              <w:rPr>
                <w:rFonts w:eastAsia="Verdana" w:cs="Verdana"/>
                <w:i w:val="0"/>
                <w:color w:val="auto"/>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2 475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6 813</w:t>
            </w:r>
          </w:p>
        </w:tc>
      </w:tr>
    </w:tbl>
    <w:p>
      <w:pPr>
        <w:pStyle w:val="HEADER4Part1"/>
        <w:numPr>
          <w:ilvl w:val="0"/>
          <w:numId w:val="0"/>
        </w:numPr>
        <w:rPr>
          <w:noProof/>
        </w:rPr>
      </w:pPr>
    </w:p>
    <w:p>
      <w:pPr>
        <w:rPr>
          <w:rFonts w:ascii="Verdana" w:hAnsi="Verdana"/>
          <w:noProof/>
          <w:color w:val="016794"/>
          <w:sz w:val="18"/>
          <w:szCs w:val="18"/>
        </w:rPr>
      </w:pPr>
      <w:r>
        <w:rPr>
          <w:noProof/>
        </w:rPr>
        <w:br w:type="page"/>
      </w:r>
    </w:p>
    <w:p>
      <w:pPr>
        <w:pStyle w:val="HEADER4Part1"/>
        <w:rPr>
          <w:noProof/>
        </w:rPr>
      </w:pPr>
      <w:r>
        <w:rPr>
          <w:noProof/>
        </w:rPr>
        <w:t>Borrowings for financial assistance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270"/>
        <w:gridCol w:w="1306"/>
        <w:gridCol w:w="1273"/>
        <w:gridCol w:w="1271"/>
        <w:gridCol w:w="1417"/>
      </w:tblGrid>
      <w:tr>
        <w:tc>
          <w:tcPr>
            <w:tcW w:w="3210"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06" w:name="DOC_TBL00048_1_1"/>
            <w:bookmarkEnd w:id="106"/>
          </w:p>
        </w:tc>
        <w:tc>
          <w:tcPr>
            <w:tcW w:w="1270"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3210"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EFSM</w:t>
            </w:r>
          </w:p>
        </w:tc>
        <w:tc>
          <w:tcPr>
            <w:tcW w:w="1306"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BOP</w:t>
            </w:r>
          </w:p>
        </w:tc>
        <w:tc>
          <w:tcPr>
            <w:tcW w:w="1273"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MFA</w:t>
            </w:r>
          </w:p>
        </w:tc>
        <w:tc>
          <w:tcPr>
            <w:tcW w:w="127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Euratom</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Total</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Total at 31.12.2017</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47 456</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3 114</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3 924</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54 744</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New borrowings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4 500</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515</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5 065</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Repayments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(4 500)</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(1 350)</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(56)</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(5 952)</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Exchange differences</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(0)</w:t>
            </w:r>
          </w:p>
        </w:tc>
      </w:tr>
      <w:tr>
        <w:tc>
          <w:tcPr>
            <w:tcW w:w="3210"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Changes in carrying amounts</w:t>
            </w:r>
          </w:p>
        </w:tc>
        <w:tc>
          <w:tcPr>
            <w:tcW w:w="127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 xml:space="preserve"> (56)</w:t>
            </w:r>
          </w:p>
        </w:tc>
        <w:tc>
          <w:tcPr>
            <w:tcW w:w="130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 xml:space="preserve"> (30)</w:t>
            </w:r>
          </w:p>
        </w:tc>
        <w:tc>
          <w:tcPr>
            <w:tcW w:w="127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 xml:space="preserve"> 5</w:t>
            </w:r>
          </w:p>
        </w:tc>
        <w:tc>
          <w:tcPr>
            <w:tcW w:w="1271"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 xml:space="preserve"> 0</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i w:val="0"/>
                <w:lang w:bidi="en-GB"/>
              </w:rPr>
            </w:pPr>
            <w:r>
              <w:rPr>
                <w:rFonts w:eastAsia="Verdana" w:cs="Verdana"/>
                <w:i w:val="0"/>
                <w:lang w:bidi="en-GB"/>
              </w:rPr>
              <w:t xml:space="preserve"> (82)</w:t>
            </w:r>
          </w:p>
        </w:tc>
      </w:tr>
      <w:tr>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at 31.12.2018</w:t>
            </w: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47 400</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1 734</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4 388</w:t>
            </w:r>
          </w:p>
        </w:tc>
        <w:tc>
          <w:tcPr>
            <w:tcW w:w="127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254</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53 775</w:t>
            </w:r>
          </w:p>
        </w:tc>
      </w:tr>
      <w:tr>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Non-current</w:t>
            </w: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46 800</w:t>
            </w: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200</w:t>
            </w: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4 309</w:t>
            </w:r>
          </w:p>
        </w:tc>
        <w:tc>
          <w:tcPr>
            <w:tcW w:w="127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 xml:space="preserve"> 213</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51 521</w:t>
            </w:r>
          </w:p>
        </w:tc>
      </w:tr>
      <w:tr>
        <w:tc>
          <w:tcPr>
            <w:tcW w:w="3210"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bidi="en-GB"/>
              </w:rPr>
            </w:pPr>
            <w:r>
              <w:rPr>
                <w:rFonts w:eastAsia="Verdana" w:cs="Verdana"/>
                <w:lang w:bidi="en-GB"/>
              </w:rPr>
              <w:t>Current</w:t>
            </w:r>
          </w:p>
        </w:tc>
        <w:tc>
          <w:tcPr>
            <w:tcW w:w="1270"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600</w:t>
            </w:r>
          </w:p>
        </w:tc>
        <w:tc>
          <w:tcPr>
            <w:tcW w:w="1306"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1 534</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bidi="en-GB"/>
              </w:rPr>
            </w:pPr>
            <w:r>
              <w:rPr>
                <w:rFonts w:eastAsia="Verdana" w:cs="Verdana"/>
                <w:lang w:bidi="en-GB"/>
              </w:rPr>
              <w:t xml:space="preserve"> 79</w:t>
            </w:r>
          </w:p>
        </w:tc>
        <w:tc>
          <w:tcPr>
            <w:tcW w:w="127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 xml:space="preserve"> 41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bidi="en-GB"/>
              </w:rPr>
            </w:pPr>
            <w:r>
              <w:rPr>
                <w:rFonts w:eastAsia="Verdana" w:cs="Verdana"/>
                <w:color w:val="016794"/>
                <w:lang w:bidi="en-GB"/>
              </w:rPr>
              <w:t>2 254</w:t>
            </w:r>
          </w:p>
        </w:tc>
      </w:tr>
    </w:tbl>
    <w:p>
      <w:pPr>
        <w:pStyle w:val="DGTextstand-alone"/>
        <w:spacing w:before="0"/>
        <w:rPr>
          <w:lang w:bidi="en-GB"/>
        </w:rPr>
      </w:pPr>
    </w:p>
    <w:p>
      <w:pPr>
        <w:pStyle w:val="HEADER5"/>
        <w:rPr>
          <w:noProof/>
          <w:lang w:val="en-IE"/>
        </w:rPr>
      </w:pPr>
      <w:r>
        <w:rPr>
          <w:noProof/>
          <w:lang w:val="en-IE"/>
        </w:rPr>
        <w:t>Borrowings effective interest rates (expressed as a range of interest rates)</w:t>
      </w:r>
    </w:p>
    <w:p>
      <w:pPr>
        <w:pStyle w:val="HEADER5"/>
        <w:rPr>
          <w:noProof/>
          <w:lang w:val="en-IE"/>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410"/>
        <w:gridCol w:w="2410"/>
      </w:tblGrid>
      <w:tr>
        <w:tc>
          <w:tcPr>
            <w:tcW w:w="4928"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bookmarkStart w:id="107" w:name="DOC_TBL00049_1_1"/>
            <w:bookmarkEnd w:id="107"/>
          </w:p>
        </w:tc>
        <w:tc>
          <w:tcPr>
            <w:tcW w:w="2410"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val="fr-FR" w:bidi="en-GB"/>
              </w:rPr>
            </w:pPr>
            <w:r>
              <w:rPr>
                <w:rFonts w:eastAsia="Verdana" w:cs="Verdana"/>
                <w:lang w:val="fr-FR" w:bidi="en-GB"/>
              </w:rPr>
              <w:t>31.12.2018</w:t>
            </w:r>
          </w:p>
        </w:tc>
        <w:tc>
          <w:tcPr>
            <w:tcW w:w="2410"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val="fr-FR" w:bidi="en-GB"/>
              </w:rPr>
            </w:pPr>
            <w:r>
              <w:rPr>
                <w:rFonts w:eastAsia="Verdana" w:cs="Verdana"/>
                <w:lang w:val="fr-FR" w:bidi="en-GB"/>
              </w:rPr>
              <w:t>31.12.2017</w:t>
            </w:r>
          </w:p>
        </w:tc>
      </w:tr>
      <w:tr>
        <w:tc>
          <w:tcPr>
            <w:tcW w:w="4928"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FR" w:bidi="en-GB"/>
              </w:rPr>
            </w:pPr>
            <w:r>
              <w:rPr>
                <w:rFonts w:eastAsia="Verdana" w:cs="Verdana"/>
                <w:lang w:val="fr-FR" w:bidi="en-GB"/>
              </w:rPr>
              <w:t>Macro Financial Assistance (MFA)</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0 % - 3.82 %</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0 % - 4.54 %</w:t>
            </w:r>
          </w:p>
        </w:tc>
      </w:tr>
      <w:tr>
        <w:tc>
          <w:tcPr>
            <w:tcW w:w="4928"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FR" w:bidi="en-GB"/>
              </w:rPr>
            </w:pPr>
            <w:r>
              <w:rPr>
                <w:rFonts w:eastAsia="Verdana" w:cs="Verdana"/>
                <w:lang w:val="fr-FR" w:bidi="en-GB"/>
              </w:rPr>
              <w:t>Euratom</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0 % - 5.68 %</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0 % - 5.68 %</w:t>
            </w:r>
          </w:p>
        </w:tc>
      </w:tr>
      <w:tr>
        <w:tc>
          <w:tcPr>
            <w:tcW w:w="4928"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FR" w:bidi="en-GB"/>
              </w:rPr>
            </w:pPr>
            <w:r>
              <w:rPr>
                <w:rFonts w:eastAsia="Verdana" w:cs="Verdana"/>
                <w:lang w:val="fr-FR" w:bidi="en-GB"/>
              </w:rPr>
              <w:t>Balance of Payment (BOP)</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2.88 % - 3.38 %</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2.88 % - 3.38 %</w:t>
            </w:r>
          </w:p>
        </w:tc>
      </w:tr>
      <w:tr>
        <w:tc>
          <w:tcPr>
            <w:tcW w:w="4928"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Financial Stability Mechanism (EFSM)</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0.50 % - 3.75 %</w:t>
            </w:r>
          </w:p>
        </w:tc>
        <w:tc>
          <w:tcPr>
            <w:tcW w:w="241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FR" w:bidi="en-GB"/>
              </w:rPr>
            </w:pPr>
            <w:r>
              <w:rPr>
                <w:rFonts w:eastAsia="Verdana" w:cs="Verdana"/>
                <w:lang w:val="fr-FR" w:bidi="en-GB"/>
              </w:rPr>
              <w:t>0.62 % - 3.75 %</w:t>
            </w:r>
          </w:p>
        </w:tc>
      </w:tr>
    </w:tbl>
    <w:p>
      <w:pPr>
        <w:pStyle w:val="HEADER4Part1"/>
        <w:rPr>
          <w:noProof/>
          <w:lang w:val="fr-FR"/>
        </w:rPr>
      </w:pPr>
      <w:r>
        <w:rPr>
          <w:noProof/>
          <w:lang w:val="fr-FR"/>
        </w:rPr>
        <w:t>Other financial liabilities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08" w:name="DOC_TBL00050_1_1"/>
            <w:bookmarkEnd w:id="108"/>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Non-current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Finance lease liabilities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860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918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Buildings paid for in instalments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235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258</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141</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188</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1 235</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1 363</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BoldRight025"/>
              <w:rPr>
                <w:rFonts w:eastAsia="Verdana" w:cs="Verdana"/>
                <w:lang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Finance lease liabilities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Buildings paid for in instalments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22</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Fines to be reimbursed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125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221</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 xml:space="preserve"> 118</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1 456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1 482</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bl>
    <w:p>
      <w:pPr>
        <w:pStyle w:val="HEADER5"/>
        <w:rPr>
          <w:noProof/>
        </w:rPr>
      </w:pPr>
      <w:r>
        <w:rPr>
          <w:noProof/>
        </w:rPr>
        <w:t>Finance lease liabilities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52"/>
        <w:gridCol w:w="1453"/>
        <w:gridCol w:w="1453"/>
        <w:gridCol w:w="1453"/>
      </w:tblGrid>
      <w:tr>
        <w:tc>
          <w:tcPr>
            <w:tcW w:w="3936" w:type="dxa"/>
            <w:tcBorders>
              <w:top w:val="nil"/>
              <w:left w:val="nil"/>
              <w:bottom w:val="nil"/>
              <w:right w:val="nil"/>
            </w:tcBorders>
            <w:shd w:val="clear" w:color="auto" w:fill="FFFFFF"/>
            <w:tcMar>
              <w:top w:w="0" w:type="dxa"/>
              <w:left w:w="108" w:type="dxa"/>
              <w:bottom w:w="0" w:type="dxa"/>
              <w:right w:w="108" w:type="dxa"/>
            </w:tcMar>
          </w:tcPr>
          <w:p>
            <w:pPr>
              <w:pStyle w:val="Heading10pNormalCentered"/>
              <w:jc w:val="left"/>
              <w:rPr>
                <w:rFonts w:eastAsia="Verdana" w:cs="Verdana"/>
                <w:i/>
                <w:lang w:val="en-IE" w:bidi="en-GB"/>
              </w:rPr>
            </w:pPr>
            <w:bookmarkStart w:id="109" w:name="DOC_TBL00051_1_1"/>
            <w:bookmarkEnd w:id="109"/>
          </w:p>
        </w:tc>
        <w:tc>
          <w:tcPr>
            <w:tcW w:w="1452" w:type="dxa"/>
            <w:tcBorders>
              <w:top w:val="nil"/>
              <w:left w:val="nil"/>
              <w:bottom w:val="nil"/>
              <w:right w:val="nil"/>
            </w:tcBorders>
            <w:shd w:val="clear" w:color="auto" w:fill="FFFFFF"/>
            <w:tcMar>
              <w:top w:w="0" w:type="dxa"/>
              <w:left w:w="108" w:type="dxa"/>
              <w:bottom w:w="0" w:type="dxa"/>
              <w:right w:w="108" w:type="dxa"/>
            </w:tcMar>
          </w:tcPr>
          <w:p>
            <w:pPr>
              <w:pStyle w:val="Heading10pNormalCentered"/>
              <w:rPr>
                <w:rFonts w:eastAsia="Verdana" w:cs="Verdana"/>
                <w:color w:val="auto"/>
                <w:lang w:val="en-IE" w:bidi="en-GB"/>
              </w:rPr>
            </w:pPr>
          </w:p>
        </w:tc>
        <w:tc>
          <w:tcPr>
            <w:tcW w:w="1453" w:type="dxa"/>
            <w:tcBorders>
              <w:top w:val="nil"/>
              <w:left w:val="nil"/>
              <w:bottom w:val="nil"/>
              <w:right w:val="nil"/>
            </w:tcBorders>
            <w:shd w:val="clear" w:color="auto" w:fill="FFFFFF"/>
            <w:tcMar>
              <w:top w:w="0" w:type="dxa"/>
              <w:left w:w="108" w:type="dxa"/>
              <w:bottom w:w="0" w:type="dxa"/>
              <w:right w:w="108" w:type="dxa"/>
            </w:tcMar>
          </w:tcPr>
          <w:p>
            <w:pPr>
              <w:pStyle w:val="Heading10pNormalCentered"/>
              <w:rPr>
                <w:rFonts w:eastAsia="Verdana" w:cs="Verdana"/>
                <w:color w:val="auto"/>
                <w:lang w:val="en-IE" w:bidi="en-GB"/>
              </w:rPr>
            </w:pPr>
          </w:p>
        </w:tc>
        <w:tc>
          <w:tcPr>
            <w:tcW w:w="1453" w:type="dxa"/>
            <w:tcBorders>
              <w:top w:val="nil"/>
              <w:left w:val="nil"/>
              <w:bottom w:val="nil"/>
              <w:right w:val="nil"/>
            </w:tcBorders>
            <w:shd w:val="clear" w:color="auto" w:fill="FFFFFF"/>
            <w:tcMar>
              <w:top w:w="0" w:type="dxa"/>
              <w:left w:w="108" w:type="dxa"/>
              <w:bottom w:w="0" w:type="dxa"/>
              <w:right w:w="108" w:type="dxa"/>
            </w:tcMar>
          </w:tcPr>
          <w:p>
            <w:pPr>
              <w:pStyle w:val="Heading10pNormalCentered"/>
              <w:rPr>
                <w:rFonts w:eastAsia="Verdana" w:cs="Verdana"/>
                <w:color w:val="auto"/>
                <w:lang w:val="en-IE" w:bidi="en-GB"/>
              </w:rPr>
            </w:pPr>
          </w:p>
        </w:tc>
        <w:tc>
          <w:tcPr>
            <w:tcW w:w="1453" w:type="dxa"/>
            <w:tcBorders>
              <w:top w:val="nil"/>
              <w:left w:val="nil"/>
              <w:bottom w:val="nil"/>
              <w:right w:val="nil"/>
            </w:tcBorders>
            <w:shd w:val="clear" w:color="auto" w:fill="FFFFFF"/>
            <w:tcMar>
              <w:top w:w="0" w:type="dxa"/>
              <w:left w:w="108" w:type="dxa"/>
              <w:bottom w:w="0" w:type="dxa"/>
              <w:right w:w="108" w:type="dxa"/>
            </w:tcMar>
          </w:tcPr>
          <w:p>
            <w:pPr>
              <w:pStyle w:val="Text8pItalicRight025EUR"/>
              <w:rPr>
                <w:rFonts w:eastAsia="Verdana" w:cs="Verdana"/>
                <w:lang w:val="en-IE" w:bidi="en-GB"/>
              </w:rPr>
            </w:pPr>
            <w:r>
              <w:rPr>
                <w:rFonts w:eastAsia="Verdana" w:cs="Verdana"/>
                <w:lang w:val="en-IE" w:bidi="en-GB"/>
              </w:rPr>
              <w:t>EUR million</w:t>
            </w:r>
          </w:p>
        </w:tc>
      </w:tr>
      <w:tr>
        <w:tc>
          <w:tcPr>
            <w:tcW w:w="3936"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en-IE" w:bidi="en-GB"/>
              </w:rPr>
            </w:pPr>
          </w:p>
        </w:tc>
        <w:tc>
          <w:tcPr>
            <w:tcW w:w="5811" w:type="dxa"/>
            <w:gridSpan w:val="4"/>
            <w:tcBorders>
              <w:top w:val="nil"/>
              <w:left w:val="nil"/>
              <w:bottom w:val="nil"/>
              <w:right w:val="nil"/>
            </w:tcBorders>
            <w:shd w:val="clear" w:color="auto" w:fill="016794"/>
            <w:tcMar>
              <w:top w:w="0" w:type="dxa"/>
              <w:left w:w="108" w:type="dxa"/>
              <w:bottom w:w="0" w:type="dxa"/>
              <w:right w:w="108" w:type="dxa"/>
            </w:tcMar>
          </w:tcPr>
          <w:p>
            <w:pPr>
              <w:pStyle w:val="Heading10pNormalCentered"/>
              <w:rPr>
                <w:rFonts w:eastAsia="Verdana" w:cs="Verdana"/>
                <w:lang w:val="en-IE" w:bidi="en-GB"/>
              </w:rPr>
            </w:pPr>
            <w:r>
              <w:rPr>
                <w:rFonts w:eastAsia="Verdana" w:cs="Verdana"/>
                <w:lang w:val="en-IE" w:bidi="en-GB"/>
              </w:rPr>
              <w:t>Future amounts to be paid</w:t>
            </w:r>
          </w:p>
        </w:tc>
      </w:tr>
      <w:tr>
        <w:tc>
          <w:tcPr>
            <w:tcW w:w="3936" w:type="dxa"/>
            <w:tcBorders>
              <w:top w:val="nil"/>
              <w:left w:val="nil"/>
              <w:bottom w:val="nil"/>
              <w:right w:val="nil"/>
            </w:tcBorders>
            <w:shd w:val="clear" w:color="auto" w:fill="016794"/>
            <w:tcMar>
              <w:top w:w="0" w:type="dxa"/>
              <w:left w:w="108" w:type="dxa"/>
              <w:bottom w:w="0" w:type="dxa"/>
              <w:right w:w="108" w:type="dxa"/>
            </w:tcMar>
            <w:vAlign w:val="bottom"/>
          </w:tcPr>
          <w:p>
            <w:pPr>
              <w:pStyle w:val="Heading10pNormalCentered"/>
              <w:rPr>
                <w:rFonts w:eastAsia="Verdana" w:cs="Verdana"/>
                <w:lang w:val="en-IE" w:bidi="en-GB"/>
              </w:rPr>
            </w:pPr>
          </w:p>
        </w:tc>
        <w:tc>
          <w:tcPr>
            <w:tcW w:w="1452" w:type="dxa"/>
            <w:tcBorders>
              <w:top w:val="nil"/>
              <w:left w:val="nil"/>
              <w:bottom w:val="nil"/>
              <w:right w:val="nil"/>
            </w:tcBorders>
            <w:shd w:val="clear" w:color="auto" w:fill="3486A9"/>
            <w:tcMar>
              <w:top w:w="0" w:type="dxa"/>
              <w:left w:w="108" w:type="dxa"/>
              <w:bottom w:w="0" w:type="dxa"/>
              <w:right w:w="108" w:type="dxa"/>
            </w:tcMar>
          </w:tcPr>
          <w:p>
            <w:pPr>
              <w:pStyle w:val="Heading9pNormalRight01"/>
              <w:rPr>
                <w:rFonts w:eastAsia="Verdana" w:cs="Verdana"/>
                <w:noProof/>
                <w:lang w:val="en-IE" w:bidi="en-GB"/>
              </w:rPr>
            </w:pPr>
            <w:r>
              <w:rPr>
                <w:rFonts w:eastAsia="Verdana" w:cs="Verdana"/>
                <w:noProof/>
                <w:lang w:val="en-IE" w:bidi="en-GB"/>
              </w:rPr>
              <w:t>&lt; 1 year</w:t>
            </w:r>
          </w:p>
        </w:tc>
        <w:tc>
          <w:tcPr>
            <w:tcW w:w="1453" w:type="dxa"/>
            <w:tcBorders>
              <w:top w:val="nil"/>
              <w:left w:val="nil"/>
              <w:bottom w:val="nil"/>
              <w:right w:val="nil"/>
            </w:tcBorders>
            <w:shd w:val="clear" w:color="auto" w:fill="3486A9"/>
            <w:tcMar>
              <w:top w:w="0" w:type="dxa"/>
              <w:left w:w="108" w:type="dxa"/>
              <w:bottom w:w="0" w:type="dxa"/>
              <w:right w:w="108" w:type="dxa"/>
            </w:tcMar>
          </w:tcPr>
          <w:p>
            <w:pPr>
              <w:pStyle w:val="Heading9pNormalRight01"/>
              <w:rPr>
                <w:rFonts w:eastAsia="Verdana" w:cs="Verdana"/>
                <w:noProof/>
                <w:lang w:val="en-IE" w:bidi="en-GB"/>
              </w:rPr>
            </w:pPr>
            <w:r>
              <w:rPr>
                <w:rFonts w:eastAsia="Verdana" w:cs="Verdana"/>
                <w:noProof/>
                <w:lang w:val="en-IE" w:bidi="en-GB"/>
              </w:rPr>
              <w:t>1 - 5 years</w:t>
            </w:r>
          </w:p>
        </w:tc>
        <w:tc>
          <w:tcPr>
            <w:tcW w:w="1453" w:type="dxa"/>
            <w:tcBorders>
              <w:top w:val="nil"/>
              <w:left w:val="nil"/>
              <w:bottom w:val="nil"/>
              <w:right w:val="nil"/>
            </w:tcBorders>
            <w:shd w:val="clear" w:color="auto" w:fill="3486A9"/>
            <w:tcMar>
              <w:top w:w="0" w:type="dxa"/>
              <w:left w:w="108" w:type="dxa"/>
              <w:bottom w:w="0" w:type="dxa"/>
              <w:right w:w="108" w:type="dxa"/>
            </w:tcMar>
          </w:tcPr>
          <w:p>
            <w:pPr>
              <w:pStyle w:val="Heading9pNormalRight01"/>
              <w:rPr>
                <w:rFonts w:eastAsia="Verdana" w:cs="Verdana"/>
                <w:noProof/>
                <w:lang w:val="en-IE" w:bidi="en-GB"/>
              </w:rPr>
            </w:pPr>
            <w:r>
              <w:rPr>
                <w:rFonts w:eastAsia="Verdana" w:cs="Verdana"/>
                <w:noProof/>
                <w:lang w:val="en-IE" w:bidi="en-GB"/>
              </w:rPr>
              <w:t>&gt; 5 years</w:t>
            </w:r>
          </w:p>
        </w:tc>
        <w:tc>
          <w:tcPr>
            <w:tcW w:w="1453" w:type="dxa"/>
            <w:tcBorders>
              <w:top w:val="nil"/>
              <w:left w:val="nil"/>
              <w:bottom w:val="nil"/>
              <w:right w:val="nil"/>
            </w:tcBorders>
            <w:shd w:val="clear" w:color="auto" w:fill="3486A9"/>
            <w:tcMar>
              <w:top w:w="0" w:type="dxa"/>
              <w:left w:w="108" w:type="dxa"/>
              <w:bottom w:w="0" w:type="dxa"/>
              <w:right w:w="108" w:type="dxa"/>
            </w:tcMar>
          </w:tcPr>
          <w:p>
            <w:pPr>
              <w:pStyle w:val="Heading9pNormalRight01"/>
              <w:rPr>
                <w:rFonts w:eastAsia="Verdana" w:cs="Verdana"/>
                <w:noProof/>
                <w:lang w:val="en-IE" w:bidi="en-GB"/>
              </w:rPr>
            </w:pPr>
            <w:r>
              <w:rPr>
                <w:rFonts w:eastAsia="Verdana" w:cs="Verdana"/>
                <w:noProof/>
                <w:lang w:val="en-IE" w:bidi="en-GB"/>
              </w:rPr>
              <w:t>Total Liability</w:t>
            </w:r>
          </w:p>
        </w:tc>
      </w:tr>
      <w:tr>
        <w:tc>
          <w:tcPr>
            <w:tcW w:w="3936"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en-IE" w:bidi="en-GB"/>
              </w:rPr>
            </w:pPr>
            <w:r>
              <w:rPr>
                <w:rFonts w:eastAsia="Verdana" w:cs="Verdana"/>
                <w:lang w:val="en-IE" w:bidi="en-GB"/>
              </w:rPr>
              <w:t>Land and buildings</w:t>
            </w:r>
          </w:p>
        </w:tc>
        <w:tc>
          <w:tcPr>
            <w:tcW w:w="145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58</w:t>
            </w:r>
          </w:p>
        </w:tc>
        <w:tc>
          <w:tcPr>
            <w:tcW w:w="145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276</w:t>
            </w:r>
          </w:p>
        </w:tc>
        <w:tc>
          <w:tcPr>
            <w:tcW w:w="145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576</w:t>
            </w:r>
          </w:p>
        </w:tc>
        <w:tc>
          <w:tcPr>
            <w:tcW w:w="145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910</w:t>
            </w:r>
          </w:p>
        </w:tc>
      </w:tr>
      <w:tr>
        <w:tc>
          <w:tcPr>
            <w:tcW w:w="3936"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val="en-IE" w:bidi="en-GB"/>
              </w:rPr>
            </w:pPr>
            <w:r>
              <w:rPr>
                <w:rFonts w:eastAsia="Verdana" w:cs="Verdana"/>
                <w:lang w:val="en-IE" w:bidi="en-GB"/>
              </w:rPr>
              <w:t>Other fixed assets</w:t>
            </w:r>
          </w:p>
        </w:tc>
        <w:tc>
          <w:tcPr>
            <w:tcW w:w="1452"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6</w:t>
            </w:r>
          </w:p>
        </w:tc>
        <w:tc>
          <w:tcPr>
            <w:tcW w:w="145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8</w:t>
            </w:r>
          </w:p>
        </w:tc>
        <w:tc>
          <w:tcPr>
            <w:tcW w:w="145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w:t>
            </w:r>
          </w:p>
        </w:tc>
        <w:tc>
          <w:tcPr>
            <w:tcW w:w="145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14</w:t>
            </w:r>
          </w:p>
        </w:tc>
      </w:tr>
      <w:tr>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val="en-IE" w:bidi="en-GB"/>
              </w:rPr>
            </w:pPr>
            <w:r>
              <w:rPr>
                <w:rFonts w:eastAsia="Verdana" w:cs="Verdana"/>
                <w:lang w:val="en-IE" w:bidi="en-GB"/>
              </w:rPr>
              <w:t>Total at 31.12.2018</w:t>
            </w:r>
          </w:p>
        </w:tc>
        <w:tc>
          <w:tcPr>
            <w:tcW w:w="145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64</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283</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576</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924</w:t>
            </w:r>
          </w:p>
        </w:tc>
      </w:tr>
      <w:tr>
        <w:tc>
          <w:tcPr>
            <w:tcW w:w="3936"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val="en-IE" w:bidi="en-GB"/>
              </w:rPr>
            </w:pPr>
            <w:r>
              <w:rPr>
                <w:rFonts w:eastAsia="Verdana" w:cs="Verdana"/>
                <w:lang w:val="en-IE" w:bidi="en-GB"/>
              </w:rPr>
              <w:t>Interest element</w:t>
            </w:r>
          </w:p>
        </w:tc>
        <w:tc>
          <w:tcPr>
            <w:tcW w:w="1452"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51</w:t>
            </w:r>
          </w:p>
        </w:tc>
        <w:tc>
          <w:tcPr>
            <w:tcW w:w="1453"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166</w:t>
            </w:r>
          </w:p>
        </w:tc>
        <w:tc>
          <w:tcPr>
            <w:tcW w:w="1453"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134</w:t>
            </w:r>
          </w:p>
        </w:tc>
        <w:tc>
          <w:tcPr>
            <w:tcW w:w="1453"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 xml:space="preserve"> 351</w:t>
            </w:r>
          </w:p>
        </w:tc>
      </w:tr>
      <w:tr>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val="en-IE" w:bidi="en-GB"/>
              </w:rPr>
            </w:pPr>
            <w:r>
              <w:rPr>
                <w:rFonts w:eastAsia="Verdana" w:cs="Verdana"/>
                <w:lang w:val="en-IE" w:bidi="en-GB"/>
              </w:rPr>
              <w:t>Total future minimum lease payments at 31.12.2018</w:t>
            </w:r>
          </w:p>
        </w:tc>
        <w:tc>
          <w:tcPr>
            <w:tcW w:w="145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115</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450</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710</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1 275</w:t>
            </w:r>
          </w:p>
        </w:tc>
      </w:tr>
      <w:tr>
        <w:tc>
          <w:tcPr>
            <w:tcW w:w="3936"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en-IE" w:bidi="en-GB"/>
              </w:rPr>
            </w:pPr>
            <w:r>
              <w:rPr>
                <w:rFonts w:eastAsia="Verdana" w:cs="Verdana"/>
                <w:lang w:val="en-IE" w:bidi="en-GB"/>
              </w:rPr>
              <w:t>Total future minimum lease payments     at 31.12.2017</w:t>
            </w:r>
          </w:p>
        </w:tc>
        <w:tc>
          <w:tcPr>
            <w:tcW w:w="145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113</w:t>
            </w:r>
          </w:p>
        </w:tc>
        <w:tc>
          <w:tcPr>
            <w:tcW w:w="145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447</w:t>
            </w:r>
          </w:p>
        </w:tc>
        <w:tc>
          <w:tcPr>
            <w:tcW w:w="145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821</w:t>
            </w:r>
          </w:p>
        </w:tc>
        <w:tc>
          <w:tcPr>
            <w:tcW w:w="145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en-IE" w:bidi="en-GB"/>
              </w:rPr>
            </w:pPr>
            <w:r>
              <w:rPr>
                <w:rFonts w:eastAsia="Verdana" w:cs="Verdana"/>
                <w:lang w:val="en-IE" w:bidi="en-GB"/>
              </w:rPr>
              <w:t>1 381</w:t>
            </w:r>
          </w:p>
        </w:tc>
      </w:tr>
    </w:tbl>
    <w:p>
      <w:pPr>
        <w:pStyle w:val="HEADER3NOTES"/>
        <w:numPr>
          <w:ilvl w:val="0"/>
          <w:numId w:val="0"/>
        </w:numPr>
        <w:rPr>
          <w:noProof/>
          <w:lang w:val="en-IE"/>
        </w:rPr>
      </w:pPr>
    </w:p>
    <w:p>
      <w:pPr>
        <w:rPr>
          <w:rFonts w:ascii="Verdana" w:hAnsi="Verdana"/>
          <w:noProof/>
          <w:color w:val="016794"/>
          <w:sz w:val="20"/>
          <w:szCs w:val="20"/>
          <w:lang w:val="en-IE"/>
        </w:rPr>
      </w:pPr>
      <w:r>
        <w:rPr>
          <w:noProof/>
          <w:lang w:val="en-IE"/>
        </w:rPr>
        <w:br w:type="page"/>
      </w:r>
    </w:p>
    <w:p>
      <w:pPr>
        <w:pStyle w:val="HEADER3NOTES"/>
        <w:rPr>
          <w:noProof/>
          <w:lang w:val="en-IE"/>
        </w:rPr>
      </w:pPr>
      <w:r>
        <w:rPr>
          <w:noProof/>
          <w:lang w:val="en-IE"/>
        </w:rPr>
        <w:t xml:space="preserve">Financial liabilities at fair value through surplus and deficit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tc>
          <w:tcPr>
            <w:tcW w:w="3794"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en-IE" w:bidi="en-GB"/>
              </w:rPr>
            </w:pPr>
            <w:bookmarkStart w:id="110" w:name="DOC_TBL00052_1_1"/>
            <w:bookmarkEnd w:id="110"/>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en-IE"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en-IE"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en-IE"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en-IE" w:bidi="en-GB"/>
              </w:rPr>
            </w:pPr>
            <w:r>
              <w:rPr>
                <w:rFonts w:eastAsia="Verdana" w:cs="Verdana"/>
                <w:lang w:val="en-IE" w:bidi="en-GB"/>
              </w:rPr>
              <w:t>EUR million</w:t>
            </w:r>
          </w:p>
        </w:tc>
      </w:tr>
      <w:t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en-IE" w:bidi="en-GB"/>
              </w:rPr>
            </w:pPr>
          </w:p>
        </w:tc>
        <w:tc>
          <w:tcPr>
            <w:tcW w:w="2976" w:type="dxa"/>
            <w:gridSpan w:val="2"/>
            <w:tcBorders>
              <w:top w:val="nil"/>
              <w:left w:val="nil"/>
              <w:bottom w:val="nil"/>
              <w:right w:val="nil"/>
            </w:tcBorders>
            <w:shd w:val="clear" w:color="auto" w:fill="016794"/>
            <w:tcMar>
              <w:top w:w="0" w:type="dxa"/>
              <w:left w:w="108" w:type="dxa"/>
              <w:bottom w:w="0" w:type="dxa"/>
              <w:right w:w="108" w:type="dxa"/>
            </w:tcMar>
          </w:tcPr>
          <w:p>
            <w:pPr>
              <w:pStyle w:val="Heading10pNormalCentered"/>
              <w:rPr>
                <w:rFonts w:eastAsia="Verdana" w:cs="Verdana"/>
                <w:lang w:val="en-IE" w:bidi="en-GB"/>
              </w:rPr>
            </w:pPr>
            <w:r>
              <w:rPr>
                <w:rFonts w:eastAsia="Verdana" w:cs="Verdana"/>
                <w:lang w:val="en-IE" w:bidi="en-GB"/>
              </w:rPr>
              <w:t>31.12.2018</w:t>
            </w:r>
          </w:p>
        </w:tc>
        <w:tc>
          <w:tcPr>
            <w:tcW w:w="2977" w:type="dxa"/>
            <w:gridSpan w:val="2"/>
            <w:tcBorders>
              <w:top w:val="nil"/>
              <w:left w:val="nil"/>
              <w:bottom w:val="nil"/>
              <w:right w:val="nil"/>
            </w:tcBorders>
            <w:shd w:val="clear" w:color="auto" w:fill="016794"/>
            <w:tcMar>
              <w:top w:w="0" w:type="dxa"/>
              <w:left w:w="108" w:type="dxa"/>
              <w:bottom w:w="0" w:type="dxa"/>
              <w:right w:w="108" w:type="dxa"/>
            </w:tcMar>
          </w:tcPr>
          <w:p>
            <w:pPr>
              <w:pStyle w:val="Heading10pNormalCentered"/>
              <w:rPr>
                <w:rFonts w:eastAsia="Verdana" w:cs="Verdana"/>
                <w:lang w:val="en-IE" w:bidi="en-GB"/>
              </w:rPr>
            </w:pPr>
            <w:r>
              <w:rPr>
                <w:rFonts w:eastAsia="Verdana" w:cs="Verdana"/>
                <w:lang w:val="en-IE" w:bidi="en-GB"/>
              </w:rPr>
              <w:t>31.12.2017</w:t>
            </w:r>
          </w:p>
        </w:tc>
      </w:tr>
      <w:t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en-IE" w:bidi="en-GB"/>
              </w:rPr>
            </w:pPr>
            <w:r>
              <w:rPr>
                <w:rFonts w:eastAsia="Verdana" w:cs="Verdana"/>
                <w:lang w:val="en-IE" w:bidi="en-GB"/>
              </w:rPr>
              <w:t>Type of derivative</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val="en-IE" w:bidi="en-GB"/>
              </w:rPr>
            </w:pPr>
            <w:r>
              <w:rPr>
                <w:rFonts w:eastAsia="Verdana" w:cs="Verdana"/>
                <w:lang w:val="en-IE" w:bidi="en-GB"/>
              </w:rPr>
              <w:t xml:space="preserve">Notional amount </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val="en-IE" w:bidi="en-GB"/>
              </w:rPr>
            </w:pPr>
            <w:r>
              <w:rPr>
                <w:rFonts w:eastAsia="Verdana" w:cs="Verdana"/>
                <w:lang w:val="en-IE" w:bidi="en-GB"/>
              </w:rPr>
              <w:t>Fair value</w:t>
            </w:r>
          </w:p>
        </w:tc>
        <w:tc>
          <w:tcPr>
            <w:tcW w:w="1418"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val="en-IE" w:bidi="en-GB"/>
              </w:rPr>
            </w:pPr>
            <w:r>
              <w:rPr>
                <w:rFonts w:eastAsia="Verdana" w:cs="Verdana"/>
                <w:lang w:val="en-IE" w:bidi="en-GB"/>
              </w:rPr>
              <w:t xml:space="preserve">Notional amount </w:t>
            </w:r>
          </w:p>
        </w:tc>
        <w:tc>
          <w:tcPr>
            <w:tcW w:w="1559" w:type="dxa"/>
            <w:tcBorders>
              <w:top w:val="nil"/>
              <w:left w:val="nil"/>
              <w:bottom w:val="nil"/>
              <w:right w:val="nil"/>
            </w:tcBorders>
            <w:shd w:val="clear" w:color="auto" w:fill="3486A9"/>
            <w:tcMar>
              <w:top w:w="0" w:type="dxa"/>
              <w:left w:w="108" w:type="dxa"/>
              <w:bottom w:w="0" w:type="dxa"/>
              <w:right w:w="108" w:type="dxa"/>
            </w:tcMar>
            <w:vAlign w:val="center"/>
          </w:tcPr>
          <w:p>
            <w:pPr>
              <w:pStyle w:val="Heading10pNormalRight025"/>
              <w:rPr>
                <w:rFonts w:eastAsia="Verdana" w:cs="Verdana"/>
                <w:lang w:val="en-IE" w:bidi="en-GB"/>
              </w:rPr>
            </w:pPr>
            <w:r>
              <w:rPr>
                <w:rFonts w:eastAsia="Verdana" w:cs="Verdana"/>
                <w:lang w:val="en-IE" w:bidi="en-GB"/>
              </w:rPr>
              <w:t>Fair value</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val="en-IE" w:bidi="en-GB"/>
              </w:rPr>
            </w:pPr>
            <w:r>
              <w:rPr>
                <w:rFonts w:eastAsia="Verdana" w:cs="Verdana"/>
                <w:i/>
                <w:lang w:val="en-IE" w:bidi="en-GB"/>
              </w:rPr>
              <w:t>Guarantee on equity portfolio</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 xml:space="preserve"> 536</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 xml:space="preserve"> 20</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w:t>
            </w:r>
          </w:p>
        </w:tc>
      </w:tr>
      <w:tr>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NormalLeft"/>
              <w:rPr>
                <w:rFonts w:eastAsia="Verdana" w:cs="Verdana"/>
                <w:i/>
                <w:lang w:val="en-IE" w:bidi="en-GB"/>
              </w:rPr>
            </w:pPr>
            <w:r>
              <w:rPr>
                <w:rFonts w:eastAsia="Verdana" w:cs="Verdana"/>
                <w:i/>
                <w:lang w:val="en-IE" w:bidi="en-GB"/>
              </w:rPr>
              <w:t>FX option (put spread)</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 xml:space="preserve"> 11</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 xml:space="preserve"> 2</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 xml:space="preserve"> 9</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val="en-IE" w:bidi="en-GB"/>
              </w:rPr>
            </w:pPr>
            <w:r>
              <w:rPr>
                <w:rFonts w:eastAsia="Verdana" w:cs="Verdana"/>
                <w:i/>
                <w:lang w:val="en-IE" w:bidi="en-GB"/>
              </w:rPr>
              <w:t xml:space="preserve"> 2</w:t>
            </w:r>
          </w:p>
        </w:tc>
      </w:tr>
      <w:t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val="en-IE" w:bidi="en-GB"/>
              </w:rPr>
            </w:pPr>
            <w:r>
              <w:rPr>
                <w:rFonts w:eastAsia="Verdana" w:cs="Verdana"/>
                <w:lang w:val="en-IE" w:bidi="en-GB"/>
              </w:rPr>
              <w:t>Total</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546</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22</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9</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val="en-IE" w:bidi="en-GB"/>
              </w:rPr>
            </w:pPr>
            <w:r>
              <w:rPr>
                <w:rFonts w:eastAsia="Verdana" w:cs="Verdana"/>
                <w:lang w:val="en-IE" w:bidi="en-GB"/>
              </w:rPr>
              <w:t xml:space="preserve"> 2</w:t>
            </w:r>
          </w:p>
        </w:tc>
      </w:tr>
      <w:t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val="en-IE" w:bidi="en-GB"/>
              </w:rPr>
            </w:pPr>
            <w:r>
              <w:rPr>
                <w:rFonts w:eastAsia="Verdana" w:cs="Verdana"/>
                <w:lang w:val="en-IE" w:bidi="en-GB"/>
              </w:rPr>
              <w:t>Non-current</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val="en-IE" w:bidi="en-GB"/>
              </w:rPr>
            </w:pPr>
            <w:r>
              <w:rPr>
                <w:rFonts w:eastAsia="Verdana" w:cs="Verdana"/>
                <w:lang w:val="en-IE" w:bidi="en-GB"/>
              </w:rPr>
              <w:t xml:space="preserve"> 82</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val="en-IE" w:bidi="en-GB"/>
              </w:rPr>
            </w:pPr>
            <w:r>
              <w:rPr>
                <w:rFonts w:eastAsia="Verdana" w:cs="Verdana"/>
                <w:lang w:val="en-IE" w:bidi="en-GB"/>
              </w:rPr>
              <w:t xml:space="preserve"> 7</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val="en-IE" w:bidi="en-GB"/>
              </w:rPr>
            </w:pPr>
            <w:r>
              <w:rPr>
                <w:rFonts w:eastAsia="Verdana" w:cs="Verdana"/>
                <w:lang w:val="en-IE" w:bidi="en-GB"/>
              </w:rPr>
              <w:t xml:space="preserve"> 9</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val="en-IE" w:bidi="en-GB"/>
              </w:rPr>
            </w:pPr>
            <w:r>
              <w:rPr>
                <w:rFonts w:eastAsia="Verdana" w:cs="Verdana"/>
                <w:color w:val="016794"/>
                <w:lang w:val="en-IE" w:bidi="en-GB"/>
              </w:rPr>
              <w:t xml:space="preserve"> 2</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ItalicleftBlue"/>
              <w:rPr>
                <w:rFonts w:eastAsia="Verdana" w:cs="Verdana"/>
                <w:lang w:val="en-IE" w:bidi="en-GB"/>
              </w:rPr>
            </w:pPr>
            <w:r>
              <w:rPr>
                <w:rFonts w:eastAsia="Verdana" w:cs="Verdana"/>
                <w:lang w:val="en-IE" w:bidi="en-GB"/>
              </w:rPr>
              <w:t>Current</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val="en-IE" w:bidi="en-GB"/>
              </w:rPr>
            </w:pPr>
            <w:r>
              <w:rPr>
                <w:rFonts w:eastAsia="Verdana" w:cs="Verdana"/>
                <w:lang w:val="en-IE" w:bidi="en-GB"/>
              </w:rPr>
              <w:t xml:space="preserve"> 464</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val="en-IE" w:bidi="en-GB"/>
              </w:rPr>
            </w:pPr>
            <w:r>
              <w:rPr>
                <w:rFonts w:eastAsia="Verdana" w:cs="Verdana"/>
                <w:lang w:val="en-IE" w:bidi="en-GB"/>
              </w:rPr>
              <w:t xml:space="preserve"> 15</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ItalicBlueRight"/>
              <w:rPr>
                <w:rFonts w:eastAsia="Verdana" w:cs="Verdana"/>
                <w:lang w:val="en-IE" w:bidi="en-GB"/>
              </w:rPr>
            </w:pPr>
            <w:r>
              <w:rPr>
                <w:rFonts w:eastAsia="Verdana" w:cs="Verdana"/>
                <w:lang w:val="en-IE"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color w:val="016794"/>
                <w:lang w:val="en-IE" w:bidi="en-GB"/>
              </w:rPr>
            </w:pPr>
            <w:r>
              <w:rPr>
                <w:rFonts w:eastAsia="Verdana" w:cs="Verdana"/>
                <w:color w:val="016794"/>
                <w:lang w:val="en-IE" w:bidi="en-GB"/>
              </w:rPr>
              <w:t>–</w:t>
            </w:r>
          </w:p>
        </w:tc>
      </w:tr>
    </w:tbl>
    <w:p>
      <w:pPr>
        <w:pStyle w:val="HEADER5"/>
        <w:rPr>
          <w:noProof/>
          <w:lang w:val="en-IE" w:bidi="en-GB"/>
        </w:rPr>
      </w:pPr>
    </w:p>
    <w:p>
      <w:pPr>
        <w:pStyle w:val="HEADER5"/>
        <w:rPr>
          <w:noProof/>
          <w:lang w:val="en-IE"/>
        </w:rPr>
      </w:pPr>
    </w:p>
    <w:p>
      <w:pPr>
        <w:pStyle w:val="HEADER5"/>
        <w:rPr>
          <w:noProof/>
          <w:lang w:val="en-IE"/>
        </w:rPr>
      </w:pPr>
      <w:r>
        <w:rPr>
          <w:noProof/>
          <w:lang w:val="en-IE"/>
        </w:rPr>
        <w:t>Fair value hierarchy of financial liabilities measured at fair value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11" w:name="DOC_TBL00053_1_1"/>
            <w:bookmarkEnd w:id="111"/>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Level 1: Quoted prices in active markets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Level 2: Observable inputs other than quoted prices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Level 3: Valuation techniques with inputs not based on observable market data</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20</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22</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bookmarkEnd w:id="103"/>
    </w:tbl>
    <w:p>
      <w:pPr>
        <w:pStyle w:val="DGTextstand-alone"/>
        <w:sectPr>
          <w:headerReference w:type="even" r:id="rId149"/>
          <w:headerReference w:type="default" r:id="rId150"/>
          <w:footerReference w:type="even" r:id="rId151"/>
          <w:footerReference w:type="default" r:id="rId152"/>
          <w:headerReference w:type="first" r:id="rId153"/>
          <w:footerReference w:type="first" r:id="rId154"/>
          <w:pgSz w:w="11906" w:h="16838"/>
          <w:pgMar w:top="1134" w:right="1134" w:bottom="1134" w:left="1134" w:header="709" w:footer="709" w:gutter="0"/>
          <w:cols w:space="708"/>
          <w:docGrid w:linePitch="360"/>
        </w:sectPr>
      </w:pPr>
    </w:p>
    <w:p>
      <w:pPr>
        <w:pStyle w:val="HEADER2NOTES"/>
        <w:rPr>
          <w:noProof/>
        </w:rPr>
      </w:pPr>
      <w:bookmarkStart w:id="112" w:name="_DMBM_13943"/>
      <w:r>
        <w:rPr>
          <w:noProof/>
        </w:rPr>
        <w:t>PAYABLES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trPr>
          <w:cantSplit/>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13" w:name="DOC_TBL00055_1_1"/>
            <w:bookmarkEnd w:id="113"/>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cantSplit/>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Adjust-</w:t>
            </w:r>
          </w:p>
          <w:p>
            <w:pPr>
              <w:pStyle w:val="Heading8pNormalCentered"/>
              <w:rPr>
                <w:rFonts w:eastAsia="Verdana" w:cs="Verdana"/>
                <w:lang w:bidi="en-GB"/>
              </w:rPr>
            </w:pPr>
            <w:r>
              <w:rPr>
                <w:rFonts w:eastAsia="Verdana" w:cs="Verdana"/>
                <w:lang w:bidi="en-GB"/>
              </w:rPr>
              <w:t>ments*</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Net Amount at 31.12.2018</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Adjust-</w:t>
            </w:r>
          </w:p>
          <w:p>
            <w:pPr>
              <w:pStyle w:val="Heading8pNormalCentered"/>
              <w:rPr>
                <w:rFonts w:eastAsia="Verdana" w:cs="Verdana"/>
                <w:lang w:bidi="en-GB"/>
              </w:rPr>
            </w:pPr>
            <w:r>
              <w:rPr>
                <w:rFonts w:eastAsia="Verdana" w:cs="Verdana"/>
                <w:lang w:bidi="en-GB"/>
              </w:rPr>
              <w:t>ments*</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Net Amount at 31.12.2017</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Cost claims and invoices received from:</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Member States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EAFRD &amp; other rural development instruments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247</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247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481</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481</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ERDF &amp; CF</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10 761</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(1 724)</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9 037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12 602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(883)</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11 719</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ESF</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5 195</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(496)</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4 699</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4 183</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(264)</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3 919</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Other</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632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(75)</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557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748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(280)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467</w:t>
            </w:r>
          </w:p>
        </w:tc>
      </w:tr>
      <w:tr>
        <w:trPr>
          <w:cantSplit/>
          <w:trHeight w:val="247"/>
        </w:trPr>
        <w:tc>
          <w:tcPr>
            <w:tcW w:w="1809"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Private and public entities</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1 461</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(179)</w:t>
            </w:r>
          </w:p>
        </w:tc>
        <w:tc>
          <w:tcPr>
            <w:tcW w:w="1417" w:type="dxa"/>
            <w:tcBorders>
              <w:top w:val="nil"/>
              <w:left w:val="nil"/>
              <w:bottom w:val="single" w:sz="4" w:space="0" w:color="FFFFFF"/>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1 282</w:t>
            </w:r>
          </w:p>
        </w:tc>
        <w:tc>
          <w:tcPr>
            <w:tcW w:w="1276" w:type="dxa"/>
            <w:tcBorders>
              <w:top w:val="nil"/>
              <w:left w:val="single" w:sz="4" w:space="0" w:color="016794"/>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1 563</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(144)</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1 419</w:t>
            </w:r>
          </w:p>
        </w:tc>
      </w:tr>
      <w:tr>
        <w:trPr>
          <w:cantSplit/>
          <w:trHeight w:val="247"/>
        </w:trPr>
        <w:tc>
          <w:tcPr>
            <w:tcW w:w="18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 costs claims &amp; invoices received</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18 296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(2 475)</w:t>
            </w:r>
          </w:p>
        </w:tc>
        <w:tc>
          <w:tcPr>
            <w:tcW w:w="1417" w:type="dxa"/>
            <w:tcBorders>
              <w:top w:val="single" w:sz="4" w:space="0" w:color="016794"/>
              <w:left w:val="nil"/>
              <w:bottom w:val="single" w:sz="4" w:space="0" w:color="016794"/>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15 822</w:t>
            </w:r>
          </w:p>
        </w:tc>
        <w:tc>
          <w:tcPr>
            <w:tcW w:w="1276" w:type="dxa"/>
            <w:tcBorders>
              <w:top w:val="single" w:sz="4" w:space="0" w:color="016794"/>
              <w:left w:val="single" w:sz="4" w:space="0" w:color="016794"/>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19 577</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(1 571)</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18 006</w:t>
            </w:r>
          </w:p>
        </w:tc>
      </w:tr>
      <w:tr>
        <w:trPr>
          <w:cantSplit/>
          <w:trHeight w:val="247"/>
        </w:trPr>
        <w:tc>
          <w:tcPr>
            <w:tcW w:w="1809"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EAGF</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14 772</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N/A</w:t>
            </w:r>
          </w:p>
        </w:tc>
        <w:tc>
          <w:tcPr>
            <w:tcW w:w="1417" w:type="dxa"/>
            <w:tcBorders>
              <w:top w:val="single" w:sz="4" w:space="0" w:color="016794"/>
              <w:left w:val="nil"/>
              <w:bottom w:val="nil"/>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14 772</w:t>
            </w:r>
          </w:p>
        </w:tc>
        <w:tc>
          <w:tcPr>
            <w:tcW w:w="1276" w:type="dxa"/>
            <w:tcBorders>
              <w:top w:val="single" w:sz="4" w:space="0" w:color="016794"/>
              <w:left w:val="single" w:sz="4" w:space="0" w:color="016794"/>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11 534</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N/A</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11 534</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Own Resources Payables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769</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769</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8 836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8 836</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Sundry Payables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1 176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1 176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1 000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1 000</w:t>
            </w:r>
          </w:p>
        </w:tc>
      </w:tr>
      <w:tr>
        <w:trPr>
          <w:cantSplit/>
          <w:trHeight w:val="247"/>
        </w:trPr>
        <w:tc>
          <w:tcPr>
            <w:tcW w:w="1809"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35 013</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(2 475)</w:t>
            </w:r>
          </w:p>
        </w:tc>
        <w:tc>
          <w:tcPr>
            <w:tcW w:w="1417" w:type="dxa"/>
            <w:tcBorders>
              <w:top w:val="nil"/>
              <w:left w:val="nil"/>
              <w:bottom w:val="nil"/>
              <w:right w:val="single" w:sz="4" w:space="0" w:color="016794"/>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32 539</w:t>
            </w:r>
          </w:p>
        </w:tc>
        <w:tc>
          <w:tcPr>
            <w:tcW w:w="1276" w:type="dxa"/>
            <w:tcBorders>
              <w:top w:val="nil"/>
              <w:left w:val="single" w:sz="4" w:space="0" w:color="016794"/>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40 947</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(1 571)</w:t>
            </w:r>
          </w:p>
        </w:tc>
        <w:tc>
          <w:tcPr>
            <w:tcW w:w="141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39 376</w:t>
            </w:r>
          </w:p>
        </w:tc>
      </w:tr>
    </w:tbl>
    <w:p>
      <w:pPr>
        <w:pStyle w:val="Text9pItalicLeft"/>
        <w:rPr>
          <w:lang w:bidi="en-GB"/>
        </w:rPr>
      </w:pPr>
      <w:r>
        <w:rPr>
          <w:sz w:val="16"/>
          <w:lang w:bidi="en-GB"/>
        </w:rPr>
        <w:t>* Estimated non-eligible amounts and pending other advances to Member States</w:t>
      </w:r>
      <w:r>
        <w:rPr>
          <w:lang w:bidi="en-GB"/>
        </w:rPr>
        <w:t xml:space="preserve">. </w:t>
      </w:r>
    </w:p>
    <w:p>
      <w:pPr>
        <w:rPr>
          <w:noProof/>
          <w:lang w:bidi="en-GB"/>
        </w:rPr>
        <w:sectPr>
          <w:headerReference w:type="even" r:id="rId155"/>
          <w:headerReference w:type="default" r:id="rId156"/>
          <w:footerReference w:type="even" r:id="rId157"/>
          <w:footerReference w:type="default" r:id="rId158"/>
          <w:headerReference w:type="first" r:id="rId159"/>
          <w:footerReference w:type="first" r:id="rId160"/>
          <w:pgSz w:w="11906" w:h="16838"/>
          <w:pgMar w:top="1134" w:right="1134" w:bottom="1134" w:left="1134" w:header="709" w:footer="709" w:gutter="0"/>
          <w:cols w:space="708"/>
          <w:docGrid w:linePitch="360"/>
        </w:sectPr>
      </w:pPr>
      <w:r>
        <w:rPr>
          <w:noProof/>
          <w:lang w:bidi="en-GB"/>
        </w:rPr>
        <w:t xml:space="preserve"> </w:t>
      </w:r>
      <w:bookmarkEnd w:id="112"/>
    </w:p>
    <w:p>
      <w:pPr>
        <w:pStyle w:val="HEADER2NOTES"/>
        <w:rPr>
          <w:noProof/>
          <w:lang w:val="fr-BE"/>
        </w:rPr>
      </w:pPr>
      <w:bookmarkStart w:id="114" w:name="_DMBM_13950"/>
      <w:r>
        <w:rPr>
          <w:noProof/>
          <w:lang w:val="fr-BE"/>
        </w:rPr>
        <w:t>ACCRUED CHARGES AND DEFERRED INCOME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15" w:name="DOC_TBL00056_1_1"/>
            <w:bookmarkEnd w:id="115"/>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Accrued charges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62 263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63 070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Deferred income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213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219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24</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62 500</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63 314</w:t>
            </w:r>
          </w:p>
        </w:tc>
      </w:tr>
    </w:tbl>
    <w:p>
      <w:pPr>
        <w:pStyle w:val="Textstand-alone"/>
        <w:spacing w:after="0"/>
        <w:rPr>
          <w:lang w:bidi="en-GB"/>
        </w:rPr>
      </w:pPr>
      <w:r>
        <w:rPr>
          <w:lang w:bidi="en-GB"/>
        </w:rPr>
        <w:t xml:space="preserve"> </w:t>
      </w:r>
    </w:p>
    <w:p>
      <w:pPr>
        <w:pStyle w:val="Textstand-alone"/>
        <w:spacing w:after="0"/>
      </w:pPr>
      <w:r>
        <w:t>The split of accrued charges is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16" w:name="DOC_TBL00057_1_1"/>
            <w:bookmarkEnd w:id="116"/>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EAGF</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29 387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33 303</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EAFRD and other rural development instruments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18 687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17 464</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ERDF and CF</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5 863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4 249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ESF</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2 321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2 870</w:t>
            </w:r>
          </w:p>
        </w:tc>
      </w:tr>
      <w:t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6 005</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5 185</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62 263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b/>
                <w:i w:val="0"/>
                <w:lang w:bidi="en-GB"/>
              </w:rPr>
            </w:pPr>
            <w:r>
              <w:rPr>
                <w:rFonts w:eastAsia="Verdana" w:cs="Verdana"/>
                <w:b/>
                <w:i w:val="0"/>
                <w:lang w:bidi="en-GB"/>
              </w:rPr>
              <w:t>63 070</w:t>
            </w:r>
          </w:p>
        </w:tc>
      </w:tr>
      <w:t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bl>
    <w:p>
      <w:pPr>
        <w:pStyle w:val="Textstand-alone"/>
        <w:rPr>
          <w:lang w:bidi="en-GB"/>
        </w:rPr>
        <w:sectPr>
          <w:headerReference w:type="even" r:id="rId161"/>
          <w:headerReference w:type="default" r:id="rId162"/>
          <w:footerReference w:type="even" r:id="rId163"/>
          <w:footerReference w:type="default" r:id="rId164"/>
          <w:headerReference w:type="first" r:id="rId165"/>
          <w:footerReference w:type="first" r:id="rId166"/>
          <w:type w:val="continuous"/>
          <w:pgSz w:w="11906" w:h="16838"/>
          <w:pgMar w:top="1134" w:right="1134" w:bottom="1134" w:left="1134" w:header="709" w:footer="709" w:gutter="0"/>
          <w:cols w:space="708"/>
          <w:docGrid w:linePitch="360"/>
        </w:sectPr>
      </w:pPr>
      <w:r>
        <w:rPr>
          <w:lang w:bidi="en-GB"/>
        </w:rPr>
        <w:t xml:space="preserve"> </w:t>
      </w:r>
      <w:bookmarkEnd w:id="114"/>
    </w:p>
    <w:p>
      <w:pPr>
        <w:pStyle w:val="HEADERTABLE"/>
        <w:rPr>
          <w:noProof/>
          <w:lang w:val="fr-BE"/>
        </w:rPr>
      </w:pPr>
      <w:bookmarkStart w:id="117" w:name="_DMBM_13944"/>
      <w:r>
        <w:rPr>
          <w:noProof/>
          <w:lang w:val="fr-BE"/>
        </w:rPr>
        <w:t>NET ASSETS</w:t>
      </w:r>
    </w:p>
    <w:p>
      <w:pPr>
        <w:pStyle w:val="HEADER2NOTES"/>
        <w:rPr>
          <w:noProof/>
          <w:lang w:val="fr-BE"/>
        </w:rPr>
      </w:pPr>
      <w:r>
        <w:rPr>
          <w:noProof/>
          <w:lang w:val="fr-BE"/>
        </w:rPr>
        <w:t>RESERVES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118" w:name="DOC_TBL00058_1_1"/>
            <w:bookmarkEnd w:id="118"/>
          </w:p>
        </w:tc>
        <w:tc>
          <w:tcPr>
            <w:tcW w:w="851"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i w:val="0"/>
              </w:rPr>
            </w:pPr>
          </w:p>
        </w:tc>
        <w:tc>
          <w:tcPr>
            <w:tcW w:w="1842"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i w:val="0"/>
              </w:rPr>
            </w:pPr>
          </w:p>
        </w:tc>
        <w:tc>
          <w:tcPr>
            <w:tcW w:w="1843"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Times New Roman" w:cs="Verdana"/>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Times New Roman" w:cs="Verdana"/>
              </w:rPr>
            </w:pPr>
            <w:r>
              <w:rPr>
                <w:rFonts w:eastAsia="Times New Roman" w:cs="Verdana"/>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31.12.2017</w:t>
            </w:r>
          </w:p>
        </w:tc>
      </w:tr>
      <w:tr>
        <w:trPr>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Fair value reserve</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r>
              <w:rPr>
                <w:rFonts w:eastAsia="Times New Roman" w:cs="Verdana"/>
              </w:rPr>
              <w:t>2.14.1</w:t>
            </w: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229</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275</w:t>
            </w:r>
          </w:p>
        </w:tc>
      </w:tr>
      <w:tr>
        <w:trPr>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Guarantee Fund reserve</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2 849</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2 663</w:t>
            </w:r>
          </w:p>
        </w:tc>
      </w:tr>
      <w:tr>
        <w:trPr>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Other reserves</w:t>
            </w: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108</w:t>
            </w: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125</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Times New Roman"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3 186</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3 062</w:t>
            </w:r>
          </w:p>
        </w:tc>
      </w:tr>
      <w:tr>
        <w:trPr>
          <w:trHeight w:val="268"/>
        </w:trPr>
        <w:tc>
          <w:tcPr>
            <w:tcW w:w="521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851" w:type="dxa"/>
            <w:tcBorders>
              <w:top w:val="nil"/>
              <w:left w:val="nil"/>
              <w:bottom w:val="nil"/>
              <w:right w:val="nil"/>
            </w:tcBorders>
            <w:tcMar>
              <w:top w:w="0" w:type="dxa"/>
              <w:left w:w="108" w:type="dxa"/>
              <w:bottom w:w="0" w:type="dxa"/>
              <w:right w:w="108" w:type="dxa"/>
            </w:tcMar>
          </w:tcPr>
          <w:p>
            <w:pPr>
              <w:pStyle w:val="Text9pItalicCentered"/>
              <w:rPr>
                <w:rFonts w:eastAsia="Times New Roman" w:cs="Verdana"/>
              </w:rPr>
            </w:pPr>
          </w:p>
        </w:tc>
        <w:tc>
          <w:tcPr>
            <w:tcW w:w="1842"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c>
          <w:tcPr>
            <w:tcW w:w="1843"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r>
    </w:tbl>
    <w:p>
      <w:pPr>
        <w:pStyle w:val="HEADER3NOTES"/>
        <w:rPr>
          <w:noProof/>
        </w:rPr>
      </w:pPr>
      <w:r>
        <w:rPr>
          <w:noProof/>
        </w:rPr>
        <w:t xml:space="preserve"> Fair value reserve</w:t>
      </w:r>
    </w:p>
    <w:p>
      <w:pPr>
        <w:pStyle w:val="DGTextstand-alone"/>
      </w:pPr>
      <w:r>
        <w:t>Movements during the period of fair value reserve related to the available for sale financial assets: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119" w:name="DOC_TBL00059_1_1"/>
            <w:bookmarkEnd w:id="119"/>
          </w:p>
        </w:tc>
        <w:tc>
          <w:tcPr>
            <w:tcW w:w="2126" w:type="dxa"/>
            <w:tcBorders>
              <w:top w:val="nil"/>
              <w:left w:val="nil"/>
              <w:bottom w:val="nil"/>
              <w:right w:val="nil"/>
            </w:tcBorders>
            <w:tcMar>
              <w:top w:w="0" w:type="dxa"/>
              <w:left w:w="108" w:type="dxa"/>
              <w:bottom w:w="0" w:type="dxa"/>
              <w:right w:w="108" w:type="dxa"/>
            </w:tcMar>
          </w:tcPr>
          <w:p>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Times New Roman"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2017</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Included in fair value reserve</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(68)</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(8)</w:t>
            </w:r>
          </w:p>
        </w:tc>
      </w:tr>
      <w:tr>
        <w:tc>
          <w:tcPr>
            <w:tcW w:w="5637" w:type="dxa"/>
            <w:tcBorders>
              <w:top w:val="nil"/>
              <w:left w:val="nil"/>
              <w:bottom w:val="single" w:sz="4" w:space="0" w:color="FFFFFF"/>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Included in statement of financial performance</w:t>
            </w:r>
          </w:p>
        </w:tc>
        <w:tc>
          <w:tcPr>
            <w:tcW w:w="2126" w:type="dxa"/>
            <w:tcBorders>
              <w:top w:val="nil"/>
              <w:left w:val="nil"/>
              <w:bottom w:val="single" w:sz="4" w:space="0" w:color="FFFFFF"/>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22</w:t>
            </w:r>
          </w:p>
        </w:tc>
        <w:tc>
          <w:tcPr>
            <w:tcW w:w="1985" w:type="dxa"/>
            <w:tcBorders>
              <w:top w:val="nil"/>
              <w:left w:val="nil"/>
              <w:bottom w:val="single" w:sz="4" w:space="0" w:color="FFFFFF"/>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18</w:t>
            </w:r>
          </w:p>
        </w:tc>
      </w:tr>
      <w:tr>
        <w:tc>
          <w:tcPr>
            <w:tcW w:w="5637" w:type="dxa"/>
            <w:tcBorders>
              <w:top w:val="single" w:sz="4" w:space="0" w:color="016794"/>
              <w:left w:val="nil"/>
              <w:bottom w:val="single" w:sz="4" w:space="0" w:color="016794"/>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Total</w:t>
            </w:r>
          </w:p>
        </w:tc>
        <w:tc>
          <w:tcPr>
            <w:tcW w:w="2126" w:type="dxa"/>
            <w:tcBorders>
              <w:top w:val="single" w:sz="4" w:space="0" w:color="016794"/>
              <w:left w:val="nil"/>
              <w:bottom w:val="single" w:sz="4" w:space="0" w:color="016794"/>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 xml:space="preserve"> (46)</w:t>
            </w:r>
          </w:p>
        </w:tc>
        <w:tc>
          <w:tcPr>
            <w:tcW w:w="1985" w:type="dxa"/>
            <w:tcBorders>
              <w:top w:val="single" w:sz="4" w:space="0" w:color="016794"/>
              <w:left w:val="nil"/>
              <w:bottom w:val="single" w:sz="4" w:space="0" w:color="016794"/>
              <w:right w:val="nil"/>
            </w:tcBorders>
            <w:tcMar>
              <w:top w:w="0" w:type="dxa"/>
              <w:left w:w="108" w:type="dxa"/>
              <w:bottom w:w="0" w:type="dxa"/>
              <w:right w:w="108" w:type="dxa"/>
            </w:tcMar>
          </w:tcPr>
          <w:p>
            <w:pPr>
              <w:pStyle w:val="Figures9pBoldRight025"/>
              <w:rPr>
                <w:rFonts w:eastAsia="Times New Roman" w:cs="Verdana"/>
              </w:rPr>
            </w:pPr>
            <w:r>
              <w:rPr>
                <w:rFonts w:eastAsia="Times New Roman" w:cs="Verdana"/>
              </w:rPr>
              <w:t xml:space="preserve"> 10</w:t>
            </w:r>
          </w:p>
        </w:tc>
      </w:tr>
      <w:tr>
        <w:tc>
          <w:tcPr>
            <w:tcW w:w="5637" w:type="dxa"/>
            <w:tcBorders>
              <w:top w:val="single" w:sz="4" w:space="0" w:color="016794"/>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rPr>
            </w:pPr>
          </w:p>
        </w:tc>
        <w:tc>
          <w:tcPr>
            <w:tcW w:w="1985" w:type="dxa"/>
            <w:tcBorders>
              <w:top w:val="single" w:sz="4" w:space="0" w:color="016794"/>
              <w:left w:val="nil"/>
              <w:bottom w:val="nil"/>
              <w:right w:val="nil"/>
            </w:tcBorders>
            <w:tcMar>
              <w:top w:w="0" w:type="dxa"/>
              <w:left w:w="108" w:type="dxa"/>
              <w:bottom w:w="0" w:type="dxa"/>
              <w:right w:w="108" w:type="dxa"/>
            </w:tcMar>
          </w:tcPr>
          <w:p>
            <w:pPr>
              <w:pStyle w:val="Figures9pItalicRight025"/>
              <w:rPr>
                <w:rFonts w:eastAsia="Times New Roman" w:cs="Verdana"/>
              </w:rPr>
            </w:pPr>
          </w:p>
        </w:tc>
      </w:tr>
    </w:tbl>
    <w:p>
      <w:pPr>
        <w:pStyle w:val="HEADER2NOTES"/>
        <w:rPr>
          <w:noProof/>
        </w:rPr>
      </w:pPr>
      <w:r>
        <w:rPr>
          <w:noProof/>
        </w:rPr>
        <w:t>AMOUNTS TO BE CALLED FROM MEMBER STATES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tc>
          <w:tcPr>
            <w:tcW w:w="7621"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120" w:name="DOC_TBL00060_1_1"/>
            <w:bookmarkEnd w:id="120"/>
          </w:p>
        </w:tc>
        <w:tc>
          <w:tcPr>
            <w:tcW w:w="2126"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c>
          <w:tcPr>
            <w:tcW w:w="762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Times New Roman" w:cs="Verdana"/>
              </w:rPr>
            </w:pPr>
          </w:p>
        </w:tc>
        <w:tc>
          <w:tcPr>
            <w:tcW w:w="2126"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Times New Roman" w:cs="Verdana"/>
              </w:rPr>
            </w:pPr>
          </w:p>
        </w:tc>
      </w:tr>
      <w:tr>
        <w:tc>
          <w:tcPr>
            <w:tcW w:w="762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Amounts to be called from Member States at 31.12.2017</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78 077</w:t>
            </w:r>
          </w:p>
        </w:tc>
      </w:tr>
      <w:tr>
        <w:tc>
          <w:tcPr>
            <w:tcW w:w="762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Return of 2017 budget surplus to Member States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556</w:t>
            </w:r>
          </w:p>
        </w:tc>
      </w:tr>
      <w:tr>
        <w:tc>
          <w:tcPr>
            <w:tcW w:w="762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Movement in Guarantee Fund reserve</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186</w:t>
            </w:r>
          </w:p>
        </w:tc>
      </w:tr>
      <w:tr>
        <w:tc>
          <w:tcPr>
            <w:tcW w:w="762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Remeasurements in employee benefits liability</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4 432</w:t>
            </w:r>
          </w:p>
        </w:tc>
      </w:tr>
      <w:tr>
        <w:tc>
          <w:tcPr>
            <w:tcW w:w="762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Other reserve movements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7</w:t>
            </w:r>
          </w:p>
        </w:tc>
      </w:tr>
      <w:tr>
        <w:tc>
          <w:tcPr>
            <w:tcW w:w="7621"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Economic result of the year</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(14 372)</w:t>
            </w:r>
          </w:p>
        </w:tc>
      </w:tr>
      <w:tr>
        <w:tc>
          <w:tcPr>
            <w:tcW w:w="762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Total amounts to be called from Member States at 31.12.2018</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68 885</w:t>
            </w:r>
          </w:p>
        </w:tc>
      </w:tr>
    </w:tbl>
    <w:p>
      <w:pPr>
        <w:pStyle w:val="DGTextstand-alone"/>
        <w:rPr>
          <w:lang w:bidi="en-GB"/>
        </w:rPr>
        <w:sectPr>
          <w:headerReference w:type="even" r:id="rId167"/>
          <w:headerReference w:type="default" r:id="rId168"/>
          <w:footerReference w:type="even" r:id="rId169"/>
          <w:footerReference w:type="default" r:id="rId170"/>
          <w:headerReference w:type="first" r:id="rId171"/>
          <w:footerReference w:type="first" r:id="rId172"/>
          <w:pgSz w:w="11906" w:h="16838"/>
          <w:pgMar w:top="1134" w:right="1134" w:bottom="1134" w:left="1134" w:header="709" w:footer="709" w:gutter="0"/>
          <w:cols w:space="708"/>
          <w:docGrid w:linePitch="360"/>
        </w:sectPr>
      </w:pPr>
      <w:r>
        <w:rPr>
          <w:lang w:bidi="en-GB"/>
        </w:rPr>
        <w:t xml:space="preserve"> </w:t>
      </w:r>
      <w:bookmarkEnd w:id="117"/>
    </w:p>
    <w:p>
      <w:pPr>
        <w:pStyle w:val="HEADER1NOTES"/>
        <w:rPr>
          <w:noProof/>
        </w:rPr>
      </w:pPr>
      <w:bookmarkStart w:id="121" w:name="_Toc11403252"/>
      <w:bookmarkStart w:id="122" w:name="_DMBM_14017"/>
      <w:r>
        <w:rPr>
          <w:noProof/>
        </w:rPr>
        <w:t>NOTES TO THE STATEMENT OF FINANCIAL PERFORMANCE</w:t>
      </w:r>
      <w:bookmarkEnd w:id="121"/>
      <w:r>
        <w:rPr>
          <w:noProof/>
        </w:rPr>
        <w:t xml:space="preserve"> </w:t>
      </w:r>
    </w:p>
    <w:p>
      <w:pPr>
        <w:pStyle w:val="DGTextstand-alone"/>
        <w:spacing w:before="0"/>
        <w:sectPr>
          <w:headerReference w:type="even" r:id="rId173"/>
          <w:headerReference w:type="default" r:id="rId174"/>
          <w:footerReference w:type="even" r:id="rId175"/>
          <w:footerReference w:type="default" r:id="rId176"/>
          <w:headerReference w:type="first" r:id="rId177"/>
          <w:footerReference w:type="first" r:id="rId178"/>
          <w:pgSz w:w="11906" w:h="16838"/>
          <w:pgMar w:top="1134" w:right="1134" w:bottom="1134" w:left="1134" w:header="709" w:footer="709" w:gutter="0"/>
          <w:cols w:space="708"/>
          <w:docGrid w:linePitch="360"/>
        </w:sectPr>
      </w:pPr>
      <w:r>
        <w:t xml:space="preserve"> </w:t>
      </w:r>
      <w:bookmarkEnd w:id="122"/>
    </w:p>
    <w:p>
      <w:pPr>
        <w:pStyle w:val="HEADERTABLE"/>
        <w:rPr>
          <w:noProof/>
        </w:rPr>
      </w:pPr>
      <w:bookmarkStart w:id="123" w:name="_DMBM_13986"/>
      <w:r>
        <w:rPr>
          <w:noProof/>
        </w:rPr>
        <w:t>REVENUE</w:t>
      </w:r>
    </w:p>
    <w:p>
      <w:pPr>
        <w:pStyle w:val="HEADERTABLE"/>
        <w:rPr>
          <w:noProof/>
        </w:rPr>
        <w:sectPr>
          <w:headerReference w:type="even" r:id="rId179"/>
          <w:headerReference w:type="default" r:id="rId180"/>
          <w:footerReference w:type="even" r:id="rId181"/>
          <w:footerReference w:type="default" r:id="rId182"/>
          <w:headerReference w:type="first" r:id="rId183"/>
          <w:footerReference w:type="first" r:id="rId184"/>
          <w:type w:val="continuous"/>
          <w:pgSz w:w="11906" w:h="16838"/>
          <w:pgMar w:top="1134" w:right="1134" w:bottom="1134" w:left="1134" w:header="709" w:footer="709" w:gutter="0"/>
          <w:cols w:space="708"/>
          <w:docGrid w:linePitch="360"/>
        </w:sectPr>
      </w:pPr>
      <w:r>
        <w:rPr>
          <w:noProof/>
        </w:rPr>
        <w:t xml:space="preserve">REVENUE FROM NON-EXCHANGE TRANSACTIONS: </w:t>
      </w:r>
      <w:r>
        <w:rPr>
          <w:noProof/>
        </w:rPr>
        <w:br/>
        <w:t xml:space="preserve">OWN RESOURCES </w:t>
      </w:r>
      <w:bookmarkEnd w:id="123"/>
    </w:p>
    <w:p>
      <w:pPr>
        <w:pStyle w:val="HEADER2NOTES"/>
        <w:rPr>
          <w:noProof/>
        </w:rPr>
      </w:pPr>
      <w:bookmarkStart w:id="124" w:name="_DMBM_13934"/>
      <w:r>
        <w:rPr>
          <w:noProof/>
        </w:rPr>
        <w:t>TRADITIONAL OWN RESOURCES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25" w:name="DOC_TBL00061_1_1"/>
            <w:bookmarkEnd w:id="125"/>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Customs duties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22 763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20 475</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Sugar levies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45</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22 767</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20 520</w:t>
            </w:r>
          </w:p>
        </w:tc>
      </w:tr>
    </w:tbl>
    <w:p>
      <w:pPr>
        <w:pStyle w:val="Textstand-alone"/>
        <w:rPr>
          <w:lang w:val="fr-BE"/>
        </w:rPr>
        <w:sectPr>
          <w:headerReference w:type="even" r:id="rId185"/>
          <w:headerReference w:type="default" r:id="rId186"/>
          <w:footerReference w:type="even" r:id="rId187"/>
          <w:footerReference w:type="default" r:id="rId188"/>
          <w:headerReference w:type="first" r:id="rId189"/>
          <w:footerReference w:type="first" r:id="rId190"/>
          <w:type w:val="continuous"/>
          <w:pgSz w:w="11906" w:h="16838"/>
          <w:pgMar w:top="1134" w:right="1134" w:bottom="1134" w:left="1134" w:header="709" w:footer="709" w:gutter="0"/>
          <w:cols w:space="708"/>
          <w:docGrid w:linePitch="360"/>
        </w:sectPr>
      </w:pPr>
      <w:r>
        <w:rPr>
          <w:lang w:val="fr-BE"/>
        </w:rPr>
        <w:t xml:space="preserve"> </w:t>
      </w:r>
      <w:bookmarkEnd w:id="124"/>
    </w:p>
    <w:p>
      <w:pPr>
        <w:pStyle w:val="HEADERTABLE"/>
        <w:rPr>
          <w:noProof/>
        </w:rPr>
        <w:sectPr>
          <w:headerReference w:type="even" r:id="rId191"/>
          <w:headerReference w:type="default" r:id="rId192"/>
          <w:footerReference w:type="even" r:id="rId193"/>
          <w:footerReference w:type="default" r:id="rId194"/>
          <w:headerReference w:type="first" r:id="rId195"/>
          <w:footerReference w:type="first" r:id="rId196"/>
          <w:type w:val="continuous"/>
          <w:pgSz w:w="11906" w:h="16838"/>
          <w:pgMar w:top="1134" w:right="1134" w:bottom="1134" w:left="1134" w:header="709" w:footer="709" w:gutter="0"/>
          <w:cols w:space="708"/>
          <w:docGrid w:linePitch="360"/>
        </w:sectPr>
      </w:pPr>
      <w:bookmarkStart w:id="126" w:name="_DMBM_13958"/>
      <w:r>
        <w:rPr>
          <w:noProof/>
        </w:rPr>
        <w:t xml:space="preserve">REVENUE FROM NON-EXCHANGE TRANSACTIONS: TRANSFERS </w:t>
      </w:r>
      <w:bookmarkEnd w:id="126"/>
    </w:p>
    <w:p>
      <w:pPr>
        <w:pStyle w:val="HEADER2NOTES"/>
        <w:rPr>
          <w:noProof/>
        </w:rPr>
      </w:pPr>
      <w:bookmarkStart w:id="127" w:name="_DMBM_14012"/>
      <w:r>
        <w:rPr>
          <w:noProof/>
        </w:rPr>
        <w:t>RECOVERY OF EXPENSES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28" w:name="DOC_TBL00062_1_1"/>
            <w:bookmarkEnd w:id="128"/>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val="fr-BE"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val="fr-BE" w:bidi="en-GB"/>
              </w:rPr>
            </w:pP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Shared management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2 116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1 775</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Direct management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65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81</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Indirect management</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23</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2 213</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1 879</w:t>
            </w:r>
          </w:p>
        </w:tc>
      </w:tr>
    </w:tbl>
    <w:p>
      <w:pPr>
        <w:pStyle w:val="Textstand-alone"/>
        <w:rPr>
          <w:lang w:val="fr-BE"/>
        </w:rPr>
        <w:sectPr>
          <w:headerReference w:type="even" r:id="rId197"/>
          <w:headerReference w:type="default" r:id="rId198"/>
          <w:footerReference w:type="even" r:id="rId199"/>
          <w:footerReference w:type="default" r:id="rId200"/>
          <w:headerReference w:type="first" r:id="rId201"/>
          <w:footerReference w:type="first" r:id="rId202"/>
          <w:type w:val="continuous"/>
          <w:pgSz w:w="11906" w:h="16838"/>
          <w:pgMar w:top="1134" w:right="1134" w:bottom="1134" w:left="1134" w:header="709" w:footer="709" w:gutter="0"/>
          <w:cols w:space="708"/>
          <w:docGrid w:linePitch="360"/>
        </w:sectPr>
      </w:pPr>
      <w:r>
        <w:rPr>
          <w:lang w:val="fr-BE"/>
        </w:rPr>
        <w:t xml:space="preserve"> </w:t>
      </w:r>
      <w:bookmarkEnd w:id="127"/>
    </w:p>
    <w:p>
      <w:pPr>
        <w:pStyle w:val="HEADER2NOTES"/>
        <w:rPr>
          <w:noProof/>
        </w:rPr>
      </w:pPr>
      <w:bookmarkStart w:id="129" w:name="_DMBM_13971"/>
      <w:r>
        <w:rPr>
          <w:noProof/>
        </w:rPr>
        <w:t>OTHER REVENUE FROM NON-EXCHANGE TRANSACTIONS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30" w:name="DOC_TBL00063_1_1"/>
            <w:bookmarkEnd w:id="130"/>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Contribution of third countries and accession countries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1 347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1 256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Staff taxes and contributions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954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923</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Contribution from Member States for external aid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594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988</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Transfer of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85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208</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Adjustment of provisions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97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28</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Agricultural levies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Budgetary adjustments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(726)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5 806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Funding of institutions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(3 493)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(3 371)</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465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672</w:t>
            </w: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 xml:space="preserve"> (674)</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6 515</w:t>
            </w:r>
          </w:p>
        </w:tc>
      </w:tr>
    </w:tbl>
    <w:p>
      <w:pPr>
        <w:rPr>
          <w:noProof/>
          <w:lang w:val="fr-BE" w:bidi="en-GB"/>
        </w:rPr>
        <w:sectPr>
          <w:headerReference w:type="even" r:id="rId203"/>
          <w:headerReference w:type="default" r:id="rId204"/>
          <w:footerReference w:type="even" r:id="rId205"/>
          <w:footerReference w:type="default" r:id="rId206"/>
          <w:headerReference w:type="first" r:id="rId207"/>
          <w:footerReference w:type="first" r:id="rId208"/>
          <w:type w:val="continuous"/>
          <w:pgSz w:w="11906" w:h="16838"/>
          <w:pgMar w:top="1134" w:right="1134" w:bottom="1134" w:left="1134" w:header="709" w:footer="709" w:gutter="0"/>
          <w:cols w:space="708"/>
          <w:docGrid w:linePitch="360"/>
        </w:sectPr>
      </w:pPr>
      <w:r>
        <w:rPr>
          <w:noProof/>
          <w:lang w:val="fr-BE" w:bidi="en-GB"/>
        </w:rPr>
        <w:t xml:space="preserve"> </w:t>
      </w:r>
      <w:bookmarkEnd w:id="129"/>
    </w:p>
    <w:p>
      <w:pPr>
        <w:rPr>
          <w:rFonts w:ascii="Verdana" w:hAnsi="Verdana"/>
          <w:b/>
          <w:noProof/>
          <w:color w:val="016794"/>
          <w:sz w:val="28"/>
          <w:szCs w:val="28"/>
        </w:rPr>
      </w:pPr>
      <w:bookmarkStart w:id="131" w:name="_DMBM_14003"/>
      <w:r>
        <w:rPr>
          <w:noProof/>
        </w:rPr>
        <w:br w:type="page"/>
      </w:r>
    </w:p>
    <w:p>
      <w:pPr>
        <w:pStyle w:val="HEADERTABLE"/>
        <w:rPr>
          <w:noProof/>
          <w:lang w:val="fr-BE"/>
        </w:rPr>
        <w:sectPr>
          <w:headerReference w:type="even" r:id="rId209"/>
          <w:headerReference w:type="default" r:id="rId210"/>
          <w:footerReference w:type="even" r:id="rId211"/>
          <w:footerReference w:type="default" r:id="rId212"/>
          <w:headerReference w:type="first" r:id="rId213"/>
          <w:footerReference w:type="first" r:id="rId214"/>
          <w:type w:val="continuous"/>
          <w:pgSz w:w="11906" w:h="16838"/>
          <w:pgMar w:top="1134" w:right="1134" w:bottom="1134" w:left="1134" w:header="709" w:footer="709" w:gutter="0"/>
          <w:cols w:space="708"/>
          <w:docGrid w:linePitch="360"/>
        </w:sectPr>
      </w:pPr>
      <w:r>
        <w:rPr>
          <w:noProof/>
        </w:rPr>
        <w:t xml:space="preserve">REVENUE FROM EXCHANGE TRANSACTIONS </w:t>
      </w:r>
      <w:r>
        <w:rPr>
          <w:noProof/>
          <w:lang w:val="fr-BE"/>
        </w:rPr>
        <w:t xml:space="preserve"> </w:t>
      </w:r>
      <w:bookmarkEnd w:id="131"/>
    </w:p>
    <w:p>
      <w:pPr>
        <w:pStyle w:val="HEADER2NOTES"/>
        <w:rPr>
          <w:noProof/>
        </w:rPr>
      </w:pPr>
      <w:bookmarkStart w:id="132" w:name="_DMBM_13990"/>
      <w:r>
        <w:rPr>
          <w:noProof/>
        </w:rPr>
        <w:t>FINANCIAL REVENUE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33" w:name="DOC_TBL00064_1_1"/>
            <w:bookmarkEnd w:id="133"/>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Interest on:</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  Late payments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1 458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  Loans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1 259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1 371</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  Other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Premium on financial guarantee liability (EFSI)</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121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61</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Dividend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103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23</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revenue from financial assets or liabilities at fair value through surplus or deficit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Realised gains on sale of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28</w:t>
            </w: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3 103</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1 820</w:t>
            </w:r>
          </w:p>
        </w:tc>
      </w:tr>
    </w:tbl>
    <w:p>
      <w:pPr>
        <w:pStyle w:val="NoSpacing"/>
        <w:rPr>
          <w:noProof/>
        </w:rPr>
        <w:sectPr>
          <w:headerReference w:type="even" r:id="rId215"/>
          <w:headerReference w:type="default" r:id="rId216"/>
          <w:footerReference w:type="even" r:id="rId217"/>
          <w:footerReference w:type="default" r:id="rId218"/>
          <w:headerReference w:type="first" r:id="rId219"/>
          <w:footerReference w:type="first" r:id="rId220"/>
          <w:type w:val="continuous"/>
          <w:pgSz w:w="11906" w:h="16838"/>
          <w:pgMar w:top="1134" w:right="1134" w:bottom="1134" w:left="1134" w:header="709" w:footer="709" w:gutter="0"/>
          <w:cols w:space="708"/>
          <w:docGrid w:linePitch="360"/>
        </w:sectPr>
      </w:pPr>
      <w:r>
        <w:rPr>
          <w:noProof/>
        </w:rPr>
        <w:t xml:space="preserve"> </w:t>
      </w:r>
      <w:bookmarkEnd w:id="132"/>
    </w:p>
    <w:p>
      <w:pPr>
        <w:pStyle w:val="HEADER2NOTES"/>
        <w:rPr>
          <w:noProof/>
        </w:rPr>
      </w:pPr>
      <w:bookmarkStart w:id="134" w:name="_DMBM_14006"/>
      <w:r>
        <w:rPr>
          <w:noProof/>
        </w:rPr>
        <w:t>OTHER REVENUE FROM EXCHANGE TRANSACTIONS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35" w:name="DOC_TBL00065_1_1"/>
            <w:bookmarkEnd w:id="135"/>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Foreign exchange gains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318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266</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Fee and premium revenue related to financial instruments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54</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51</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Sales of goods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26</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Share of net result of EIF</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37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21</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Fixed assets related revenue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6</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281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321</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 xml:space="preserve"> 716</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 xml:space="preserve"> 692</w:t>
            </w:r>
          </w:p>
        </w:tc>
      </w:tr>
    </w:tbl>
    <w:p>
      <w:pPr>
        <w:rPr>
          <w:noProof/>
          <w:lang w:val="fr-BE"/>
        </w:rPr>
        <w:sectPr>
          <w:headerReference w:type="even" r:id="rId221"/>
          <w:headerReference w:type="default" r:id="rId222"/>
          <w:footerReference w:type="even" r:id="rId223"/>
          <w:footerReference w:type="default" r:id="rId224"/>
          <w:headerReference w:type="first" r:id="rId225"/>
          <w:footerReference w:type="first" r:id="rId226"/>
          <w:type w:val="continuous"/>
          <w:pgSz w:w="11906" w:h="16838"/>
          <w:pgMar w:top="1134" w:right="1134" w:bottom="1134" w:left="1134" w:header="709" w:footer="709" w:gutter="0"/>
          <w:cols w:space="708"/>
          <w:docGrid w:linePitch="360"/>
        </w:sectPr>
      </w:pPr>
      <w:r>
        <w:rPr>
          <w:noProof/>
          <w:lang w:val="fr-BE"/>
        </w:rPr>
        <w:t xml:space="preserve"> </w:t>
      </w:r>
      <w:bookmarkEnd w:id="134"/>
    </w:p>
    <w:p>
      <w:pPr>
        <w:pStyle w:val="HEADERTABLE"/>
        <w:rPr>
          <w:noProof/>
        </w:rPr>
        <w:sectPr>
          <w:headerReference w:type="even" r:id="rId227"/>
          <w:headerReference w:type="default" r:id="rId228"/>
          <w:footerReference w:type="even" r:id="rId229"/>
          <w:footerReference w:type="default" r:id="rId230"/>
          <w:headerReference w:type="first" r:id="rId231"/>
          <w:footerReference w:type="first" r:id="rId232"/>
          <w:type w:val="continuous"/>
          <w:pgSz w:w="11906" w:h="16838"/>
          <w:pgMar w:top="1134" w:right="1134" w:bottom="1134" w:left="1134" w:header="709" w:footer="709" w:gutter="0"/>
          <w:cols w:space="708"/>
          <w:docGrid w:linePitch="360"/>
        </w:sectPr>
      </w:pPr>
      <w:bookmarkStart w:id="136" w:name="_DMBM_13970"/>
      <w:r>
        <w:rPr>
          <w:noProof/>
        </w:rPr>
        <w:t xml:space="preserve">EXPENSES </w:t>
      </w:r>
      <w:bookmarkEnd w:id="136"/>
    </w:p>
    <w:p>
      <w:pPr>
        <w:pStyle w:val="HEADER2NOTES"/>
        <w:rPr>
          <w:noProof/>
        </w:rPr>
      </w:pPr>
      <w:bookmarkStart w:id="137" w:name="_DMBM_13940"/>
      <w:r>
        <w:rPr>
          <w:noProof/>
        </w:rPr>
        <w:t>SHARED MANAGEMENT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38" w:name="DOC_TBL00066_1_1"/>
            <w:bookmarkEnd w:id="138"/>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Agricultural Guarantee Fund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43 527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44 289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Agricultural Fund for Rural Development and other rural development instruments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13 149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11 359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Regional Development Fund and Cohesion Fund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30 230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17 650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Social Fund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11 935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7 353</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2 826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1 253</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101 666</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81 905</w:t>
            </w:r>
          </w:p>
        </w:tc>
      </w:tr>
    </w:tbl>
    <w:p>
      <w:pPr>
        <w:pStyle w:val="HEADER2NOTES"/>
        <w:rPr>
          <w:noProof/>
        </w:rPr>
      </w:pPr>
      <w:r>
        <w:rPr>
          <w:noProof/>
        </w:rPr>
        <w:t xml:space="preserve"> DIRECT MANAGEMENT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39" w:name="DOC_TBL00067_1_1"/>
            <w:bookmarkEnd w:id="139"/>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the Commission</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8 146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8 855</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EU Executive Agencies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8 962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6 700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Trust funds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208</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17 576</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15 763</w:t>
            </w:r>
          </w:p>
        </w:tc>
      </w:tr>
    </w:tbl>
    <w:p>
      <w:pPr>
        <w:pStyle w:val="HEADER2NOTES"/>
        <w:numPr>
          <w:ilvl w:val="0"/>
          <w:numId w:val="0"/>
        </w:numPr>
        <w:rPr>
          <w:noProof/>
        </w:rPr>
      </w:pPr>
    </w:p>
    <w:p>
      <w:pPr>
        <w:pStyle w:val="HEADER2NOTES"/>
        <w:rPr>
          <w:noProof/>
        </w:rPr>
      </w:pPr>
      <w:r>
        <w:rPr>
          <w:noProof/>
        </w:rPr>
        <w:t>INDIRECT MANAGEMENT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40" w:name="DOC_TBL00068_1_1"/>
            <w:bookmarkEnd w:id="140"/>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other EU agencies and bodies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3 622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3 429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third countries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679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1 101</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international organisations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3 337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3 014</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Implemented by other entities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3 569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1 478</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11 208</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9 022</w:t>
            </w:r>
          </w:p>
        </w:tc>
      </w:tr>
    </w:tbl>
    <w:p>
      <w:pPr>
        <w:rPr>
          <w:noProof/>
        </w:rPr>
        <w:sectPr>
          <w:headerReference w:type="even" r:id="rId233"/>
          <w:headerReference w:type="default" r:id="rId234"/>
          <w:footerReference w:type="even" r:id="rId235"/>
          <w:footerReference w:type="default" r:id="rId236"/>
          <w:headerReference w:type="first" r:id="rId237"/>
          <w:footerReference w:type="first" r:id="rId238"/>
          <w:type w:val="continuous"/>
          <w:pgSz w:w="11906" w:h="16838"/>
          <w:pgMar w:top="1134" w:right="1134" w:bottom="1134" w:left="1134" w:header="709" w:footer="709" w:gutter="0"/>
          <w:cols w:space="708"/>
          <w:docGrid w:linePitch="360"/>
        </w:sectPr>
      </w:pPr>
      <w:r>
        <w:rPr>
          <w:noProof/>
        </w:rPr>
        <w:t xml:space="preserve"> </w:t>
      </w:r>
      <w:bookmarkEnd w:id="137"/>
    </w:p>
    <w:p>
      <w:pPr>
        <w:pStyle w:val="HEADER2NOTES"/>
        <w:rPr>
          <w:noProof/>
        </w:rPr>
      </w:pPr>
      <w:bookmarkStart w:id="141" w:name="_DMBM_13994"/>
      <w:r>
        <w:rPr>
          <w:noProof/>
        </w:rPr>
        <w:t>STAFF AND PENSION COSTS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42" w:name="DOC_TBL00069_1_1"/>
            <w:bookmarkEnd w:id="142"/>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Staff costs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3 328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3 186</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Pension costs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4 461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3 809</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7 789</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6 995</w:t>
            </w:r>
          </w:p>
        </w:tc>
      </w:tr>
    </w:tbl>
    <w:p>
      <w:pPr>
        <w:pStyle w:val="HEADER2NOTES"/>
        <w:rPr>
          <w:noProof/>
        </w:rPr>
      </w:pPr>
      <w:bookmarkStart w:id="143" w:name="_DMBM_13993"/>
      <w:bookmarkEnd w:id="141"/>
      <w:r>
        <w:rPr>
          <w:noProof/>
        </w:rPr>
        <w:t>FINANCE COSTS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44" w:name="DOC_TBL00070_1_1"/>
            <w:bookmarkEnd w:id="144"/>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2017</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Interest expenses: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 xml:space="preserve">        Borrowings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1 252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1 363</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 xml:space="preserve">        Other </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21</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Finance leases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56</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Impairment losses on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39</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Impairment loss on loans and receivables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126</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324</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Realised loss on sale of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20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Loss on financial assets or liabilities at fair value through surplus or deficit</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95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12</w:t>
            </w:r>
          </w:p>
        </w:tc>
      </w:tr>
      <w:tr>
        <w:trPr>
          <w:cantSplit/>
        </w:trP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41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33</w:t>
            </w: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1 640</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1 849</w:t>
            </w:r>
          </w:p>
        </w:tc>
      </w:tr>
    </w:tbl>
    <w:p>
      <w:pPr>
        <w:pStyle w:val="Textstand-alone"/>
        <w:spacing w:before="0"/>
        <w:rPr>
          <w:lang w:bidi="en-GB"/>
        </w:rPr>
        <w:sectPr>
          <w:headerReference w:type="even" r:id="rId239"/>
          <w:headerReference w:type="default" r:id="rId240"/>
          <w:footerReference w:type="even" r:id="rId241"/>
          <w:footerReference w:type="default" r:id="rId242"/>
          <w:headerReference w:type="first" r:id="rId243"/>
          <w:footerReference w:type="first" r:id="rId244"/>
          <w:type w:val="continuous"/>
          <w:pgSz w:w="11906" w:h="16838"/>
          <w:pgMar w:top="1134" w:right="1134" w:bottom="1134" w:left="1134" w:header="709" w:footer="709" w:gutter="0"/>
          <w:cols w:space="708"/>
          <w:docGrid w:linePitch="360"/>
        </w:sectPr>
      </w:pPr>
      <w:r>
        <w:rPr>
          <w:lang w:val="fr-BE"/>
        </w:rPr>
        <w:t xml:space="preserve"> </w:t>
      </w:r>
      <w:bookmarkEnd w:id="143"/>
    </w:p>
    <w:p>
      <w:pPr>
        <w:pStyle w:val="HEADER2NOTES"/>
        <w:rPr>
          <w:noProof/>
        </w:rPr>
      </w:pPr>
      <w:bookmarkStart w:id="145" w:name="_DMBM_14013"/>
      <w:r>
        <w:rPr>
          <w:noProof/>
        </w:rPr>
        <w:t>OTHER EXPENSES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46" w:name="DOC_TBL00071_1_1"/>
            <w:bookmarkEnd w:id="146"/>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Fixed assets related expenses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953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870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Administrative and IT expenses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831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790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Adjustment of provisions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919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1 371</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Funding and contributions to other EU bodies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470</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458</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Foreign exchange losses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328</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429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Operating lease expenses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195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160</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Reduction of fines by the Court of Justice</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322</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495</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4 019</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4 642</w:t>
            </w:r>
          </w:p>
        </w:tc>
      </w:tr>
    </w:tbl>
    <w:p>
      <w:pPr>
        <w:pStyle w:val="DGTextstand-alone"/>
        <w:spacing w:after="0"/>
      </w:pPr>
      <w:r>
        <w:t>Expenses relating to research and development are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47" w:name="DOC_TBL00072_1_1"/>
            <w:bookmarkEnd w:id="147"/>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Research costs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373</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366</w:t>
            </w:r>
          </w:p>
        </w:tc>
      </w:tr>
      <w:tr>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Non-capitalised development costs</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58</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58</w:t>
            </w:r>
          </w:p>
        </w:tc>
      </w:tr>
      <w:t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430</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424</w:t>
            </w:r>
          </w:p>
        </w:tc>
      </w:tr>
    </w:tbl>
    <w:p>
      <w:pPr>
        <w:pStyle w:val="DGTextstand-alone"/>
        <w:rPr>
          <w:lang w:bidi="en-GB"/>
        </w:rPr>
        <w:sectPr>
          <w:headerReference w:type="even" r:id="rId245"/>
          <w:headerReference w:type="default" r:id="rId246"/>
          <w:footerReference w:type="even" r:id="rId247"/>
          <w:footerReference w:type="default" r:id="rId248"/>
          <w:headerReference w:type="first" r:id="rId249"/>
          <w:footerReference w:type="first" r:id="rId250"/>
          <w:type w:val="continuous"/>
          <w:pgSz w:w="11906" w:h="16838"/>
          <w:pgMar w:top="1134" w:right="1134" w:bottom="1134" w:left="1134" w:header="709" w:footer="709" w:gutter="0"/>
          <w:cols w:space="708"/>
          <w:docGrid w:linePitch="360"/>
        </w:sectPr>
      </w:pPr>
      <w:r>
        <w:rPr>
          <w:lang w:bidi="en-GB"/>
        </w:rPr>
        <w:t xml:space="preserve"> </w:t>
      </w:r>
      <w:bookmarkEnd w:id="145"/>
    </w:p>
    <w:p>
      <w:pPr>
        <w:pStyle w:val="HEADER2NOTES"/>
        <w:rPr>
          <w:noProof/>
        </w:rPr>
      </w:pPr>
      <w:bookmarkStart w:id="148" w:name="_DMBM_13967"/>
      <w:r>
        <w:rPr>
          <w:noProof/>
        </w:rPr>
        <w:t>SEGMENT REPORTING BY MULTI ANNUAL FINANCIAL FRAMEWORK (MFF) HEADING</w:t>
      </w: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620"/>
        <w:gridCol w:w="1685"/>
        <w:gridCol w:w="1292"/>
        <w:gridCol w:w="1357"/>
        <w:gridCol w:w="1843"/>
        <w:gridCol w:w="1275"/>
        <w:gridCol w:w="1438"/>
      </w:tblGrid>
      <w:tr>
        <w:trPr>
          <w:trHeight w:val="250"/>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49" w:name="DOC_TBL00073_1_1"/>
            <w:bookmarkEnd w:id="149"/>
          </w:p>
        </w:tc>
        <w:tc>
          <w:tcPr>
            <w:tcW w:w="1620"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6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9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35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3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737"/>
        </w:trPr>
        <w:tc>
          <w:tcPr>
            <w:tcW w:w="4077"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620"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Smart and inclusive growth</w:t>
            </w:r>
          </w:p>
        </w:tc>
        <w:tc>
          <w:tcPr>
            <w:tcW w:w="1685"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Sustainable growth</w:t>
            </w:r>
          </w:p>
        </w:tc>
        <w:tc>
          <w:tcPr>
            <w:tcW w:w="1292"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Security and citizenship</w:t>
            </w:r>
          </w:p>
        </w:tc>
        <w:tc>
          <w:tcPr>
            <w:tcW w:w="1357"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Global Europe</w:t>
            </w:r>
          </w:p>
        </w:tc>
        <w:tc>
          <w:tcPr>
            <w:tcW w:w="1843"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Administration</w:t>
            </w:r>
          </w:p>
        </w:tc>
        <w:tc>
          <w:tcPr>
            <w:tcW w:w="1275"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Not assigned to MFF headings*</w:t>
            </w:r>
          </w:p>
        </w:tc>
        <w:tc>
          <w:tcPr>
            <w:tcW w:w="1438" w:type="dxa"/>
            <w:tcBorders>
              <w:top w:val="nil"/>
              <w:left w:val="nil"/>
              <w:bottom w:val="nil"/>
              <w:right w:val="nil"/>
            </w:tcBorders>
            <w:shd w:val="clear" w:color="auto" w:fill="016794"/>
            <w:tcMar>
              <w:top w:w="0" w:type="dxa"/>
              <w:left w:w="108" w:type="dxa"/>
              <w:bottom w:w="0" w:type="dxa"/>
              <w:right w:w="108" w:type="dxa"/>
            </w:tcMar>
          </w:tcPr>
          <w:p>
            <w:pPr>
              <w:pStyle w:val="Heading8pNormalRight025"/>
              <w:rPr>
                <w:rFonts w:eastAsia="Verdana" w:cs="Verdana"/>
                <w:lang w:bidi="en-GB"/>
              </w:rPr>
            </w:pPr>
            <w:r>
              <w:rPr>
                <w:rFonts w:eastAsia="Verdana" w:cs="Verdana"/>
                <w:lang w:bidi="en-GB"/>
              </w:rPr>
              <w:t>Total</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GNI resources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105 780</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105 780</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Traditional own resources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22 767</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22 767</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VAT</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17 624</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17 624</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Fines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6 740</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6 740</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Recovery of expenses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1 395</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777</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2 213</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Other</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1 223</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48</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109</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228</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985</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(3 267)</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(674)</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Revenue from non-exchange transactions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2 619</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825</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115</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262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985</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149 644</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154 450</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Financial revenue</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282</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2 805</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3 103</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Other</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170</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(14)</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242</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318</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716</w:t>
            </w:r>
          </w:p>
        </w:tc>
      </w:tr>
      <w:tr>
        <w:trPr>
          <w:trHeight w:val="234"/>
        </w:trPr>
        <w:tc>
          <w:tcPr>
            <w:tcW w:w="407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Revenue from exchange transactions</w:t>
            </w:r>
          </w:p>
        </w:tc>
        <w:tc>
          <w:tcPr>
            <w:tcW w:w="162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453</w:t>
            </w:r>
          </w:p>
        </w:tc>
        <w:tc>
          <w:tcPr>
            <w:tcW w:w="16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(13)</w:t>
            </w:r>
          </w:p>
        </w:tc>
        <w:tc>
          <w:tcPr>
            <w:tcW w:w="129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(8)</w:t>
            </w:r>
          </w:p>
        </w:tc>
        <w:tc>
          <w:tcPr>
            <w:tcW w:w="135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23</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242</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3 123</w:t>
            </w:r>
          </w:p>
        </w:tc>
        <w:tc>
          <w:tcPr>
            <w:tcW w:w="143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3 819</w:t>
            </w:r>
          </w:p>
        </w:tc>
      </w:tr>
      <w:tr>
        <w:trPr>
          <w:trHeight w:val="234"/>
        </w:trPr>
        <w:tc>
          <w:tcPr>
            <w:tcW w:w="407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 revenue</w:t>
            </w:r>
          </w:p>
        </w:tc>
        <w:tc>
          <w:tcPr>
            <w:tcW w:w="162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3 072</w:t>
            </w:r>
          </w:p>
        </w:tc>
        <w:tc>
          <w:tcPr>
            <w:tcW w:w="16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812</w:t>
            </w:r>
          </w:p>
        </w:tc>
        <w:tc>
          <w:tcPr>
            <w:tcW w:w="12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107</w:t>
            </w:r>
          </w:p>
        </w:tc>
        <w:tc>
          <w:tcPr>
            <w:tcW w:w="135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285</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1 227</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152 767</w:t>
            </w:r>
          </w:p>
        </w:tc>
        <w:tc>
          <w:tcPr>
            <w:tcW w:w="143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158 270</w:t>
            </w:r>
          </w:p>
        </w:tc>
      </w:tr>
      <w:tr>
        <w:trPr>
          <w:trHeight w:val="218"/>
        </w:trPr>
        <w:tc>
          <w:tcPr>
            <w:tcW w:w="407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Expenses implemented by Member States:</w:t>
            </w:r>
          </w:p>
        </w:tc>
        <w:tc>
          <w:tcPr>
            <w:tcW w:w="162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6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9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35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c>
          <w:tcPr>
            <w:tcW w:w="143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xml:space="preserve">     EAGF</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(43 527)</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(43 527)</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xml:space="preserve">     EAFRD &amp; other rural develop. instruments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(13 149)</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(13 149)</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xml:space="preserve">     ERDF &amp; CF</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(30 230)</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(30 230)</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xml:space="preserve">     ESF</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(11 935)</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(11 935)</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 xml:space="preserve">     Other</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(437)</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(596)</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(1 762)</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(2 826)</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Implemented by the Commission, executive agencies and trust funds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(11 565)</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(571)</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(930)</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(4 496)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(13)</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(17 576)</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Implemented by other EU agencies and bodies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(2 767)</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(810)</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(48)</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(3 622)</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Implemented by third countries and international organisations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(505)</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(74)</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(202)</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(3 236)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(4 016)</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Implemented by other entities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(2 696)</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(875)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(3 569)</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Staff and pension costs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(1 675)</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(369)</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(447)</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(699)</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(4 599)</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(7 789)</w:t>
            </w:r>
          </w:p>
        </w:tc>
      </w:tr>
      <w:tr>
        <w:trPr>
          <w:trHeight w:val="218"/>
        </w:trPr>
        <w:tc>
          <w:tcPr>
            <w:tcW w:w="407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Finance costs</w:t>
            </w:r>
          </w:p>
        </w:tc>
        <w:tc>
          <w:tcPr>
            <w:tcW w:w="1620"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(149)</w:t>
            </w:r>
          </w:p>
        </w:tc>
        <w:tc>
          <w:tcPr>
            <w:tcW w:w="168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(22)</w:t>
            </w:r>
          </w:p>
        </w:tc>
        <w:tc>
          <w:tcPr>
            <w:tcW w:w="1292"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35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(68)</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(1 385)</w:t>
            </w:r>
          </w:p>
        </w:tc>
        <w:tc>
          <w:tcPr>
            <w:tcW w:w="143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(1 640)</w:t>
            </w:r>
          </w:p>
        </w:tc>
      </w:tr>
      <w:tr>
        <w:trPr>
          <w:trHeight w:val="234"/>
        </w:trPr>
        <w:tc>
          <w:tcPr>
            <w:tcW w:w="407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Other expenses</w:t>
            </w:r>
          </w:p>
        </w:tc>
        <w:tc>
          <w:tcPr>
            <w:tcW w:w="162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(1 945)</w:t>
            </w:r>
          </w:p>
        </w:tc>
        <w:tc>
          <w:tcPr>
            <w:tcW w:w="168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(313)</w:t>
            </w:r>
          </w:p>
        </w:tc>
        <w:tc>
          <w:tcPr>
            <w:tcW w:w="1292"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(137)</w:t>
            </w:r>
          </w:p>
        </w:tc>
        <w:tc>
          <w:tcPr>
            <w:tcW w:w="1357"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(109)</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(1 182)</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(332)</w:t>
            </w:r>
          </w:p>
        </w:tc>
        <w:tc>
          <w:tcPr>
            <w:tcW w:w="143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(4 019)</w:t>
            </w:r>
          </w:p>
        </w:tc>
      </w:tr>
      <w:tr>
        <w:trPr>
          <w:trHeight w:val="218"/>
        </w:trPr>
        <w:tc>
          <w:tcPr>
            <w:tcW w:w="407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 expenses</w:t>
            </w:r>
          </w:p>
        </w:tc>
        <w:tc>
          <w:tcPr>
            <w:tcW w:w="162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(63 903)</w:t>
            </w:r>
          </w:p>
        </w:tc>
        <w:tc>
          <w:tcPr>
            <w:tcW w:w="168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(58 620)</w:t>
            </w:r>
          </w:p>
        </w:tc>
        <w:tc>
          <w:tcPr>
            <w:tcW w:w="1292"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(4 287)</w:t>
            </w:r>
          </w:p>
        </w:tc>
        <w:tc>
          <w:tcPr>
            <w:tcW w:w="135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(9 510)</w:t>
            </w: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(5 861)</w:t>
            </w: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(1 717)</w:t>
            </w:r>
          </w:p>
        </w:tc>
        <w:tc>
          <w:tcPr>
            <w:tcW w:w="143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(143 897)</w:t>
            </w:r>
          </w:p>
        </w:tc>
      </w:tr>
      <w:tr>
        <w:trPr>
          <w:trHeight w:val="234"/>
        </w:trPr>
        <w:tc>
          <w:tcPr>
            <w:tcW w:w="4077"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bidi="en-GB"/>
              </w:rPr>
            </w:pPr>
            <w:r>
              <w:rPr>
                <w:rFonts w:eastAsia="Verdana" w:cs="Verdana"/>
                <w:lang w:bidi="en-GB"/>
              </w:rPr>
              <w:t>Economic result of the year</w:t>
            </w:r>
          </w:p>
        </w:tc>
        <w:tc>
          <w:tcPr>
            <w:tcW w:w="1620"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(60 831)</w:t>
            </w:r>
          </w:p>
        </w:tc>
        <w:tc>
          <w:tcPr>
            <w:tcW w:w="1685"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(57 808)</w:t>
            </w:r>
          </w:p>
        </w:tc>
        <w:tc>
          <w:tcPr>
            <w:tcW w:w="1292"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(4 180)</w:t>
            </w:r>
          </w:p>
        </w:tc>
        <w:tc>
          <w:tcPr>
            <w:tcW w:w="135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(9 225)</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(4 634)</w:t>
            </w:r>
          </w:p>
        </w:tc>
        <w:tc>
          <w:tcPr>
            <w:tcW w:w="1275"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151 049</w:t>
            </w:r>
          </w:p>
        </w:tc>
        <w:tc>
          <w:tcPr>
            <w:tcW w:w="1438"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14 372</w:t>
            </w:r>
          </w:p>
        </w:tc>
      </w:tr>
    </w:tbl>
    <w:p>
      <w:pPr>
        <w:pStyle w:val="Textstand-alone"/>
        <w:spacing w:before="120"/>
        <w:jc w:val="left"/>
        <w:sectPr>
          <w:headerReference w:type="even" r:id="rId251"/>
          <w:headerReference w:type="default" r:id="rId252"/>
          <w:footerReference w:type="even" r:id="rId253"/>
          <w:footerReference w:type="default" r:id="rId254"/>
          <w:headerReference w:type="first" r:id="rId255"/>
          <w:footerReference w:type="first" r:id="rId256"/>
          <w:pgSz w:w="16838" w:h="11906" w:orient="landscape"/>
          <w:pgMar w:top="1134" w:right="1134" w:bottom="1134" w:left="1134" w:header="708" w:footer="708" w:gutter="0"/>
          <w:cols w:space="708"/>
          <w:docGrid w:linePitch="360"/>
        </w:sectPr>
      </w:pPr>
      <w:r>
        <w:rPr>
          <w:i/>
          <w:sz w:val="14"/>
        </w:rPr>
        <w:t xml:space="preserve">* "Not assigned to MFF headings" includes off-budget operations and unallocated programmes with individually immaterial amounts. </w:t>
      </w:r>
      <w:bookmarkEnd w:id="148"/>
    </w:p>
    <w:p>
      <w:pPr>
        <w:pStyle w:val="HEADER1NOTES"/>
        <w:rPr>
          <w:noProof/>
        </w:rPr>
      </w:pPr>
      <w:bookmarkStart w:id="150" w:name="_Toc11403253"/>
      <w:bookmarkStart w:id="151" w:name="_DMBM_13947"/>
      <w:r>
        <w:rPr>
          <w:noProof/>
        </w:rPr>
        <w:t>CONTINGENT LIABILITIES AND ASSETS</w:t>
      </w:r>
      <w:bookmarkEnd w:id="150"/>
    </w:p>
    <w:p>
      <w:pPr>
        <w:pStyle w:val="DGTextstand-alone"/>
        <w:spacing w:before="0" w:after="0"/>
        <w:sectPr>
          <w:headerReference w:type="even" r:id="rId257"/>
          <w:headerReference w:type="default" r:id="rId258"/>
          <w:footerReference w:type="even" r:id="rId259"/>
          <w:footerReference w:type="default" r:id="rId260"/>
          <w:headerReference w:type="first" r:id="rId261"/>
          <w:footerReference w:type="first" r:id="rId262"/>
          <w:pgSz w:w="11906" w:h="16838"/>
          <w:pgMar w:top="1134" w:right="1134" w:bottom="1134" w:left="1134" w:header="709" w:footer="709" w:gutter="0"/>
          <w:cols w:space="708"/>
          <w:docGrid w:linePitch="360"/>
        </w:sectPr>
      </w:pPr>
      <w:r>
        <w:t xml:space="preserve"> </w:t>
      </w:r>
      <w:bookmarkEnd w:id="151"/>
    </w:p>
    <w:p>
      <w:pPr>
        <w:pStyle w:val="HEADER2NOTES"/>
        <w:rPr>
          <w:noProof/>
        </w:rPr>
      </w:pPr>
      <w:bookmarkStart w:id="152" w:name="_DMBM_13952"/>
      <w:r>
        <w:rPr>
          <w:noProof/>
        </w:rPr>
        <w:t>CONTINGENT LIABILITIES</w:t>
      </w:r>
    </w:p>
    <w:p>
      <w:pPr>
        <w:pStyle w:val="HEADER3NOTES"/>
        <w:rPr>
          <w:noProof/>
        </w:rPr>
      </w:pPr>
      <w:r>
        <w:rPr>
          <w:noProof/>
        </w:rPr>
        <w:t>Budgetary guarantees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trPr>
          <w:cantSplit/>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53" w:name="DOC_TBL00074_1_1"/>
            <w:bookmarkEnd w:id="153"/>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cantSplit/>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31.12.2018</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31.12.2017</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p>
        </w:tc>
      </w:tr>
      <w:tr>
        <w:trPr>
          <w:cantSplit/>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Ceiling</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Signed</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Disbursed</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Ceiling</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Signed</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Disbursed</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EIB external lending mandate guarantees</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40 417</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30 889</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20 510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37 479</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28 950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19 972</w:t>
            </w:r>
          </w:p>
        </w:tc>
      </w:tr>
      <w:tr>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EFSI guarantee</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25 898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19 842</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15 764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16 000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13 473</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10 128</w:t>
            </w:r>
          </w:p>
        </w:tc>
      </w:tr>
      <w:tr>
        <w:trPr>
          <w:cantSplit/>
          <w:trHeight w:val="247"/>
        </w:trPr>
        <w:tc>
          <w:tcPr>
            <w:tcW w:w="1809"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66 315</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50 731</w:t>
            </w:r>
          </w:p>
        </w:tc>
        <w:tc>
          <w:tcPr>
            <w:tcW w:w="1417" w:type="dxa"/>
            <w:tcBorders>
              <w:top w:val="nil"/>
              <w:left w:val="nil"/>
              <w:bottom w:val="nil"/>
              <w:right w:val="single" w:sz="4" w:space="0" w:color="016794"/>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36 273</w:t>
            </w:r>
          </w:p>
        </w:tc>
        <w:tc>
          <w:tcPr>
            <w:tcW w:w="1276" w:type="dxa"/>
            <w:tcBorders>
              <w:top w:val="nil"/>
              <w:left w:val="single" w:sz="4" w:space="0" w:color="016794"/>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53 479</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42 423</w:t>
            </w:r>
          </w:p>
        </w:tc>
        <w:tc>
          <w:tcPr>
            <w:tcW w:w="141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30 100</w:t>
            </w:r>
          </w:p>
        </w:tc>
      </w:tr>
    </w:tbl>
    <w:p>
      <w:pPr>
        <w:pStyle w:val="HEADER3NOTES"/>
        <w:rPr>
          <w:noProof/>
        </w:rPr>
      </w:pPr>
      <w:r>
        <w:rPr>
          <w:noProof/>
        </w:rPr>
        <w:t>Guarantees relating to financial assistance (borrowing and lending activities)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54" w:name="DOC_TBL00075_1_1"/>
            <w:bookmarkEnd w:id="154"/>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3969" w:type="dxa"/>
            <w:gridSpan w:val="3"/>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31.12.2018</w:t>
            </w:r>
          </w:p>
        </w:tc>
        <w:tc>
          <w:tcPr>
            <w:tcW w:w="3969" w:type="dxa"/>
            <w:gridSpan w:val="3"/>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31.12.2017</w:t>
            </w:r>
          </w:p>
        </w:tc>
      </w:tr>
      <w:tr>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  Drawn</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  Undrawn</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  Drawn</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  Undrawn</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Total</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EFSM</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47 400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47 400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47 456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47 456</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BOP</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1 734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1 734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3 114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3 114</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MFA</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4 388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980</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5 368</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3 924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460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4 384</w:t>
            </w:r>
          </w:p>
        </w:tc>
      </w:tr>
      <w:tr>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Euratom</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254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200</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454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250</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250</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500</w:t>
            </w:r>
          </w:p>
        </w:tc>
      </w:tr>
      <w:tr>
        <w:trPr>
          <w:trHeight w:val="247"/>
        </w:trPr>
        <w:tc>
          <w:tcPr>
            <w:tcW w:w="1809" w:type="dxa"/>
            <w:tcBorders>
              <w:top w:val="nil"/>
              <w:left w:val="nil"/>
              <w:bottom w:val="nil"/>
              <w:right w:val="nil"/>
            </w:tcBorders>
            <w:shd w:val="clear" w:color="auto" w:fill="CCE1EA"/>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53 775</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1 180</w:t>
            </w:r>
          </w:p>
        </w:tc>
        <w:tc>
          <w:tcPr>
            <w:tcW w:w="1417" w:type="dxa"/>
            <w:tcBorders>
              <w:top w:val="nil"/>
              <w:left w:val="nil"/>
              <w:bottom w:val="nil"/>
              <w:right w:val="single" w:sz="4" w:space="0" w:color="016794"/>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54 955</w:t>
            </w:r>
          </w:p>
        </w:tc>
        <w:tc>
          <w:tcPr>
            <w:tcW w:w="1276" w:type="dxa"/>
            <w:tcBorders>
              <w:top w:val="nil"/>
              <w:left w:val="single" w:sz="4" w:space="0" w:color="016794"/>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54 744</w:t>
            </w:r>
          </w:p>
        </w:tc>
        <w:tc>
          <w:tcPr>
            <w:tcW w:w="1276"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710</w:t>
            </w:r>
          </w:p>
        </w:tc>
        <w:tc>
          <w:tcPr>
            <w:tcW w:w="1417" w:type="dxa"/>
            <w:tcBorders>
              <w:top w:val="nil"/>
              <w:left w:val="nil"/>
              <w:bottom w:val="nil"/>
              <w:right w:val="nil"/>
            </w:tcBorders>
            <w:shd w:val="clear" w:color="auto" w:fill="CCE1EA"/>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55 454</w:t>
            </w:r>
          </w:p>
        </w:tc>
      </w:tr>
    </w:tbl>
    <w:p>
      <w:pPr>
        <w:pStyle w:val="HEADER3NOTES"/>
        <w:rPr>
          <w:noProof/>
        </w:rPr>
      </w:pPr>
      <w:r>
        <w:rPr>
          <w:noProof/>
        </w:rPr>
        <w:t>Guarantees given for EU financial instruments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155" w:name="DOC_TBL00076_1_1"/>
            <w:bookmarkEnd w:id="155"/>
          </w:p>
        </w:tc>
        <w:tc>
          <w:tcPr>
            <w:tcW w:w="2126" w:type="dxa"/>
            <w:tcBorders>
              <w:top w:val="nil"/>
              <w:left w:val="nil"/>
              <w:bottom w:val="nil"/>
              <w:right w:val="nil"/>
            </w:tcBorders>
            <w:tcMar>
              <w:top w:w="0" w:type="dxa"/>
              <w:left w:w="108" w:type="dxa"/>
              <w:bottom w:w="0" w:type="dxa"/>
              <w:right w:w="108" w:type="dxa"/>
            </w:tcMar>
          </w:tcPr>
          <w:p>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Times New Roman"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31.12.2017</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Horizon 2020</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1 467</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1 297</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Risk Sharing Finance Facility</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642</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654</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Connecting Europe Facility</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579</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490</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Other</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29</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32</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2 717</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2 473</w:t>
            </w:r>
          </w:p>
        </w:tc>
      </w:tr>
    </w:tbl>
    <w:p>
      <w:pPr>
        <w:pStyle w:val="Textstand-alone"/>
        <w:tabs>
          <w:tab w:val="left" w:pos="284"/>
        </w:tabs>
        <w:spacing w:before="120"/>
        <w:ind w:left="284" w:hanging="284"/>
        <w:rPr>
          <w:i/>
          <w:sz w:val="14"/>
          <w:lang w:bidi="en-GB"/>
        </w:rPr>
      </w:pPr>
    </w:p>
    <w:p>
      <w:pPr>
        <w:pStyle w:val="HEADER3NOTES"/>
        <w:rPr>
          <w:noProof/>
        </w:rPr>
      </w:pPr>
      <w:r>
        <w:rPr>
          <w:noProof/>
        </w:rPr>
        <w:t>Legal cases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56" w:name="DOC_TBL00077_1_1"/>
            <w:bookmarkEnd w:id="156"/>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Fines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3 187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3 242</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Agriculture</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653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1 737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Cohesion</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1 823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438</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5 688</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5 420</w:t>
            </w:r>
          </w:p>
        </w:tc>
      </w:tr>
    </w:tbl>
    <w:p>
      <w:pPr>
        <w:pStyle w:val="Textstand-alone"/>
        <w:spacing w:before="0"/>
        <w:rPr>
          <w:lang w:bidi="en-GB"/>
        </w:rPr>
        <w:sectPr>
          <w:headerReference w:type="even" r:id="rId263"/>
          <w:headerReference w:type="default" r:id="rId264"/>
          <w:footerReference w:type="even" r:id="rId265"/>
          <w:footerReference w:type="default" r:id="rId266"/>
          <w:headerReference w:type="first" r:id="rId267"/>
          <w:footerReference w:type="first" r:id="rId268"/>
          <w:type w:val="continuous"/>
          <w:pgSz w:w="11906" w:h="16838"/>
          <w:pgMar w:top="1134" w:right="1134" w:bottom="1134" w:left="1134" w:header="709" w:footer="709" w:gutter="0"/>
          <w:cols w:space="708"/>
          <w:docGrid w:linePitch="360"/>
        </w:sectPr>
      </w:pPr>
      <w:r>
        <w:rPr>
          <w:lang w:bidi="en-GB"/>
        </w:rPr>
        <w:t xml:space="preserve"> </w:t>
      </w:r>
      <w:bookmarkEnd w:id="152"/>
    </w:p>
    <w:p>
      <w:pPr>
        <w:rPr>
          <w:rFonts w:ascii="Verdana" w:hAnsi="Verdana"/>
          <w:b/>
          <w:noProof/>
          <w:color w:val="016794"/>
          <w:sz w:val="28"/>
          <w:szCs w:val="28"/>
        </w:rPr>
      </w:pPr>
      <w:bookmarkStart w:id="157" w:name="_DMBM_13941"/>
      <w:r>
        <w:rPr>
          <w:noProof/>
        </w:rPr>
        <w:br w:type="page"/>
      </w:r>
    </w:p>
    <w:p>
      <w:pPr>
        <w:pStyle w:val="HEADER2NOTES"/>
        <w:spacing w:after="0"/>
        <w:rPr>
          <w:noProof/>
        </w:rPr>
      </w:pPr>
      <w:r>
        <w:rPr>
          <w:noProof/>
        </w:rPr>
        <w:t>CONTINGENT ASSETS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val="fr-BE" w:bidi="en-GB"/>
              </w:rPr>
            </w:pPr>
            <w:bookmarkStart w:id="158" w:name="DOC_TBL00078_1_1"/>
            <w:bookmarkEnd w:id="158"/>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val="fr-BE" w:bidi="en-GB"/>
              </w:rPr>
            </w:pPr>
            <w:r>
              <w:rPr>
                <w:rFonts w:eastAsia="Verdana" w:cs="Verdana"/>
                <w:lang w:val="fr-BE"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val="fr-BE" w:bidi="en-GB"/>
              </w:rPr>
            </w:pPr>
            <w:r>
              <w:rPr>
                <w:rFonts w:eastAsia="Verdana" w:cs="Verdana"/>
                <w:lang w:val="fr-BE"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Guarantees received: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 xml:space="preserve">   Performance guarantees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79</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89</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 xml:space="preserve">   Other guarantees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7</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5</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val="fr-BE" w:bidi="en-GB"/>
              </w:rPr>
            </w:pPr>
            <w:r>
              <w:rPr>
                <w:rFonts w:eastAsia="Verdana" w:cs="Verdana"/>
                <w:lang w:val="fr-BE" w:bidi="en-GB"/>
              </w:rPr>
              <w:t>Other contingent assets</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 xml:space="preserve"> 25</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val="fr-BE" w:bidi="en-GB"/>
              </w:rPr>
            </w:pPr>
            <w:r>
              <w:rPr>
                <w:rFonts w:eastAsia="Verdana" w:cs="Verdana"/>
                <w:lang w:val="fr-BE" w:bidi="en-GB"/>
              </w:rPr>
              <w:t>32</w:t>
            </w:r>
          </w:p>
        </w:tc>
      </w:tr>
      <w:t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111</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val="fr-BE" w:bidi="en-GB"/>
              </w:rPr>
            </w:pPr>
            <w:r>
              <w:rPr>
                <w:rFonts w:eastAsia="Verdana" w:cs="Verdana"/>
                <w:lang w:val="fr-BE" w:bidi="en-GB"/>
              </w:rPr>
              <w:t>125</w:t>
            </w:r>
          </w:p>
        </w:tc>
      </w:tr>
    </w:tbl>
    <w:p>
      <w:pPr>
        <w:pStyle w:val="Textstand-alone"/>
        <w:rPr>
          <w:lang w:val="fr-BE" w:bidi="en-GB"/>
        </w:rPr>
        <w:sectPr>
          <w:headerReference w:type="even" r:id="rId269"/>
          <w:headerReference w:type="default" r:id="rId270"/>
          <w:footerReference w:type="even" r:id="rId271"/>
          <w:footerReference w:type="default" r:id="rId272"/>
          <w:headerReference w:type="first" r:id="rId273"/>
          <w:footerReference w:type="first" r:id="rId274"/>
          <w:type w:val="continuous"/>
          <w:pgSz w:w="11906" w:h="16838"/>
          <w:pgMar w:top="1134" w:right="1134" w:bottom="1134" w:left="1134" w:header="709" w:footer="709" w:gutter="0"/>
          <w:cols w:space="708"/>
          <w:docGrid w:linePitch="360"/>
        </w:sectPr>
      </w:pPr>
      <w:r>
        <w:rPr>
          <w:lang w:val="fr-BE" w:bidi="en-GB"/>
        </w:rPr>
        <w:t xml:space="preserve"> </w:t>
      </w:r>
      <w:bookmarkEnd w:id="157"/>
    </w:p>
    <w:p>
      <w:pPr>
        <w:pStyle w:val="HEADER1NOTES"/>
        <w:rPr>
          <w:noProof/>
          <w:lang w:val="fr-BE"/>
        </w:rPr>
      </w:pPr>
      <w:bookmarkStart w:id="159" w:name="_Toc11403254"/>
      <w:bookmarkStart w:id="160" w:name="_DMBM_14002"/>
      <w:r>
        <w:rPr>
          <w:noProof/>
          <w:lang w:val="fr-BE"/>
        </w:rPr>
        <w:t>BUDGETARY AND LEGAL COMMITMENTS</w:t>
      </w:r>
      <w:bookmarkEnd w:id="159"/>
    </w:p>
    <w:p>
      <w:pPr>
        <w:rPr>
          <w:noProof/>
          <w:lang w:val="fr-BE"/>
        </w:rPr>
      </w:pPr>
      <w:r>
        <w:rPr>
          <w:noProof/>
          <w:lang w:val="fr-B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61" w:name="DOC_TBL00079_1_1"/>
            <w:bookmarkEnd w:id="161"/>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Outstanding budgetary commitments not yet expensed</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5.1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234 621</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220 479</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Shared management legal commitments under the current MFF pending implementation</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5.2</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143 883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211 688</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Significant legal commitments in other areas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5.3</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14 592</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16 267</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393 097</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448 434</w:t>
            </w:r>
          </w:p>
        </w:tc>
      </w:tr>
    </w:tbl>
    <w:p>
      <w:pPr>
        <w:rPr>
          <w:noProof/>
          <w:lang w:bidi="en-GB"/>
        </w:rPr>
      </w:pPr>
      <w:r>
        <w:rPr>
          <w:noProof/>
          <w:lang w:bidi="en-GB"/>
        </w:rPr>
        <w:t xml:space="preserve"> </w:t>
      </w:r>
    </w:p>
    <w:p>
      <w:pPr>
        <w:pStyle w:val="HEADER2NOTES"/>
        <w:rPr>
          <w:noProof/>
        </w:rPr>
      </w:pPr>
      <w:r>
        <w:rPr>
          <w:noProof/>
        </w:rPr>
        <w:t>OUTSTANDING BUDGETARY COMMITMENTS NOT YET EXPENSED</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62" w:name="DOC_TBL00080_1_1"/>
            <w:bookmarkEnd w:id="162"/>
          </w:p>
        </w:tc>
        <w:tc>
          <w:tcPr>
            <w:tcW w:w="2126" w:type="dxa"/>
            <w:tcBorders>
              <w:top w:val="nil"/>
              <w:left w:val="nil"/>
              <w:bottom w:val="nil"/>
              <w:right w:val="nil"/>
            </w:tcBorders>
            <w:shd w:val="clear" w:color="auto" w:fill="auto"/>
            <w:tcMar>
              <w:top w:w="0" w:type="dxa"/>
              <w:left w:w="108" w:type="dxa"/>
              <w:bottom w:w="0" w:type="dxa"/>
              <w:right w:w="108" w:type="dxa"/>
            </w:tcMar>
          </w:tcPr>
          <w:p>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c>
          <w:tcPr>
            <w:tcW w:w="563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Outstanding budgetary commitments not yet expensed</w:t>
            </w:r>
          </w:p>
        </w:tc>
        <w:tc>
          <w:tcPr>
            <w:tcW w:w="2126"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234 621</w:t>
            </w:r>
          </w:p>
        </w:tc>
        <w:tc>
          <w:tcPr>
            <w:tcW w:w="1985"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220 479</w:t>
            </w:r>
          </w:p>
        </w:tc>
      </w:tr>
    </w:tbl>
    <w:p>
      <w:pPr>
        <w:rPr>
          <w:noProof/>
          <w:lang w:bidi="en-GB"/>
        </w:rPr>
      </w:pPr>
      <w:r>
        <w:rPr>
          <w:noProof/>
          <w:lang w:bidi="en-GB"/>
        </w:rPr>
        <w:t xml:space="preserve"> </w:t>
      </w:r>
    </w:p>
    <w:p>
      <w:pPr>
        <w:pStyle w:val="HEADER2NOTES"/>
        <w:rPr>
          <w:noProof/>
        </w:rPr>
      </w:pPr>
      <w:r>
        <w:rPr>
          <w:noProof/>
        </w:rPr>
        <w:t xml:space="preserve">SHARED MANAGEMENT LEGAL COMMITMENTS UNDER THE CURRENT MFF PENDING IMPLEMENTATION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163" w:name="DOC_TBL00081_1_1"/>
            <w:bookmarkEnd w:id="163"/>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r>
              <w:rPr>
                <w:rFonts w:eastAsia="Verdana" w:cs="Verdana"/>
                <w:lang w:bidi="en-GB"/>
              </w:rPr>
              <w:t>Funds</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Financial framework 2014-2020 (A)</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Legal commitments concluded (B)</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Budget commitments    (C )</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Legal commitments less budget commitments (B-C)</w:t>
            </w:r>
          </w:p>
        </w:tc>
      </w:tr>
      <w:t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Regional Development Fund and Cohesion Fund</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262 408</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262 408</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179 831</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82 578</w:t>
            </w:r>
          </w:p>
        </w:tc>
      </w:tr>
      <w:t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Social Fund</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92 935</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92 819</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65 230</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27 588</w:t>
            </w:r>
          </w:p>
        </w:tc>
      </w:tr>
      <w:t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Neighbourhood Policy Instrument</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Fund for European Aid to the most Deprived</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3 814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3 814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2 670</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1 144</w:t>
            </w:r>
          </w:p>
        </w:tc>
      </w:tr>
      <w:tr>
        <w:tc>
          <w:tcPr>
            <w:tcW w:w="322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HEADING 1B: COHESION POLICY FUNDS</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359 157</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359 041</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247 731</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111 310</w:t>
            </w:r>
          </w:p>
        </w:tc>
      </w:tr>
      <w:tr>
        <w:tc>
          <w:tcPr>
            <w:tcW w:w="322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European Agricultural Fund for Rural Development </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100 079</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100 079</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70 748</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29 331</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European Maritime and Fisheries Fund</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5 749</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5 749</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4 048</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1 702</w:t>
            </w:r>
          </w:p>
        </w:tc>
      </w:tr>
      <w:tr>
        <w:tc>
          <w:tcPr>
            <w:tcW w:w="322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HEADING 2: NATURAL RESOURCES</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105 828</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105 828</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74 795</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31 033</w:t>
            </w:r>
          </w:p>
        </w:tc>
      </w:tr>
      <w:tr>
        <w:tc>
          <w:tcPr>
            <w:tcW w:w="322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Asylum and Migration Fund</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5 028</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4 393</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3 577</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816</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Internal Security Fund</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3 016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2 883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2 159</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724</w:t>
            </w:r>
          </w:p>
        </w:tc>
      </w:tr>
      <w:tr>
        <w:tc>
          <w:tcPr>
            <w:tcW w:w="322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HEADING 3: SECURITY &amp; CITIZENSHIP</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8 044</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7 276</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5 736</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1 540</w:t>
            </w:r>
          </w:p>
        </w:tc>
      </w:tr>
      <w:tr>
        <w:tc>
          <w:tcPr>
            <w:tcW w:w="3227"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p>
        </w:tc>
      </w:tr>
      <w:tr>
        <w:tc>
          <w:tcPr>
            <w:tcW w:w="3227" w:type="dxa"/>
            <w:tcBorders>
              <w:top w:val="nil"/>
              <w:left w:val="nil"/>
              <w:bottom w:val="single" w:sz="4" w:space="0" w:color="016794"/>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1630" w:type="dxa"/>
            <w:tcBorders>
              <w:top w:val="nil"/>
              <w:left w:val="nil"/>
              <w:bottom w:val="single" w:sz="4" w:space="0" w:color="016794"/>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473 030</w:t>
            </w:r>
          </w:p>
        </w:tc>
        <w:tc>
          <w:tcPr>
            <w:tcW w:w="1630" w:type="dxa"/>
            <w:tcBorders>
              <w:top w:val="nil"/>
              <w:left w:val="nil"/>
              <w:bottom w:val="single" w:sz="4" w:space="0" w:color="016794"/>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472 145</w:t>
            </w:r>
          </w:p>
        </w:tc>
        <w:tc>
          <w:tcPr>
            <w:tcW w:w="1630" w:type="dxa"/>
            <w:tcBorders>
              <w:top w:val="nil"/>
              <w:left w:val="nil"/>
              <w:bottom w:val="single" w:sz="4" w:space="0" w:color="016794"/>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328 262</w:t>
            </w:r>
          </w:p>
        </w:tc>
        <w:tc>
          <w:tcPr>
            <w:tcW w:w="1630" w:type="dxa"/>
            <w:tcBorders>
              <w:top w:val="nil"/>
              <w:left w:val="nil"/>
              <w:bottom w:val="single" w:sz="4" w:space="0" w:color="016794"/>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143 883</w:t>
            </w:r>
          </w:p>
        </w:tc>
      </w:tr>
    </w:tbl>
    <w:p>
      <w:pPr>
        <w:pStyle w:val="DGTextstand-alone"/>
        <w:rPr>
          <w:lang w:bidi="en-GB"/>
        </w:rPr>
        <w:sectPr>
          <w:headerReference w:type="even" r:id="rId275"/>
          <w:headerReference w:type="default" r:id="rId276"/>
          <w:footerReference w:type="even" r:id="rId277"/>
          <w:footerReference w:type="default" r:id="rId278"/>
          <w:headerReference w:type="first" r:id="rId279"/>
          <w:footerReference w:type="first" r:id="rId280"/>
          <w:pgSz w:w="11906" w:h="16838"/>
          <w:pgMar w:top="1134" w:right="1134" w:bottom="1134" w:left="1134" w:header="709" w:footer="709" w:gutter="0"/>
          <w:cols w:space="708"/>
          <w:docGrid w:linePitch="360"/>
        </w:sectPr>
      </w:pPr>
    </w:p>
    <w:p>
      <w:pPr>
        <w:pStyle w:val="HEADER2NOTES"/>
        <w:rPr>
          <w:noProof/>
        </w:rPr>
      </w:pPr>
      <w:r>
        <w:rPr>
          <w:noProof/>
        </w:rPr>
        <w:t>SIGNIFICANT LEGAL COMMITMENTS IN OTHER AREAS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64" w:name="DOC_TBL00082_1_1"/>
            <w:bookmarkEnd w:id="164"/>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31.12.2018</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Verdana" w:cs="Verdana"/>
                <w:lang w:bidi="en-GB"/>
              </w:rPr>
            </w:pPr>
            <w:r>
              <w:rPr>
                <w:rFonts w:eastAsia="Verdana" w:cs="Verdana"/>
                <w:lang w:bidi="en-GB"/>
              </w:rPr>
              <w:t>31.12.2017</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Connecting Europe Facility</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11 554</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12 676</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Copernicus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1 267</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1 841</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 xml:space="preserve">Galileo </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493</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253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Fisheries agreements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133</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Operating lease commitments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r>
              <w:rPr>
                <w:rFonts w:eastAsia="Verdana" w:cs="Verdana"/>
                <w:lang w:bidi="en-GB"/>
              </w:rPr>
              <w:t>5.3.1</w:t>
            </w: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796</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868</w:t>
            </w:r>
          </w:p>
        </w:tc>
      </w:tr>
      <w:tr>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contractual commitments</w:t>
            </w:r>
          </w:p>
        </w:tc>
        <w:tc>
          <w:tcPr>
            <w:tcW w:w="851" w:type="dxa"/>
            <w:tcBorders>
              <w:top w:val="nil"/>
              <w:left w:val="nil"/>
              <w:bottom w:val="nil"/>
              <w:right w:val="nil"/>
            </w:tcBorders>
            <w:shd w:val="clear" w:color="auto" w:fill="auto"/>
            <w:tcMar>
              <w:top w:w="0" w:type="dxa"/>
              <w:left w:w="108" w:type="dxa"/>
              <w:bottom w:w="0" w:type="dxa"/>
              <w:right w:w="108" w:type="dxa"/>
            </w:tcMar>
          </w:tcPr>
          <w:p>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435</w:t>
            </w:r>
          </w:p>
        </w:tc>
        <w:tc>
          <w:tcPr>
            <w:tcW w:w="184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497</w:t>
            </w:r>
          </w:p>
        </w:tc>
      </w:tr>
      <w:tr>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14 592</w:t>
            </w:r>
          </w:p>
        </w:tc>
        <w:tc>
          <w:tcPr>
            <w:tcW w:w="1843"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16 267</w:t>
            </w:r>
          </w:p>
        </w:tc>
      </w:tr>
    </w:tbl>
    <w:p>
      <w:pPr>
        <w:rPr>
          <w:noProof/>
          <w:sz w:val="16"/>
        </w:rPr>
      </w:pPr>
      <w:r>
        <w:rPr>
          <w:noProof/>
          <w:lang w:bidi="en-GB"/>
        </w:rPr>
        <w:t xml:space="preserve"> </w:t>
      </w:r>
    </w:p>
    <w:p>
      <w:pPr>
        <w:pStyle w:val="HEADER3NOTES"/>
        <w:rPr>
          <w:noProof/>
        </w:rPr>
      </w:pPr>
      <w:r>
        <w:rPr>
          <w:noProof/>
        </w:rPr>
        <w:t>Operating lease commitments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59"/>
        <w:gridCol w:w="1559"/>
        <w:gridCol w:w="1560"/>
        <w:gridCol w:w="1559"/>
      </w:tblGrid>
      <w:tr>
        <w:tc>
          <w:tcPr>
            <w:tcW w:w="3510"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65" w:name="DOC_TBL00083_1_1"/>
            <w:bookmarkEnd w:id="165"/>
          </w:p>
        </w:tc>
        <w:tc>
          <w:tcPr>
            <w:tcW w:w="4678" w:type="dxa"/>
            <w:gridSpan w:val="3"/>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3510"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p>
        </w:tc>
        <w:tc>
          <w:tcPr>
            <w:tcW w:w="4678" w:type="dxa"/>
            <w:gridSpan w:val="3"/>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Future amounts to be paid</w:t>
            </w:r>
          </w:p>
        </w:tc>
        <w:tc>
          <w:tcPr>
            <w:tcW w:w="1559" w:type="dxa"/>
            <w:tcBorders>
              <w:top w:val="nil"/>
              <w:left w:val="nil"/>
              <w:bottom w:val="nil"/>
              <w:right w:val="nil"/>
            </w:tcBorders>
            <w:shd w:val="clear" w:color="auto" w:fill="016794"/>
            <w:tcMar>
              <w:top w:w="0" w:type="dxa"/>
              <w:left w:w="108" w:type="dxa"/>
              <w:bottom w:w="0" w:type="dxa"/>
              <w:right w:w="108" w:type="dxa"/>
            </w:tcMar>
          </w:tcPr>
          <w:p>
            <w:pPr>
              <w:spacing w:after="200" w:line="276" w:lineRule="auto"/>
              <w:jc w:val="right"/>
              <w:rPr>
                <w:noProof/>
                <w:lang w:bidi="en-GB"/>
              </w:rPr>
            </w:pPr>
          </w:p>
        </w:tc>
      </w:tr>
      <w:tr>
        <w:tc>
          <w:tcPr>
            <w:tcW w:w="3510"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1559" w:type="dxa"/>
            <w:tcBorders>
              <w:top w:val="nil"/>
              <w:left w:val="nil"/>
              <w:bottom w:val="nil"/>
              <w:right w:val="nil"/>
            </w:tcBorders>
            <w:shd w:val="clear" w:color="auto" w:fill="3486A9"/>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&lt; 1 year</w:t>
            </w:r>
          </w:p>
        </w:tc>
        <w:tc>
          <w:tcPr>
            <w:tcW w:w="1559" w:type="dxa"/>
            <w:tcBorders>
              <w:top w:val="nil"/>
              <w:left w:val="nil"/>
              <w:bottom w:val="nil"/>
              <w:right w:val="nil"/>
            </w:tcBorders>
            <w:shd w:val="clear" w:color="auto" w:fill="3486A9"/>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1- 5 years</w:t>
            </w:r>
          </w:p>
        </w:tc>
        <w:tc>
          <w:tcPr>
            <w:tcW w:w="1560" w:type="dxa"/>
            <w:tcBorders>
              <w:top w:val="nil"/>
              <w:left w:val="nil"/>
              <w:bottom w:val="nil"/>
              <w:right w:val="nil"/>
            </w:tcBorders>
            <w:shd w:val="clear" w:color="auto" w:fill="3486A9"/>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&gt; 5 years</w:t>
            </w:r>
          </w:p>
        </w:tc>
        <w:tc>
          <w:tcPr>
            <w:tcW w:w="1559" w:type="dxa"/>
            <w:tcBorders>
              <w:top w:val="nil"/>
              <w:left w:val="nil"/>
              <w:bottom w:val="nil"/>
              <w:right w:val="nil"/>
            </w:tcBorders>
            <w:shd w:val="clear" w:color="auto" w:fill="3486A9"/>
            <w:tcMar>
              <w:top w:w="0" w:type="dxa"/>
              <w:left w:w="108" w:type="dxa"/>
              <w:bottom w:w="0" w:type="dxa"/>
              <w:right w:w="108" w:type="dxa"/>
            </w:tcMar>
          </w:tcPr>
          <w:p>
            <w:pPr>
              <w:pStyle w:val="Heading9pNormalRight025"/>
              <w:rPr>
                <w:rFonts w:eastAsia="Verdana" w:cs="Verdana"/>
                <w:noProof/>
                <w:lang w:bidi="en-GB"/>
              </w:rPr>
            </w:pPr>
            <w:r>
              <w:rPr>
                <w:rFonts w:eastAsia="Verdana" w:cs="Verdana"/>
                <w:noProof/>
                <w:lang w:bidi="en-GB"/>
              </w:rPr>
              <w:t>Total</w:t>
            </w:r>
          </w:p>
        </w:tc>
      </w:tr>
      <w:tr>
        <w:tc>
          <w:tcPr>
            <w:tcW w:w="3510"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Buildings</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139</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351</w:t>
            </w:r>
          </w:p>
        </w:tc>
        <w:tc>
          <w:tcPr>
            <w:tcW w:w="156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298</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787</w:t>
            </w:r>
          </w:p>
        </w:tc>
      </w:tr>
      <w:tr>
        <w:tc>
          <w:tcPr>
            <w:tcW w:w="3510"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IT materials and other equipment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c>
          <w:tcPr>
            <w:tcW w:w="1560"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9</w:t>
            </w:r>
          </w:p>
        </w:tc>
      </w:tr>
      <w:tr>
        <w:tc>
          <w:tcPr>
            <w:tcW w:w="35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142</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357</w:t>
            </w:r>
          </w:p>
        </w:tc>
        <w:tc>
          <w:tcPr>
            <w:tcW w:w="156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298</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796</w:t>
            </w:r>
          </w:p>
        </w:tc>
      </w:tr>
    </w:tbl>
    <w:p>
      <w:pPr>
        <w:rPr>
          <w:noProof/>
          <w:lang w:bidi="en-GB"/>
        </w:rPr>
        <w:sectPr>
          <w:headerReference w:type="even" r:id="rId281"/>
          <w:headerReference w:type="default" r:id="rId282"/>
          <w:footerReference w:type="even" r:id="rId283"/>
          <w:footerReference w:type="default" r:id="rId284"/>
          <w:headerReference w:type="first" r:id="rId285"/>
          <w:footerReference w:type="first" r:id="rId286"/>
          <w:pgSz w:w="11906" w:h="16838"/>
          <w:pgMar w:top="1134" w:right="1134" w:bottom="1134" w:left="1134" w:header="708" w:footer="708" w:gutter="0"/>
          <w:cols w:space="708"/>
          <w:docGrid w:linePitch="360"/>
        </w:sectPr>
      </w:pPr>
      <w:r>
        <w:rPr>
          <w:noProof/>
          <w:lang w:bidi="en-GB"/>
        </w:rPr>
        <w:t xml:space="preserve"> </w:t>
      </w:r>
      <w:bookmarkEnd w:id="160"/>
    </w:p>
    <w:p>
      <w:pPr>
        <w:pStyle w:val="HEADER1NOTES"/>
        <w:rPr>
          <w:noProof/>
        </w:rPr>
      </w:pPr>
      <w:bookmarkStart w:id="166" w:name="_Toc11403255"/>
      <w:bookmarkStart w:id="167" w:name="_DMBM_13995"/>
      <w:r>
        <w:rPr>
          <w:noProof/>
        </w:rPr>
        <w:t>FINANCIAL INSTRUMENTS DISCLOSURES</w:t>
      </w:r>
      <w:bookmarkEnd w:id="166"/>
    </w:p>
    <w:p>
      <w:pPr>
        <w:pStyle w:val="HEADER2NOTES"/>
        <w:rPr>
          <w:noProof/>
        </w:rPr>
      </w:pPr>
      <w:bookmarkStart w:id="168" w:name="_DMBM_13968"/>
      <w:bookmarkEnd w:id="167"/>
      <w:r>
        <w:rPr>
          <w:noProof/>
        </w:rPr>
        <w:t>CURRENCY RISKS</w:t>
      </w:r>
    </w:p>
    <w:p>
      <w:pPr>
        <w:pStyle w:val="HEADER5"/>
        <w:rPr>
          <w:noProof/>
        </w:rPr>
      </w:pPr>
      <w:r>
        <w:rPr>
          <w:noProof/>
        </w:rPr>
        <w:t>Exposure of the EC to currency risk at year end – net position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993"/>
        <w:gridCol w:w="992"/>
        <w:gridCol w:w="709"/>
        <w:gridCol w:w="850"/>
        <w:gridCol w:w="1134"/>
        <w:gridCol w:w="851"/>
        <w:gridCol w:w="1275"/>
      </w:tblGrid>
      <w:tr>
        <w:trPr>
          <w:trHeight w:val="274"/>
        </w:trPr>
        <w:tc>
          <w:tcPr>
            <w:tcW w:w="2943"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rPr>
            </w:pPr>
            <w:bookmarkStart w:id="169" w:name="DOC_TBL00084_1_1"/>
            <w:bookmarkEnd w:id="169"/>
          </w:p>
        </w:tc>
        <w:tc>
          <w:tcPr>
            <w:tcW w:w="993"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992"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709"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850"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1134"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851"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1275"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rPr>
            </w:pPr>
            <w:r>
              <w:rPr>
                <w:rFonts w:eastAsia="Times New Roman" w:cs="Verdana"/>
              </w:rPr>
              <w:t>EUR million</w:t>
            </w:r>
          </w:p>
        </w:tc>
      </w:tr>
      <w:tr>
        <w:tc>
          <w:tcPr>
            <w:tcW w:w="2943"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p>
        </w:tc>
        <w:tc>
          <w:tcPr>
            <w:tcW w:w="6804" w:type="dxa"/>
            <w:gridSpan w:val="7"/>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31.12.2018</w:t>
            </w:r>
          </w:p>
        </w:tc>
      </w:tr>
      <w:tr>
        <w:tc>
          <w:tcPr>
            <w:tcW w:w="2943"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p>
        </w:tc>
        <w:tc>
          <w:tcPr>
            <w:tcW w:w="993"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USD</w:t>
            </w:r>
          </w:p>
        </w:tc>
        <w:tc>
          <w:tcPr>
            <w:tcW w:w="992"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GBP</w:t>
            </w:r>
          </w:p>
        </w:tc>
        <w:tc>
          <w:tcPr>
            <w:tcW w:w="709"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DKK</w:t>
            </w:r>
          </w:p>
        </w:tc>
        <w:tc>
          <w:tcPr>
            <w:tcW w:w="850"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SEK</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EUR</w:t>
            </w: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Other</w:t>
            </w:r>
          </w:p>
        </w:tc>
        <w:tc>
          <w:tcPr>
            <w:tcW w:w="1275"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Total</w:t>
            </w:r>
          </w:p>
        </w:tc>
      </w:tr>
      <w:tr>
        <w:tc>
          <w:tcPr>
            <w:tcW w:w="2943" w:type="dxa"/>
            <w:tcBorders>
              <w:top w:val="nil"/>
              <w:left w:val="nil"/>
              <w:bottom w:val="nil"/>
              <w:right w:val="nil"/>
            </w:tcBorders>
            <w:tcMar>
              <w:top w:w="0" w:type="dxa"/>
              <w:left w:w="108" w:type="dxa"/>
              <w:bottom w:w="0" w:type="dxa"/>
              <w:right w:w="108" w:type="dxa"/>
            </w:tcMar>
          </w:tcPr>
          <w:p>
            <w:pPr>
              <w:pStyle w:val="Text8pBoldLeft"/>
              <w:rPr>
                <w:rFonts w:eastAsia="Times New Roman" w:cs="Verdana"/>
              </w:rPr>
            </w:pPr>
            <w:r>
              <w:rPr>
                <w:rFonts w:eastAsia="Times New Roman" w:cs="Verdana"/>
              </w:rPr>
              <w:t>Financial assets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Available for sale financial assets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619</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 xml:space="preserve"> 57</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18</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7</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13 220</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17</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13 937</w:t>
            </w: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Financial assets at fair value through surplus or deficit</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(475)</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491</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16</w:t>
            </w: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Loans*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53</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5</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64</w:t>
            </w: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Receivables and recoverables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4 109</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98</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108</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19 777</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226</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24 318</w:t>
            </w:r>
          </w:p>
        </w:tc>
      </w:tr>
      <w:tr>
        <w:tc>
          <w:tcPr>
            <w:tcW w:w="2943" w:type="dxa"/>
            <w:tcBorders>
              <w:top w:val="nil"/>
              <w:left w:val="nil"/>
              <w:bottom w:val="single" w:sz="4" w:space="0" w:color="016794"/>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Cash and cash equivalents</w:t>
            </w:r>
          </w:p>
        </w:tc>
        <w:tc>
          <w:tcPr>
            <w:tcW w:w="993"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43</w:t>
            </w:r>
          </w:p>
        </w:tc>
        <w:tc>
          <w:tcPr>
            <w:tcW w:w="992"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1 520</w:t>
            </w:r>
          </w:p>
        </w:tc>
        <w:tc>
          <w:tcPr>
            <w:tcW w:w="709"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287</w:t>
            </w:r>
          </w:p>
        </w:tc>
        <w:tc>
          <w:tcPr>
            <w:tcW w:w="850"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406</w:t>
            </w:r>
          </w:p>
        </w:tc>
        <w:tc>
          <w:tcPr>
            <w:tcW w:w="1134"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13 197</w:t>
            </w:r>
          </w:p>
        </w:tc>
        <w:tc>
          <w:tcPr>
            <w:tcW w:w="851"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1 493</w:t>
            </w:r>
          </w:p>
        </w:tc>
        <w:tc>
          <w:tcPr>
            <w:tcW w:w="1275"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16 946</w:t>
            </w:r>
          </w:p>
        </w:tc>
      </w:tr>
      <w:tr>
        <w:tc>
          <w:tcPr>
            <w:tcW w:w="2943" w:type="dxa"/>
            <w:tcBorders>
              <w:top w:val="single" w:sz="4" w:space="0" w:color="016794"/>
              <w:left w:val="nil"/>
              <w:bottom w:val="single" w:sz="4" w:space="0" w:color="016794"/>
              <w:right w:val="nil"/>
            </w:tcBorders>
            <w:tcMar>
              <w:top w:w="0" w:type="dxa"/>
              <w:left w:w="108" w:type="dxa"/>
              <w:bottom w:w="0" w:type="dxa"/>
              <w:right w:w="108" w:type="dxa"/>
            </w:tcMar>
          </w:tcPr>
          <w:p>
            <w:pPr>
              <w:pStyle w:val="Text8pBoldLeft"/>
              <w:rPr>
                <w:rFonts w:eastAsia="Times New Roman" w:cs="Verdana"/>
              </w:rPr>
            </w:pPr>
          </w:p>
        </w:tc>
        <w:tc>
          <w:tcPr>
            <w:tcW w:w="993"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193</w:t>
            </w:r>
          </w:p>
        </w:tc>
        <w:tc>
          <w:tcPr>
            <w:tcW w:w="992"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5 686</w:t>
            </w:r>
          </w:p>
        </w:tc>
        <w:tc>
          <w:tcPr>
            <w:tcW w:w="709"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403</w:t>
            </w:r>
          </w:p>
        </w:tc>
        <w:tc>
          <w:tcPr>
            <w:tcW w:w="850"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522</w:t>
            </w:r>
          </w:p>
        </w:tc>
        <w:tc>
          <w:tcPr>
            <w:tcW w:w="1134"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46 737</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1 741</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55 282</w:t>
            </w:r>
          </w:p>
        </w:tc>
      </w:tr>
      <w:tr>
        <w:tc>
          <w:tcPr>
            <w:tcW w:w="2943" w:type="dxa"/>
            <w:tcBorders>
              <w:top w:val="single" w:sz="4" w:space="0" w:color="016794"/>
              <w:left w:val="nil"/>
              <w:bottom w:val="nil"/>
              <w:right w:val="nil"/>
            </w:tcBorders>
            <w:tcMar>
              <w:top w:w="0" w:type="dxa"/>
              <w:left w:w="108" w:type="dxa"/>
              <w:bottom w:w="0" w:type="dxa"/>
              <w:right w:w="108" w:type="dxa"/>
            </w:tcMar>
          </w:tcPr>
          <w:p>
            <w:pPr>
              <w:pStyle w:val="Text8pBoldLeft"/>
              <w:rPr>
                <w:rFonts w:eastAsia="Times New Roman" w:cs="Verdana"/>
              </w:rPr>
            </w:pPr>
            <w:r>
              <w:rPr>
                <w:rFonts w:eastAsia="Times New Roman" w:cs="Verdana"/>
              </w:rPr>
              <w:t>Financial liabilities</w:t>
            </w:r>
          </w:p>
        </w:tc>
        <w:tc>
          <w:tcPr>
            <w:tcW w:w="993"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992"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709"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0"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134"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1"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275"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Financial liabilities at fair value through surplus or deficit</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(20)</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(22)</w:t>
            </w:r>
          </w:p>
        </w:tc>
      </w:tr>
      <w:tr>
        <w:tc>
          <w:tcPr>
            <w:tcW w:w="2943" w:type="dxa"/>
            <w:tcBorders>
              <w:top w:val="nil"/>
              <w:left w:val="nil"/>
              <w:bottom w:val="single" w:sz="4" w:space="0" w:color="016794"/>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Payables</w:t>
            </w:r>
          </w:p>
        </w:tc>
        <w:tc>
          <w:tcPr>
            <w:tcW w:w="993"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(0)</w:t>
            </w:r>
          </w:p>
        </w:tc>
        <w:tc>
          <w:tcPr>
            <w:tcW w:w="992"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709"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(32 538)</w:t>
            </w:r>
          </w:p>
        </w:tc>
        <w:tc>
          <w:tcPr>
            <w:tcW w:w="851"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w:t>
            </w:r>
          </w:p>
        </w:tc>
        <w:tc>
          <w:tcPr>
            <w:tcW w:w="1275"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(32 539)</w:t>
            </w:r>
          </w:p>
        </w:tc>
      </w:tr>
      <w:tr>
        <w:tc>
          <w:tcPr>
            <w:tcW w:w="2943" w:type="dxa"/>
            <w:tcBorders>
              <w:top w:val="single" w:sz="4" w:space="0" w:color="016794"/>
              <w:left w:val="nil"/>
              <w:bottom w:val="single" w:sz="4" w:space="0" w:color="016794"/>
              <w:right w:val="nil"/>
            </w:tcBorders>
            <w:tcMar>
              <w:top w:w="0" w:type="dxa"/>
              <w:left w:w="108" w:type="dxa"/>
              <w:bottom w:w="0" w:type="dxa"/>
              <w:right w:w="108" w:type="dxa"/>
            </w:tcMar>
          </w:tcPr>
          <w:p>
            <w:pPr>
              <w:pStyle w:val="Text8pBoldLeft"/>
              <w:rPr>
                <w:rFonts w:eastAsia="Times New Roman" w:cs="Verdana"/>
              </w:rPr>
            </w:pPr>
          </w:p>
        </w:tc>
        <w:tc>
          <w:tcPr>
            <w:tcW w:w="993"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(0)</w:t>
            </w:r>
          </w:p>
        </w:tc>
        <w:tc>
          <w:tcPr>
            <w:tcW w:w="992"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w:t>
            </w:r>
          </w:p>
        </w:tc>
        <w:tc>
          <w:tcPr>
            <w:tcW w:w="709"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w:t>
            </w:r>
          </w:p>
        </w:tc>
        <w:tc>
          <w:tcPr>
            <w:tcW w:w="850"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w:t>
            </w:r>
          </w:p>
        </w:tc>
        <w:tc>
          <w:tcPr>
            <w:tcW w:w="1134"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(32 558)</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(2)</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(32 561)</w:t>
            </w:r>
          </w:p>
        </w:tc>
      </w:tr>
      <w:tr>
        <w:tc>
          <w:tcPr>
            <w:tcW w:w="2943" w:type="dxa"/>
            <w:tcBorders>
              <w:top w:val="single" w:sz="4" w:space="0" w:color="016794"/>
              <w:left w:val="nil"/>
              <w:bottom w:val="single" w:sz="4" w:space="0" w:color="016794"/>
              <w:right w:val="nil"/>
            </w:tcBorders>
            <w:tcMar>
              <w:top w:w="0" w:type="dxa"/>
              <w:left w:w="108" w:type="dxa"/>
              <w:bottom w:w="0" w:type="dxa"/>
              <w:right w:w="108" w:type="dxa"/>
            </w:tcMar>
          </w:tcPr>
          <w:p>
            <w:pPr>
              <w:pStyle w:val="Text8pBoldLeft"/>
              <w:rPr>
                <w:rFonts w:eastAsia="Times New Roman" w:cs="Verdana"/>
              </w:rPr>
            </w:pPr>
            <w:r>
              <w:rPr>
                <w:rFonts w:eastAsia="Times New Roman" w:cs="Verdana"/>
              </w:rPr>
              <w:t>Total</w:t>
            </w:r>
          </w:p>
        </w:tc>
        <w:tc>
          <w:tcPr>
            <w:tcW w:w="993"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193</w:t>
            </w:r>
          </w:p>
        </w:tc>
        <w:tc>
          <w:tcPr>
            <w:tcW w:w="992"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5 686</w:t>
            </w:r>
          </w:p>
        </w:tc>
        <w:tc>
          <w:tcPr>
            <w:tcW w:w="709"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403</w:t>
            </w:r>
          </w:p>
        </w:tc>
        <w:tc>
          <w:tcPr>
            <w:tcW w:w="850"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522</w:t>
            </w:r>
          </w:p>
        </w:tc>
        <w:tc>
          <w:tcPr>
            <w:tcW w:w="1134"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14 179</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1 738</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22 721</w:t>
            </w:r>
          </w:p>
        </w:tc>
      </w:tr>
    </w:tbl>
    <w:p>
      <w:pPr>
        <w:pStyle w:val="DGTextstand-alone"/>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993"/>
        <w:gridCol w:w="992"/>
        <w:gridCol w:w="709"/>
        <w:gridCol w:w="850"/>
        <w:gridCol w:w="1134"/>
        <w:gridCol w:w="851"/>
        <w:gridCol w:w="1275"/>
      </w:tblGrid>
      <w:tr>
        <w:trPr>
          <w:trHeight w:val="274"/>
        </w:trPr>
        <w:tc>
          <w:tcPr>
            <w:tcW w:w="2943"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rPr>
            </w:pPr>
            <w:bookmarkStart w:id="170" w:name="DOC_TBL00085_1_1"/>
            <w:bookmarkEnd w:id="170"/>
          </w:p>
        </w:tc>
        <w:tc>
          <w:tcPr>
            <w:tcW w:w="993"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992"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709"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850"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1134"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851"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i w:val="0"/>
              </w:rPr>
            </w:pPr>
          </w:p>
        </w:tc>
        <w:tc>
          <w:tcPr>
            <w:tcW w:w="1275" w:type="dxa"/>
            <w:tcBorders>
              <w:top w:val="nil"/>
              <w:left w:val="nil"/>
              <w:bottom w:val="nil"/>
              <w:right w:val="nil"/>
            </w:tcBorders>
            <w:tcMar>
              <w:top w:w="0" w:type="dxa"/>
              <w:left w:w="108" w:type="dxa"/>
              <w:bottom w:w="0" w:type="dxa"/>
              <w:right w:w="108" w:type="dxa"/>
            </w:tcMar>
            <w:vAlign w:val="center"/>
          </w:tcPr>
          <w:p>
            <w:pPr>
              <w:pStyle w:val="Text7pItalicRight025"/>
              <w:rPr>
                <w:rFonts w:eastAsia="Times New Roman" w:cs="Verdana"/>
              </w:rPr>
            </w:pPr>
            <w:r>
              <w:rPr>
                <w:rFonts w:eastAsia="Times New Roman" w:cs="Verdana"/>
              </w:rPr>
              <w:t>EUR million</w:t>
            </w:r>
          </w:p>
        </w:tc>
      </w:tr>
      <w:tr>
        <w:tc>
          <w:tcPr>
            <w:tcW w:w="2943"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p>
        </w:tc>
        <w:tc>
          <w:tcPr>
            <w:tcW w:w="6804" w:type="dxa"/>
            <w:gridSpan w:val="7"/>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31.12.2017</w:t>
            </w:r>
          </w:p>
        </w:tc>
      </w:tr>
      <w:tr>
        <w:tc>
          <w:tcPr>
            <w:tcW w:w="2943"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p>
        </w:tc>
        <w:tc>
          <w:tcPr>
            <w:tcW w:w="993"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USD</w:t>
            </w:r>
          </w:p>
        </w:tc>
        <w:tc>
          <w:tcPr>
            <w:tcW w:w="992"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GBP</w:t>
            </w:r>
          </w:p>
        </w:tc>
        <w:tc>
          <w:tcPr>
            <w:tcW w:w="709"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DKK</w:t>
            </w:r>
          </w:p>
        </w:tc>
        <w:tc>
          <w:tcPr>
            <w:tcW w:w="850"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SEK</w:t>
            </w:r>
          </w:p>
        </w:tc>
        <w:tc>
          <w:tcPr>
            <w:tcW w:w="1134"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EUR</w:t>
            </w:r>
          </w:p>
        </w:tc>
        <w:tc>
          <w:tcPr>
            <w:tcW w:w="851"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Other</w:t>
            </w:r>
          </w:p>
        </w:tc>
        <w:tc>
          <w:tcPr>
            <w:tcW w:w="1275"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Times New Roman" w:cs="Verdana"/>
              </w:rPr>
            </w:pPr>
            <w:r>
              <w:rPr>
                <w:rFonts w:eastAsia="Times New Roman" w:cs="Verdana"/>
              </w:rPr>
              <w:t>Total</w:t>
            </w:r>
          </w:p>
        </w:tc>
      </w:tr>
      <w:tr>
        <w:tc>
          <w:tcPr>
            <w:tcW w:w="2943" w:type="dxa"/>
            <w:tcBorders>
              <w:top w:val="nil"/>
              <w:left w:val="nil"/>
              <w:bottom w:val="nil"/>
              <w:right w:val="nil"/>
            </w:tcBorders>
            <w:tcMar>
              <w:top w:w="0" w:type="dxa"/>
              <w:left w:w="108" w:type="dxa"/>
              <w:bottom w:w="0" w:type="dxa"/>
              <w:right w:w="108" w:type="dxa"/>
            </w:tcMar>
          </w:tcPr>
          <w:p>
            <w:pPr>
              <w:pStyle w:val="Text8pBoldLeft"/>
              <w:rPr>
                <w:rFonts w:eastAsia="Times New Roman" w:cs="Verdana"/>
              </w:rPr>
            </w:pPr>
            <w:r>
              <w:rPr>
                <w:rFonts w:eastAsia="Times New Roman" w:cs="Verdana"/>
              </w:rPr>
              <w:t>Financial assets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Available for sale financial assets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680</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 xml:space="preserve"> 57</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17</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56</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11 147</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16</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11 973</w:t>
            </w: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Financial assets at fair value through surplus or deficit</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(632)</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655</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23</w:t>
            </w: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Loans*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120</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7</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133</w:t>
            </w: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Receivables and recoverables</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 xml:space="preserve"> 550</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62</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86</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11 338</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12 040</w:t>
            </w:r>
          </w:p>
        </w:tc>
      </w:tr>
      <w:tr>
        <w:tc>
          <w:tcPr>
            <w:tcW w:w="2943" w:type="dxa"/>
            <w:tcBorders>
              <w:top w:val="nil"/>
              <w:left w:val="nil"/>
              <w:bottom w:val="single" w:sz="4" w:space="0" w:color="016794"/>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Cash and cash equivalents</w:t>
            </w:r>
          </w:p>
        </w:tc>
        <w:tc>
          <w:tcPr>
            <w:tcW w:w="993"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42</w:t>
            </w:r>
          </w:p>
        </w:tc>
        <w:tc>
          <w:tcPr>
            <w:tcW w:w="992"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3 178</w:t>
            </w:r>
          </w:p>
        </w:tc>
        <w:tc>
          <w:tcPr>
            <w:tcW w:w="709"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27</w:t>
            </w:r>
          </w:p>
        </w:tc>
        <w:tc>
          <w:tcPr>
            <w:tcW w:w="850"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693</w:t>
            </w:r>
          </w:p>
        </w:tc>
        <w:tc>
          <w:tcPr>
            <w:tcW w:w="1134"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17 509</w:t>
            </w:r>
          </w:p>
        </w:tc>
        <w:tc>
          <w:tcPr>
            <w:tcW w:w="851"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1 664</w:t>
            </w:r>
          </w:p>
        </w:tc>
        <w:tc>
          <w:tcPr>
            <w:tcW w:w="1275"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23 113</w:t>
            </w:r>
          </w:p>
        </w:tc>
      </w:tr>
      <w:tr>
        <w:tc>
          <w:tcPr>
            <w:tcW w:w="2943" w:type="dxa"/>
            <w:tcBorders>
              <w:top w:val="single" w:sz="4" w:space="0" w:color="016794"/>
              <w:left w:val="nil"/>
              <w:bottom w:val="single" w:sz="4" w:space="0" w:color="016794"/>
              <w:right w:val="nil"/>
            </w:tcBorders>
            <w:tcMar>
              <w:top w:w="0" w:type="dxa"/>
              <w:left w:w="108" w:type="dxa"/>
              <w:bottom w:w="0" w:type="dxa"/>
              <w:right w:w="108" w:type="dxa"/>
            </w:tcMar>
          </w:tcPr>
          <w:p>
            <w:pPr>
              <w:pStyle w:val="Text8pBoldLeft"/>
              <w:rPr>
                <w:rFonts w:eastAsia="Times New Roman" w:cs="Verdana"/>
              </w:rPr>
            </w:pPr>
          </w:p>
        </w:tc>
        <w:tc>
          <w:tcPr>
            <w:tcW w:w="993"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97</w:t>
            </w:r>
          </w:p>
        </w:tc>
        <w:tc>
          <w:tcPr>
            <w:tcW w:w="992"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3 785</w:t>
            </w:r>
          </w:p>
        </w:tc>
        <w:tc>
          <w:tcPr>
            <w:tcW w:w="709"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105</w:t>
            </w:r>
          </w:p>
        </w:tc>
        <w:tc>
          <w:tcPr>
            <w:tcW w:w="850"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834</w:t>
            </w:r>
          </w:p>
        </w:tc>
        <w:tc>
          <w:tcPr>
            <w:tcW w:w="1134"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40 768</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1 693</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47 282</w:t>
            </w:r>
          </w:p>
        </w:tc>
      </w:tr>
      <w:tr>
        <w:tc>
          <w:tcPr>
            <w:tcW w:w="2943" w:type="dxa"/>
            <w:tcBorders>
              <w:top w:val="single" w:sz="4" w:space="0" w:color="016794"/>
              <w:left w:val="nil"/>
              <w:bottom w:val="nil"/>
              <w:right w:val="nil"/>
            </w:tcBorders>
            <w:tcMar>
              <w:top w:w="0" w:type="dxa"/>
              <w:left w:w="108" w:type="dxa"/>
              <w:bottom w:w="0" w:type="dxa"/>
              <w:right w:w="108" w:type="dxa"/>
            </w:tcMar>
          </w:tcPr>
          <w:p>
            <w:pPr>
              <w:pStyle w:val="Text8pBoldLeft"/>
              <w:rPr>
                <w:rFonts w:eastAsia="Times New Roman" w:cs="Verdana"/>
              </w:rPr>
            </w:pPr>
            <w:r>
              <w:rPr>
                <w:rFonts w:eastAsia="Times New Roman" w:cs="Verdana"/>
              </w:rPr>
              <w:t>Financial liabilities</w:t>
            </w:r>
          </w:p>
        </w:tc>
        <w:tc>
          <w:tcPr>
            <w:tcW w:w="993"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992"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709"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0"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134"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851"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c>
          <w:tcPr>
            <w:tcW w:w="1275" w:type="dxa"/>
            <w:tcBorders>
              <w:top w:val="single" w:sz="4" w:space="0" w:color="016794"/>
              <w:left w:val="nil"/>
              <w:bottom w:val="nil"/>
              <w:right w:val="nil"/>
            </w:tcBorders>
            <w:tcMar>
              <w:top w:w="0" w:type="dxa"/>
              <w:left w:w="108" w:type="dxa"/>
              <w:bottom w:w="0" w:type="dxa"/>
              <w:right w:w="108" w:type="dxa"/>
            </w:tcMar>
          </w:tcPr>
          <w:p>
            <w:pPr>
              <w:pStyle w:val="Figures7pItalicRight025"/>
              <w:rPr>
                <w:rFonts w:eastAsia="Times New Roman" w:cs="Verdana"/>
              </w:rPr>
            </w:pPr>
          </w:p>
        </w:tc>
      </w:tr>
      <w:tr>
        <w:tc>
          <w:tcPr>
            <w:tcW w:w="2943" w:type="dxa"/>
            <w:tcBorders>
              <w:top w:val="nil"/>
              <w:left w:val="nil"/>
              <w:bottom w:val="nil"/>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Financial liabilities at fair value through surplus or deficit</w:t>
            </w:r>
          </w:p>
        </w:tc>
        <w:tc>
          <w:tcPr>
            <w:tcW w:w="993"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992"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i w:val="0"/>
              </w:rPr>
            </w:pPr>
            <w:r>
              <w:rPr>
                <w:rFonts w:eastAsia="Times New Roman" w:cs="Verdana"/>
                <w:i w:val="0"/>
              </w:rPr>
              <w:t>–</w:t>
            </w:r>
          </w:p>
        </w:tc>
        <w:tc>
          <w:tcPr>
            <w:tcW w:w="709"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1"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w:t>
            </w:r>
          </w:p>
        </w:tc>
        <w:tc>
          <w:tcPr>
            <w:tcW w:w="1275" w:type="dxa"/>
            <w:tcBorders>
              <w:top w:val="nil"/>
              <w:left w:val="nil"/>
              <w:bottom w:val="nil"/>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(2)</w:t>
            </w:r>
          </w:p>
        </w:tc>
      </w:tr>
      <w:tr>
        <w:tc>
          <w:tcPr>
            <w:tcW w:w="2943" w:type="dxa"/>
            <w:tcBorders>
              <w:top w:val="nil"/>
              <w:left w:val="nil"/>
              <w:bottom w:val="single" w:sz="4" w:space="0" w:color="016794"/>
              <w:right w:val="nil"/>
            </w:tcBorders>
            <w:tcMar>
              <w:top w:w="0" w:type="dxa"/>
              <w:left w:w="108" w:type="dxa"/>
              <w:bottom w:w="0" w:type="dxa"/>
              <w:right w:w="108" w:type="dxa"/>
            </w:tcMar>
          </w:tcPr>
          <w:p>
            <w:pPr>
              <w:pStyle w:val="Text8pItalicLeft"/>
              <w:rPr>
                <w:rFonts w:eastAsia="Times New Roman" w:cs="Verdana"/>
              </w:rPr>
            </w:pPr>
            <w:r>
              <w:rPr>
                <w:rFonts w:eastAsia="Times New Roman" w:cs="Verdana"/>
              </w:rPr>
              <w:t>Payables</w:t>
            </w:r>
          </w:p>
        </w:tc>
        <w:tc>
          <w:tcPr>
            <w:tcW w:w="993"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(0)</w:t>
            </w:r>
          </w:p>
        </w:tc>
        <w:tc>
          <w:tcPr>
            <w:tcW w:w="992"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(0)</w:t>
            </w:r>
          </w:p>
        </w:tc>
        <w:tc>
          <w:tcPr>
            <w:tcW w:w="709"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w:t>
            </w:r>
          </w:p>
        </w:tc>
        <w:tc>
          <w:tcPr>
            <w:tcW w:w="850"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w:t>
            </w:r>
          </w:p>
        </w:tc>
        <w:tc>
          <w:tcPr>
            <w:tcW w:w="1134"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(39 374)</w:t>
            </w:r>
          </w:p>
        </w:tc>
        <w:tc>
          <w:tcPr>
            <w:tcW w:w="851"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 xml:space="preserve"> (1)</w:t>
            </w:r>
          </w:p>
        </w:tc>
        <w:tc>
          <w:tcPr>
            <w:tcW w:w="1275" w:type="dxa"/>
            <w:tcBorders>
              <w:top w:val="nil"/>
              <w:left w:val="nil"/>
              <w:bottom w:val="single" w:sz="4" w:space="0" w:color="016794"/>
              <w:right w:val="nil"/>
            </w:tcBorders>
            <w:tcMar>
              <w:top w:w="0" w:type="dxa"/>
              <w:left w:w="108" w:type="dxa"/>
              <w:bottom w:w="0" w:type="dxa"/>
              <w:right w:w="108" w:type="dxa"/>
            </w:tcMar>
          </w:tcPr>
          <w:p>
            <w:pPr>
              <w:pStyle w:val="Figures7pItalicRight025"/>
              <w:rPr>
                <w:rFonts w:eastAsia="Times New Roman" w:cs="Verdana"/>
              </w:rPr>
            </w:pPr>
            <w:r>
              <w:rPr>
                <w:rFonts w:eastAsia="Times New Roman" w:cs="Verdana"/>
              </w:rPr>
              <w:t>(39 376)</w:t>
            </w:r>
          </w:p>
        </w:tc>
      </w:tr>
      <w:tr>
        <w:tc>
          <w:tcPr>
            <w:tcW w:w="2943" w:type="dxa"/>
            <w:tcBorders>
              <w:top w:val="single" w:sz="4" w:space="0" w:color="016794"/>
              <w:left w:val="nil"/>
              <w:bottom w:val="single" w:sz="4" w:space="0" w:color="016794"/>
              <w:right w:val="nil"/>
            </w:tcBorders>
            <w:tcMar>
              <w:top w:w="0" w:type="dxa"/>
              <w:left w:w="108" w:type="dxa"/>
              <w:bottom w:w="0" w:type="dxa"/>
              <w:right w:w="108" w:type="dxa"/>
            </w:tcMar>
          </w:tcPr>
          <w:p>
            <w:pPr>
              <w:pStyle w:val="Text8pBoldLeft"/>
              <w:rPr>
                <w:rFonts w:eastAsia="Times New Roman" w:cs="Verdana"/>
              </w:rPr>
            </w:pPr>
          </w:p>
        </w:tc>
        <w:tc>
          <w:tcPr>
            <w:tcW w:w="993"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(0)</w:t>
            </w:r>
          </w:p>
        </w:tc>
        <w:tc>
          <w:tcPr>
            <w:tcW w:w="992"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(0)</w:t>
            </w:r>
          </w:p>
        </w:tc>
        <w:tc>
          <w:tcPr>
            <w:tcW w:w="709"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w:t>
            </w:r>
          </w:p>
        </w:tc>
        <w:tc>
          <w:tcPr>
            <w:tcW w:w="850"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(1)</w:t>
            </w:r>
          </w:p>
        </w:tc>
        <w:tc>
          <w:tcPr>
            <w:tcW w:w="1134"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(39 374)</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(3)</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(39 378)</w:t>
            </w:r>
          </w:p>
        </w:tc>
      </w:tr>
      <w:tr>
        <w:tc>
          <w:tcPr>
            <w:tcW w:w="2943" w:type="dxa"/>
            <w:tcBorders>
              <w:top w:val="single" w:sz="4" w:space="0" w:color="016794"/>
              <w:left w:val="nil"/>
              <w:bottom w:val="single" w:sz="4" w:space="0" w:color="016794"/>
              <w:right w:val="nil"/>
            </w:tcBorders>
            <w:tcMar>
              <w:top w:w="0" w:type="dxa"/>
              <w:left w:w="108" w:type="dxa"/>
              <w:bottom w:w="0" w:type="dxa"/>
              <w:right w:w="108" w:type="dxa"/>
            </w:tcMar>
          </w:tcPr>
          <w:p>
            <w:pPr>
              <w:pStyle w:val="Text8pBoldLeft"/>
              <w:rPr>
                <w:rFonts w:eastAsia="Times New Roman" w:cs="Verdana"/>
              </w:rPr>
            </w:pPr>
            <w:r>
              <w:rPr>
                <w:rFonts w:eastAsia="Times New Roman" w:cs="Verdana"/>
              </w:rPr>
              <w:t>Total</w:t>
            </w:r>
          </w:p>
        </w:tc>
        <w:tc>
          <w:tcPr>
            <w:tcW w:w="993"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96</w:t>
            </w:r>
          </w:p>
        </w:tc>
        <w:tc>
          <w:tcPr>
            <w:tcW w:w="992"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3 785</w:t>
            </w:r>
          </w:p>
        </w:tc>
        <w:tc>
          <w:tcPr>
            <w:tcW w:w="709"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105</w:t>
            </w:r>
          </w:p>
        </w:tc>
        <w:tc>
          <w:tcPr>
            <w:tcW w:w="850"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 xml:space="preserve"> 833</w:t>
            </w:r>
          </w:p>
        </w:tc>
        <w:tc>
          <w:tcPr>
            <w:tcW w:w="1134"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1 395</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1 690</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pPr>
              <w:pStyle w:val="Figures7pBoldRight025"/>
              <w:rPr>
                <w:rFonts w:eastAsia="Times New Roman" w:cs="Verdana"/>
              </w:rPr>
            </w:pPr>
            <w:r>
              <w:rPr>
                <w:rFonts w:eastAsia="Times New Roman" w:cs="Verdana"/>
              </w:rPr>
              <w:t>7 904</w:t>
            </w:r>
          </w:p>
        </w:tc>
      </w:tr>
    </w:tbl>
    <w:p>
      <w:pPr>
        <w:pStyle w:val="Text8pItalicLeft"/>
      </w:pPr>
      <w:r>
        <w:t xml:space="preserve">* Excluding back-to-back loans for financial assistance. </w:t>
      </w:r>
    </w:p>
    <w:p>
      <w:pPr>
        <w:pStyle w:val="Text8pItalicLeft"/>
      </w:pPr>
    </w:p>
    <w:p>
      <w:pPr>
        <w:pStyle w:val="Text8pItalicLeft"/>
        <w:rPr>
          <w:bCs w:val="0"/>
          <w:i w:val="0"/>
          <w:sz w:val="18"/>
          <w:szCs w:val="18"/>
          <w:bdr w:val="nil"/>
        </w:rPr>
      </w:pPr>
      <w:bookmarkStart w:id="171" w:name="_DMBM_13975"/>
      <w:bookmarkEnd w:id="168"/>
      <w:r>
        <w:rPr>
          <w:bCs w:val="0"/>
          <w:i w:val="0"/>
          <w:sz w:val="18"/>
          <w:szCs w:val="18"/>
          <w:bdr w:val="nil"/>
        </w:rPr>
        <w:t>If the EUR had strengthened against the currency concerned by 10 % then this would have had the following impact: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rPr>
          <w:cantSplit/>
        </w:trP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172" w:name="DOC_TBL00086_1_1"/>
            <w:bookmarkEnd w:id="172"/>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rPr>
          <w:cantSplit/>
        </w:trP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Economic result</w:t>
            </w:r>
          </w:p>
        </w:tc>
      </w:tr>
      <w:tr>
        <w:trPr>
          <w:cantSplit/>
        </w:trP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SEK</w:t>
            </w:r>
          </w:p>
        </w:tc>
      </w:tr>
      <w:tr>
        <w:trPr>
          <w:cantSplit/>
        </w:trP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2018</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(512)</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(35)</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(47)</w:t>
            </w:r>
          </w:p>
        </w:tc>
      </w:tr>
      <w:tr>
        <w:trPr>
          <w:cantSplit/>
        </w:trP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(339)</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(71)</w:t>
            </w:r>
          </w:p>
        </w:tc>
      </w:tr>
    </w:tbl>
    <w:p>
      <w:pPr>
        <w:pStyle w:val="DGTextstand-alone"/>
        <w:spacing w:before="0" w:after="0"/>
        <w:rPr>
          <w:lang w:bidi="en-GB"/>
        </w:rPr>
      </w:pPr>
      <w:r>
        <w:rPr>
          <w:lang w:bidi="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rPr>
          <w:cantSplit/>
        </w:trP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173" w:name="DOC_TBL00087_1_1"/>
            <w:bookmarkEnd w:id="173"/>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rPr>
          <w:cantSplit/>
        </w:trP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Net assets</w:t>
            </w:r>
          </w:p>
        </w:tc>
      </w:tr>
      <w:tr>
        <w:trPr>
          <w:cantSplit/>
        </w:trP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SEK</w:t>
            </w:r>
          </w:p>
        </w:tc>
      </w:tr>
      <w:tr>
        <w:trPr>
          <w:cantSplit/>
        </w:trP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2018</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w:t>
            </w:r>
          </w:p>
        </w:tc>
      </w:tr>
      <w:tr>
        <w:trPr>
          <w:cantSplit/>
        </w:trP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w:t>
            </w:r>
          </w:p>
        </w:tc>
      </w:tr>
    </w:tbl>
    <w:p>
      <w:pPr>
        <w:pStyle w:val="DGTextstand-alone"/>
      </w:pPr>
    </w:p>
    <w:p>
      <w:pPr>
        <w:rPr>
          <w:rFonts w:ascii="Verdana" w:eastAsia="Calibri" w:hAnsi="Verdana"/>
          <w:noProof/>
          <w:sz w:val="18"/>
          <w:szCs w:val="18"/>
          <w:bdr w:val="nil"/>
          <w:lang w:eastAsia="en-US"/>
        </w:rPr>
      </w:pPr>
      <w:r>
        <w:rPr>
          <w:noProof/>
        </w:rPr>
        <w:br w:type="page"/>
      </w:r>
    </w:p>
    <w:p>
      <w:pPr>
        <w:pStyle w:val="DGTextstand-alone"/>
      </w:pPr>
      <w:r>
        <w:t>If the EUR had weakened against the currency concerned by 10 % then this would have had the following impact: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174" w:name="DOC_TBL00088_1_1"/>
            <w:bookmarkEnd w:id="174"/>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Economic result</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SEK</w:t>
            </w:r>
          </w:p>
        </w:tc>
      </w:tr>
      <w:t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2018</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625</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43</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57</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414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10</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86</w:t>
            </w:r>
          </w:p>
        </w:tc>
      </w:tr>
    </w:tbl>
    <w:p>
      <w:pPr>
        <w:pStyle w:val="DGTextstand-alone"/>
        <w:spacing w:before="0" w:after="0"/>
        <w:rPr>
          <w:lang w:bidi="en-GB"/>
        </w:rPr>
      </w:pPr>
      <w:r>
        <w:rPr>
          <w:lang w:bidi="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tc>
          <w:tcPr>
            <w:tcW w:w="3227" w:type="dxa"/>
            <w:tcBorders>
              <w:top w:val="nil"/>
              <w:left w:val="nil"/>
              <w:bottom w:val="nil"/>
              <w:right w:val="nil"/>
            </w:tcBorders>
            <w:shd w:val="clear" w:color="auto" w:fill="auto"/>
            <w:tcMar>
              <w:top w:w="0" w:type="dxa"/>
              <w:left w:w="108" w:type="dxa"/>
              <w:bottom w:w="0" w:type="dxa"/>
              <w:right w:w="108" w:type="dxa"/>
            </w:tcMar>
            <w:vAlign w:val="bottom"/>
          </w:tcPr>
          <w:p>
            <w:pPr>
              <w:pStyle w:val="Text8pItalicLeft"/>
              <w:jc w:val="right"/>
              <w:rPr>
                <w:rFonts w:eastAsia="Verdana" w:cs="Verdana"/>
                <w:color w:val="FFFFFF"/>
                <w:lang w:bidi="en-GB"/>
              </w:rPr>
            </w:pPr>
            <w:bookmarkStart w:id="175" w:name="DOC_TBL00089_1_1"/>
            <w:bookmarkEnd w:id="175"/>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jc w:val="right"/>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vAlign w:val="bottom"/>
          </w:tcPr>
          <w:p>
            <w:pPr>
              <w:pStyle w:val="Text8pItalicRight025EUR"/>
              <w:rPr>
                <w:rFonts w:eastAsia="Verdana" w:cs="Verdana"/>
                <w:lang w:bidi="en-GB"/>
              </w:rPr>
            </w:pPr>
            <w:r>
              <w:rPr>
                <w:rFonts w:eastAsia="Verdana" w:cs="Verdana"/>
                <w:lang w:bidi="en-GB"/>
              </w:rPr>
              <w:t>EUR million</w:t>
            </w:r>
          </w:p>
        </w:tc>
      </w:tr>
      <w:tr>
        <w:tc>
          <w:tcPr>
            <w:tcW w:w="3227" w:type="dxa"/>
            <w:tcBorders>
              <w:top w:val="nil"/>
              <w:left w:val="nil"/>
              <w:bottom w:val="nil"/>
              <w:right w:val="nil"/>
            </w:tcBorders>
            <w:shd w:val="clear" w:color="auto" w:fill="016794"/>
            <w:tcMar>
              <w:top w:w="0" w:type="dxa"/>
              <w:left w:w="108" w:type="dxa"/>
              <w:bottom w:w="0" w:type="dxa"/>
              <w:right w:w="108" w:type="dxa"/>
            </w:tcMar>
          </w:tcPr>
          <w:p>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noProof/>
                <w:lang w:bidi="en-GB"/>
              </w:rPr>
            </w:pPr>
            <w:r>
              <w:rPr>
                <w:rFonts w:eastAsia="Verdana" w:cs="Verdana"/>
                <w:noProof/>
                <w:lang w:bidi="en-GB"/>
              </w:rPr>
              <w:t>Net assets</w:t>
            </w:r>
          </w:p>
        </w:tc>
      </w:tr>
      <w:tr>
        <w:tc>
          <w:tcPr>
            <w:tcW w:w="322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jc w:val="right"/>
              <w:rPr>
                <w:rFonts w:eastAsia="Verdana" w:cs="Verdana"/>
                <w:lang w:bidi="en-GB"/>
              </w:rPr>
            </w:pPr>
            <w:r>
              <w:rPr>
                <w:rFonts w:eastAsia="Verdana" w:cs="Verdana"/>
                <w:lang w:bidi="en-GB"/>
              </w:rPr>
              <w:t>SEK</w:t>
            </w:r>
          </w:p>
        </w:tc>
      </w:tr>
      <w:tr>
        <w:tc>
          <w:tcPr>
            <w:tcW w:w="3227"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2018</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w:t>
            </w:r>
          </w:p>
        </w:tc>
      </w:tr>
      <w:t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2017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6</w:t>
            </w:r>
          </w:p>
        </w:tc>
      </w:tr>
    </w:tbl>
    <w:p>
      <w:pPr>
        <w:pStyle w:val="HEADER2NOTES"/>
        <w:rPr>
          <w:noProof/>
          <w:lang w:val="en-IE"/>
        </w:rPr>
      </w:pPr>
      <w:bookmarkStart w:id="176" w:name="_DMBM_14000"/>
      <w:bookmarkEnd w:id="171"/>
      <w:r>
        <w:rPr>
          <w:noProof/>
          <w:lang w:val="en-IE"/>
        </w:rPr>
        <w:t>INTEREST RATE RISK</w:t>
      </w:r>
    </w:p>
    <w:p>
      <w:pPr>
        <w:pStyle w:val="Textstand-alone"/>
      </w:pPr>
      <w:r>
        <w:t>The following table illustrates the interest rate sensitivity of available for sale financial assets assuming possible change in interest rates of +/- 100 basis points (1 %).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c>
          <w:tcPr>
            <w:tcW w:w="5637"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177" w:name="DOC_TBL00090_1_1"/>
            <w:bookmarkEnd w:id="177"/>
          </w:p>
        </w:tc>
        <w:tc>
          <w:tcPr>
            <w:tcW w:w="2126" w:type="dxa"/>
            <w:tcBorders>
              <w:top w:val="nil"/>
              <w:left w:val="nil"/>
              <w:bottom w:val="nil"/>
              <w:right w:val="nil"/>
            </w:tcBorders>
            <w:tcMar>
              <w:top w:w="0" w:type="dxa"/>
              <w:left w:w="108" w:type="dxa"/>
              <w:bottom w:w="0" w:type="dxa"/>
              <w:right w:w="108" w:type="dxa"/>
            </w:tcMar>
          </w:tcPr>
          <w:p>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Times New Roman"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Increase (+) / decrease (-) in basis points</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Effect on net assets</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2018: Available for sale financial assets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+100</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(303)</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-100</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325</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2017: Available for sale financial assets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+100</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(305)</w:t>
            </w:r>
          </w:p>
        </w:tc>
      </w:tr>
      <w:t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-100</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324</w:t>
            </w:r>
          </w:p>
        </w:tc>
      </w:tr>
    </w:tbl>
    <w:p>
      <w:pPr>
        <w:rPr>
          <w:rFonts w:ascii="Verdana" w:hAnsi="Verdana"/>
          <w:b/>
          <w:noProof/>
          <w:color w:val="016794"/>
          <w:sz w:val="28"/>
          <w:szCs w:val="28"/>
        </w:rPr>
      </w:pPr>
      <w:bookmarkStart w:id="178" w:name="_DMBM_14009"/>
      <w:bookmarkEnd w:id="176"/>
    </w:p>
    <w:p>
      <w:pPr>
        <w:pStyle w:val="HEADER2NOTES"/>
        <w:rPr>
          <w:noProof/>
        </w:rPr>
      </w:pPr>
      <w:r>
        <w:rPr>
          <w:noProof/>
        </w:rPr>
        <w:t>CREDIT RISK</w:t>
      </w:r>
    </w:p>
    <w:p>
      <w:pPr>
        <w:pStyle w:val="HEADER5"/>
        <w:rPr>
          <w:noProof/>
        </w:rPr>
      </w:pPr>
      <w:r>
        <w:rPr>
          <w:noProof/>
        </w:rPr>
        <w:t>Analysis of the age of financial assets that are not impaired</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1267"/>
        <w:gridCol w:w="1267"/>
        <w:gridCol w:w="1273"/>
        <w:gridCol w:w="1261"/>
      </w:tblGrid>
      <w:tr>
        <w:trPr>
          <w:cantSplit/>
        </w:trPr>
        <w:tc>
          <w:tcPr>
            <w:tcW w:w="3369"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79" w:name="DOC_TBL00091_1_1"/>
            <w:bookmarkEnd w:id="179"/>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3807" w:type="dxa"/>
            <w:gridSpan w:val="3"/>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61"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cantSplit/>
        </w:trPr>
        <w:tc>
          <w:tcPr>
            <w:tcW w:w="3369"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Total</w:t>
            </w:r>
          </w:p>
        </w:tc>
        <w:tc>
          <w:tcPr>
            <w:tcW w:w="1267"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Neither past due nor impaired</w:t>
            </w:r>
          </w:p>
        </w:tc>
        <w:tc>
          <w:tcPr>
            <w:tcW w:w="3801" w:type="dxa"/>
            <w:gridSpan w:val="3"/>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Past due but not impaired</w:t>
            </w:r>
          </w:p>
        </w:tc>
      </w:tr>
      <w:tr>
        <w:trPr>
          <w:cantSplit/>
        </w:trPr>
        <w:tc>
          <w:tcPr>
            <w:tcW w:w="3369"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p>
        </w:tc>
        <w:tc>
          <w:tcPr>
            <w:tcW w:w="1267" w:type="dxa"/>
            <w:tcBorders>
              <w:top w:val="nil"/>
              <w:left w:val="nil"/>
              <w:bottom w:val="nil"/>
              <w:right w:val="nil"/>
            </w:tcBorders>
            <w:shd w:val="clear" w:color="auto" w:fill="016794"/>
            <w:tcMar>
              <w:top w:w="0" w:type="dxa"/>
              <w:left w:w="108" w:type="dxa"/>
              <w:bottom w:w="0" w:type="dxa"/>
              <w:right w:w="108" w:type="dxa"/>
            </w:tcMar>
            <w:vAlign w:val="center"/>
          </w:tcPr>
          <w:p>
            <w:pPr>
              <w:pStyle w:val="Heading9pNormalCentered"/>
              <w:rPr>
                <w:rFonts w:eastAsia="Verdana" w:cs="Verdana"/>
                <w:noProof/>
                <w:lang w:bidi="en-GB"/>
              </w:rPr>
            </w:pPr>
          </w:p>
        </w:tc>
        <w:tc>
          <w:tcPr>
            <w:tcW w:w="1267" w:type="dxa"/>
            <w:tcBorders>
              <w:top w:val="nil"/>
              <w:left w:val="nil"/>
              <w:bottom w:val="nil"/>
              <w:right w:val="nil"/>
            </w:tcBorders>
            <w:shd w:val="clear" w:color="auto" w:fill="3486A9"/>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&lt; 1 year</w:t>
            </w:r>
          </w:p>
        </w:tc>
        <w:tc>
          <w:tcPr>
            <w:tcW w:w="1273" w:type="dxa"/>
            <w:tcBorders>
              <w:top w:val="nil"/>
              <w:left w:val="nil"/>
              <w:bottom w:val="nil"/>
              <w:right w:val="nil"/>
            </w:tcBorders>
            <w:shd w:val="clear" w:color="auto" w:fill="3486A9"/>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1-5 years</w:t>
            </w:r>
          </w:p>
        </w:tc>
        <w:tc>
          <w:tcPr>
            <w:tcW w:w="1261" w:type="dxa"/>
            <w:tcBorders>
              <w:top w:val="nil"/>
              <w:left w:val="nil"/>
              <w:bottom w:val="nil"/>
              <w:right w:val="nil"/>
            </w:tcBorders>
            <w:shd w:val="clear" w:color="auto" w:fill="3486A9"/>
            <w:tcMar>
              <w:top w:w="0" w:type="dxa"/>
              <w:left w:w="108" w:type="dxa"/>
              <w:bottom w:w="0" w:type="dxa"/>
              <w:right w:w="108" w:type="dxa"/>
            </w:tcMar>
            <w:vAlign w:val="center"/>
          </w:tcPr>
          <w:p>
            <w:pPr>
              <w:pStyle w:val="Heading9pNormalCentered"/>
              <w:rPr>
                <w:rFonts w:eastAsia="Verdana" w:cs="Verdana"/>
                <w:noProof/>
                <w:lang w:bidi="en-GB"/>
              </w:rPr>
            </w:pPr>
            <w:r>
              <w:rPr>
                <w:rFonts w:eastAsia="Verdana" w:cs="Verdana"/>
                <w:noProof/>
                <w:lang w:bidi="en-GB"/>
              </w:rPr>
              <w:t>&gt; 5 years</w:t>
            </w:r>
          </w:p>
        </w:tc>
      </w:tr>
      <w:tr>
        <w:trPr>
          <w:cantSplit/>
        </w:trPr>
        <w:tc>
          <w:tcPr>
            <w:tcW w:w="3369"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Loans</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53 840</w:t>
            </w:r>
          </w:p>
        </w:tc>
        <w:tc>
          <w:tcPr>
            <w:tcW w:w="126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53 840</w:t>
            </w:r>
          </w:p>
        </w:tc>
        <w:tc>
          <w:tcPr>
            <w:tcW w:w="126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6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cantSplit/>
        </w:trPr>
        <w:tc>
          <w:tcPr>
            <w:tcW w:w="3369"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Receivables and recoverables</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24 318</w:t>
            </w:r>
          </w:p>
        </w:tc>
        <w:tc>
          <w:tcPr>
            <w:tcW w:w="126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14 399</w:t>
            </w:r>
          </w:p>
        </w:tc>
        <w:tc>
          <w:tcPr>
            <w:tcW w:w="126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6 577</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3 208</w:t>
            </w:r>
          </w:p>
        </w:tc>
        <w:tc>
          <w:tcPr>
            <w:tcW w:w="126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134</w:t>
            </w:r>
          </w:p>
        </w:tc>
      </w:tr>
      <w:tr>
        <w:trPr>
          <w:cantSplit/>
        </w:trPr>
        <w:tc>
          <w:tcPr>
            <w:tcW w:w="3369"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assets at fair value through surplus or deficit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16</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61"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cantSplit/>
        </w:trPr>
        <w:tc>
          <w:tcPr>
            <w:tcW w:w="33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at 31.12.2018</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78 174</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68 254</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6 577</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3 208</w:t>
            </w:r>
          </w:p>
        </w:tc>
        <w:tc>
          <w:tcPr>
            <w:tcW w:w="126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134</w:t>
            </w:r>
          </w:p>
        </w:tc>
      </w:tr>
      <w:tr>
        <w:trPr>
          <w:cantSplit/>
        </w:trPr>
        <w:tc>
          <w:tcPr>
            <w:tcW w:w="3369"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Loans</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54 877</w:t>
            </w:r>
          </w:p>
        </w:tc>
        <w:tc>
          <w:tcPr>
            <w:tcW w:w="126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54 877</w:t>
            </w:r>
          </w:p>
        </w:tc>
        <w:tc>
          <w:tcPr>
            <w:tcW w:w="126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0</w:t>
            </w: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61"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cantSplit/>
        </w:trPr>
        <w:tc>
          <w:tcPr>
            <w:tcW w:w="3369" w:type="dxa"/>
            <w:tcBorders>
              <w:top w:val="nil"/>
              <w:left w:val="nil"/>
              <w:bottom w:val="nil"/>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Receivables and recoverables</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12 040</w:t>
            </w:r>
          </w:p>
        </w:tc>
        <w:tc>
          <w:tcPr>
            <w:tcW w:w="126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8 587</w:t>
            </w:r>
          </w:p>
        </w:tc>
        <w:tc>
          <w:tcPr>
            <w:tcW w:w="1267"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2 887</w:t>
            </w:r>
          </w:p>
        </w:tc>
        <w:tc>
          <w:tcPr>
            <w:tcW w:w="1273"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359</w:t>
            </w:r>
          </w:p>
        </w:tc>
        <w:tc>
          <w:tcPr>
            <w:tcW w:w="1261" w:type="dxa"/>
            <w:tcBorders>
              <w:top w:val="nil"/>
              <w:left w:val="nil"/>
              <w:bottom w:val="nil"/>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208</w:t>
            </w:r>
          </w:p>
        </w:tc>
      </w:tr>
      <w:tr>
        <w:trPr>
          <w:cantSplit/>
        </w:trPr>
        <w:tc>
          <w:tcPr>
            <w:tcW w:w="3369"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Financial assets at fair value through surplus or deficit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23</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23</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c>
          <w:tcPr>
            <w:tcW w:w="1261"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w:t>
            </w:r>
          </w:p>
        </w:tc>
      </w:tr>
      <w:tr>
        <w:trPr>
          <w:cantSplit/>
        </w:trPr>
        <w:tc>
          <w:tcPr>
            <w:tcW w:w="33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at 31.12.2017</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66 940</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63 486</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2 887</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359</w:t>
            </w:r>
          </w:p>
        </w:tc>
        <w:tc>
          <w:tcPr>
            <w:tcW w:w="126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208</w:t>
            </w:r>
          </w:p>
        </w:tc>
      </w:tr>
    </w:tbl>
    <w:p>
      <w:pPr>
        <w:pStyle w:val="HEADER5"/>
        <w:spacing w:before="360"/>
        <w:rPr>
          <w:noProof/>
        </w:rPr>
      </w:pPr>
    </w:p>
    <w:p>
      <w:pPr>
        <w:rPr>
          <w:rFonts w:ascii="Verdana" w:hAnsi="Verdana"/>
          <w:noProof/>
          <w:color w:val="016794"/>
          <w:sz w:val="18"/>
          <w:szCs w:val="18"/>
        </w:rPr>
      </w:pPr>
      <w:r>
        <w:rPr>
          <w:noProof/>
        </w:rPr>
        <w:br w:type="page"/>
      </w:r>
    </w:p>
    <w:p>
      <w:pPr>
        <w:pStyle w:val="HEADER5"/>
        <w:spacing w:before="360"/>
        <w:rPr>
          <w:noProof/>
        </w:rPr>
      </w:pPr>
      <w:r>
        <w:rPr>
          <w:noProof/>
        </w:rPr>
        <w:t>Credit quality of financial assets that are neither past due nor impaired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275"/>
        <w:gridCol w:w="1276"/>
        <w:gridCol w:w="1276"/>
        <w:gridCol w:w="1276"/>
        <w:gridCol w:w="1417"/>
      </w:tblGrid>
      <w:t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80" w:name="DOC_TBL00092_1_1"/>
            <w:bookmarkEnd w:id="180"/>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7938" w:type="dxa"/>
            <w:gridSpan w:val="6"/>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31.12.2018</w:t>
            </w:r>
          </w:p>
        </w:tc>
      </w:tr>
      <w:tr>
        <w:trPr>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Available for sale*</w:t>
            </w:r>
          </w:p>
        </w:tc>
        <w:tc>
          <w:tcPr>
            <w:tcW w:w="1275"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Financial assets at FVSD**</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Loans </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Receivables and recoverables</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Cash</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Total</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Counterparties with external credit rating</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Prime and high grade</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8 097</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8 546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13 941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30 600</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Upper medium grade</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2 903</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23 513</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746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2 622</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29 784</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Lower medium grade</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1 487</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25 774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1 454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163</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28 877</w:t>
            </w:r>
          </w:p>
        </w:tc>
      </w:tr>
      <w:tr>
        <w:trPr>
          <w:trHeight w:val="247"/>
        </w:trPr>
        <w:tc>
          <w:tcPr>
            <w:tcW w:w="19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Non-investment grade</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4 488</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199</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217</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4 904</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12 487</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53 775</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10 944</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16 942</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94 165</w:t>
            </w:r>
          </w:p>
        </w:tc>
      </w:tr>
      <w:tr>
        <w:trPr>
          <w:trHeight w:val="247"/>
        </w:trPr>
        <w:tc>
          <w:tcPr>
            <w:tcW w:w="195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Counterparties without external credit rating</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Debtors without defaults in the past</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3 455</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3 520</w:t>
            </w:r>
          </w:p>
        </w:tc>
      </w:tr>
      <w:tr>
        <w:trPr>
          <w:trHeight w:val="247"/>
        </w:trPr>
        <w:tc>
          <w:tcPr>
            <w:tcW w:w="19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Debtors with defaults in the past</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0</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64</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3 455</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3</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3 522</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12 487</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53 840</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14 399</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16 946</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97 687</w:t>
            </w:r>
          </w:p>
        </w:tc>
      </w:tr>
      <w:t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r>
              <w:rPr>
                <w:lang w:bidi="en-GB"/>
              </w:rPr>
              <w:t xml:space="preserve"> </w:t>
            </w:r>
            <w:bookmarkStart w:id="181" w:name="DOC_TBL00093_1_1"/>
            <w:bookmarkEnd w:id="181"/>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Text7pItalicRight025"/>
              <w:rPr>
                <w:rFonts w:eastAsia="Verdana" w:cs="Verdana"/>
                <w:lang w:bidi="en-GB"/>
              </w:rPr>
            </w:pPr>
            <w:r>
              <w:rPr>
                <w:rFonts w:eastAsia="Verdana" w:cs="Verdana"/>
                <w:lang w:bidi="en-GB"/>
              </w:rPr>
              <w:t>EUR million</w:t>
            </w:r>
          </w:p>
        </w:tc>
      </w:tr>
      <w:tr>
        <w:trPr>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7938" w:type="dxa"/>
            <w:gridSpan w:val="6"/>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31.12.2017</w:t>
            </w:r>
          </w:p>
        </w:tc>
      </w:tr>
      <w:tr>
        <w:trPr>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Available for sale*</w:t>
            </w:r>
          </w:p>
        </w:tc>
        <w:tc>
          <w:tcPr>
            <w:tcW w:w="1275"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Financial assets at FVSD**</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 xml:space="preserve">Loans </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Receivables and recoverables</w:t>
            </w:r>
          </w:p>
        </w:tc>
        <w:tc>
          <w:tcPr>
            <w:tcW w:w="1276"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Cash</w:t>
            </w:r>
          </w:p>
        </w:tc>
        <w:tc>
          <w:tcPr>
            <w:tcW w:w="1417" w:type="dxa"/>
            <w:tcBorders>
              <w:top w:val="nil"/>
              <w:left w:val="nil"/>
              <w:bottom w:val="nil"/>
              <w:right w:val="nil"/>
            </w:tcBorders>
            <w:shd w:val="clear" w:color="auto" w:fill="016794"/>
            <w:tcMar>
              <w:top w:w="0" w:type="dxa"/>
              <w:left w:w="108" w:type="dxa"/>
              <w:bottom w:w="0" w:type="dxa"/>
              <w:right w:w="108" w:type="dxa"/>
            </w:tcMar>
          </w:tcPr>
          <w:p>
            <w:pPr>
              <w:pStyle w:val="Heading8pNormalCentered"/>
              <w:rPr>
                <w:rFonts w:eastAsia="Verdana" w:cs="Verdana"/>
                <w:lang w:bidi="en-GB"/>
              </w:rPr>
            </w:pPr>
            <w:r>
              <w:rPr>
                <w:rFonts w:eastAsia="Verdana" w:cs="Verdana"/>
                <w:lang w:bidi="en-GB"/>
              </w:rPr>
              <w:t>Total</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Counterparties with external credit rating</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Prime and high grade</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6 989</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2 938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18 436</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28 422</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Upper medium grade</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1 569</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23 584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283</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3 851</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29 287</w:t>
            </w: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Lower medium grade</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1 831</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27 195</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842</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442</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30 311</w:t>
            </w:r>
          </w:p>
        </w:tc>
      </w:tr>
      <w:tr>
        <w:trPr>
          <w:trHeight w:val="247"/>
        </w:trPr>
        <w:tc>
          <w:tcPr>
            <w:tcW w:w="19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Non-investment grade</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3 977</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108</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381</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4 465</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10 390</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16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54 799</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4 172</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23 109</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92 485</w:t>
            </w:r>
          </w:p>
        </w:tc>
      </w:tr>
      <w:tr>
        <w:trPr>
          <w:trHeight w:val="247"/>
        </w:trPr>
        <w:tc>
          <w:tcPr>
            <w:tcW w:w="1951"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Counterparties without external credit rating</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8pBoldRight025"/>
              <w:rPr>
                <w:rFonts w:eastAsia="Verdana" w:cs="Verdana"/>
                <w:lang w:bidi="en-GB"/>
              </w:rPr>
            </w:pPr>
          </w:p>
        </w:tc>
      </w:tr>
      <w:tr>
        <w:trPr>
          <w:trHeight w:val="247"/>
        </w:trPr>
        <w:tc>
          <w:tcPr>
            <w:tcW w:w="1951"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Debtors without defaults in the past</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6</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78</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4 414</w:t>
            </w:r>
          </w:p>
        </w:tc>
        <w:tc>
          <w:tcPr>
            <w:tcW w:w="1276"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3</w:t>
            </w:r>
          </w:p>
        </w:tc>
        <w:tc>
          <w:tcPr>
            <w:tcW w:w="1417" w:type="dxa"/>
            <w:tcBorders>
              <w:top w:val="nil"/>
              <w:left w:val="nil"/>
              <w:bottom w:val="nil"/>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4 502</w:t>
            </w:r>
          </w:p>
        </w:tc>
      </w:tr>
      <w:tr>
        <w:trPr>
          <w:trHeight w:val="247"/>
        </w:trPr>
        <w:tc>
          <w:tcPr>
            <w:tcW w:w="1951"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8pItalicLeft"/>
              <w:rPr>
                <w:rFonts w:eastAsia="Verdana" w:cs="Verdana"/>
                <w:lang w:bidi="en-GB"/>
              </w:rPr>
            </w:pPr>
            <w:r>
              <w:rPr>
                <w:rFonts w:eastAsia="Verdana" w:cs="Verdana"/>
                <w:lang w:bidi="en-GB"/>
              </w:rPr>
              <w:t>Debtors with defaults in the past</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5"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8pItalicRight025"/>
              <w:rPr>
                <w:rFonts w:eastAsia="Verdana" w:cs="Verdana"/>
                <w:lang w:bidi="en-GB"/>
              </w:rPr>
            </w:pPr>
            <w:r>
              <w:rPr>
                <w:rFonts w:eastAsia="Verdana" w:cs="Verdana"/>
                <w:lang w:bidi="en-GB"/>
              </w:rPr>
              <w:t xml:space="preserve"> 1</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78</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4 415</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3</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4 503</w:t>
            </w:r>
          </w:p>
        </w:tc>
      </w:tr>
      <w:tr>
        <w:trPr>
          <w:trHeight w:val="247"/>
        </w:trPr>
        <w:tc>
          <w:tcPr>
            <w:tcW w:w="19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8pBoldLeft"/>
              <w:rPr>
                <w:rFonts w:eastAsia="Verdana" w:cs="Verdana"/>
                <w:lang w:bidi="en-GB"/>
              </w:rPr>
            </w:pPr>
            <w:r>
              <w:rPr>
                <w:rFonts w:eastAsia="Verdana" w:cs="Verdana"/>
                <w:lang w:bidi="en-GB"/>
              </w:rPr>
              <w:t>Total</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10 390</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 xml:space="preserve"> 23</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54 877</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8 586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23 113</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8pBoldRight025"/>
              <w:rPr>
                <w:rFonts w:eastAsia="Verdana" w:cs="Verdana"/>
                <w:lang w:bidi="en-GB"/>
              </w:rPr>
            </w:pPr>
            <w:r>
              <w:rPr>
                <w:rFonts w:eastAsia="Verdana" w:cs="Verdana"/>
                <w:lang w:bidi="en-GB"/>
              </w:rPr>
              <w:t>96 988</w:t>
            </w:r>
          </w:p>
        </w:tc>
      </w:tr>
    </w:tbl>
    <w:p>
      <w:pPr>
        <w:rPr>
          <w:noProof/>
          <w:lang w:bidi="en-GB"/>
        </w:rPr>
      </w:pPr>
    </w:p>
    <w:p>
      <w:pPr>
        <w:pStyle w:val="Textstand-alone"/>
        <w:tabs>
          <w:tab w:val="left" w:pos="284"/>
        </w:tabs>
        <w:spacing w:before="60" w:after="0"/>
        <w:rPr>
          <w:i/>
          <w:sz w:val="14"/>
          <w:lang w:bidi="en-GB"/>
        </w:rPr>
      </w:pPr>
      <w:r>
        <w:rPr>
          <w:i/>
          <w:sz w:val="16"/>
          <w:lang w:bidi="en-GB"/>
        </w:rPr>
        <w:t>*</w:t>
      </w:r>
      <w:r>
        <w:rPr>
          <w:i/>
          <w:sz w:val="14"/>
          <w:lang w:bidi="en-GB"/>
        </w:rPr>
        <w:tab/>
        <w:t xml:space="preserve"> Available for sale financial assets (excluding equity instruments and Unitary Fund).</w:t>
      </w:r>
    </w:p>
    <w:p>
      <w:pPr>
        <w:pStyle w:val="Textstand-alone"/>
        <w:tabs>
          <w:tab w:val="left" w:pos="284"/>
        </w:tabs>
        <w:spacing w:before="0" w:after="0"/>
        <w:rPr>
          <w:i/>
          <w:sz w:val="14"/>
          <w:lang w:bidi="en-GB"/>
        </w:rPr>
      </w:pPr>
      <w:r>
        <w:rPr>
          <w:i/>
          <w:sz w:val="16"/>
          <w:lang w:bidi="en-GB"/>
        </w:rPr>
        <w:t>**</w:t>
      </w:r>
      <w:r>
        <w:rPr>
          <w:i/>
          <w:sz w:val="14"/>
          <w:lang w:bidi="en-GB"/>
        </w:rPr>
        <w:tab/>
        <w:t xml:space="preserve"> Financial assets at fair value through surplus or deficit.</w:t>
      </w:r>
    </w:p>
    <w:p>
      <w:pPr>
        <w:pStyle w:val="Textstand-alone"/>
        <w:tabs>
          <w:tab w:val="left" w:pos="284"/>
        </w:tabs>
        <w:spacing w:before="0" w:after="0"/>
        <w:rPr>
          <w:i/>
          <w:sz w:val="14"/>
          <w:lang w:bidi="en-GB"/>
        </w:rPr>
        <w:sectPr>
          <w:headerReference w:type="even" r:id="rId287"/>
          <w:headerReference w:type="default" r:id="rId288"/>
          <w:footerReference w:type="even" r:id="rId289"/>
          <w:footerReference w:type="default" r:id="rId290"/>
          <w:headerReference w:type="first" r:id="rId291"/>
          <w:footerReference w:type="first" r:id="rId292"/>
          <w:pgSz w:w="11906" w:h="16838"/>
          <w:pgMar w:top="1134" w:right="1134" w:bottom="1134" w:left="1134" w:header="708" w:footer="708" w:gutter="0"/>
          <w:cols w:space="708"/>
          <w:docGrid w:linePitch="360"/>
        </w:sectPr>
      </w:pPr>
      <w:r>
        <w:rPr>
          <w:i/>
          <w:sz w:val="14"/>
          <w:lang w:bidi="en-GB"/>
        </w:rPr>
        <w:t xml:space="preserve"> </w:t>
      </w:r>
      <w:bookmarkEnd w:id="178"/>
    </w:p>
    <w:p>
      <w:pPr>
        <w:pStyle w:val="HEADER2NOTES"/>
        <w:rPr>
          <w:noProof/>
          <w:lang w:val="fr-BE"/>
        </w:rPr>
      </w:pPr>
      <w:bookmarkStart w:id="182" w:name="_DMBM_13955"/>
      <w:r>
        <w:rPr>
          <w:noProof/>
          <w:lang w:val="fr-BE"/>
        </w:rPr>
        <w:t>LIQUIDITY RISK</w:t>
      </w:r>
    </w:p>
    <w:p>
      <w:pPr>
        <w:pStyle w:val="HEADER5"/>
        <w:rPr>
          <w:noProof/>
        </w:rPr>
      </w:pPr>
      <w:r>
        <w:rPr>
          <w:noProof/>
        </w:rPr>
        <w:t>Maturity analysis of financial liabilities by remaining contractual maturity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trPr>
          <w:cantSplit/>
        </w:trPr>
        <w:tc>
          <w:tcPr>
            <w:tcW w:w="3794"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83" w:name="DOC_TBL00094_1_1"/>
            <w:bookmarkEnd w:id="183"/>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rPr>
          <w:cantSplit/>
        </w:trP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48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&lt; 1 year</w:t>
            </w:r>
          </w:p>
        </w:tc>
        <w:tc>
          <w:tcPr>
            <w:tcW w:w="148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1-5 years</w:t>
            </w: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&gt; 5 years</w:t>
            </w:r>
          </w:p>
        </w:tc>
        <w:tc>
          <w:tcPr>
            <w:tcW w:w="1559"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Total</w:t>
            </w:r>
          </w:p>
        </w:tc>
      </w:tr>
      <w:tr>
        <w:trPr>
          <w:cantSplit/>
        </w:trP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Borrowings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(2 254)</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(17 363)</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(34 158)</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(53 775)</w:t>
            </w:r>
          </w:p>
        </w:tc>
      </w:tr>
      <w:tr>
        <w:trPr>
          <w:cantSplit/>
        </w:trP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Payables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(32 539)</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(32 539)</w:t>
            </w:r>
          </w:p>
        </w:tc>
      </w:tr>
      <w:tr>
        <w:trPr>
          <w:cantSplit/>
        </w:trPr>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financial liabilities</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(221)</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(533)</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(702)</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(1 456)</w:t>
            </w:r>
          </w:p>
        </w:tc>
      </w:tr>
      <w:tr>
        <w:trPr>
          <w:cantSplit/>
        </w:trP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at 31.12.2018</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(35 013)</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(17 897)</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(34 860)</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(87 770)</w:t>
            </w:r>
          </w:p>
        </w:tc>
      </w:tr>
      <w:tr>
        <w:trPr>
          <w:cantSplit/>
        </w:trP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Borrowings</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(6 695)</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(14 769)</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(33 279)</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(54 744)</w:t>
            </w:r>
          </w:p>
        </w:tc>
      </w:tr>
      <w:tr>
        <w:trPr>
          <w:cantSplit/>
        </w:trP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Payables</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(39 376)</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(39 376)</w:t>
            </w:r>
          </w:p>
        </w:tc>
      </w:tr>
      <w:tr>
        <w:trPr>
          <w:cantSplit/>
        </w:trPr>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pPr>
              <w:pStyle w:val="Text9pItalicLeft"/>
              <w:rPr>
                <w:rFonts w:eastAsia="Verdana" w:cs="Verdana"/>
                <w:lang w:bidi="en-GB"/>
              </w:rPr>
            </w:pPr>
            <w:r>
              <w:rPr>
                <w:rFonts w:eastAsia="Verdana" w:cs="Verdana"/>
                <w:lang w:bidi="en-GB"/>
              </w:rPr>
              <w:t>Other financial liabilities</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(118)</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(556)</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 xml:space="preserve"> (807)</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pPr>
              <w:pStyle w:val="Figures9pItalicRight025"/>
              <w:rPr>
                <w:rFonts w:eastAsia="Verdana" w:cs="Verdana"/>
                <w:lang w:bidi="en-GB"/>
              </w:rPr>
            </w:pPr>
            <w:r>
              <w:rPr>
                <w:rFonts w:eastAsia="Verdana" w:cs="Verdana"/>
                <w:lang w:bidi="en-GB"/>
              </w:rPr>
              <w:t>(1 482)</w:t>
            </w:r>
          </w:p>
        </w:tc>
      </w:tr>
      <w:tr>
        <w:trPr>
          <w:cantSplit/>
        </w:trP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Total at 31.12.2017</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(46 189)</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(15 325)</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(34 087)</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(95 601)</w:t>
            </w:r>
          </w:p>
        </w:tc>
      </w:tr>
    </w:tbl>
    <w:p>
      <w:pPr>
        <w:pStyle w:val="DGTextstand-alone"/>
        <w:spacing w:before="0" w:after="0"/>
        <w:rPr>
          <w:lang w:bidi="en-GB"/>
        </w:rPr>
      </w:pPr>
      <w:r>
        <w:rPr>
          <w:lang w:bidi="en-GB"/>
        </w:rPr>
        <w:t xml:space="preserve"> </w:t>
      </w:r>
    </w:p>
    <w:p>
      <w:pPr>
        <w:pStyle w:val="HEADER5"/>
        <w:rPr>
          <w:noProof/>
          <w:lang w:bidi="en-GB"/>
        </w:rPr>
      </w:pPr>
      <w:r>
        <w:rPr>
          <w:noProof/>
          <w:lang w:bidi="en-GB"/>
        </w:rPr>
        <w:t xml:space="preserve">Financial instruments at fair value through surplus or deficit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tc>
          <w:tcPr>
            <w:tcW w:w="3794" w:type="dxa"/>
            <w:tcBorders>
              <w:top w:val="nil"/>
              <w:left w:val="nil"/>
              <w:bottom w:val="nil"/>
              <w:right w:val="nil"/>
            </w:tcBorders>
            <w:shd w:val="clear" w:color="auto" w:fill="auto"/>
            <w:tcMar>
              <w:top w:w="0" w:type="dxa"/>
              <w:left w:w="108" w:type="dxa"/>
              <w:bottom w:w="0" w:type="dxa"/>
              <w:right w:w="108" w:type="dxa"/>
            </w:tcMar>
          </w:tcPr>
          <w:p>
            <w:pPr>
              <w:pStyle w:val="Text8pItalicLeft"/>
              <w:rPr>
                <w:rFonts w:eastAsia="Verdana" w:cs="Verdana"/>
                <w:color w:val="FFFFFF"/>
                <w:lang w:bidi="en-GB"/>
              </w:rPr>
            </w:pPr>
            <w:bookmarkStart w:id="184" w:name="DOC_TBL00095_1_1"/>
            <w:bookmarkEnd w:id="184"/>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pPr>
              <w:pStyle w:val="Text8pItalicRight025EUR"/>
              <w:rPr>
                <w:rFonts w:eastAsia="Verdana" w:cs="Verdana"/>
                <w:lang w:bidi="en-GB"/>
              </w:rPr>
            </w:pPr>
            <w:r>
              <w:rPr>
                <w:rFonts w:eastAsia="Verdana" w:cs="Verdana"/>
                <w:lang w:bidi="en-GB"/>
              </w:rPr>
              <w:t>EUR million</w:t>
            </w:r>
          </w:p>
        </w:tc>
      </w:tr>
      <w:tr>
        <w:tc>
          <w:tcPr>
            <w:tcW w:w="3794" w:type="dxa"/>
            <w:tcBorders>
              <w:top w:val="nil"/>
              <w:left w:val="nil"/>
              <w:bottom w:val="nil"/>
              <w:right w:val="nil"/>
            </w:tcBorders>
            <w:shd w:val="clear" w:color="auto" w:fill="016794"/>
            <w:tcMar>
              <w:top w:w="0" w:type="dxa"/>
              <w:left w:w="108" w:type="dxa"/>
              <w:bottom w:w="0" w:type="dxa"/>
              <w:right w:w="108" w:type="dxa"/>
            </w:tcMar>
          </w:tcPr>
          <w:p>
            <w:pPr>
              <w:pStyle w:val="Heading9pNormalLeft"/>
              <w:rPr>
                <w:rFonts w:eastAsia="Verdana" w:cs="Verdana"/>
                <w:noProof/>
                <w:lang w:bidi="en-GB"/>
              </w:rPr>
            </w:pPr>
          </w:p>
        </w:tc>
        <w:tc>
          <w:tcPr>
            <w:tcW w:w="148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&lt; 1 year</w:t>
            </w:r>
          </w:p>
        </w:tc>
        <w:tc>
          <w:tcPr>
            <w:tcW w:w="148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1-5 years</w:t>
            </w:r>
          </w:p>
        </w:tc>
        <w:tc>
          <w:tcPr>
            <w:tcW w:w="1418"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&gt; 5 years</w:t>
            </w:r>
          </w:p>
        </w:tc>
        <w:tc>
          <w:tcPr>
            <w:tcW w:w="1559" w:type="dxa"/>
            <w:tcBorders>
              <w:top w:val="nil"/>
              <w:left w:val="nil"/>
              <w:bottom w:val="nil"/>
              <w:right w:val="nil"/>
            </w:tcBorders>
            <w:shd w:val="clear" w:color="auto" w:fill="016794"/>
            <w:tcMar>
              <w:top w:w="0" w:type="dxa"/>
              <w:left w:w="108" w:type="dxa"/>
              <w:bottom w:w="0" w:type="dxa"/>
              <w:right w:w="108" w:type="dxa"/>
            </w:tcMar>
          </w:tcPr>
          <w:p>
            <w:pPr>
              <w:pStyle w:val="Heading-9pNormalCentered"/>
              <w:rPr>
                <w:rFonts w:eastAsia="Verdana" w:cs="Verdana"/>
                <w:lang w:bidi="en-GB"/>
              </w:rPr>
            </w:pPr>
            <w:r>
              <w:rPr>
                <w:rFonts w:eastAsia="Verdana" w:cs="Verdana"/>
                <w:lang w:bidi="en-GB"/>
              </w:rPr>
              <w:t>Total</w:t>
            </w:r>
          </w:p>
        </w:tc>
      </w:tr>
      <w:tr>
        <w:tc>
          <w:tcPr>
            <w:tcW w:w="3794" w:type="dxa"/>
            <w:tcBorders>
              <w:top w:val="nil"/>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Derivative pay leg</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(490)</w:t>
            </w:r>
          </w:p>
        </w:tc>
        <w:tc>
          <w:tcPr>
            <w:tcW w:w="148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(2)</w:t>
            </w:r>
          </w:p>
        </w:tc>
        <w:tc>
          <w:tcPr>
            <w:tcW w:w="1418"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(6)</w:t>
            </w:r>
          </w:p>
        </w:tc>
        <w:tc>
          <w:tcPr>
            <w:tcW w:w="1559" w:type="dxa"/>
            <w:tcBorders>
              <w:top w:val="nil"/>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(498)</w:t>
            </w:r>
          </w:p>
        </w:tc>
      </w:tr>
      <w:tr>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Derivative receive leg</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477</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477</w:t>
            </w:r>
          </w:p>
        </w:tc>
      </w:tr>
      <w:t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Net cash flows at 31.12.2018</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(14)</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(6)</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(21)</w:t>
            </w:r>
          </w:p>
        </w:tc>
      </w:tr>
      <w:t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Derivative pay leg</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(634)</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(2)</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(635)</w:t>
            </w:r>
          </w:p>
        </w:tc>
      </w:tr>
      <w:tr>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pPr>
              <w:pStyle w:val="Text9pNormalLeft"/>
              <w:rPr>
                <w:rFonts w:eastAsia="Verdana" w:cs="Verdana"/>
                <w:i/>
                <w:lang w:bidi="en-GB"/>
              </w:rPr>
            </w:pPr>
            <w:r>
              <w:rPr>
                <w:rFonts w:eastAsia="Verdana" w:cs="Verdana"/>
                <w:i/>
                <w:lang w:bidi="en-GB"/>
              </w:rPr>
              <w:t>Derivative receive leg</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638</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pPr>
              <w:pStyle w:val="Figures9pNormalRight025"/>
              <w:rPr>
                <w:rFonts w:eastAsia="Verdana" w:cs="Verdana"/>
                <w:i/>
                <w:lang w:bidi="en-GB"/>
              </w:rPr>
            </w:pPr>
            <w:r>
              <w:rPr>
                <w:rFonts w:eastAsia="Verdana" w:cs="Verdana"/>
                <w:i/>
                <w:lang w:bidi="en-GB"/>
              </w:rPr>
              <w:t xml:space="preserve"> 638</w:t>
            </w:r>
          </w:p>
        </w:tc>
      </w:tr>
      <w:t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Text9pBoldLeft"/>
              <w:rPr>
                <w:rFonts w:eastAsia="Verdana" w:cs="Verdana"/>
                <w:lang w:bidi="en-GB"/>
              </w:rPr>
            </w:pPr>
            <w:r>
              <w:rPr>
                <w:rFonts w:eastAsia="Verdana" w:cs="Verdana"/>
                <w:lang w:bidi="en-GB"/>
              </w:rPr>
              <w:t>Net cash flows at 31.12.2017</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5</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(2)</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pPr>
              <w:pStyle w:val="Figures9pBoldRight025"/>
              <w:rPr>
                <w:rFonts w:eastAsia="Verdana" w:cs="Verdana"/>
                <w:lang w:bidi="en-GB"/>
              </w:rPr>
            </w:pPr>
            <w:r>
              <w:rPr>
                <w:rFonts w:eastAsia="Verdana" w:cs="Verdana"/>
                <w:lang w:bidi="en-GB"/>
              </w:rPr>
              <w:t xml:space="preserve"> 3</w:t>
            </w:r>
          </w:p>
        </w:tc>
      </w:tr>
    </w:tbl>
    <w:p>
      <w:pPr>
        <w:pStyle w:val="DGTextstand-alone"/>
        <w:rPr>
          <w:lang w:bidi="en-GB"/>
        </w:rPr>
        <w:sectPr>
          <w:headerReference w:type="even" r:id="rId293"/>
          <w:headerReference w:type="default" r:id="rId294"/>
          <w:footerReference w:type="even" r:id="rId295"/>
          <w:footerReference w:type="default" r:id="rId296"/>
          <w:headerReference w:type="first" r:id="rId297"/>
          <w:footerReference w:type="first" r:id="rId298"/>
          <w:type w:val="continuous"/>
          <w:pgSz w:w="11906" w:h="16838"/>
          <w:pgMar w:top="1134" w:right="1134" w:bottom="1134" w:left="1134" w:header="709" w:footer="709" w:gutter="0"/>
          <w:cols w:space="708"/>
          <w:docGrid w:linePitch="360"/>
        </w:sectPr>
      </w:pPr>
      <w:r>
        <w:rPr>
          <w:lang w:bidi="en-GB"/>
        </w:rPr>
        <w:t xml:space="preserve"> </w:t>
      </w:r>
      <w:bookmarkEnd w:id="182"/>
    </w:p>
    <w:p>
      <w:pPr>
        <w:pStyle w:val="HEADER2NOTES"/>
        <w:rPr>
          <w:noProof/>
        </w:rPr>
      </w:pPr>
      <w:bookmarkStart w:id="185" w:name="_DMBM_14058"/>
      <w:r>
        <w:rPr>
          <w:noProof/>
        </w:rPr>
        <w:t xml:space="preserve">CARRYING AMOUNT AND FAIR VALUE OF FINANCIAL INSTRUMENTS </w:t>
      </w:r>
    </w:p>
    <w:p>
      <w:pPr>
        <w:pStyle w:val="DGTextstand-alone"/>
      </w:pPr>
      <w:r>
        <w:t>The following classes of financial assets and liabilities are not measured at fair value: cash and cash equivalents, loans, exchange receivables and non-exchange recoverables, borrowings and other financial liabilities at amortised cost. The carrying amount of those financial assets and liabilities is considered as a reasonable approximation of their fair value.</w:t>
      </w:r>
    </w:p>
    <w:p>
      <w:pPr>
        <w:pStyle w:val="DGTextstand-alone"/>
        <w:sectPr>
          <w:headerReference w:type="even" r:id="rId299"/>
          <w:headerReference w:type="default" r:id="rId300"/>
          <w:footerReference w:type="even" r:id="rId301"/>
          <w:footerReference w:type="default" r:id="rId302"/>
          <w:headerReference w:type="first" r:id="rId303"/>
          <w:footerReference w:type="first" r:id="rId304"/>
          <w:type w:val="continuous"/>
          <w:pgSz w:w="11906" w:h="16838"/>
          <w:pgMar w:top="1134" w:right="1134" w:bottom="1134" w:left="1134" w:header="709" w:footer="709" w:gutter="0"/>
          <w:cols w:space="708"/>
          <w:docGrid w:linePitch="360"/>
        </w:sectPr>
      </w:pPr>
      <w:r>
        <w:t xml:space="preserve"> </w:t>
      </w:r>
      <w:bookmarkEnd w:id="185"/>
    </w:p>
    <w:p>
      <w:pPr>
        <w:pStyle w:val="HEADER1NOTES"/>
        <w:rPr>
          <w:noProof/>
        </w:rPr>
      </w:pPr>
      <w:bookmarkStart w:id="186" w:name="_Toc11403256"/>
      <w:bookmarkStart w:id="187" w:name="_DMBM_14054"/>
      <w:r>
        <w:rPr>
          <w:noProof/>
        </w:rPr>
        <w:t>RELATED PARTIES</w:t>
      </w:r>
      <w:bookmarkEnd w:id="186"/>
    </w:p>
    <w:p>
      <w:pPr>
        <w:pStyle w:val="DGTextstand-alone"/>
      </w:pPr>
      <w:r>
        <w:t>The related parties of the entity are the EU consolidated entities and the key management personnel of these entities. Transactions between these entities take place as part of the normal operations of the EU and as this is the case, no specific disclosure requirements are necessary for these transactions in accordance with the EU accounting rules.</w:t>
      </w:r>
    </w:p>
    <w:p>
      <w:pPr>
        <w:pStyle w:val="DGTextstand-alone"/>
        <w:sectPr>
          <w:headerReference w:type="even" r:id="rId305"/>
          <w:headerReference w:type="default" r:id="rId306"/>
          <w:footerReference w:type="even" r:id="rId307"/>
          <w:footerReference w:type="default" r:id="rId308"/>
          <w:headerReference w:type="first" r:id="rId309"/>
          <w:footerReference w:type="first" r:id="rId310"/>
          <w:pgSz w:w="11906" w:h="16838"/>
          <w:pgMar w:top="1134" w:right="1134" w:bottom="1134" w:left="1134" w:header="709" w:footer="709" w:gutter="0"/>
          <w:cols w:space="708"/>
          <w:docGrid w:linePitch="360"/>
        </w:sectPr>
      </w:pPr>
      <w:r>
        <w:t xml:space="preserve">Details on key management entitlements are provided in note </w:t>
      </w:r>
      <w:r>
        <w:rPr>
          <w:b/>
        </w:rPr>
        <w:t xml:space="preserve">7 </w:t>
      </w:r>
      <w:r>
        <w:t xml:space="preserve">of the EU consolidated annual accounts. </w:t>
      </w:r>
      <w:bookmarkEnd w:id="187"/>
    </w:p>
    <w:p>
      <w:pPr>
        <w:pStyle w:val="HEADER1NOTES"/>
        <w:rPr>
          <w:noProof/>
        </w:rPr>
      </w:pPr>
      <w:bookmarkStart w:id="188" w:name="_Toc11403257"/>
      <w:bookmarkStart w:id="189" w:name="_DMBM_14059"/>
      <w:r>
        <w:rPr>
          <w:noProof/>
        </w:rPr>
        <w:t>EVENTS AFTER THE BALANCE SHEET DATE</w:t>
      </w:r>
      <w:bookmarkEnd w:id="188"/>
    </w:p>
    <w:p>
      <w:pPr>
        <w:pStyle w:val="DGTextstand-alone"/>
      </w:pPr>
      <w:r>
        <w:t>At the date of signature of these accounts no material issues had come to the attention of, or were reported to, the Accounting Officer of the Commission that would require separate disclosure under this section. The accounts and related notes were prepared using the most recently available information and this is reflected in the information presented.</w:t>
      </w:r>
    </w:p>
    <w:p>
      <w:pPr>
        <w:pStyle w:val="DGTextstand-alone"/>
        <w:sectPr>
          <w:headerReference w:type="even" r:id="rId311"/>
          <w:headerReference w:type="default" r:id="rId312"/>
          <w:footerReference w:type="even" r:id="rId313"/>
          <w:footerReference w:type="default" r:id="rId314"/>
          <w:headerReference w:type="first" r:id="rId315"/>
          <w:footerReference w:type="first" r:id="rId316"/>
          <w:pgSz w:w="11906" w:h="16838"/>
          <w:pgMar w:top="1134" w:right="1134" w:bottom="1134" w:left="1134" w:header="709" w:footer="709" w:gutter="0"/>
          <w:cols w:space="708"/>
          <w:docGrid w:linePitch="360"/>
        </w:sectPr>
      </w:pPr>
      <w:r>
        <w:t xml:space="preserve"> </w:t>
      </w:r>
      <w:bookmarkEnd w:id="189"/>
    </w:p>
    <w:p>
      <w:pPr>
        <w:pStyle w:val="FinancialYear"/>
        <w:rPr>
          <w:noProof/>
        </w:rPr>
      </w:pPr>
      <w:bookmarkStart w:id="190" w:name="_DMBM_13998"/>
      <w:r>
        <w:rPr>
          <w:noProof/>
        </w:rPr>
        <w:t>EUROPEAN COMMISSION</w:t>
      </w:r>
    </w:p>
    <w:p>
      <w:pPr>
        <w:pStyle w:val="FinancialYear"/>
        <w:rPr>
          <w:noProof/>
        </w:rPr>
      </w:pPr>
      <w:r>
        <w:rPr>
          <w:noProof/>
        </w:rPr>
        <w:t>FINANCIAL YEAR 2018</w:t>
      </w:r>
    </w:p>
    <w:p>
      <w:pPr>
        <w:pStyle w:val="FIRSTCHAPTERPAGE"/>
        <w:rPr>
          <w:noProof/>
        </w:rPr>
      </w:pPr>
    </w:p>
    <w:p>
      <w:pPr>
        <w:pStyle w:val="FIRSTCHAPTERPAGE"/>
        <w:rPr>
          <w:noProof/>
        </w:rPr>
      </w:pPr>
    </w:p>
    <w:p>
      <w:pPr>
        <w:pStyle w:val="FIRSTCHAPTERPAGE"/>
        <w:rPr>
          <w:noProof/>
        </w:rPr>
      </w:pPr>
    </w:p>
    <w:p>
      <w:pPr>
        <w:pStyle w:val="FIRSTCHAPTERPAGE"/>
        <w:rPr>
          <w:noProof/>
        </w:rPr>
      </w:pPr>
    </w:p>
    <w:p>
      <w:pPr>
        <w:pStyle w:val="FIRSTCHAPTERPAGE"/>
        <w:rPr>
          <w:noProof/>
        </w:rPr>
      </w:pPr>
      <w:bookmarkStart w:id="191" w:name="_Toc11403238"/>
      <w:r>
        <w:rPr>
          <w:noProof/>
        </w:rPr>
        <w:t>BUDGETARY IMPLEMENTATION REPORTS</w:t>
      </w:r>
      <w:bookmarkEnd w:id="191"/>
      <w:r>
        <w:rPr>
          <w:noProof/>
        </w:rPr>
        <w:t xml:space="preserve"> </w:t>
      </w:r>
    </w:p>
    <w:p>
      <w:pPr>
        <w:pStyle w:val="FIRSTCHAPTERPAGE"/>
        <w:rPr>
          <w:noProof/>
        </w:rPr>
      </w:pPr>
    </w:p>
    <w:p>
      <w:pPr>
        <w:pStyle w:val="FIRSTCHAPTERPAGE"/>
        <w:rPr>
          <w:noProof/>
        </w:rPr>
      </w:pPr>
    </w:p>
    <w:p>
      <w:pPr>
        <w:pStyle w:val="FIRSTCHAPTERPAG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pPr>
    </w:p>
    <w:p>
      <w:pPr>
        <w:pStyle w:val="TOPHEADERNOTE"/>
        <w:rPr>
          <w:noProof/>
        </w:rPr>
        <w:sectPr>
          <w:headerReference w:type="even" r:id="rId317"/>
          <w:headerReference w:type="default" r:id="rId318"/>
          <w:footerReference w:type="even" r:id="rId319"/>
          <w:footerReference w:type="default" r:id="rId320"/>
          <w:headerReference w:type="first" r:id="rId321"/>
          <w:footerReference w:type="first" r:id="rId322"/>
          <w:pgSz w:w="11906" w:h="16838"/>
          <w:pgMar w:top="1134" w:right="1134" w:bottom="1134" w:left="1134" w:header="709" w:footer="709" w:gutter="0"/>
          <w:cols w:space="708"/>
          <w:docGrid w:linePitch="360"/>
        </w:sectPr>
      </w:pPr>
      <w:r>
        <w:rPr>
          <w:noProof/>
        </w:rPr>
        <w:t>It should be noted that due to the rounding of figures into millions of euros, some financial data in the tables below may appear not to add-up.</w:t>
      </w:r>
      <w:bookmarkEnd w:id="190"/>
    </w:p>
    <w:p>
      <w:pPr>
        <w:pStyle w:val="HEADERTABLE"/>
        <w:rPr>
          <w:noProof/>
        </w:rPr>
      </w:pPr>
      <w:bookmarkStart w:id="192" w:name="_DMBM_14051"/>
      <w:r>
        <w:rPr>
          <w:noProof/>
        </w:rPr>
        <w:t>CONTENTS</w:t>
      </w:r>
    </w:p>
    <w:p>
      <w:pPr>
        <w:pStyle w:val="TOC1"/>
        <w:tabs>
          <w:tab w:val="right" w:leader="dot" w:pos="9629"/>
        </w:tabs>
        <w:rPr>
          <w:rFonts w:asciiTheme="minorHAnsi" w:eastAsiaTheme="minorEastAsia" w:hAnsiTheme="minorHAnsi" w:cstheme="minorBidi"/>
          <w:noProof/>
          <w:color w:val="auto"/>
          <w:szCs w:val="22"/>
          <w:lang w:eastAsia="fr-BE"/>
        </w:rPr>
      </w:pPr>
      <w:r>
        <w:rPr>
          <w:noProof/>
          <w:color w:val="016794"/>
          <w:szCs w:val="22"/>
        </w:rPr>
        <w:fldChar w:fldCharType="begin"/>
      </w:r>
      <w:r>
        <w:rPr>
          <w:noProof/>
          <w:color w:val="016794"/>
          <w:szCs w:val="22"/>
        </w:rPr>
        <w:instrText xml:space="preserve"> TOC \t "HEADER 1_Part BUDG;1;HEADER 2_Part BUDG;2;HEADER_TITLE_2;1" </w:instrText>
      </w:r>
      <w:r>
        <w:rPr>
          <w:noProof/>
          <w:color w:val="016794"/>
          <w:szCs w:val="22"/>
        </w:rPr>
        <w:fldChar w:fldCharType="separate"/>
      </w:r>
      <w:r>
        <w:rPr>
          <w:noProof/>
        </w:rPr>
        <w:t>EU BUDGET RESULT</w:t>
      </w:r>
      <w:r>
        <w:rPr>
          <w:noProof/>
        </w:rPr>
        <w:tab/>
      </w:r>
      <w:r>
        <w:rPr>
          <w:noProof/>
        </w:rPr>
        <w:fldChar w:fldCharType="begin"/>
      </w:r>
      <w:r>
        <w:rPr>
          <w:noProof/>
        </w:rPr>
        <w:instrText xml:space="preserve"> PAGEREF _Toc11403542 \h </w:instrText>
      </w:r>
      <w:r>
        <w:rPr>
          <w:noProof/>
        </w:rPr>
      </w:r>
      <w:r>
        <w:rPr>
          <w:noProof/>
        </w:rPr>
        <w:fldChar w:fldCharType="separate"/>
      </w:r>
      <w:r>
        <w:rPr>
          <w:noProof/>
        </w:rPr>
        <w:t>59</w:t>
      </w:r>
      <w:r>
        <w:rPr>
          <w:noProof/>
        </w:rPr>
        <w:fldChar w:fldCharType="end"/>
      </w:r>
    </w:p>
    <w:p>
      <w:pPr>
        <w:pStyle w:val="TOC1"/>
        <w:tabs>
          <w:tab w:val="right" w:leader="dot" w:pos="9629"/>
        </w:tabs>
        <w:rPr>
          <w:rFonts w:asciiTheme="minorHAnsi" w:eastAsiaTheme="minorEastAsia" w:hAnsiTheme="minorHAnsi" w:cstheme="minorBidi"/>
          <w:noProof/>
          <w:color w:val="auto"/>
          <w:szCs w:val="22"/>
          <w:lang w:eastAsia="fr-BE"/>
        </w:rPr>
      </w:pPr>
      <w:r>
        <w:rPr>
          <w:noProof/>
        </w:rPr>
        <w:t>STATEMENT OF COMPARISON OF BUDGET AND ACTUAL AMOUNTS</w:t>
      </w:r>
      <w:r>
        <w:rPr>
          <w:noProof/>
        </w:rPr>
        <w:tab/>
      </w:r>
      <w:r>
        <w:rPr>
          <w:noProof/>
        </w:rPr>
        <w:fldChar w:fldCharType="begin"/>
      </w:r>
      <w:r>
        <w:rPr>
          <w:noProof/>
        </w:rPr>
        <w:instrText xml:space="preserve"> PAGEREF _Toc11403543 \h </w:instrText>
      </w:r>
      <w:r>
        <w:rPr>
          <w:noProof/>
        </w:rPr>
      </w:r>
      <w:r>
        <w:rPr>
          <w:noProof/>
        </w:rPr>
        <w:fldChar w:fldCharType="separate"/>
      </w:r>
      <w:r>
        <w:rPr>
          <w:noProof/>
        </w:rPr>
        <w:t>60</w:t>
      </w:r>
      <w:r>
        <w:rPr>
          <w:noProof/>
        </w:rPr>
        <w:fldChar w:fldCharType="end"/>
      </w:r>
    </w:p>
    <w:p>
      <w:pPr>
        <w:pStyle w:val="TOC1"/>
        <w:tabs>
          <w:tab w:val="left" w:pos="660"/>
          <w:tab w:val="right" w:leader="dot" w:pos="9629"/>
        </w:tabs>
        <w:rPr>
          <w:rFonts w:asciiTheme="minorHAnsi" w:eastAsiaTheme="minorEastAsia" w:hAnsiTheme="minorHAnsi" w:cstheme="minorBidi"/>
          <w:noProof/>
          <w:color w:val="auto"/>
          <w:szCs w:val="22"/>
          <w:lang w:eastAsia="fr-BE"/>
        </w:rPr>
      </w:pPr>
      <w:r>
        <w:rPr>
          <w:noProof/>
          <w14:scene3d>
            <w14:camera w14:prst="orthographicFront"/>
            <w14:lightRig w14:rig="threePt" w14:dir="t">
              <w14:rot w14:lat="0" w14:lon="0" w14:rev="0"/>
            </w14:lightRig>
          </w14:scene3d>
          <w14:props3d w14:extrusionH="0" w14:contourW="0" w14:prstMaterial="warmMatte"/>
        </w:rPr>
        <w:t>1.</w:t>
      </w:r>
      <w:r>
        <w:rPr>
          <w:rFonts w:asciiTheme="minorHAnsi" w:eastAsiaTheme="minorEastAsia" w:hAnsiTheme="minorHAnsi" w:cstheme="minorBidi"/>
          <w:noProof/>
          <w:color w:val="auto"/>
          <w:szCs w:val="22"/>
          <w:lang w:eastAsia="fr-BE"/>
        </w:rPr>
        <w:tab/>
      </w:r>
      <w:r>
        <w:rPr>
          <w:noProof/>
        </w:rPr>
        <w:t>IMPLEMENTATION OF EC BUDGET REVENUE</w:t>
      </w:r>
      <w:r>
        <w:rPr>
          <w:noProof/>
        </w:rPr>
        <w:tab/>
      </w:r>
      <w:r>
        <w:rPr>
          <w:noProof/>
        </w:rPr>
        <w:fldChar w:fldCharType="begin"/>
      </w:r>
      <w:r>
        <w:rPr>
          <w:noProof/>
        </w:rPr>
        <w:instrText xml:space="preserve"> PAGEREF _Toc11403544 \h </w:instrText>
      </w:r>
      <w:r>
        <w:rPr>
          <w:noProof/>
        </w:rPr>
      </w:r>
      <w:r>
        <w:rPr>
          <w:noProof/>
        </w:rPr>
        <w:fldChar w:fldCharType="separate"/>
      </w:r>
      <w:r>
        <w:rPr>
          <w:noProof/>
        </w:rPr>
        <w:t>63</w:t>
      </w:r>
      <w:r>
        <w:rPr>
          <w:noProof/>
        </w:rPr>
        <w:fldChar w:fldCharType="end"/>
      </w:r>
    </w:p>
    <w:p>
      <w:pPr>
        <w:pStyle w:val="TOC1"/>
        <w:tabs>
          <w:tab w:val="left" w:pos="660"/>
          <w:tab w:val="right" w:leader="dot" w:pos="9629"/>
        </w:tabs>
        <w:rPr>
          <w:rFonts w:asciiTheme="minorHAnsi" w:eastAsiaTheme="minorEastAsia" w:hAnsiTheme="minorHAnsi" w:cstheme="minorBidi"/>
          <w:noProof/>
          <w:color w:val="auto"/>
          <w:szCs w:val="22"/>
          <w:lang w:eastAsia="fr-BE"/>
        </w:rPr>
      </w:pPr>
      <w:r>
        <w:rPr>
          <w:noProof/>
          <w14:scene3d>
            <w14:camera w14:prst="orthographicFront"/>
            <w14:lightRig w14:rig="threePt" w14:dir="t">
              <w14:rot w14:lat="0" w14:lon="0" w14:rev="0"/>
            </w14:lightRig>
          </w14:scene3d>
          <w14:props3d w14:extrusionH="0" w14:contourW="0" w14:prstMaterial="warmMatte"/>
        </w:rPr>
        <w:t>2.</w:t>
      </w:r>
      <w:r>
        <w:rPr>
          <w:rFonts w:asciiTheme="minorHAnsi" w:eastAsiaTheme="minorEastAsia" w:hAnsiTheme="minorHAnsi" w:cstheme="minorBidi"/>
          <w:noProof/>
          <w:color w:val="auto"/>
          <w:szCs w:val="22"/>
          <w:lang w:eastAsia="fr-BE"/>
        </w:rPr>
        <w:tab/>
      </w:r>
      <w:r>
        <w:rPr>
          <w:noProof/>
        </w:rPr>
        <w:t>IMPLEMENTATION OF EC BUDGET EXPENDITURE</w:t>
      </w:r>
      <w:r>
        <w:rPr>
          <w:noProof/>
        </w:rPr>
        <w:tab/>
      </w:r>
      <w:r>
        <w:rPr>
          <w:noProof/>
        </w:rPr>
        <w:fldChar w:fldCharType="begin"/>
      </w:r>
      <w:r>
        <w:rPr>
          <w:noProof/>
        </w:rPr>
        <w:instrText xml:space="preserve"> PAGEREF _Toc11403545 \h </w:instrText>
      </w:r>
      <w:r>
        <w:rPr>
          <w:noProof/>
        </w:rPr>
      </w:r>
      <w:r>
        <w:rPr>
          <w:noProof/>
        </w:rPr>
        <w:fldChar w:fldCharType="separate"/>
      </w:r>
      <w:r>
        <w:rPr>
          <w:noProof/>
        </w:rPr>
        <w:t>64</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2.1.</w:t>
      </w:r>
      <w:r>
        <w:rPr>
          <w:rFonts w:asciiTheme="minorHAnsi" w:eastAsiaTheme="minorEastAsia" w:hAnsiTheme="minorHAnsi" w:cstheme="minorBidi"/>
          <w:noProof/>
          <w:color w:val="auto"/>
          <w:szCs w:val="22"/>
          <w:lang w:eastAsia="fr-BE"/>
        </w:rPr>
        <w:tab/>
      </w:r>
      <w:r>
        <w:rPr>
          <w:noProof/>
        </w:rPr>
        <w:t>MFF: BREAKDOWN &amp; CHANGES IN COMMITMENT &amp; PAYMENT APPROPRIATIONS</w:t>
      </w:r>
      <w:r>
        <w:rPr>
          <w:noProof/>
        </w:rPr>
        <w:tab/>
      </w:r>
      <w:r>
        <w:rPr>
          <w:noProof/>
        </w:rPr>
        <w:fldChar w:fldCharType="begin"/>
      </w:r>
      <w:r>
        <w:rPr>
          <w:noProof/>
        </w:rPr>
        <w:instrText xml:space="preserve"> PAGEREF _Toc11403546 \h </w:instrText>
      </w:r>
      <w:r>
        <w:rPr>
          <w:noProof/>
        </w:rPr>
      </w:r>
      <w:r>
        <w:rPr>
          <w:noProof/>
        </w:rPr>
        <w:fldChar w:fldCharType="separate"/>
      </w:r>
      <w:r>
        <w:rPr>
          <w:noProof/>
        </w:rPr>
        <w:t>64</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2.2.</w:t>
      </w:r>
      <w:r>
        <w:rPr>
          <w:rFonts w:asciiTheme="minorHAnsi" w:eastAsiaTheme="minorEastAsia" w:hAnsiTheme="minorHAnsi" w:cstheme="minorBidi"/>
          <w:noProof/>
          <w:color w:val="auto"/>
          <w:szCs w:val="22"/>
          <w:lang w:eastAsia="fr-BE"/>
        </w:rPr>
        <w:tab/>
      </w:r>
      <w:r>
        <w:rPr>
          <w:noProof/>
        </w:rPr>
        <w:t>MFF: IMPLEMENTATION OF COMMITMENT APPROPRIATIONS</w:t>
      </w:r>
      <w:r>
        <w:rPr>
          <w:noProof/>
        </w:rPr>
        <w:tab/>
      </w:r>
      <w:r>
        <w:rPr>
          <w:noProof/>
        </w:rPr>
        <w:fldChar w:fldCharType="begin"/>
      </w:r>
      <w:r>
        <w:rPr>
          <w:noProof/>
        </w:rPr>
        <w:instrText xml:space="preserve"> PAGEREF _Toc11403547 \h </w:instrText>
      </w:r>
      <w:r>
        <w:rPr>
          <w:noProof/>
        </w:rPr>
      </w:r>
      <w:r>
        <w:rPr>
          <w:noProof/>
        </w:rPr>
        <w:fldChar w:fldCharType="separate"/>
      </w:r>
      <w:r>
        <w:rPr>
          <w:noProof/>
        </w:rPr>
        <w:t>65</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2.3.</w:t>
      </w:r>
      <w:r>
        <w:rPr>
          <w:rFonts w:asciiTheme="minorHAnsi" w:eastAsiaTheme="minorEastAsia" w:hAnsiTheme="minorHAnsi" w:cstheme="minorBidi"/>
          <w:noProof/>
          <w:color w:val="auto"/>
          <w:szCs w:val="22"/>
          <w:lang w:eastAsia="fr-BE"/>
        </w:rPr>
        <w:tab/>
      </w:r>
      <w:r>
        <w:rPr>
          <w:noProof/>
        </w:rPr>
        <w:t>MFF: IMPLEMENTATION OF PAYMENT APPROPRIATIONS</w:t>
      </w:r>
      <w:r>
        <w:rPr>
          <w:noProof/>
        </w:rPr>
        <w:tab/>
      </w:r>
      <w:r>
        <w:rPr>
          <w:noProof/>
        </w:rPr>
        <w:fldChar w:fldCharType="begin"/>
      </w:r>
      <w:r>
        <w:rPr>
          <w:noProof/>
        </w:rPr>
        <w:instrText xml:space="preserve"> PAGEREF _Toc11403548 \h </w:instrText>
      </w:r>
      <w:r>
        <w:rPr>
          <w:noProof/>
        </w:rPr>
      </w:r>
      <w:r>
        <w:rPr>
          <w:noProof/>
        </w:rPr>
        <w:fldChar w:fldCharType="separate"/>
      </w:r>
      <w:r>
        <w:rPr>
          <w:noProof/>
        </w:rPr>
        <w:t>66</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2.4.</w:t>
      </w:r>
      <w:r>
        <w:rPr>
          <w:rFonts w:asciiTheme="minorHAnsi" w:eastAsiaTheme="minorEastAsia" w:hAnsiTheme="minorHAnsi" w:cstheme="minorBidi"/>
          <w:noProof/>
          <w:color w:val="auto"/>
          <w:szCs w:val="22"/>
          <w:lang w:eastAsia="fr-BE"/>
        </w:rPr>
        <w:tab/>
      </w:r>
      <w:r>
        <w:rPr>
          <w:noProof/>
        </w:rPr>
        <w:t>MFF: MOVEMENTS IN COMMITMENTS OUTSTANDING (RAL)</w:t>
      </w:r>
      <w:r>
        <w:rPr>
          <w:noProof/>
        </w:rPr>
        <w:tab/>
      </w:r>
      <w:r>
        <w:rPr>
          <w:noProof/>
        </w:rPr>
        <w:fldChar w:fldCharType="begin"/>
      </w:r>
      <w:r>
        <w:rPr>
          <w:noProof/>
        </w:rPr>
        <w:instrText xml:space="preserve"> PAGEREF _Toc11403549 \h </w:instrText>
      </w:r>
      <w:r>
        <w:rPr>
          <w:noProof/>
        </w:rPr>
      </w:r>
      <w:r>
        <w:rPr>
          <w:noProof/>
        </w:rPr>
        <w:fldChar w:fldCharType="separate"/>
      </w:r>
      <w:r>
        <w:rPr>
          <w:noProof/>
        </w:rPr>
        <w:t>67</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2.5.</w:t>
      </w:r>
      <w:r>
        <w:rPr>
          <w:rFonts w:asciiTheme="minorHAnsi" w:eastAsiaTheme="minorEastAsia" w:hAnsiTheme="minorHAnsi" w:cstheme="minorBidi"/>
          <w:noProof/>
          <w:color w:val="auto"/>
          <w:szCs w:val="22"/>
          <w:lang w:eastAsia="fr-BE"/>
        </w:rPr>
        <w:tab/>
      </w:r>
      <w:r>
        <w:rPr>
          <w:noProof/>
        </w:rPr>
        <w:t>MFF: COMMITMENTS OUTSTANDING BY YEAR OF ORIGIN</w:t>
      </w:r>
      <w:r>
        <w:rPr>
          <w:noProof/>
        </w:rPr>
        <w:tab/>
      </w:r>
      <w:r>
        <w:rPr>
          <w:noProof/>
        </w:rPr>
        <w:fldChar w:fldCharType="begin"/>
      </w:r>
      <w:r>
        <w:rPr>
          <w:noProof/>
        </w:rPr>
        <w:instrText xml:space="preserve"> PAGEREF _Toc11403550 \h </w:instrText>
      </w:r>
      <w:r>
        <w:rPr>
          <w:noProof/>
        </w:rPr>
      </w:r>
      <w:r>
        <w:rPr>
          <w:noProof/>
        </w:rPr>
        <w:fldChar w:fldCharType="separate"/>
      </w:r>
      <w:r>
        <w:rPr>
          <w:noProof/>
        </w:rPr>
        <w:t>68</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2.6.</w:t>
      </w:r>
      <w:r>
        <w:rPr>
          <w:rFonts w:asciiTheme="minorHAnsi" w:eastAsiaTheme="minorEastAsia" w:hAnsiTheme="minorHAnsi" w:cstheme="minorBidi"/>
          <w:noProof/>
          <w:color w:val="auto"/>
          <w:szCs w:val="22"/>
          <w:lang w:eastAsia="fr-BE"/>
        </w:rPr>
        <w:tab/>
      </w:r>
      <w:r>
        <w:rPr>
          <w:noProof/>
        </w:rPr>
        <w:t>POLICY AREA: BREAKDOWN AND CHANGES IN COMMITMENT AND PAYMENT APPROPRIATIONS</w:t>
      </w:r>
      <w:r>
        <w:rPr>
          <w:noProof/>
        </w:rPr>
        <w:tab/>
      </w:r>
      <w:r>
        <w:rPr>
          <w:noProof/>
        </w:rPr>
        <w:fldChar w:fldCharType="begin"/>
      </w:r>
      <w:r>
        <w:rPr>
          <w:noProof/>
        </w:rPr>
        <w:instrText xml:space="preserve"> PAGEREF _Toc11403551 \h </w:instrText>
      </w:r>
      <w:r>
        <w:rPr>
          <w:noProof/>
        </w:rPr>
      </w:r>
      <w:r>
        <w:rPr>
          <w:noProof/>
        </w:rPr>
        <w:fldChar w:fldCharType="separate"/>
      </w:r>
      <w:r>
        <w:rPr>
          <w:noProof/>
        </w:rPr>
        <w:t>69</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2.7.</w:t>
      </w:r>
      <w:r>
        <w:rPr>
          <w:rFonts w:asciiTheme="minorHAnsi" w:eastAsiaTheme="minorEastAsia" w:hAnsiTheme="minorHAnsi" w:cstheme="minorBidi"/>
          <w:noProof/>
          <w:color w:val="auto"/>
          <w:szCs w:val="22"/>
          <w:lang w:eastAsia="fr-BE"/>
        </w:rPr>
        <w:tab/>
      </w:r>
      <w:r>
        <w:rPr>
          <w:noProof/>
        </w:rPr>
        <w:t>POLICY AREA: IMPLEMENTATION OF COMMITMENT APPROPRIATIONS</w:t>
      </w:r>
      <w:r>
        <w:rPr>
          <w:noProof/>
        </w:rPr>
        <w:tab/>
      </w:r>
      <w:r>
        <w:rPr>
          <w:noProof/>
        </w:rPr>
        <w:fldChar w:fldCharType="begin"/>
      </w:r>
      <w:r>
        <w:rPr>
          <w:noProof/>
        </w:rPr>
        <w:instrText xml:space="preserve"> PAGEREF _Toc11403552 \h </w:instrText>
      </w:r>
      <w:r>
        <w:rPr>
          <w:noProof/>
        </w:rPr>
      </w:r>
      <w:r>
        <w:rPr>
          <w:noProof/>
        </w:rPr>
        <w:fldChar w:fldCharType="separate"/>
      </w:r>
      <w:r>
        <w:rPr>
          <w:noProof/>
        </w:rPr>
        <w:t>71</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2.8.</w:t>
      </w:r>
      <w:r>
        <w:rPr>
          <w:rFonts w:asciiTheme="minorHAnsi" w:eastAsiaTheme="minorEastAsia" w:hAnsiTheme="minorHAnsi" w:cstheme="minorBidi"/>
          <w:noProof/>
          <w:color w:val="auto"/>
          <w:szCs w:val="22"/>
          <w:lang w:eastAsia="fr-BE"/>
        </w:rPr>
        <w:tab/>
      </w:r>
      <w:r>
        <w:rPr>
          <w:noProof/>
        </w:rPr>
        <w:t>POLICY AREA: IMPLEMENTATION OF PAYMENT APPROPRIATIONS</w:t>
      </w:r>
      <w:r>
        <w:rPr>
          <w:noProof/>
        </w:rPr>
        <w:tab/>
      </w:r>
      <w:r>
        <w:rPr>
          <w:noProof/>
        </w:rPr>
        <w:fldChar w:fldCharType="begin"/>
      </w:r>
      <w:r>
        <w:rPr>
          <w:noProof/>
        </w:rPr>
        <w:instrText xml:space="preserve"> PAGEREF _Toc11403553 \h </w:instrText>
      </w:r>
      <w:r>
        <w:rPr>
          <w:noProof/>
        </w:rPr>
      </w:r>
      <w:r>
        <w:rPr>
          <w:noProof/>
        </w:rPr>
        <w:fldChar w:fldCharType="separate"/>
      </w:r>
      <w:r>
        <w:rPr>
          <w:noProof/>
        </w:rPr>
        <w:t>73</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2.9.</w:t>
      </w:r>
      <w:r>
        <w:rPr>
          <w:rFonts w:asciiTheme="minorHAnsi" w:eastAsiaTheme="minorEastAsia" w:hAnsiTheme="minorHAnsi" w:cstheme="minorBidi"/>
          <w:noProof/>
          <w:color w:val="auto"/>
          <w:szCs w:val="22"/>
          <w:lang w:eastAsia="fr-BE"/>
        </w:rPr>
        <w:tab/>
      </w:r>
      <w:r>
        <w:rPr>
          <w:noProof/>
        </w:rPr>
        <w:t>POLICY AREA: MOVEMENTS IN COMMITMENTS OUTSTANDING (RAL)</w:t>
      </w:r>
      <w:r>
        <w:rPr>
          <w:noProof/>
        </w:rPr>
        <w:tab/>
      </w:r>
      <w:r>
        <w:rPr>
          <w:noProof/>
        </w:rPr>
        <w:fldChar w:fldCharType="begin"/>
      </w:r>
      <w:r>
        <w:rPr>
          <w:noProof/>
        </w:rPr>
        <w:instrText xml:space="preserve"> PAGEREF _Toc11403554 \h </w:instrText>
      </w:r>
      <w:r>
        <w:rPr>
          <w:noProof/>
        </w:rPr>
      </w:r>
      <w:r>
        <w:rPr>
          <w:noProof/>
        </w:rPr>
        <w:fldChar w:fldCharType="separate"/>
      </w:r>
      <w:r>
        <w:rPr>
          <w:noProof/>
        </w:rPr>
        <w:t>75</w:t>
      </w:r>
      <w:r>
        <w:rPr>
          <w:noProof/>
        </w:rPr>
        <w:fldChar w:fldCharType="end"/>
      </w:r>
    </w:p>
    <w:p>
      <w:pPr>
        <w:pStyle w:val="TOC2"/>
        <w:rPr>
          <w:rFonts w:asciiTheme="minorHAnsi" w:eastAsiaTheme="minorEastAsia" w:hAnsiTheme="minorHAnsi" w:cstheme="minorBidi"/>
          <w:noProof/>
          <w:color w:val="auto"/>
          <w:szCs w:val="22"/>
          <w:lang w:eastAsia="fr-BE"/>
        </w:rPr>
      </w:pPr>
      <w:r>
        <w:rPr>
          <w:noProof/>
        </w:rPr>
        <w:t>2.10.</w:t>
      </w:r>
      <w:r>
        <w:rPr>
          <w:rFonts w:asciiTheme="minorHAnsi" w:eastAsiaTheme="minorEastAsia" w:hAnsiTheme="minorHAnsi" w:cstheme="minorBidi"/>
          <w:noProof/>
          <w:color w:val="auto"/>
          <w:szCs w:val="22"/>
          <w:lang w:eastAsia="fr-BE"/>
        </w:rPr>
        <w:tab/>
      </w:r>
      <w:r>
        <w:rPr>
          <w:noProof/>
        </w:rPr>
        <w:t>POLICY AREA: COMMITMENTS OUTSTANDING BY YEAR OF ORIGIN</w:t>
      </w:r>
      <w:r>
        <w:rPr>
          <w:noProof/>
        </w:rPr>
        <w:tab/>
      </w:r>
      <w:r>
        <w:rPr>
          <w:noProof/>
        </w:rPr>
        <w:fldChar w:fldCharType="begin"/>
      </w:r>
      <w:r>
        <w:rPr>
          <w:noProof/>
        </w:rPr>
        <w:instrText xml:space="preserve"> PAGEREF _Toc11403555 \h </w:instrText>
      </w:r>
      <w:r>
        <w:rPr>
          <w:noProof/>
        </w:rPr>
      </w:r>
      <w:r>
        <w:rPr>
          <w:noProof/>
        </w:rPr>
        <w:fldChar w:fldCharType="separate"/>
      </w:r>
      <w:r>
        <w:rPr>
          <w:noProof/>
        </w:rPr>
        <w:t>77</w:t>
      </w:r>
      <w:r>
        <w:rPr>
          <w:noProof/>
        </w:rPr>
        <w:fldChar w:fldCharType="end"/>
      </w:r>
    </w:p>
    <w:p>
      <w:pPr>
        <w:pStyle w:val="TOC1"/>
        <w:tabs>
          <w:tab w:val="right" w:leader="dot" w:pos="9629"/>
        </w:tabs>
        <w:rPr>
          <w:rFonts w:asciiTheme="minorHAnsi" w:eastAsiaTheme="minorEastAsia" w:hAnsiTheme="minorHAnsi" w:cstheme="minorBidi"/>
          <w:noProof/>
          <w:color w:val="auto"/>
          <w:szCs w:val="22"/>
          <w:lang w:eastAsia="fr-BE"/>
        </w:rPr>
      </w:pPr>
      <w:r>
        <w:rPr>
          <w:noProof/>
        </w:rPr>
        <w:t>RECONCILIATION OF ECONOMIC RESULT WITH BUDGET RESULT</w:t>
      </w:r>
      <w:r>
        <w:rPr>
          <w:noProof/>
        </w:rPr>
        <w:tab/>
      </w:r>
      <w:r>
        <w:rPr>
          <w:noProof/>
        </w:rPr>
        <w:fldChar w:fldCharType="begin"/>
      </w:r>
      <w:r>
        <w:rPr>
          <w:noProof/>
        </w:rPr>
        <w:instrText xml:space="preserve"> PAGEREF _Toc11403556 \h </w:instrText>
      </w:r>
      <w:r>
        <w:rPr>
          <w:noProof/>
        </w:rPr>
      </w:r>
      <w:r>
        <w:rPr>
          <w:noProof/>
        </w:rPr>
        <w:fldChar w:fldCharType="separate"/>
      </w:r>
      <w:r>
        <w:rPr>
          <w:noProof/>
        </w:rPr>
        <w:t>79</w:t>
      </w:r>
      <w:r>
        <w:rPr>
          <w:noProof/>
        </w:rPr>
        <w:fldChar w:fldCharType="end"/>
      </w:r>
    </w:p>
    <w:p>
      <w:pPr>
        <w:pStyle w:val="Textstand-alone"/>
      </w:pPr>
      <w:r>
        <w:rPr>
          <w:color w:val="016794"/>
          <w:sz w:val="22"/>
          <w:szCs w:val="22"/>
        </w:rPr>
        <w:fldChar w:fldCharType="end"/>
      </w:r>
    </w:p>
    <w:p>
      <w:pPr>
        <w:pStyle w:val="Textstand-alone"/>
        <w:sectPr>
          <w:headerReference w:type="even" r:id="rId323"/>
          <w:headerReference w:type="default" r:id="rId324"/>
          <w:footerReference w:type="even" r:id="rId325"/>
          <w:footerReference w:type="default" r:id="rId326"/>
          <w:headerReference w:type="first" r:id="rId327"/>
          <w:footerReference w:type="first" r:id="rId328"/>
          <w:pgSz w:w="11907" w:h="16840"/>
          <w:pgMar w:top="1134" w:right="1134" w:bottom="1134" w:left="1134" w:header="709" w:footer="709" w:gutter="0"/>
          <w:cols w:space="708"/>
          <w:docGrid w:linePitch="360"/>
        </w:sectPr>
      </w:pPr>
      <w:r>
        <w:t xml:space="preserve"> </w:t>
      </w:r>
      <w:bookmarkEnd w:id="192"/>
    </w:p>
    <w:p>
      <w:pPr>
        <w:pStyle w:val="HEADERTITLE2"/>
      </w:pPr>
      <w:bookmarkStart w:id="193" w:name="_Toc11403542"/>
      <w:bookmarkStart w:id="194" w:name="_DMBM_14057"/>
      <w:r>
        <w:t>EU BUDGET RESULT</w:t>
      </w:r>
      <w:bookmarkEnd w:id="193"/>
    </w:p>
    <w:p>
      <w:pPr>
        <w:pStyle w:val="HEADERTITLE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0"/>
        <w:gridCol w:w="1336"/>
        <w:gridCol w:w="1336"/>
      </w:tblGrid>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p>
        </w:tc>
        <w:tc>
          <w:tcPr>
            <w:tcW w:w="1336"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EUR million</w:t>
            </w:r>
          </w:p>
        </w:tc>
      </w:tr>
      <w:tr>
        <w:trPr>
          <w:trHeight w:hRule="exact" w:val="284"/>
        </w:trPr>
        <w:tc>
          <w:tcPr>
            <w:tcW w:w="7080" w:type="dxa"/>
            <w:tcBorders>
              <w:top w:val="nil"/>
              <w:left w:val="nil"/>
              <w:bottom w:val="nil"/>
              <w:right w:val="nil"/>
            </w:tcBorders>
            <w:shd w:val="solid" w:color="016794" w:fill="FFFFFF"/>
            <w:tcMar>
              <w:top w:w="0" w:type="dxa"/>
              <w:left w:w="60" w:type="dxa"/>
              <w:bottom w:w="0" w:type="dxa"/>
              <w:right w:w="60" w:type="dxa"/>
            </w:tcMar>
            <w:vAlign w:val="center"/>
          </w:tcPr>
          <w:p>
            <w:pPr>
              <w:jc w:val="center"/>
              <w:rPr>
                <w:rFonts w:ascii="Verdana" w:hAnsi="Verdana" w:cs="Verdana"/>
                <w:noProof/>
                <w:color w:val="FFFFFF"/>
                <w:sz w:val="16"/>
              </w:rPr>
            </w:pPr>
          </w:p>
        </w:tc>
        <w:tc>
          <w:tcPr>
            <w:tcW w:w="1336" w:type="dxa"/>
            <w:tcBorders>
              <w:top w:val="nil"/>
              <w:left w:val="nil"/>
              <w:bottom w:val="nil"/>
              <w:right w:val="nil"/>
            </w:tcBorders>
            <w:shd w:val="solid" w:color="016794" w:fill="FFFFFF"/>
            <w:tcMar>
              <w:top w:w="0" w:type="dxa"/>
              <w:left w:w="60" w:type="dxa"/>
              <w:bottom w:w="0" w:type="dxa"/>
              <w:right w:w="60" w:type="dxa"/>
            </w:tcMar>
            <w:vAlign w:val="center"/>
          </w:tcPr>
          <w:p>
            <w:pPr>
              <w:jc w:val="center"/>
              <w:rPr>
                <w:rFonts w:ascii="Verdana" w:hAnsi="Verdana" w:cs="Verdana"/>
                <w:noProof/>
                <w:color w:val="FFFFFF"/>
                <w:sz w:val="16"/>
              </w:rPr>
            </w:pPr>
            <w:r>
              <w:rPr>
                <w:rFonts w:ascii="Verdana" w:hAnsi="Verdana" w:cs="Verdana"/>
                <w:noProof/>
                <w:color w:val="FFFFFF"/>
                <w:sz w:val="16"/>
              </w:rPr>
              <w:t>2018</w:t>
            </w:r>
          </w:p>
        </w:tc>
        <w:tc>
          <w:tcPr>
            <w:tcW w:w="1336" w:type="dxa"/>
            <w:tcBorders>
              <w:top w:val="nil"/>
              <w:left w:val="nil"/>
              <w:bottom w:val="nil"/>
              <w:right w:val="nil"/>
            </w:tcBorders>
            <w:shd w:val="solid" w:color="016794" w:fill="FFFFFF"/>
            <w:tcMar>
              <w:top w:w="0" w:type="dxa"/>
              <w:left w:w="60" w:type="dxa"/>
              <w:bottom w:w="0" w:type="dxa"/>
              <w:right w:w="60" w:type="dxa"/>
            </w:tcMar>
            <w:vAlign w:val="center"/>
          </w:tcPr>
          <w:p>
            <w:pPr>
              <w:jc w:val="center"/>
              <w:rPr>
                <w:rFonts w:ascii="Verdana" w:hAnsi="Verdana" w:cs="Verdana"/>
                <w:noProof/>
                <w:color w:val="FFFFFF"/>
                <w:sz w:val="16"/>
              </w:rPr>
            </w:pPr>
            <w:r>
              <w:rPr>
                <w:rFonts w:ascii="Verdana" w:hAnsi="Verdana" w:cs="Verdana"/>
                <w:noProof/>
                <w:color w:val="FFFFFF"/>
                <w:sz w:val="16"/>
              </w:rPr>
              <w:t>2017</w:t>
            </w:r>
          </w:p>
        </w:tc>
      </w:tr>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r>
              <w:rPr>
                <w:rFonts w:ascii="Verdana" w:hAnsi="Verdana" w:cs="Verdana"/>
                <w:noProof/>
                <w:sz w:val="16"/>
              </w:rPr>
              <w:t>Revenue for the financial year</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159 318</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139 691</w:t>
            </w:r>
          </w:p>
        </w:tc>
      </w:tr>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r>
              <w:rPr>
                <w:rFonts w:ascii="Verdana" w:hAnsi="Verdana" w:cs="Verdana"/>
                <w:noProof/>
                <w:sz w:val="16"/>
              </w:rPr>
              <w:t>Payments against current year appropriations</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(154 833)</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(135 764)</w:t>
            </w:r>
          </w:p>
        </w:tc>
      </w:tr>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r>
              <w:rPr>
                <w:rFonts w:ascii="Verdana" w:hAnsi="Verdana" w:cs="Verdana"/>
                <w:noProof/>
                <w:sz w:val="16"/>
              </w:rPr>
              <w:t>Payment appropriations carried over to  year N+1</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(1 675)</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(1 796)</w:t>
            </w:r>
          </w:p>
        </w:tc>
      </w:tr>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r>
              <w:rPr>
                <w:rFonts w:ascii="Verdana" w:hAnsi="Verdana" w:cs="Verdana"/>
                <w:noProof/>
                <w:sz w:val="16"/>
              </w:rPr>
              <w:t>Cancellation of unused appropriations carried over from year N-1</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 xml:space="preserve"> 106</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 xml:space="preserve"> 40</w:t>
            </w:r>
          </w:p>
        </w:tc>
      </w:tr>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r>
              <w:rPr>
                <w:rFonts w:ascii="Verdana" w:hAnsi="Verdana" w:cs="Verdana"/>
                <w:noProof/>
                <w:sz w:val="16"/>
              </w:rPr>
              <w:t>Evolution of assigned revenue</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(1 114)</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(1 450)</w:t>
            </w:r>
          </w:p>
        </w:tc>
      </w:tr>
      <w:tr>
        <w:trPr>
          <w:trHeight w:hRule="exact" w:val="284"/>
        </w:trPr>
        <w:tc>
          <w:tcPr>
            <w:tcW w:w="7080" w:type="dxa"/>
            <w:tcBorders>
              <w:top w:val="nil"/>
              <w:left w:val="nil"/>
              <w:bottom w:val="nil"/>
              <w:right w:val="nil"/>
            </w:tcBorders>
            <w:tcMar>
              <w:top w:w="0" w:type="dxa"/>
              <w:left w:w="60" w:type="dxa"/>
              <w:bottom w:w="0" w:type="dxa"/>
              <w:right w:w="60" w:type="dxa"/>
            </w:tcMar>
            <w:vAlign w:val="center"/>
          </w:tcPr>
          <w:p>
            <w:pPr>
              <w:rPr>
                <w:rFonts w:ascii="Verdana" w:hAnsi="Verdana" w:cs="Verdana"/>
                <w:noProof/>
                <w:sz w:val="16"/>
              </w:rPr>
            </w:pPr>
            <w:r>
              <w:rPr>
                <w:rFonts w:ascii="Verdana" w:hAnsi="Verdana" w:cs="Verdana"/>
                <w:noProof/>
                <w:sz w:val="16"/>
              </w:rPr>
              <w:t>Exchange rate differences for the year</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 xml:space="preserve"> (1)</w:t>
            </w:r>
          </w:p>
        </w:tc>
        <w:tc>
          <w:tcPr>
            <w:tcW w:w="1336" w:type="dxa"/>
            <w:tcBorders>
              <w:top w:val="nil"/>
              <w:left w:val="nil"/>
              <w:bottom w:val="nil"/>
              <w:right w:val="nil"/>
            </w:tcBorders>
            <w:tcMar>
              <w:top w:w="0" w:type="dxa"/>
              <w:left w:w="60" w:type="dxa"/>
              <w:bottom w:w="0" w:type="dxa"/>
              <w:right w:w="60" w:type="dxa"/>
            </w:tcMar>
            <w:vAlign w:val="center"/>
          </w:tcPr>
          <w:p>
            <w:pPr>
              <w:jc w:val="right"/>
              <w:rPr>
                <w:rFonts w:ascii="Verdana" w:hAnsi="Verdana" w:cs="Verdana"/>
                <w:noProof/>
                <w:sz w:val="16"/>
              </w:rPr>
            </w:pPr>
            <w:r>
              <w:rPr>
                <w:rFonts w:ascii="Verdana" w:hAnsi="Verdana" w:cs="Verdana"/>
                <w:noProof/>
                <w:sz w:val="16"/>
              </w:rPr>
              <w:t xml:space="preserve"> (166)</w:t>
            </w:r>
          </w:p>
        </w:tc>
      </w:tr>
      <w:tr>
        <w:trPr>
          <w:trHeight w:hRule="exact" w:val="284"/>
        </w:trPr>
        <w:tc>
          <w:tcPr>
            <w:tcW w:w="7080" w:type="dxa"/>
            <w:tcBorders>
              <w:top w:val="nil"/>
              <w:left w:val="nil"/>
              <w:bottom w:val="nil"/>
              <w:right w:val="nil"/>
            </w:tcBorders>
            <w:shd w:val="solid" w:color="CCE1EB" w:fill="FFFFFF"/>
            <w:tcMar>
              <w:top w:w="0" w:type="dxa"/>
              <w:left w:w="60" w:type="dxa"/>
              <w:bottom w:w="0" w:type="dxa"/>
              <w:right w:w="60" w:type="dxa"/>
            </w:tcMar>
            <w:vAlign w:val="center"/>
          </w:tcPr>
          <w:p>
            <w:pPr>
              <w:rPr>
                <w:rFonts w:ascii="Verdana" w:hAnsi="Verdana" w:cs="Verdana"/>
                <w:b/>
                <w:noProof/>
                <w:sz w:val="16"/>
              </w:rPr>
            </w:pPr>
            <w:r>
              <w:rPr>
                <w:rFonts w:ascii="Verdana" w:hAnsi="Verdana" w:cs="Verdana"/>
                <w:b/>
                <w:noProof/>
                <w:sz w:val="16"/>
              </w:rPr>
              <w:t>Budget result</w:t>
            </w:r>
          </w:p>
        </w:tc>
        <w:tc>
          <w:tcPr>
            <w:tcW w:w="1336" w:type="dxa"/>
            <w:tcBorders>
              <w:top w:val="nil"/>
              <w:left w:val="nil"/>
              <w:bottom w:val="nil"/>
              <w:right w:val="nil"/>
            </w:tcBorders>
            <w:shd w:val="solid" w:color="CCE1EB" w:fill="FFFFFF"/>
            <w:tcMar>
              <w:top w:w="0" w:type="dxa"/>
              <w:left w:w="60" w:type="dxa"/>
              <w:bottom w:w="0" w:type="dxa"/>
              <w:right w:w="60" w:type="dxa"/>
            </w:tcMar>
            <w:vAlign w:val="center"/>
          </w:tcPr>
          <w:p>
            <w:pPr>
              <w:jc w:val="right"/>
              <w:rPr>
                <w:rFonts w:ascii="Verdana" w:hAnsi="Verdana" w:cs="Verdana"/>
                <w:b/>
                <w:noProof/>
                <w:sz w:val="16"/>
              </w:rPr>
            </w:pPr>
            <w:r>
              <w:rPr>
                <w:rFonts w:ascii="Verdana" w:hAnsi="Verdana" w:cs="Verdana"/>
                <w:b/>
                <w:noProof/>
                <w:sz w:val="16"/>
              </w:rPr>
              <w:t>1 802</w:t>
            </w:r>
          </w:p>
        </w:tc>
        <w:tc>
          <w:tcPr>
            <w:tcW w:w="1336" w:type="dxa"/>
            <w:tcBorders>
              <w:top w:val="nil"/>
              <w:left w:val="nil"/>
              <w:bottom w:val="nil"/>
              <w:right w:val="nil"/>
            </w:tcBorders>
            <w:shd w:val="solid" w:color="CCE1EB" w:fill="FFFFFF"/>
            <w:tcMar>
              <w:top w:w="0" w:type="dxa"/>
              <w:left w:w="60" w:type="dxa"/>
              <w:bottom w:w="0" w:type="dxa"/>
              <w:right w:w="60" w:type="dxa"/>
            </w:tcMar>
            <w:vAlign w:val="center"/>
          </w:tcPr>
          <w:p>
            <w:pPr>
              <w:jc w:val="right"/>
              <w:rPr>
                <w:rFonts w:ascii="Verdana" w:hAnsi="Verdana" w:cs="Verdana"/>
                <w:b/>
                <w:noProof/>
                <w:sz w:val="16"/>
              </w:rPr>
            </w:pPr>
            <w:r>
              <w:rPr>
                <w:rFonts w:ascii="Verdana" w:hAnsi="Verdana" w:cs="Verdana"/>
                <w:b/>
                <w:noProof/>
                <w:sz w:val="16"/>
              </w:rPr>
              <w:t xml:space="preserve"> 555</w:t>
            </w:r>
          </w:p>
        </w:tc>
      </w:tr>
    </w:tbl>
    <w:p>
      <w:pPr>
        <w:spacing w:before="120"/>
        <w:rPr>
          <w:rFonts w:ascii="Verdana" w:eastAsia="Verdana" w:hAnsi="Verdana" w:cs="Verdana"/>
          <w:noProof/>
          <w:sz w:val="16"/>
          <w:szCs w:val="16"/>
        </w:rPr>
      </w:pPr>
    </w:p>
    <w:p>
      <w:pPr>
        <w:spacing w:before="120"/>
        <w:rPr>
          <w:rFonts w:ascii="Verdana" w:eastAsia="Verdana" w:hAnsi="Verdana" w:cs="Verdana"/>
          <w:noProof/>
          <w:sz w:val="16"/>
          <w:szCs w:val="16"/>
          <w:lang w:bidi="en-GB"/>
        </w:rPr>
      </w:pPr>
    </w:p>
    <w:p>
      <w:pPr>
        <w:spacing w:before="120"/>
        <w:rPr>
          <w:rFonts w:ascii="Verdana" w:eastAsia="Verdana" w:hAnsi="Verdana" w:cs="Verdana"/>
          <w:noProof/>
          <w:sz w:val="16"/>
          <w:szCs w:val="16"/>
          <w:lang w:bidi="en-GB"/>
        </w:rPr>
        <w:sectPr>
          <w:headerReference w:type="even" r:id="rId329"/>
          <w:headerReference w:type="default" r:id="rId330"/>
          <w:footerReference w:type="even" r:id="rId331"/>
          <w:footerReference w:type="default" r:id="rId332"/>
          <w:headerReference w:type="first" r:id="rId333"/>
          <w:footerReference w:type="first" r:id="rId334"/>
          <w:pgSz w:w="11900" w:h="16840"/>
          <w:pgMar w:top="1134" w:right="1134" w:bottom="1134" w:left="1134" w:header="709" w:footer="709" w:gutter="0"/>
          <w:cols w:space="720"/>
          <w:docGrid w:linePitch="326"/>
        </w:sectPr>
      </w:pPr>
    </w:p>
    <w:p>
      <w:pPr>
        <w:pStyle w:val="HEADERTITLE2"/>
      </w:pPr>
      <w:bookmarkStart w:id="195" w:name="_Toc454985856"/>
      <w:bookmarkStart w:id="196" w:name="_Toc11403543"/>
      <w:r>
        <w:t>STATEMENT OF COMPARISON OF BUDGET AND ACTUAL AMOUNTS</w:t>
      </w:r>
      <w:bookmarkEnd w:id="195"/>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
        <w:gridCol w:w="4508"/>
        <w:gridCol w:w="1419"/>
        <w:gridCol w:w="1274"/>
        <w:gridCol w:w="1136"/>
        <w:gridCol w:w="1192"/>
      </w:tblGrid>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lang w:bidi="en-GB"/>
              </w:rPr>
            </w:pPr>
            <w:bookmarkStart w:id="197" w:name="DOC_TBL00096_1_1"/>
            <w:bookmarkEnd w:id="197"/>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rPr>
        <w:tc>
          <w:tcPr>
            <w:tcW w:w="229" w:type="dxa"/>
            <w:tcBorders>
              <w:top w:val="nil"/>
              <w:left w:val="nil"/>
              <w:bottom w:val="nil"/>
              <w:right w:val="nil"/>
              <w:tl2br w:val="nil"/>
              <w:tr2bl w:val="nil"/>
            </w:tcBorders>
            <w:shd w:val="solid" w:color="016794" w:fill="FFFFFF"/>
            <w:tcMar>
              <w:left w:w="60" w:type="dxa"/>
              <w:right w:w="60" w:type="dxa"/>
            </w:tcMar>
            <w:vAlign w:val="center"/>
          </w:tcPr>
          <w:p>
            <w:pPr>
              <w:pStyle w:val="DMETW15798BIP01Statementofcomparisonofbudgetandactualamounts"/>
              <w:jc w:val="center"/>
              <w:rPr>
                <w:rFonts w:ascii="Verdana" w:eastAsia="Verdana" w:hAnsi="Verdana" w:cs="Verdana"/>
                <w:noProof/>
                <w:color w:val="FFFFFF"/>
                <w:sz w:val="16"/>
              </w:rPr>
            </w:pPr>
          </w:p>
        </w:tc>
        <w:tc>
          <w:tcPr>
            <w:tcW w:w="4508" w:type="dxa"/>
            <w:tcBorders>
              <w:top w:val="nil"/>
              <w:left w:val="nil"/>
              <w:bottom w:val="nil"/>
              <w:right w:val="nil"/>
              <w:tl2br w:val="nil"/>
              <w:tr2bl w:val="nil"/>
            </w:tcBorders>
            <w:shd w:val="solid" w:color="016794" w:fill="FFFFFF"/>
            <w:tcMar>
              <w:left w:w="60" w:type="dxa"/>
              <w:right w:w="60" w:type="dxa"/>
            </w:tcMar>
            <w:vAlign w:val="center"/>
          </w:tcPr>
          <w:p>
            <w:pPr>
              <w:pStyle w:val="DMETW15798BIP01Statementofcomparisonofbudgetandactualamounts"/>
              <w:jc w:val="center"/>
              <w:rPr>
                <w:rFonts w:ascii="Verdana" w:eastAsia="Verdana" w:hAnsi="Verdana" w:cs="Verdana"/>
                <w:noProof/>
                <w:color w:val="FFFFFF"/>
                <w:sz w:val="16"/>
              </w:rPr>
            </w:pPr>
            <w:r>
              <w:rPr>
                <w:rFonts w:ascii="Verdana" w:eastAsia="Verdana" w:hAnsi="Verdana" w:cs="Verdana"/>
                <w:noProof/>
                <w:color w:val="FFFFFF"/>
                <w:sz w:val="16"/>
              </w:rPr>
              <w:t>Title</w:t>
            </w:r>
          </w:p>
        </w:tc>
        <w:tc>
          <w:tcPr>
            <w:tcW w:w="1419" w:type="dxa"/>
            <w:tcBorders>
              <w:top w:val="nil"/>
              <w:left w:val="nil"/>
              <w:bottom w:val="nil"/>
              <w:right w:val="nil"/>
              <w:tl2br w:val="nil"/>
              <w:tr2bl w:val="nil"/>
            </w:tcBorders>
            <w:shd w:val="solid" w:color="016794" w:fill="FFFFFF"/>
            <w:tcMar>
              <w:left w:w="60" w:type="dxa"/>
              <w:right w:w="60" w:type="dxa"/>
            </w:tcMar>
            <w:vAlign w:val="center"/>
          </w:tcPr>
          <w:p>
            <w:pPr>
              <w:pStyle w:val="DMETW15798BIP01Statementofcomparisonofbudgetandactualamounts"/>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1274" w:type="dxa"/>
            <w:tcBorders>
              <w:top w:val="nil"/>
              <w:left w:val="nil"/>
              <w:bottom w:val="nil"/>
              <w:right w:val="nil"/>
              <w:tl2br w:val="nil"/>
              <w:tr2bl w:val="nil"/>
            </w:tcBorders>
            <w:shd w:val="solid" w:color="016794" w:fill="FFFFFF"/>
            <w:tcMar>
              <w:left w:w="60" w:type="dxa"/>
              <w:right w:w="60" w:type="dxa"/>
            </w:tcMar>
            <w:vAlign w:val="center"/>
          </w:tcPr>
          <w:p>
            <w:pPr>
              <w:pStyle w:val="DMETW15798BIP01Statementofcomparisonofbudgetandactualamounts"/>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1136" w:type="dxa"/>
            <w:tcBorders>
              <w:top w:val="nil"/>
              <w:left w:val="nil"/>
              <w:bottom w:val="nil"/>
              <w:right w:val="nil"/>
              <w:tl2br w:val="nil"/>
              <w:tr2bl w:val="nil"/>
            </w:tcBorders>
            <w:shd w:val="solid" w:color="016794" w:fill="FFFFFF"/>
            <w:tcMar>
              <w:left w:w="60" w:type="dxa"/>
              <w:right w:w="60" w:type="dxa"/>
            </w:tcMar>
            <w:vAlign w:val="center"/>
          </w:tcPr>
          <w:p>
            <w:pPr>
              <w:pStyle w:val="DMETW15798BIP01Statementofcomparisonofbudgetandactualamounts"/>
              <w:jc w:val="center"/>
              <w:rPr>
                <w:rFonts w:ascii="Verdana" w:eastAsia="Verdana" w:hAnsi="Verdana" w:cs="Verdana"/>
                <w:noProof/>
                <w:color w:val="FFFFFF"/>
                <w:sz w:val="16"/>
              </w:rPr>
            </w:pPr>
            <w:r>
              <w:rPr>
                <w:rFonts w:ascii="Verdana" w:eastAsia="Verdana" w:hAnsi="Verdana" w:cs="Verdana"/>
                <w:noProof/>
                <w:color w:val="FFFFFF"/>
                <w:sz w:val="16"/>
              </w:rPr>
              <w:t>Entitlements established</w:t>
            </w:r>
          </w:p>
        </w:tc>
        <w:tc>
          <w:tcPr>
            <w:tcW w:w="1192" w:type="dxa"/>
            <w:tcBorders>
              <w:top w:val="nil"/>
              <w:left w:val="nil"/>
              <w:bottom w:val="nil"/>
              <w:right w:val="nil"/>
              <w:tl2br w:val="nil"/>
              <w:tr2bl w:val="nil"/>
            </w:tcBorders>
            <w:shd w:val="solid" w:color="016794" w:fill="FFFFFF"/>
            <w:tcMar>
              <w:left w:w="60" w:type="dxa"/>
              <w:right w:w="60" w:type="dxa"/>
            </w:tcMar>
            <w:vAlign w:val="center"/>
          </w:tcPr>
          <w:p>
            <w:pPr>
              <w:pStyle w:val="DMETW15798BIP01Statementofcomparisonofbudgetandactualamounts"/>
              <w:jc w:val="center"/>
              <w:rPr>
                <w:rFonts w:ascii="Verdana" w:eastAsia="Verdana" w:hAnsi="Verdana" w:cs="Verdana"/>
                <w:noProof/>
                <w:color w:val="FFFFFF"/>
                <w:sz w:val="16"/>
                <w:lang w:bidi="en-GB"/>
              </w:rPr>
            </w:pPr>
            <w:r>
              <w:rPr>
                <w:rFonts w:ascii="Verdana" w:eastAsia="Verdana" w:hAnsi="Verdana" w:cs="Verdana"/>
                <w:noProof/>
                <w:color w:val="FFFFFF"/>
                <w:sz w:val="16"/>
              </w:rPr>
              <w:t>Revenue</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1</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Own resources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142 832</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142 364</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142 373</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142 330</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i/>
                <w:noProof/>
                <w:color w:val="000000"/>
                <w:sz w:val="16"/>
              </w:rPr>
            </w:pPr>
            <w:r>
              <w:rPr>
                <w:rFonts w:ascii="Verdana" w:eastAsia="Verdana" w:hAnsi="Verdana" w:cs="Verdana"/>
                <w:i/>
                <w:noProof/>
                <w:color w:val="000000"/>
                <w:sz w:val="16"/>
              </w:rPr>
              <w:t xml:space="preserve">   11 - Sugar levies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 xml:space="preserve"> (93)</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 xml:space="preserve"> (85)</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(85)</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i/>
                <w:noProof/>
                <w:color w:val="000000"/>
                <w:sz w:val="16"/>
              </w:rPr>
            </w:pPr>
            <w:r>
              <w:rPr>
                <w:rFonts w:ascii="Verdana" w:eastAsia="Verdana" w:hAnsi="Verdana" w:cs="Verdana"/>
                <w:i/>
                <w:noProof/>
                <w:color w:val="000000"/>
                <w:sz w:val="16"/>
              </w:rPr>
              <w:t xml:space="preserve">   12 - Customs duties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22 844</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20 165</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20 360</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20 317</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i/>
                <w:noProof/>
                <w:color w:val="000000"/>
                <w:sz w:val="16"/>
              </w:rPr>
            </w:pPr>
            <w:r>
              <w:rPr>
                <w:rFonts w:ascii="Verdana" w:eastAsia="Verdana" w:hAnsi="Verdana" w:cs="Verdana"/>
                <w:i/>
                <w:noProof/>
                <w:color w:val="000000"/>
                <w:sz w:val="16"/>
              </w:rPr>
              <w:t xml:space="preserve">   13 - VAT</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17 250</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17 149</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17 133</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17 133</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i/>
                <w:noProof/>
                <w:color w:val="000000"/>
                <w:sz w:val="16"/>
              </w:rPr>
            </w:pPr>
            <w:r>
              <w:rPr>
                <w:rFonts w:ascii="Verdana" w:eastAsia="Verdana" w:hAnsi="Verdana" w:cs="Verdana"/>
                <w:i/>
                <w:noProof/>
                <w:color w:val="000000"/>
                <w:sz w:val="16"/>
              </w:rPr>
              <w:t xml:space="preserve">   14 - GNI</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102 739</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105 143</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104 979</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104 979</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i/>
                <w:noProof/>
                <w:color w:val="000000"/>
                <w:sz w:val="16"/>
              </w:rPr>
            </w:pPr>
            <w:r>
              <w:rPr>
                <w:rFonts w:ascii="Verdana" w:eastAsia="Verdana" w:hAnsi="Verdana" w:cs="Verdana"/>
                <w:i/>
                <w:noProof/>
                <w:color w:val="000000"/>
                <w:sz w:val="16"/>
              </w:rPr>
              <w:t xml:space="preserve">   15 - Correction of budgetary imbalances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 xml:space="preserve"> (19)</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(19)</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i/>
                <w:noProof/>
                <w:color w:val="000000"/>
                <w:sz w:val="16"/>
              </w:rPr>
            </w:pPr>
            <w:r>
              <w:rPr>
                <w:rFonts w:ascii="Verdana" w:eastAsia="Verdana" w:hAnsi="Verdana" w:cs="Verdana"/>
                <w:i/>
                <w:noProof/>
                <w:color w:val="000000"/>
                <w:sz w:val="16"/>
              </w:rPr>
              <w:t xml:space="preserve">   16 - Reduction of GNI based contribution of the Netherlands and Sweden</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rPr>
            </w:pPr>
            <w:r>
              <w:rPr>
                <w:rFonts w:ascii="Verdana" w:eastAsia="Verdana" w:hAnsi="Verdana" w:cs="Verdana"/>
                <w:i/>
                <w:noProof/>
                <w:color w:val="000000"/>
                <w:sz w:val="16"/>
              </w:rPr>
              <w:t xml:space="preserve"> 6</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6</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3</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Surpluses, balances and adjustments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556</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581</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581</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4</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Miscellaneous community taxes, levies and duties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1 181</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1 181</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1 191</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1 182</w:t>
            </w:r>
          </w:p>
        </w:tc>
      </w:tr>
      <w:tr>
        <w:trPr>
          <w:trHeight w:val="477"/>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5</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Revenue accruing from the administrative operation of the institution</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277</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264</w:t>
            </w:r>
          </w:p>
        </w:tc>
      </w:tr>
      <w:tr>
        <w:trPr>
          <w:trHeight w:val="427"/>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6</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Contributions and refunds in connection with union agreements and programmes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13 316</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12 761</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7</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Default interest and fines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115</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115</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14 592</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1 473</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8</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Borrowing and lending operations</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39</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9</w:t>
            </w:r>
          </w:p>
        </w:tc>
        <w:tc>
          <w:tcPr>
            <w:tcW w:w="4508"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rPr>
                <w:rFonts w:ascii="Verdana" w:eastAsia="Verdana" w:hAnsi="Verdana" w:cs="Verdana"/>
                <w:noProof/>
                <w:color w:val="000000"/>
                <w:sz w:val="16"/>
              </w:rPr>
            </w:pPr>
            <w:r>
              <w:rPr>
                <w:rFonts w:ascii="Verdana" w:eastAsia="Verdana" w:hAnsi="Verdana" w:cs="Verdana"/>
                <w:noProof/>
                <w:color w:val="000000"/>
                <w:sz w:val="16"/>
              </w:rPr>
              <w:t>Miscellaneous revenue</w:t>
            </w:r>
          </w:p>
        </w:tc>
        <w:tc>
          <w:tcPr>
            <w:tcW w:w="1419"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1274"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1136"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1192" w:type="dxa"/>
            <w:tcBorders>
              <w:top w:val="nil"/>
              <w:left w:val="nil"/>
              <w:bottom w:val="nil"/>
              <w:right w:val="nil"/>
              <w:tl2br w:val="nil"/>
              <w:tr2bl w:val="nil"/>
            </w:tcBorders>
            <w:shd w:val="clear" w:color="auto" w:fill="auto"/>
            <w:tcMar>
              <w:left w:w="60" w:type="dxa"/>
              <w:right w:w="60" w:type="dxa"/>
            </w:tcMar>
            <w:vAlign w:val="center"/>
          </w:tcPr>
          <w:p>
            <w:pPr>
              <w:pStyle w:val="DMETW15798BIP01Statementofcomparisonofbudgetandactualamou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w:t>
            </w:r>
          </w:p>
        </w:tc>
      </w:tr>
      <w:tr>
        <w:trPr>
          <w:trHeight w:val="340"/>
        </w:trPr>
        <w:tc>
          <w:tcPr>
            <w:tcW w:w="229" w:type="dxa"/>
            <w:tcBorders>
              <w:top w:val="nil"/>
              <w:left w:val="nil"/>
              <w:bottom w:val="nil"/>
              <w:right w:val="nil"/>
              <w:tl2br w:val="nil"/>
              <w:tr2bl w:val="nil"/>
            </w:tcBorders>
            <w:shd w:val="solid" w:color="CCE1EA" w:fill="FFFFFF"/>
            <w:tcMar>
              <w:left w:w="60" w:type="dxa"/>
              <w:right w:w="60" w:type="dxa"/>
            </w:tcMar>
            <w:vAlign w:val="center"/>
          </w:tcPr>
          <w:p>
            <w:pPr>
              <w:pStyle w:val="DMETW15798BIP01Statementofcomparisonofbudgetandactualamounts"/>
              <w:rPr>
                <w:rFonts w:ascii="Verdana" w:eastAsia="Verdana" w:hAnsi="Verdana" w:cs="Verdana"/>
                <w:b/>
                <w:noProof/>
                <w:color w:val="000000"/>
                <w:sz w:val="16"/>
              </w:rPr>
            </w:pPr>
          </w:p>
        </w:tc>
        <w:tc>
          <w:tcPr>
            <w:tcW w:w="4508" w:type="dxa"/>
            <w:tcBorders>
              <w:top w:val="nil"/>
              <w:left w:val="nil"/>
              <w:bottom w:val="nil"/>
              <w:right w:val="nil"/>
              <w:tl2br w:val="nil"/>
              <w:tr2bl w:val="nil"/>
            </w:tcBorders>
            <w:shd w:val="solid" w:color="CCE1EA" w:fill="FFFFFF"/>
            <w:tcMar>
              <w:left w:w="60" w:type="dxa"/>
              <w:right w:w="60" w:type="dxa"/>
            </w:tcMar>
            <w:vAlign w:val="center"/>
          </w:tcPr>
          <w:p>
            <w:pPr>
              <w:pStyle w:val="DMETW15798BIP01Statementofcomparisonofbudgetandactualamounts"/>
              <w:rPr>
                <w:rFonts w:ascii="Verdana" w:eastAsia="Verdana" w:hAnsi="Verdana" w:cs="Verdana"/>
                <w:b/>
                <w:noProof/>
                <w:color w:val="000000"/>
                <w:sz w:val="16"/>
              </w:rPr>
            </w:pPr>
            <w:r>
              <w:rPr>
                <w:rFonts w:ascii="Verdana" w:eastAsia="Verdana" w:hAnsi="Verdana" w:cs="Verdana"/>
                <w:b/>
                <w:noProof/>
                <w:color w:val="000000"/>
                <w:sz w:val="16"/>
              </w:rPr>
              <w:t>Total</w:t>
            </w:r>
          </w:p>
        </w:tc>
        <w:tc>
          <w:tcPr>
            <w:tcW w:w="1419" w:type="dxa"/>
            <w:tcBorders>
              <w:top w:val="nil"/>
              <w:left w:val="nil"/>
              <w:bottom w:val="nil"/>
              <w:right w:val="nil"/>
              <w:tl2br w:val="nil"/>
              <w:tr2bl w:val="nil"/>
            </w:tcBorders>
            <w:shd w:val="solid" w:color="CCE1EA" w:fill="FFFFFF"/>
            <w:tcMar>
              <w:left w:w="60" w:type="dxa"/>
              <w:right w:w="60" w:type="dxa"/>
            </w:tcMar>
            <w:vAlign w:val="center"/>
          </w:tcPr>
          <w:p>
            <w:pPr>
              <w:pStyle w:val="DMETW15798BIP01Statementofcomparisonofbudgetandactualamounts"/>
              <w:jc w:val="right"/>
              <w:rPr>
                <w:rFonts w:ascii="Verdana" w:eastAsia="Verdana" w:hAnsi="Verdana" w:cs="Verdana"/>
                <w:b/>
                <w:noProof/>
                <w:color w:val="000000"/>
                <w:sz w:val="16"/>
              </w:rPr>
            </w:pPr>
            <w:r>
              <w:rPr>
                <w:rFonts w:ascii="Verdana" w:eastAsia="Verdana" w:hAnsi="Verdana" w:cs="Verdana"/>
                <w:b/>
                <w:noProof/>
                <w:color w:val="000000"/>
                <w:sz w:val="16"/>
              </w:rPr>
              <w:t>144 315</w:t>
            </w:r>
          </w:p>
        </w:tc>
        <w:tc>
          <w:tcPr>
            <w:tcW w:w="1274" w:type="dxa"/>
            <w:tcBorders>
              <w:top w:val="nil"/>
              <w:left w:val="nil"/>
              <w:bottom w:val="nil"/>
              <w:right w:val="nil"/>
              <w:tl2br w:val="nil"/>
              <w:tr2bl w:val="nil"/>
            </w:tcBorders>
            <w:shd w:val="solid" w:color="CCE1EA" w:fill="FFFFFF"/>
            <w:tcMar>
              <w:left w:w="60" w:type="dxa"/>
              <w:right w:w="60" w:type="dxa"/>
            </w:tcMar>
            <w:vAlign w:val="center"/>
          </w:tcPr>
          <w:p>
            <w:pPr>
              <w:pStyle w:val="DMETW15798BIP01Statementofcomparisonofbudgetandactualamounts"/>
              <w:jc w:val="right"/>
              <w:rPr>
                <w:rFonts w:ascii="Verdana" w:eastAsia="Verdana" w:hAnsi="Verdana" w:cs="Verdana"/>
                <w:b/>
                <w:noProof/>
                <w:color w:val="000000"/>
                <w:sz w:val="16"/>
              </w:rPr>
            </w:pPr>
            <w:r>
              <w:rPr>
                <w:rFonts w:ascii="Verdana" w:eastAsia="Verdana" w:hAnsi="Verdana" w:cs="Verdana"/>
                <w:b/>
                <w:noProof/>
                <w:color w:val="000000"/>
                <w:sz w:val="16"/>
              </w:rPr>
              <w:t>144 401</w:t>
            </w:r>
          </w:p>
        </w:tc>
        <w:tc>
          <w:tcPr>
            <w:tcW w:w="1136" w:type="dxa"/>
            <w:tcBorders>
              <w:top w:val="nil"/>
              <w:left w:val="nil"/>
              <w:bottom w:val="nil"/>
              <w:right w:val="nil"/>
              <w:tl2br w:val="nil"/>
              <w:tr2bl w:val="nil"/>
            </w:tcBorders>
            <w:shd w:val="solid" w:color="CCE1EA" w:fill="FFFFFF"/>
            <w:tcMar>
              <w:left w:w="60" w:type="dxa"/>
              <w:right w:w="60" w:type="dxa"/>
            </w:tcMar>
            <w:vAlign w:val="center"/>
          </w:tcPr>
          <w:p>
            <w:pPr>
              <w:pStyle w:val="DMETW15798BIP01Statementofcomparisonofbudgetandactualamounts"/>
              <w:jc w:val="right"/>
              <w:rPr>
                <w:rFonts w:ascii="Verdana" w:eastAsia="Verdana" w:hAnsi="Verdana" w:cs="Verdana"/>
                <w:b/>
                <w:noProof/>
                <w:color w:val="000000"/>
                <w:sz w:val="16"/>
              </w:rPr>
            </w:pPr>
            <w:r>
              <w:rPr>
                <w:rFonts w:ascii="Verdana" w:eastAsia="Verdana" w:hAnsi="Verdana" w:cs="Verdana"/>
                <w:b/>
                <w:noProof/>
                <w:color w:val="000000"/>
                <w:sz w:val="16"/>
              </w:rPr>
              <w:t>172 389</w:t>
            </w:r>
          </w:p>
        </w:tc>
        <w:tc>
          <w:tcPr>
            <w:tcW w:w="1192" w:type="dxa"/>
            <w:tcBorders>
              <w:top w:val="nil"/>
              <w:left w:val="nil"/>
              <w:bottom w:val="nil"/>
              <w:right w:val="nil"/>
              <w:tl2br w:val="nil"/>
              <w:tr2bl w:val="nil"/>
            </w:tcBorders>
            <w:shd w:val="solid" w:color="CCE1EA" w:fill="FFFFFF"/>
            <w:tcMar>
              <w:left w:w="60" w:type="dxa"/>
              <w:right w:w="60" w:type="dxa"/>
            </w:tcMar>
            <w:vAlign w:val="center"/>
          </w:tcPr>
          <w:p>
            <w:pPr>
              <w:pStyle w:val="DMETW15798BIP01Statementofcomparisonofbudgetandactualamounts"/>
              <w:jc w:val="right"/>
              <w:rPr>
                <w:rFonts w:ascii="Verdana" w:eastAsia="Verdana" w:hAnsi="Verdana" w:cs="Verdana"/>
                <w:b/>
                <w:noProof/>
                <w:color w:val="000000"/>
                <w:sz w:val="16"/>
              </w:rPr>
            </w:pPr>
            <w:r>
              <w:rPr>
                <w:rFonts w:ascii="Verdana" w:eastAsia="Verdana" w:hAnsi="Verdana" w:cs="Verdana"/>
                <w:b/>
                <w:noProof/>
                <w:color w:val="000000"/>
                <w:sz w:val="16"/>
              </w:rPr>
              <w:t>158 643</w:t>
            </w:r>
          </w:p>
        </w:tc>
      </w:tr>
    </w:tbl>
    <w:p>
      <w:pPr>
        <w:pStyle w:val="Textstand-alone"/>
      </w:pPr>
    </w:p>
    <w:p>
      <w:pPr>
        <w:pStyle w:val="Textstand-alone"/>
      </w:pPr>
    </w:p>
    <w:p>
      <w:pPr>
        <w:pStyle w:val="Textstand-alone"/>
      </w:pPr>
    </w:p>
    <w:p>
      <w:pPr>
        <w:pStyle w:val="HEADERTABLE"/>
        <w:rPr>
          <w:rFonts w:eastAsia="Calibri"/>
          <w:noProof/>
        </w:rPr>
      </w:pPr>
      <w:r>
        <w:rPr>
          <w:noProof/>
        </w:rPr>
        <w:br w:type="page"/>
      </w:r>
      <w:r>
        <w:rPr>
          <w:rFonts w:eastAsia="Calibri"/>
          <w:noProof/>
        </w:rPr>
        <w:t>BUDGET EXPENDITURE: COMMITMENTS BY MULTIANNUAL FINANCIAL FRAMEWORK (MFF) HEADING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
        <w:gridCol w:w="3942"/>
        <w:gridCol w:w="1559"/>
        <w:gridCol w:w="1276"/>
        <w:gridCol w:w="1418"/>
        <w:gridCol w:w="1334"/>
      </w:tblGrid>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lang w:bidi="en-GB"/>
              </w:rPr>
            </w:pPr>
            <w:bookmarkStart w:id="198" w:name="DOC_TBL00097_1_1"/>
            <w:bookmarkEnd w:id="198"/>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rPr>
        <w:tc>
          <w:tcPr>
            <w:tcW w:w="229" w:type="dxa"/>
            <w:tcBorders>
              <w:top w:val="nil"/>
              <w:left w:val="nil"/>
              <w:bottom w:val="nil"/>
              <w:right w:val="nil"/>
              <w:tl2br w:val="nil"/>
              <w:tr2bl w:val="nil"/>
            </w:tcBorders>
            <w:shd w:val="solid" w:color="016794" w:fill="FFFFFF"/>
            <w:tcMar>
              <w:left w:w="60" w:type="dxa"/>
              <w:right w:w="60" w:type="dxa"/>
            </w:tcMar>
            <w:vAlign w:val="center"/>
          </w:tcPr>
          <w:p>
            <w:pPr>
              <w:pStyle w:val="DMETW15798BIP02BudgetexpenditurecommitmentsbyMFF"/>
              <w:jc w:val="center"/>
              <w:rPr>
                <w:rFonts w:ascii="Verdana" w:eastAsia="Verdana" w:hAnsi="Verdana" w:cs="Verdana"/>
                <w:noProof/>
                <w:color w:val="FFFFFF"/>
                <w:sz w:val="16"/>
              </w:rPr>
            </w:pPr>
          </w:p>
        </w:tc>
        <w:tc>
          <w:tcPr>
            <w:tcW w:w="3942" w:type="dxa"/>
            <w:tcBorders>
              <w:top w:val="nil"/>
              <w:left w:val="nil"/>
              <w:bottom w:val="nil"/>
              <w:right w:val="nil"/>
              <w:tl2br w:val="nil"/>
              <w:tr2bl w:val="nil"/>
            </w:tcBorders>
            <w:shd w:val="solid" w:color="016794" w:fill="FFFFFF"/>
            <w:tcMar>
              <w:left w:w="60" w:type="dxa"/>
              <w:right w:w="60" w:type="dxa"/>
            </w:tcMar>
            <w:vAlign w:val="center"/>
          </w:tcPr>
          <w:p>
            <w:pPr>
              <w:pStyle w:val="DMETW15798BIP02BudgetexpenditurecommitmentsbyMFF"/>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559" w:type="dxa"/>
            <w:tcBorders>
              <w:top w:val="nil"/>
              <w:left w:val="nil"/>
              <w:bottom w:val="nil"/>
              <w:right w:val="nil"/>
              <w:tl2br w:val="nil"/>
              <w:tr2bl w:val="nil"/>
            </w:tcBorders>
            <w:shd w:val="solid" w:color="016794" w:fill="FFFFFF"/>
            <w:tcMar>
              <w:left w:w="60" w:type="dxa"/>
              <w:right w:w="60" w:type="dxa"/>
            </w:tcMar>
            <w:vAlign w:val="center"/>
          </w:tcPr>
          <w:p>
            <w:pPr>
              <w:pStyle w:val="DMETW15798BIP02BudgetexpenditurecommitmentsbyMFF"/>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1276" w:type="dxa"/>
            <w:tcBorders>
              <w:top w:val="nil"/>
              <w:left w:val="nil"/>
              <w:bottom w:val="nil"/>
              <w:right w:val="nil"/>
              <w:tl2br w:val="nil"/>
              <w:tr2bl w:val="nil"/>
            </w:tcBorders>
            <w:shd w:val="solid" w:color="016794" w:fill="FFFFFF"/>
            <w:tcMar>
              <w:left w:w="60" w:type="dxa"/>
              <w:right w:w="60" w:type="dxa"/>
            </w:tcMar>
            <w:vAlign w:val="center"/>
          </w:tcPr>
          <w:p>
            <w:pPr>
              <w:pStyle w:val="DMETW15798BIP02BudgetexpenditurecommitmentsbyMFF"/>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1418" w:type="dxa"/>
            <w:tcBorders>
              <w:top w:val="nil"/>
              <w:left w:val="nil"/>
              <w:bottom w:val="nil"/>
              <w:right w:val="nil"/>
              <w:tl2br w:val="nil"/>
              <w:tr2bl w:val="nil"/>
            </w:tcBorders>
            <w:shd w:val="solid" w:color="016794" w:fill="FFFFFF"/>
            <w:tcMar>
              <w:left w:w="60" w:type="dxa"/>
              <w:right w:w="60" w:type="dxa"/>
            </w:tcMar>
            <w:vAlign w:val="center"/>
          </w:tcPr>
          <w:p>
            <w:pPr>
              <w:pStyle w:val="DMETW15798BIP02BudgetexpenditurecommitmentsbyMFF"/>
              <w:jc w:val="center"/>
              <w:rPr>
                <w:rFonts w:ascii="Verdana" w:eastAsia="Verdana" w:hAnsi="Verdana" w:cs="Verdana"/>
                <w:noProof/>
                <w:color w:val="FFFFFF"/>
                <w:sz w:val="16"/>
              </w:rPr>
            </w:pPr>
            <w:r>
              <w:rPr>
                <w:rFonts w:ascii="Verdana" w:eastAsia="Verdana" w:hAnsi="Verdana" w:cs="Verdana"/>
                <w:noProof/>
                <w:color w:val="FFFFFF"/>
                <w:sz w:val="16"/>
              </w:rPr>
              <w:t>Total appropriations available</w:t>
            </w:r>
          </w:p>
        </w:tc>
        <w:tc>
          <w:tcPr>
            <w:tcW w:w="1334" w:type="dxa"/>
            <w:tcBorders>
              <w:top w:val="nil"/>
              <w:left w:val="nil"/>
              <w:bottom w:val="nil"/>
              <w:right w:val="nil"/>
              <w:tl2br w:val="nil"/>
              <w:tr2bl w:val="nil"/>
            </w:tcBorders>
            <w:shd w:val="solid" w:color="016794" w:fill="FFFFFF"/>
            <w:tcMar>
              <w:left w:w="60" w:type="dxa"/>
              <w:right w:w="60" w:type="dxa"/>
            </w:tcMar>
            <w:vAlign w:val="center"/>
          </w:tcPr>
          <w:p>
            <w:pPr>
              <w:pStyle w:val="DMETW15798BIP02BudgetexpenditurecommitmentsbyMFF"/>
              <w:jc w:val="center"/>
              <w:rPr>
                <w:rFonts w:ascii="Verdana" w:eastAsia="Verdana" w:hAnsi="Verdana" w:cs="Verdana"/>
                <w:noProof/>
                <w:color w:val="FFFFFF"/>
                <w:sz w:val="16"/>
                <w:lang w:bidi="en-GB"/>
              </w:rPr>
            </w:pPr>
            <w:r>
              <w:rPr>
                <w:rFonts w:ascii="Verdana" w:eastAsia="Verdana" w:hAnsi="Verdana" w:cs="Verdana"/>
                <w:noProof/>
                <w:color w:val="FFFFFF"/>
                <w:sz w:val="16"/>
              </w:rPr>
              <w:t>Commitments made</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1</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Smart and inclusive growth</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77 534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77 532</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89 649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87 357</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i/>
                <w:noProof/>
                <w:color w:val="000000"/>
                <w:sz w:val="16"/>
              </w:rPr>
            </w:pPr>
            <w:r>
              <w:rPr>
                <w:rFonts w:ascii="Verdana" w:eastAsia="Verdana" w:hAnsi="Verdana" w:cs="Verdana"/>
                <w:i/>
                <w:noProof/>
                <w:color w:val="000000"/>
                <w:sz w:val="16"/>
              </w:rPr>
              <w:t xml:space="preserve">    1a: Competitiveness for growth and jobs</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22 001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22 000</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25 864</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23 773</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i/>
                <w:noProof/>
                <w:color w:val="000000"/>
                <w:sz w:val="16"/>
              </w:rPr>
            </w:pPr>
            <w:r>
              <w:rPr>
                <w:rFonts w:ascii="Verdana" w:eastAsia="Verdana" w:hAnsi="Verdana" w:cs="Verdana"/>
                <w:i/>
                <w:noProof/>
                <w:color w:val="000000"/>
                <w:sz w:val="16"/>
              </w:rPr>
              <w:t xml:space="preserve">    1b: Economic, social and territorial cohesion</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55 532</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55 532</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63 785</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63 585</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2</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Sustainable growth: natural resources</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59 285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59 239</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62 419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60 560</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i/>
                <w:noProof/>
                <w:color w:val="000000"/>
                <w:sz w:val="16"/>
              </w:rPr>
            </w:pPr>
            <w:r>
              <w:rPr>
                <w:rFonts w:ascii="Verdana" w:eastAsia="Verdana" w:hAnsi="Verdana" w:cs="Verdana"/>
                <w:i/>
                <w:noProof/>
                <w:color w:val="000000"/>
                <w:sz w:val="16"/>
              </w:rPr>
              <w:t xml:space="preserve">    of which: Market related expenditure and direct payments</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43 235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43 233</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rPr>
            </w:pPr>
            <w:r>
              <w:rPr>
                <w:rFonts w:ascii="Verdana" w:eastAsia="Verdana" w:hAnsi="Verdana" w:cs="Verdana"/>
                <w:i/>
                <w:noProof/>
                <w:color w:val="000000"/>
                <w:sz w:val="16"/>
              </w:rPr>
              <w:t>45 284</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44 364</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3</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3 493</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3 492</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4 015</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3 855</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4</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Global Europe</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9 569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10 379</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11 448</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11 062</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5</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Administration</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5 650</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5 650</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6 043</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5 845</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6</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Compensations</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8</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22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9</w:t>
            </w:r>
          </w:p>
        </w:tc>
        <w:tc>
          <w:tcPr>
            <w:tcW w:w="3942"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 xml:space="preserve"> 567</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 xml:space="preserve"> 388</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rPr>
            </w:pPr>
            <w:r>
              <w:rPr>
                <w:rFonts w:ascii="Verdana" w:eastAsia="Verdana" w:hAnsi="Verdana" w:cs="Verdana"/>
                <w:noProof/>
                <w:color w:val="000000"/>
                <w:sz w:val="16"/>
              </w:rPr>
              <w:t xml:space="preserve"> 429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02BudgetexpenditurecommitmentsbyMFF"/>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180</w:t>
            </w:r>
          </w:p>
        </w:tc>
      </w:tr>
      <w:tr>
        <w:trPr>
          <w:trHeight w:val="340"/>
        </w:trPr>
        <w:tc>
          <w:tcPr>
            <w:tcW w:w="229" w:type="dxa"/>
            <w:tcBorders>
              <w:top w:val="nil"/>
              <w:left w:val="nil"/>
              <w:bottom w:val="nil"/>
              <w:right w:val="nil"/>
              <w:tl2br w:val="nil"/>
              <w:tr2bl w:val="nil"/>
            </w:tcBorders>
            <w:shd w:val="solid" w:color="CCE1EA" w:fill="FFFFFF"/>
            <w:tcMar>
              <w:left w:w="60" w:type="dxa"/>
              <w:right w:w="60" w:type="dxa"/>
            </w:tcMar>
            <w:vAlign w:val="center"/>
          </w:tcPr>
          <w:p>
            <w:pPr>
              <w:pStyle w:val="DMETW15798BIP02BudgetexpenditurecommitmentsbyMFF"/>
              <w:rPr>
                <w:rFonts w:ascii="Verdana" w:eastAsia="Verdana" w:hAnsi="Verdana" w:cs="Verdana"/>
                <w:b/>
                <w:noProof/>
                <w:color w:val="000000"/>
                <w:sz w:val="16"/>
              </w:rPr>
            </w:pPr>
          </w:p>
        </w:tc>
        <w:tc>
          <w:tcPr>
            <w:tcW w:w="3942" w:type="dxa"/>
            <w:tcBorders>
              <w:top w:val="nil"/>
              <w:left w:val="nil"/>
              <w:bottom w:val="nil"/>
              <w:right w:val="nil"/>
              <w:tl2br w:val="nil"/>
              <w:tr2bl w:val="nil"/>
            </w:tcBorders>
            <w:shd w:val="solid" w:color="CCE1EA" w:fill="FFFFFF"/>
            <w:tcMar>
              <w:left w:w="60" w:type="dxa"/>
              <w:right w:w="60" w:type="dxa"/>
            </w:tcMar>
            <w:vAlign w:val="center"/>
          </w:tcPr>
          <w:p>
            <w:pPr>
              <w:pStyle w:val="DMETW15798BIP02BudgetexpenditurecommitmentsbyMFF"/>
              <w:rPr>
                <w:rFonts w:ascii="Verdana" w:eastAsia="Verdana" w:hAnsi="Verdana" w:cs="Verdana"/>
                <w:b/>
                <w:noProof/>
                <w:color w:val="000000"/>
                <w:sz w:val="16"/>
              </w:rPr>
            </w:pPr>
            <w:r>
              <w:rPr>
                <w:rFonts w:ascii="Verdana" w:eastAsia="Verdana" w:hAnsi="Verdana" w:cs="Verdana"/>
                <w:b/>
                <w:noProof/>
                <w:color w:val="000000"/>
                <w:sz w:val="16"/>
              </w:rPr>
              <w:t>Total</w:t>
            </w:r>
          </w:p>
        </w:tc>
        <w:tc>
          <w:tcPr>
            <w:tcW w:w="1559" w:type="dxa"/>
            <w:tcBorders>
              <w:top w:val="nil"/>
              <w:left w:val="nil"/>
              <w:bottom w:val="nil"/>
              <w:right w:val="nil"/>
              <w:tl2br w:val="nil"/>
              <w:tr2bl w:val="nil"/>
            </w:tcBorders>
            <w:shd w:val="solid" w:color="CCE1EA" w:fill="FFFFFF"/>
            <w:tcMar>
              <w:left w:w="60" w:type="dxa"/>
              <w:right w:w="60" w:type="dxa"/>
            </w:tcMar>
            <w:vAlign w:val="center"/>
          </w:tcPr>
          <w:p>
            <w:pPr>
              <w:pStyle w:val="DMETW15798BIP02BudgetexpenditurecommitmentsbyMFF"/>
              <w:jc w:val="right"/>
              <w:rPr>
                <w:rFonts w:ascii="Verdana" w:eastAsia="Verdana" w:hAnsi="Verdana" w:cs="Verdana"/>
                <w:b/>
                <w:noProof/>
                <w:color w:val="000000"/>
                <w:sz w:val="16"/>
              </w:rPr>
            </w:pPr>
            <w:r>
              <w:rPr>
                <w:rFonts w:ascii="Verdana" w:eastAsia="Verdana" w:hAnsi="Verdana" w:cs="Verdana"/>
                <w:b/>
                <w:noProof/>
                <w:color w:val="000000"/>
                <w:sz w:val="16"/>
              </w:rPr>
              <w:t>156 098</w:t>
            </w:r>
          </w:p>
        </w:tc>
        <w:tc>
          <w:tcPr>
            <w:tcW w:w="1276" w:type="dxa"/>
            <w:tcBorders>
              <w:top w:val="nil"/>
              <w:left w:val="nil"/>
              <w:bottom w:val="nil"/>
              <w:right w:val="nil"/>
              <w:tl2br w:val="nil"/>
              <w:tr2bl w:val="nil"/>
            </w:tcBorders>
            <w:shd w:val="solid" w:color="CCE1EA" w:fill="FFFFFF"/>
            <w:tcMar>
              <w:left w:w="60" w:type="dxa"/>
              <w:right w:w="60" w:type="dxa"/>
            </w:tcMar>
            <w:vAlign w:val="center"/>
          </w:tcPr>
          <w:p>
            <w:pPr>
              <w:pStyle w:val="DMETW15798BIP02BudgetexpenditurecommitmentsbyMFF"/>
              <w:jc w:val="right"/>
              <w:rPr>
                <w:rFonts w:ascii="Verdana" w:eastAsia="Verdana" w:hAnsi="Verdana" w:cs="Verdana"/>
                <w:b/>
                <w:noProof/>
                <w:color w:val="000000"/>
                <w:sz w:val="16"/>
              </w:rPr>
            </w:pPr>
            <w:r>
              <w:rPr>
                <w:rFonts w:ascii="Verdana" w:eastAsia="Verdana" w:hAnsi="Verdana" w:cs="Verdana"/>
                <w:b/>
                <w:noProof/>
                <w:color w:val="000000"/>
                <w:sz w:val="16"/>
              </w:rPr>
              <w:t>156 681</w:t>
            </w:r>
          </w:p>
        </w:tc>
        <w:tc>
          <w:tcPr>
            <w:tcW w:w="1418" w:type="dxa"/>
            <w:tcBorders>
              <w:top w:val="nil"/>
              <w:left w:val="nil"/>
              <w:bottom w:val="nil"/>
              <w:right w:val="nil"/>
              <w:tl2br w:val="nil"/>
              <w:tr2bl w:val="nil"/>
            </w:tcBorders>
            <w:shd w:val="solid" w:color="CCE1EA" w:fill="FFFFFF"/>
            <w:tcMar>
              <w:left w:w="60" w:type="dxa"/>
              <w:right w:w="60" w:type="dxa"/>
            </w:tcMar>
            <w:vAlign w:val="center"/>
          </w:tcPr>
          <w:p>
            <w:pPr>
              <w:pStyle w:val="DMETW15798BIP02BudgetexpenditurecommitmentsbyMFF"/>
              <w:jc w:val="right"/>
              <w:rPr>
                <w:rFonts w:ascii="Verdana" w:eastAsia="Verdana" w:hAnsi="Verdana" w:cs="Verdana"/>
                <w:b/>
                <w:noProof/>
                <w:color w:val="000000"/>
                <w:sz w:val="16"/>
              </w:rPr>
            </w:pPr>
            <w:r>
              <w:rPr>
                <w:rFonts w:ascii="Verdana" w:eastAsia="Verdana" w:hAnsi="Verdana" w:cs="Verdana"/>
                <w:b/>
                <w:noProof/>
                <w:color w:val="000000"/>
                <w:sz w:val="16"/>
              </w:rPr>
              <w:t>174 003</w:t>
            </w:r>
          </w:p>
        </w:tc>
        <w:tc>
          <w:tcPr>
            <w:tcW w:w="1334" w:type="dxa"/>
            <w:tcBorders>
              <w:top w:val="nil"/>
              <w:left w:val="nil"/>
              <w:bottom w:val="nil"/>
              <w:right w:val="nil"/>
              <w:tl2br w:val="nil"/>
              <w:tr2bl w:val="nil"/>
            </w:tcBorders>
            <w:shd w:val="solid" w:color="CCE1EA" w:fill="FFFFFF"/>
            <w:tcMar>
              <w:left w:w="60" w:type="dxa"/>
              <w:right w:w="60" w:type="dxa"/>
            </w:tcMar>
            <w:vAlign w:val="center"/>
          </w:tcPr>
          <w:p>
            <w:pPr>
              <w:pStyle w:val="DMETW15798BIP02BudgetexpenditurecommitmentsbyMFF"/>
              <w:jc w:val="right"/>
              <w:rPr>
                <w:rFonts w:ascii="Verdana" w:eastAsia="Verdana" w:hAnsi="Verdana" w:cs="Verdana"/>
                <w:b/>
                <w:noProof/>
                <w:color w:val="000000"/>
                <w:sz w:val="16"/>
              </w:rPr>
            </w:pPr>
            <w:r>
              <w:rPr>
                <w:rFonts w:ascii="Verdana" w:eastAsia="Verdana" w:hAnsi="Verdana" w:cs="Verdana"/>
                <w:b/>
                <w:noProof/>
                <w:color w:val="000000"/>
                <w:sz w:val="16"/>
              </w:rPr>
              <w:t>168 859</w:t>
            </w:r>
          </w:p>
        </w:tc>
      </w:tr>
    </w:tbl>
    <w:p>
      <w:pPr>
        <w:pStyle w:val="Textstand-alone"/>
        <w:rPr>
          <w:lang w:eastAsia="en-GB"/>
        </w:rPr>
      </w:pPr>
    </w:p>
    <w:p>
      <w:pPr>
        <w:pStyle w:val="Textstand-alone"/>
        <w:rPr>
          <w:lang w:eastAsia="en-GB"/>
        </w:rPr>
      </w:pPr>
    </w:p>
    <w:p>
      <w:pPr>
        <w:pStyle w:val="Textstand-alone"/>
        <w:rPr>
          <w:lang w:eastAsia="en-GB"/>
        </w:rPr>
      </w:pPr>
    </w:p>
    <w:p>
      <w:pPr>
        <w:pStyle w:val="HEADERTABLE"/>
        <w:rPr>
          <w:rFonts w:eastAsia="Calibri"/>
          <w:noProof/>
        </w:rPr>
      </w:pPr>
      <w:r>
        <w:rPr>
          <w:noProof/>
        </w:rPr>
        <w:br w:type="page"/>
      </w:r>
      <w:r>
        <w:rPr>
          <w:rFonts w:eastAsia="Calibri"/>
          <w:noProof/>
        </w:rPr>
        <w:t>BUDGET EXPENDITURE: PAYMENTS BY MULTIANNUAL FINANCIAL FRAMEWORK (MFF) HEADING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3969"/>
        <w:gridCol w:w="1417"/>
        <w:gridCol w:w="1276"/>
        <w:gridCol w:w="1559"/>
        <w:gridCol w:w="1193"/>
      </w:tblGrid>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lang w:bidi="en-GB"/>
              </w:rPr>
            </w:pPr>
            <w:bookmarkStart w:id="199" w:name="DOC_TBL00098_1_1"/>
            <w:bookmarkEnd w:id="199"/>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rPr>
        <w:tc>
          <w:tcPr>
            <w:tcW w:w="344" w:type="dxa"/>
            <w:tcBorders>
              <w:top w:val="nil"/>
              <w:left w:val="nil"/>
              <w:bottom w:val="nil"/>
              <w:right w:val="nil"/>
              <w:tl2br w:val="nil"/>
              <w:tr2bl w:val="nil"/>
            </w:tcBorders>
            <w:shd w:val="solid" w:color="016794" w:fill="FFFFFF"/>
            <w:tcMar>
              <w:left w:w="60" w:type="dxa"/>
              <w:right w:w="60" w:type="dxa"/>
            </w:tcMar>
            <w:vAlign w:val="center"/>
          </w:tcPr>
          <w:p>
            <w:pPr>
              <w:pStyle w:val="DMETW15798BIP03BudgetexpenditurePaymentsbyMFF"/>
              <w:jc w:val="center"/>
              <w:rPr>
                <w:rFonts w:ascii="Verdana" w:eastAsia="Verdana" w:hAnsi="Verdana" w:cs="Verdana"/>
                <w:noProof/>
                <w:color w:val="FFFFFF"/>
                <w:sz w:val="16"/>
              </w:rPr>
            </w:pPr>
          </w:p>
        </w:tc>
        <w:tc>
          <w:tcPr>
            <w:tcW w:w="3969" w:type="dxa"/>
            <w:tcBorders>
              <w:top w:val="nil"/>
              <w:left w:val="nil"/>
              <w:bottom w:val="nil"/>
              <w:right w:val="nil"/>
              <w:tl2br w:val="nil"/>
              <w:tr2bl w:val="nil"/>
            </w:tcBorders>
            <w:shd w:val="solid" w:color="016794" w:fill="FFFFFF"/>
            <w:tcMar>
              <w:left w:w="60" w:type="dxa"/>
              <w:right w:w="60" w:type="dxa"/>
            </w:tcMar>
            <w:vAlign w:val="center"/>
          </w:tcPr>
          <w:p>
            <w:pPr>
              <w:pStyle w:val="DMETW15798BIP03BudgetexpenditurePaymentsbyMFF"/>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417" w:type="dxa"/>
            <w:tcBorders>
              <w:top w:val="nil"/>
              <w:left w:val="nil"/>
              <w:bottom w:val="nil"/>
              <w:right w:val="nil"/>
              <w:tl2br w:val="nil"/>
              <w:tr2bl w:val="nil"/>
            </w:tcBorders>
            <w:shd w:val="solid" w:color="016794" w:fill="FFFFFF"/>
            <w:tcMar>
              <w:left w:w="60" w:type="dxa"/>
              <w:right w:w="60" w:type="dxa"/>
            </w:tcMar>
            <w:vAlign w:val="center"/>
          </w:tcPr>
          <w:p>
            <w:pPr>
              <w:pStyle w:val="DMETW15798BIP03BudgetexpenditurePaymentsbyMFF"/>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1276" w:type="dxa"/>
            <w:tcBorders>
              <w:top w:val="nil"/>
              <w:left w:val="nil"/>
              <w:bottom w:val="nil"/>
              <w:right w:val="nil"/>
              <w:tl2br w:val="nil"/>
              <w:tr2bl w:val="nil"/>
            </w:tcBorders>
            <w:shd w:val="solid" w:color="016794" w:fill="FFFFFF"/>
            <w:tcMar>
              <w:left w:w="60" w:type="dxa"/>
              <w:right w:w="60" w:type="dxa"/>
            </w:tcMar>
            <w:vAlign w:val="center"/>
          </w:tcPr>
          <w:p>
            <w:pPr>
              <w:pStyle w:val="DMETW15798BIP03BudgetexpenditurePaymentsbyMFF"/>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1559" w:type="dxa"/>
            <w:tcBorders>
              <w:top w:val="nil"/>
              <w:left w:val="nil"/>
              <w:bottom w:val="nil"/>
              <w:right w:val="nil"/>
              <w:tl2br w:val="nil"/>
              <w:tr2bl w:val="nil"/>
            </w:tcBorders>
            <w:shd w:val="solid" w:color="016794" w:fill="FFFFFF"/>
            <w:tcMar>
              <w:left w:w="60" w:type="dxa"/>
              <w:right w:w="60" w:type="dxa"/>
            </w:tcMar>
            <w:vAlign w:val="center"/>
          </w:tcPr>
          <w:p>
            <w:pPr>
              <w:pStyle w:val="DMETW15798BIP03BudgetexpenditurePaymentsbyMFF"/>
              <w:jc w:val="center"/>
              <w:rPr>
                <w:rFonts w:ascii="Verdana" w:eastAsia="Verdana" w:hAnsi="Verdana" w:cs="Verdana"/>
                <w:noProof/>
                <w:color w:val="FFFFFF"/>
                <w:sz w:val="16"/>
              </w:rPr>
            </w:pPr>
            <w:r>
              <w:rPr>
                <w:rFonts w:ascii="Verdana" w:eastAsia="Verdana" w:hAnsi="Verdana" w:cs="Verdana"/>
                <w:noProof/>
                <w:color w:val="FFFFFF"/>
                <w:sz w:val="16"/>
              </w:rPr>
              <w:t>Total appropriations available</w:t>
            </w:r>
          </w:p>
        </w:tc>
        <w:tc>
          <w:tcPr>
            <w:tcW w:w="1193" w:type="dxa"/>
            <w:tcBorders>
              <w:top w:val="nil"/>
              <w:left w:val="nil"/>
              <w:bottom w:val="nil"/>
              <w:right w:val="nil"/>
              <w:tl2br w:val="nil"/>
              <w:tr2bl w:val="nil"/>
            </w:tcBorders>
            <w:shd w:val="solid" w:color="016794" w:fill="FFFFFF"/>
            <w:tcMar>
              <w:left w:w="60" w:type="dxa"/>
              <w:right w:w="60" w:type="dxa"/>
            </w:tcMar>
            <w:vAlign w:val="center"/>
          </w:tcPr>
          <w:p>
            <w:pPr>
              <w:pStyle w:val="DMETW15798BIP03BudgetexpenditurePaymentsbyMFF"/>
              <w:jc w:val="center"/>
              <w:rPr>
                <w:rFonts w:ascii="Verdana" w:eastAsia="Verdana" w:hAnsi="Verdana" w:cs="Verdana"/>
                <w:noProof/>
                <w:color w:val="FFFFFF"/>
                <w:sz w:val="16"/>
                <w:lang w:bidi="en-GB"/>
              </w:rPr>
            </w:pPr>
            <w:r>
              <w:rPr>
                <w:rFonts w:ascii="Verdana" w:eastAsia="Verdana" w:hAnsi="Verdana" w:cs="Verdana"/>
                <w:noProof/>
                <w:color w:val="FFFFFF"/>
                <w:sz w:val="16"/>
              </w:rPr>
              <w:t>Payments made</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1</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Smart and inclusive growth</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66 624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66 733</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80 917</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75 876</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i/>
                <w:noProof/>
                <w:color w:val="000000"/>
                <w:sz w:val="16"/>
              </w:rPr>
            </w:pPr>
            <w:r>
              <w:rPr>
                <w:rFonts w:ascii="Verdana" w:eastAsia="Verdana" w:hAnsi="Verdana" w:cs="Verdana"/>
                <w:i/>
                <w:noProof/>
                <w:color w:val="000000"/>
                <w:sz w:val="16"/>
              </w:rPr>
              <w:t xml:space="preserve">    1a: Competitiveness for growth and jobs</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20 097</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20 155</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25 073</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21 408</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i/>
                <w:noProof/>
                <w:color w:val="000000"/>
                <w:sz w:val="16"/>
              </w:rPr>
            </w:pPr>
            <w:r>
              <w:rPr>
                <w:rFonts w:ascii="Verdana" w:eastAsia="Verdana" w:hAnsi="Verdana" w:cs="Verdana"/>
                <w:i/>
                <w:noProof/>
                <w:color w:val="000000"/>
                <w:sz w:val="16"/>
              </w:rPr>
              <w:t xml:space="preserve">    1b: Economic, social and territorial cohesion</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46 527</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46 578</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55 844</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54 468</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2</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Sustainable growth: natural resources</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56 084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56 241</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59 648</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58 046</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i/>
                <w:noProof/>
                <w:color w:val="000000"/>
                <w:sz w:val="16"/>
              </w:rPr>
            </w:pPr>
            <w:r>
              <w:rPr>
                <w:rFonts w:ascii="Verdana" w:eastAsia="Verdana" w:hAnsi="Verdana" w:cs="Verdana"/>
                <w:i/>
                <w:noProof/>
                <w:color w:val="000000"/>
                <w:sz w:val="16"/>
              </w:rPr>
              <w:t xml:space="preserve">    of which: Market related expenditure and direct payments</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43 189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43 180</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rPr>
            </w:pPr>
            <w:r>
              <w:rPr>
                <w:rFonts w:ascii="Verdana" w:eastAsia="Verdana" w:hAnsi="Verdana" w:cs="Verdana"/>
                <w:i/>
                <w:noProof/>
                <w:color w:val="000000"/>
                <w:sz w:val="16"/>
              </w:rPr>
              <w:t>45 436</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i/>
                <w:noProof/>
                <w:color w:val="000000"/>
                <w:sz w:val="16"/>
                <w:lang w:bidi="en-GB"/>
              </w:rPr>
            </w:pPr>
            <w:r>
              <w:rPr>
                <w:rFonts w:ascii="Verdana" w:eastAsia="Verdana" w:hAnsi="Verdana" w:cs="Verdana"/>
                <w:i/>
                <w:noProof/>
                <w:color w:val="000000"/>
                <w:sz w:val="16"/>
              </w:rPr>
              <w:t>44 310</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3</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2 981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3 013</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3 305</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3 108</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4</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Global Europe</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8 906</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8 813</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10 788</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9 519</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5</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Administration</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5 651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5 651</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6 392</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5 804</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6</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Compensations</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8</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44"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9</w:t>
            </w:r>
          </w:p>
        </w:tc>
        <w:tc>
          <w:tcPr>
            <w:tcW w:w="396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1417"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 xml:space="preserve"> 420</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 xml:space="preserve"> 302</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rPr>
            </w:pPr>
            <w:r>
              <w:rPr>
                <w:rFonts w:ascii="Verdana" w:eastAsia="Verdana" w:hAnsi="Verdana" w:cs="Verdana"/>
                <w:noProof/>
                <w:color w:val="000000"/>
                <w:sz w:val="16"/>
              </w:rPr>
              <w:t xml:space="preserve"> 340</w:t>
            </w:r>
          </w:p>
        </w:tc>
        <w:tc>
          <w:tcPr>
            <w:tcW w:w="1193" w:type="dxa"/>
            <w:tcBorders>
              <w:top w:val="nil"/>
              <w:left w:val="nil"/>
              <w:bottom w:val="nil"/>
              <w:right w:val="nil"/>
              <w:tl2br w:val="nil"/>
              <w:tr2bl w:val="nil"/>
            </w:tcBorders>
            <w:shd w:val="clear" w:color="auto" w:fill="auto"/>
            <w:tcMar>
              <w:left w:w="60" w:type="dxa"/>
              <w:right w:w="60" w:type="dxa"/>
            </w:tcMar>
            <w:vAlign w:val="center"/>
          </w:tcPr>
          <w:p>
            <w:pPr>
              <w:pStyle w:val="DMETW15798BIP03BudgetexpenditurePaymentsbyMFF"/>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180</w:t>
            </w:r>
          </w:p>
        </w:tc>
      </w:tr>
      <w:tr>
        <w:trPr>
          <w:trHeight w:val="340"/>
        </w:trPr>
        <w:tc>
          <w:tcPr>
            <w:tcW w:w="344" w:type="dxa"/>
            <w:tcBorders>
              <w:top w:val="nil"/>
              <w:left w:val="nil"/>
              <w:bottom w:val="nil"/>
              <w:right w:val="nil"/>
              <w:tl2br w:val="nil"/>
              <w:tr2bl w:val="nil"/>
            </w:tcBorders>
            <w:shd w:val="solid" w:color="CCE1EA" w:fill="FFFFFF"/>
            <w:tcMar>
              <w:left w:w="60" w:type="dxa"/>
              <w:right w:w="60" w:type="dxa"/>
            </w:tcMar>
            <w:vAlign w:val="center"/>
          </w:tcPr>
          <w:p>
            <w:pPr>
              <w:pStyle w:val="DMETW15798BIP03BudgetexpenditurePaymentsbyMFF"/>
              <w:rPr>
                <w:rFonts w:ascii="Verdana" w:eastAsia="Verdana" w:hAnsi="Verdana" w:cs="Verdana"/>
                <w:b/>
                <w:noProof/>
                <w:color w:val="000000"/>
                <w:sz w:val="16"/>
              </w:rPr>
            </w:pPr>
          </w:p>
        </w:tc>
        <w:tc>
          <w:tcPr>
            <w:tcW w:w="3969" w:type="dxa"/>
            <w:tcBorders>
              <w:top w:val="nil"/>
              <w:left w:val="nil"/>
              <w:bottom w:val="nil"/>
              <w:right w:val="nil"/>
              <w:tl2br w:val="nil"/>
              <w:tr2bl w:val="nil"/>
            </w:tcBorders>
            <w:shd w:val="solid" w:color="CCE1EA" w:fill="FFFFFF"/>
            <w:tcMar>
              <w:left w:w="60" w:type="dxa"/>
              <w:right w:w="60" w:type="dxa"/>
            </w:tcMar>
            <w:vAlign w:val="center"/>
          </w:tcPr>
          <w:p>
            <w:pPr>
              <w:pStyle w:val="DMETW15798BIP03BudgetexpenditurePaymentsbyMFF"/>
              <w:rPr>
                <w:rFonts w:ascii="Verdana" w:eastAsia="Verdana" w:hAnsi="Verdana" w:cs="Verdana"/>
                <w:b/>
                <w:noProof/>
                <w:color w:val="000000"/>
                <w:sz w:val="16"/>
              </w:rPr>
            </w:pPr>
            <w:r>
              <w:rPr>
                <w:rFonts w:ascii="Verdana" w:eastAsia="Verdana" w:hAnsi="Verdana" w:cs="Verdana"/>
                <w:b/>
                <w:noProof/>
                <w:color w:val="000000"/>
                <w:sz w:val="16"/>
              </w:rPr>
              <w:t>Total</w:t>
            </w:r>
          </w:p>
        </w:tc>
        <w:tc>
          <w:tcPr>
            <w:tcW w:w="1417" w:type="dxa"/>
            <w:tcBorders>
              <w:top w:val="nil"/>
              <w:left w:val="nil"/>
              <w:bottom w:val="nil"/>
              <w:right w:val="nil"/>
              <w:tl2br w:val="nil"/>
              <w:tr2bl w:val="nil"/>
            </w:tcBorders>
            <w:shd w:val="solid" w:color="CCE1EA" w:fill="FFFFFF"/>
            <w:tcMar>
              <w:left w:w="60" w:type="dxa"/>
              <w:right w:w="60" w:type="dxa"/>
            </w:tcMar>
            <w:vAlign w:val="center"/>
          </w:tcPr>
          <w:p>
            <w:pPr>
              <w:pStyle w:val="DMETW15798BIP03BudgetexpenditurePaymentsbyMFF"/>
              <w:jc w:val="right"/>
              <w:rPr>
                <w:rFonts w:ascii="Verdana" w:eastAsia="Verdana" w:hAnsi="Verdana" w:cs="Verdana"/>
                <w:b/>
                <w:noProof/>
                <w:color w:val="000000"/>
                <w:sz w:val="16"/>
              </w:rPr>
            </w:pPr>
            <w:r>
              <w:rPr>
                <w:rFonts w:ascii="Verdana" w:eastAsia="Verdana" w:hAnsi="Verdana" w:cs="Verdana"/>
                <w:b/>
                <w:noProof/>
                <w:color w:val="000000"/>
                <w:sz w:val="16"/>
              </w:rPr>
              <w:t>140 666</w:t>
            </w:r>
          </w:p>
        </w:tc>
        <w:tc>
          <w:tcPr>
            <w:tcW w:w="1276" w:type="dxa"/>
            <w:tcBorders>
              <w:top w:val="nil"/>
              <w:left w:val="nil"/>
              <w:bottom w:val="nil"/>
              <w:right w:val="nil"/>
              <w:tl2br w:val="nil"/>
              <w:tr2bl w:val="nil"/>
            </w:tcBorders>
            <w:shd w:val="solid" w:color="CCE1EA" w:fill="FFFFFF"/>
            <w:tcMar>
              <w:left w:w="60" w:type="dxa"/>
              <w:right w:w="60" w:type="dxa"/>
            </w:tcMar>
            <w:vAlign w:val="center"/>
          </w:tcPr>
          <w:p>
            <w:pPr>
              <w:pStyle w:val="DMETW15798BIP03BudgetexpenditurePaymentsbyMFF"/>
              <w:jc w:val="right"/>
              <w:rPr>
                <w:rFonts w:ascii="Verdana" w:eastAsia="Verdana" w:hAnsi="Verdana" w:cs="Verdana"/>
                <w:b/>
                <w:noProof/>
                <w:color w:val="000000"/>
                <w:sz w:val="16"/>
              </w:rPr>
            </w:pPr>
            <w:r>
              <w:rPr>
                <w:rFonts w:ascii="Verdana" w:eastAsia="Verdana" w:hAnsi="Verdana" w:cs="Verdana"/>
                <w:b/>
                <w:noProof/>
                <w:color w:val="000000"/>
                <w:sz w:val="16"/>
              </w:rPr>
              <w:t>140 753</w:t>
            </w:r>
          </w:p>
        </w:tc>
        <w:tc>
          <w:tcPr>
            <w:tcW w:w="1559" w:type="dxa"/>
            <w:tcBorders>
              <w:top w:val="nil"/>
              <w:left w:val="nil"/>
              <w:bottom w:val="nil"/>
              <w:right w:val="nil"/>
              <w:tl2br w:val="nil"/>
              <w:tr2bl w:val="nil"/>
            </w:tcBorders>
            <w:shd w:val="solid" w:color="CCE1EA" w:fill="FFFFFF"/>
            <w:tcMar>
              <w:left w:w="60" w:type="dxa"/>
              <w:right w:w="60" w:type="dxa"/>
            </w:tcMar>
            <w:vAlign w:val="center"/>
          </w:tcPr>
          <w:p>
            <w:pPr>
              <w:pStyle w:val="DMETW15798BIP03BudgetexpenditurePaymentsbyMFF"/>
              <w:jc w:val="right"/>
              <w:rPr>
                <w:rFonts w:ascii="Verdana" w:eastAsia="Verdana" w:hAnsi="Verdana" w:cs="Verdana"/>
                <w:b/>
                <w:noProof/>
                <w:color w:val="000000"/>
                <w:sz w:val="16"/>
              </w:rPr>
            </w:pPr>
            <w:r>
              <w:rPr>
                <w:rFonts w:ascii="Verdana" w:eastAsia="Verdana" w:hAnsi="Verdana" w:cs="Verdana"/>
                <w:b/>
                <w:noProof/>
                <w:color w:val="000000"/>
                <w:sz w:val="16"/>
              </w:rPr>
              <w:t>161 390</w:t>
            </w:r>
          </w:p>
        </w:tc>
        <w:tc>
          <w:tcPr>
            <w:tcW w:w="1193" w:type="dxa"/>
            <w:tcBorders>
              <w:top w:val="nil"/>
              <w:left w:val="nil"/>
              <w:bottom w:val="nil"/>
              <w:right w:val="nil"/>
              <w:tl2br w:val="nil"/>
              <w:tr2bl w:val="nil"/>
            </w:tcBorders>
            <w:shd w:val="solid" w:color="CCE1EA" w:fill="FFFFFF"/>
            <w:tcMar>
              <w:left w:w="60" w:type="dxa"/>
              <w:right w:w="60" w:type="dxa"/>
            </w:tcMar>
            <w:vAlign w:val="center"/>
          </w:tcPr>
          <w:p>
            <w:pPr>
              <w:pStyle w:val="DMETW15798BIP03BudgetexpenditurePaymentsbyMFF"/>
              <w:jc w:val="right"/>
              <w:rPr>
                <w:rFonts w:ascii="Verdana" w:eastAsia="Verdana" w:hAnsi="Verdana" w:cs="Verdana"/>
                <w:b/>
                <w:noProof/>
                <w:color w:val="000000"/>
                <w:sz w:val="16"/>
              </w:rPr>
            </w:pPr>
            <w:r>
              <w:rPr>
                <w:rFonts w:ascii="Verdana" w:eastAsia="Verdana" w:hAnsi="Verdana" w:cs="Verdana"/>
                <w:b/>
                <w:noProof/>
                <w:color w:val="000000"/>
                <w:sz w:val="16"/>
              </w:rPr>
              <w:t>152 533</w:t>
            </w:r>
          </w:p>
        </w:tc>
      </w:tr>
    </w:tbl>
    <w:p>
      <w:pPr>
        <w:pStyle w:val="Textstand-alone"/>
      </w:pPr>
      <w:r>
        <w:t xml:space="preserve"> </w:t>
      </w:r>
    </w:p>
    <w:p>
      <w:pPr>
        <w:pStyle w:val="Textstand-alone"/>
      </w:pPr>
    </w:p>
    <w:bookmarkEnd w:id="194"/>
    <w:p>
      <w:pPr>
        <w:pStyle w:val="Textstand-alone"/>
        <w:sectPr>
          <w:headerReference w:type="even" r:id="rId335"/>
          <w:headerReference w:type="default" r:id="rId336"/>
          <w:footerReference w:type="even" r:id="rId337"/>
          <w:footerReference w:type="default" r:id="rId338"/>
          <w:headerReference w:type="first" r:id="rId339"/>
          <w:footerReference w:type="first" r:id="rId340"/>
          <w:pgSz w:w="11906" w:h="16838"/>
          <w:pgMar w:top="1134" w:right="1134" w:bottom="1134" w:left="1134" w:header="708" w:footer="708" w:gutter="0"/>
          <w:cols w:space="708"/>
          <w:docGrid w:linePitch="360"/>
        </w:sectPr>
      </w:pPr>
    </w:p>
    <w:p>
      <w:pPr>
        <w:pStyle w:val="HEADER1PartBUDG"/>
        <w:rPr>
          <w:noProof/>
        </w:rPr>
      </w:pPr>
      <w:bookmarkStart w:id="200" w:name="_DMBM_14053"/>
      <w:r>
        <w:rPr>
          <w:noProof/>
        </w:rPr>
        <w:t xml:space="preserve"> </w:t>
      </w:r>
      <w:bookmarkStart w:id="201" w:name="_Toc11403544"/>
      <w:r>
        <w:rPr>
          <w:noProof/>
        </w:rPr>
        <w:t>IMPLEMENTATION OF EC BUDGET REVENUE</w:t>
      </w:r>
      <w:bookmarkEnd w:id="201"/>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
        <w:gridCol w:w="3191"/>
        <w:gridCol w:w="1123"/>
        <w:gridCol w:w="983"/>
        <w:gridCol w:w="982"/>
        <w:gridCol w:w="842"/>
        <w:gridCol w:w="1123"/>
        <w:gridCol w:w="1403"/>
        <w:gridCol w:w="1150"/>
        <w:gridCol w:w="1112"/>
        <w:gridCol w:w="972"/>
        <w:gridCol w:w="1136"/>
      </w:tblGrid>
      <w:tr>
        <w:trPr>
          <w:trHeight w:val="221"/>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lang w:bidi="en-GB"/>
              </w:rPr>
            </w:pPr>
            <w:bookmarkStart w:id="202" w:name="DOC_TBL00099_1_1"/>
            <w:bookmarkEnd w:id="202"/>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510"/>
        </w:trPr>
        <w:tc>
          <w:tcPr>
            <w:tcW w:w="235"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p>
        </w:tc>
        <w:tc>
          <w:tcPr>
            <w:tcW w:w="3227"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rPr>
                <w:rFonts w:ascii="Verdana" w:eastAsia="Verdana" w:hAnsi="Verdana" w:cs="Verdana"/>
                <w:b/>
                <w:noProof/>
                <w:color w:val="FFFFFF"/>
                <w:sz w:val="16"/>
              </w:rPr>
            </w:pPr>
          </w:p>
        </w:tc>
        <w:tc>
          <w:tcPr>
            <w:tcW w:w="1134" w:type="dxa"/>
            <w:gridSpan w:val="2"/>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b/>
                <w:noProof/>
                <w:color w:val="FFFFFF"/>
                <w:sz w:val="16"/>
              </w:rPr>
            </w:pPr>
            <w:r>
              <w:rPr>
                <w:rFonts w:ascii="Verdana" w:eastAsia="Verdana" w:hAnsi="Verdana" w:cs="Verdana"/>
                <w:b/>
                <w:noProof/>
                <w:color w:val="FFFFFF"/>
                <w:sz w:val="16"/>
              </w:rPr>
              <w:t>Income appropriations</w:t>
            </w:r>
          </w:p>
        </w:tc>
        <w:tc>
          <w:tcPr>
            <w:tcW w:w="992"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b/>
                <w:noProof/>
                <w:color w:val="FFFFFF"/>
                <w:sz w:val="16"/>
              </w:rPr>
            </w:pPr>
            <w:r>
              <w:rPr>
                <w:rFonts w:ascii="Verdana" w:eastAsia="Verdana" w:hAnsi="Verdana" w:cs="Verdana"/>
                <w:b/>
                <w:noProof/>
                <w:color w:val="FFFFFF"/>
                <w:sz w:val="16"/>
              </w:rPr>
              <w:t>Entitlements established</w:t>
            </w:r>
          </w:p>
        </w:tc>
        <w:tc>
          <w:tcPr>
            <w:tcW w:w="1418"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b/>
                <w:noProof/>
                <w:color w:val="FFFFFF"/>
                <w:sz w:val="16"/>
              </w:rPr>
            </w:pPr>
            <w:r>
              <w:rPr>
                <w:rFonts w:ascii="Verdana" w:eastAsia="Verdana" w:hAnsi="Verdana" w:cs="Verdana"/>
                <w:b/>
                <w:noProof/>
                <w:color w:val="FFFFFF"/>
                <w:sz w:val="16"/>
              </w:rPr>
              <w:t>Revenue</w:t>
            </w:r>
          </w:p>
        </w:tc>
        <w:tc>
          <w:tcPr>
            <w:tcW w:w="982"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Receipts as % of budget</w:t>
            </w:r>
          </w:p>
        </w:tc>
        <w:tc>
          <w:tcPr>
            <w:tcW w:w="1148"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Out-</w:t>
            </w:r>
          </w:p>
          <w:p>
            <w:pPr>
              <w:pStyle w:val="DMETW15798BIP04Implementationofbudgetrevenue"/>
              <w:jc w:val="center"/>
              <w:rPr>
                <w:rFonts w:ascii="Verdana" w:eastAsia="Verdana" w:hAnsi="Verdana" w:cs="Verdana"/>
                <w:noProof/>
                <w:color w:val="FFFFFF"/>
                <w:sz w:val="16"/>
                <w:lang w:bidi="en-GB"/>
              </w:rPr>
            </w:pPr>
            <w:r>
              <w:rPr>
                <w:rFonts w:ascii="Verdana" w:eastAsia="Verdana" w:hAnsi="Verdana" w:cs="Verdana"/>
                <w:noProof/>
                <w:color w:val="FFFFFF"/>
                <w:sz w:val="16"/>
              </w:rPr>
              <w:t>standing</w:t>
            </w:r>
          </w:p>
        </w:tc>
      </w:tr>
      <w:tr>
        <w:trPr>
          <w:trHeight w:val="510"/>
        </w:trPr>
        <w:tc>
          <w:tcPr>
            <w:tcW w:w="235"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p>
        </w:tc>
        <w:tc>
          <w:tcPr>
            <w:tcW w:w="3227"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Title</w:t>
            </w:r>
          </w:p>
        </w:tc>
        <w:tc>
          <w:tcPr>
            <w:tcW w:w="1134"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Initial budget adopted</w:t>
            </w:r>
          </w:p>
        </w:tc>
        <w:tc>
          <w:tcPr>
            <w:tcW w:w="993"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Final budget adopted</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Current year</w:t>
            </w:r>
          </w:p>
        </w:tc>
        <w:tc>
          <w:tcPr>
            <w:tcW w:w="850"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Carried over</w:t>
            </w:r>
          </w:p>
        </w:tc>
        <w:tc>
          <w:tcPr>
            <w:tcW w:w="1134"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1418"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On entitlements of current year</w:t>
            </w:r>
          </w:p>
        </w:tc>
        <w:tc>
          <w:tcPr>
            <w:tcW w:w="1162"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r>
              <w:rPr>
                <w:rFonts w:ascii="Verdana" w:eastAsia="Verdana" w:hAnsi="Verdana" w:cs="Verdana"/>
                <w:noProof/>
                <w:color w:val="FFFFFF"/>
                <w:sz w:val="16"/>
              </w:rPr>
              <w:t>On entitlements carried over</w:t>
            </w:r>
          </w:p>
        </w:tc>
        <w:tc>
          <w:tcPr>
            <w:tcW w:w="1123" w:type="dxa"/>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c>
          <w:tcPr>
            <w:tcW w:w="1125"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p>
        </w:tc>
        <w:tc>
          <w:tcPr>
            <w:tcW w:w="102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4Implementationofbudgetrevenue"/>
              <w:jc w:val="center"/>
              <w:rPr>
                <w:rFonts w:ascii="Verdana" w:eastAsia="Verdana" w:hAnsi="Verdana" w:cs="Verdana"/>
                <w:noProof/>
                <w:color w:val="FFFFFF"/>
                <w:sz w:val="16"/>
              </w:rPr>
            </w:pPr>
          </w:p>
        </w:tc>
      </w:tr>
      <w:tr>
        <w:trPr>
          <w:trHeight w:val="413"/>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1</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Own resources</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142 832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142 364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142 334</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142 373</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142 329</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142 330</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100 %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44</w:t>
            </w:r>
          </w:p>
        </w:tc>
      </w:tr>
      <w:tr>
        <w:trPr>
          <w:trHeight w:val="420"/>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3</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Surpluses, balances and adjustments</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556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581</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581</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581</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581</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105 %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510"/>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4</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Miscellaneous community taxes, levies and duties</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1 181</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1 181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1 181</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1 191</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1 171</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1 182</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100 %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10</w:t>
            </w:r>
          </w:p>
        </w:tc>
      </w:tr>
      <w:tr>
        <w:trPr>
          <w:trHeight w:val="824"/>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5</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Revenue accruing from the administrative operation of the institution</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259</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277</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250</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264</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587 %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13</w:t>
            </w:r>
          </w:p>
        </w:tc>
      </w:tr>
      <w:tr>
        <w:trPr>
          <w:trHeight w:val="510"/>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6</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Contributions and refunds in connection with union agreements and programmes</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13 008</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308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13 316</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12 606</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12 761</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11601 %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555</w:t>
            </w:r>
          </w:p>
        </w:tc>
      </w:tr>
      <w:tr>
        <w:trPr>
          <w:trHeight w:val="422"/>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7</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Default interest and fines</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6 778</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7 814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14 592</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897</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576</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1 473</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1281 %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13 119</w:t>
            </w:r>
          </w:p>
        </w:tc>
      </w:tr>
      <w:tr>
        <w:trPr>
          <w:trHeight w:val="399"/>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8</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Borrowing and lending operations</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631 %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419"/>
        </w:trPr>
        <w:tc>
          <w:tcPr>
            <w:tcW w:w="235"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9</w:t>
            </w:r>
          </w:p>
        </w:tc>
        <w:tc>
          <w:tcPr>
            <w:tcW w:w="3227"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rPr>
                <w:rFonts w:ascii="Verdana" w:eastAsia="Verdana" w:hAnsi="Verdana" w:cs="Verdana"/>
                <w:noProof/>
                <w:color w:val="000000"/>
                <w:sz w:val="16"/>
              </w:rPr>
            </w:pPr>
            <w:r>
              <w:rPr>
                <w:rFonts w:ascii="Verdana" w:eastAsia="Verdana" w:hAnsi="Verdana" w:cs="Verdana"/>
                <w:noProof/>
                <w:color w:val="000000"/>
                <w:sz w:val="16"/>
              </w:rPr>
              <w:t>Miscellaneous revenue</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141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116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23"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rPr>
            </w:pPr>
            <w:r>
              <w:rPr>
                <w:rFonts w:ascii="Verdana" w:eastAsia="Verdana" w:hAnsi="Verdana" w:cs="Verdana"/>
                <w:noProof/>
                <w:color w:val="000000"/>
                <w:sz w:val="16"/>
              </w:rPr>
              <w:t>49 %</w:t>
            </w:r>
          </w:p>
        </w:tc>
        <w:tc>
          <w:tcPr>
            <w:tcW w:w="1148" w:type="dxa"/>
            <w:tcBorders>
              <w:top w:val="nil"/>
              <w:left w:val="nil"/>
              <w:bottom w:val="nil"/>
              <w:right w:val="nil"/>
              <w:tl2br w:val="nil"/>
              <w:tr2bl w:val="nil"/>
            </w:tcBorders>
            <w:shd w:val="clear" w:color="auto" w:fill="auto"/>
            <w:tcMar>
              <w:left w:w="60" w:type="dxa"/>
              <w:right w:w="60" w:type="dxa"/>
            </w:tcMar>
            <w:vAlign w:val="center"/>
          </w:tcPr>
          <w:p>
            <w:pPr>
              <w:pStyle w:val="DMETW15798BIP04Implementationofbudgetrevenue"/>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7</w:t>
            </w:r>
          </w:p>
        </w:tc>
      </w:tr>
      <w:tr>
        <w:trPr>
          <w:trHeight w:val="412"/>
        </w:trPr>
        <w:tc>
          <w:tcPr>
            <w:tcW w:w="235"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rPr>
                <w:rFonts w:ascii="Verdana" w:eastAsia="Verdana" w:hAnsi="Verdana" w:cs="Verdana"/>
                <w:b/>
                <w:noProof/>
                <w:color w:val="000000"/>
                <w:sz w:val="16"/>
              </w:rPr>
            </w:pPr>
          </w:p>
        </w:tc>
        <w:tc>
          <w:tcPr>
            <w:tcW w:w="3227"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rPr>
                <w:rFonts w:ascii="Verdana" w:eastAsia="Verdana" w:hAnsi="Verdana" w:cs="Verdana"/>
                <w:b/>
                <w:noProof/>
                <w:color w:val="000000"/>
                <w:sz w:val="16"/>
              </w:rPr>
            </w:pPr>
            <w:r>
              <w:rPr>
                <w:rFonts w:ascii="Verdana" w:eastAsia="Verdana" w:hAnsi="Verdana" w:cs="Verdana"/>
                <w:b/>
                <w:noProof/>
                <w:color w:val="000000"/>
                <w:sz w:val="16"/>
              </w:rPr>
              <w:t>Total</w:t>
            </w:r>
          </w:p>
        </w:tc>
        <w:tc>
          <w:tcPr>
            <w:tcW w:w="1134"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144 315</w:t>
            </w:r>
          </w:p>
        </w:tc>
        <w:tc>
          <w:tcPr>
            <w:tcW w:w="993"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144 401</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164 179</w:t>
            </w:r>
          </w:p>
        </w:tc>
        <w:tc>
          <w:tcPr>
            <w:tcW w:w="850"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8 210</w:t>
            </w:r>
          </w:p>
        </w:tc>
        <w:tc>
          <w:tcPr>
            <w:tcW w:w="1134"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172 389</w:t>
            </w:r>
          </w:p>
        </w:tc>
        <w:tc>
          <w:tcPr>
            <w:tcW w:w="1418"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157 870</w:t>
            </w:r>
          </w:p>
        </w:tc>
        <w:tc>
          <w:tcPr>
            <w:tcW w:w="1162"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 xml:space="preserve"> 773</w:t>
            </w:r>
          </w:p>
        </w:tc>
        <w:tc>
          <w:tcPr>
            <w:tcW w:w="1123"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158 643</w:t>
            </w:r>
          </w:p>
        </w:tc>
        <w:tc>
          <w:tcPr>
            <w:tcW w:w="982"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110 %</w:t>
            </w:r>
          </w:p>
        </w:tc>
        <w:tc>
          <w:tcPr>
            <w:tcW w:w="1148" w:type="dxa"/>
            <w:tcBorders>
              <w:top w:val="nil"/>
              <w:left w:val="nil"/>
              <w:bottom w:val="nil"/>
              <w:right w:val="nil"/>
              <w:tl2br w:val="nil"/>
              <w:tr2bl w:val="nil"/>
            </w:tcBorders>
            <w:shd w:val="solid" w:color="CCE1EA" w:fill="FFFFFF"/>
            <w:tcMar>
              <w:left w:w="60" w:type="dxa"/>
              <w:right w:w="60" w:type="dxa"/>
            </w:tcMar>
            <w:vAlign w:val="center"/>
          </w:tcPr>
          <w:p>
            <w:pPr>
              <w:pStyle w:val="DMETW15798BIP04Implementationofbudgetrevenue"/>
              <w:jc w:val="right"/>
              <w:rPr>
                <w:rFonts w:ascii="Verdana" w:eastAsia="Verdana" w:hAnsi="Verdana" w:cs="Verdana"/>
                <w:b/>
                <w:noProof/>
                <w:color w:val="000000"/>
                <w:sz w:val="16"/>
              </w:rPr>
            </w:pPr>
            <w:r>
              <w:rPr>
                <w:rFonts w:ascii="Verdana" w:eastAsia="Verdana" w:hAnsi="Verdana" w:cs="Verdana"/>
                <w:b/>
                <w:noProof/>
                <w:color w:val="000000"/>
                <w:sz w:val="16"/>
              </w:rPr>
              <w:t>13 747</w:t>
            </w:r>
          </w:p>
        </w:tc>
      </w:tr>
    </w:tbl>
    <w:p>
      <w:pPr>
        <w:pStyle w:val="DGTextstand-alone"/>
      </w:pPr>
      <w:r>
        <w:t xml:space="preserve"> </w:t>
      </w:r>
    </w:p>
    <w:bookmarkEnd w:id="200"/>
    <w:p>
      <w:pPr>
        <w:pStyle w:val="DGTextstand-alone"/>
        <w:sectPr>
          <w:headerReference w:type="even" r:id="rId341"/>
          <w:headerReference w:type="default" r:id="rId342"/>
          <w:footerReference w:type="even" r:id="rId343"/>
          <w:footerReference w:type="default" r:id="rId344"/>
          <w:headerReference w:type="first" r:id="rId345"/>
          <w:footerReference w:type="first" r:id="rId346"/>
          <w:type w:val="continuous"/>
          <w:pgSz w:w="16840" w:h="11907" w:orient="landscape" w:code="9"/>
          <w:pgMar w:top="1134" w:right="1134" w:bottom="1134" w:left="1134" w:header="708" w:footer="708" w:gutter="0"/>
          <w:cols w:space="708"/>
          <w:docGrid w:linePitch="360"/>
        </w:sectPr>
      </w:pPr>
    </w:p>
    <w:p>
      <w:pPr>
        <w:pStyle w:val="HEADER1PartBUDG"/>
        <w:rPr>
          <w:noProof/>
        </w:rPr>
      </w:pPr>
      <w:bookmarkStart w:id="203" w:name="_DMBM_14055"/>
      <w:r>
        <w:rPr>
          <w:noProof/>
        </w:rPr>
        <w:t xml:space="preserve"> </w:t>
      </w:r>
      <w:bookmarkStart w:id="204" w:name="_Toc11403545"/>
      <w:r>
        <w:rPr>
          <w:noProof/>
        </w:rPr>
        <w:t>IMPLEMENTATION OF EC BUDGET EXPENDITURE</w:t>
      </w:r>
      <w:bookmarkEnd w:id="204"/>
      <w:r>
        <w:rPr>
          <w:noProof/>
        </w:rPr>
        <w:t xml:space="preserve"> </w:t>
      </w:r>
    </w:p>
    <w:p>
      <w:pPr>
        <w:pStyle w:val="HEADER2PartBUDG"/>
        <w:rPr>
          <w:noProof/>
          <w:lang w:val="en-GB"/>
        </w:rPr>
      </w:pPr>
      <w:bookmarkStart w:id="205" w:name="_Toc11403546"/>
      <w:r>
        <w:rPr>
          <w:noProof/>
          <w:lang w:val="en-GB"/>
        </w:rPr>
        <w:t>MFF: BREAKDOWN &amp; CHANGES IN COMMITMENT &amp; PAYMENT APPROPRIATIONS</w:t>
      </w:r>
      <w:bookmarkEnd w:id="205"/>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2641"/>
        <w:gridCol w:w="1113"/>
        <w:gridCol w:w="975"/>
        <w:gridCol w:w="976"/>
        <w:gridCol w:w="696"/>
        <w:gridCol w:w="837"/>
        <w:gridCol w:w="975"/>
        <w:gridCol w:w="975"/>
        <w:gridCol w:w="976"/>
        <w:gridCol w:w="975"/>
        <w:gridCol w:w="836"/>
        <w:gridCol w:w="980"/>
        <w:gridCol w:w="1102"/>
      </w:tblGrid>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lang w:bidi="en-GB"/>
              </w:rPr>
            </w:pPr>
            <w:bookmarkStart w:id="206" w:name="DOC_TBL00100_1_1"/>
            <w:bookmarkEnd w:id="206"/>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rPr>
        <w:tc>
          <w:tcPr>
            <w:tcW w:w="340"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p>
        </w:tc>
        <w:tc>
          <w:tcPr>
            <w:tcW w:w="2671"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rPr>
                <w:rFonts w:ascii="Verdana" w:eastAsia="Verdana" w:hAnsi="Verdana" w:cs="Verdana"/>
                <w:b/>
                <w:noProof/>
                <w:color w:val="FFFFFF"/>
                <w:sz w:val="16"/>
              </w:rPr>
            </w:pPr>
          </w:p>
        </w:tc>
        <w:tc>
          <w:tcPr>
            <w:tcW w:w="1125" w:type="dxa"/>
            <w:gridSpan w:val="6"/>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b/>
                <w:noProof/>
                <w:color w:val="FFFFFF"/>
                <w:sz w:val="16"/>
              </w:rPr>
            </w:pPr>
            <w:r>
              <w:rPr>
                <w:rFonts w:ascii="Verdana" w:eastAsia="Verdana" w:hAnsi="Verdana" w:cs="Verdana"/>
                <w:b/>
                <w:noProof/>
                <w:color w:val="FFFFFF"/>
                <w:sz w:val="16"/>
              </w:rPr>
              <w:t>Commitment appropriations</w:t>
            </w:r>
          </w:p>
        </w:tc>
        <w:tc>
          <w:tcPr>
            <w:tcW w:w="985" w:type="dxa"/>
            <w:gridSpan w:val="6"/>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b/>
                <w:noProof/>
                <w:color w:val="FFFFFF"/>
                <w:sz w:val="16"/>
                <w:lang w:bidi="en-GB"/>
              </w:rPr>
            </w:pPr>
            <w:r>
              <w:rPr>
                <w:rFonts w:ascii="Verdana" w:eastAsia="Verdana" w:hAnsi="Verdana" w:cs="Verdana"/>
                <w:b/>
                <w:noProof/>
                <w:color w:val="FFFFFF"/>
                <w:sz w:val="16"/>
              </w:rPr>
              <w:t>Payment appropriations</w:t>
            </w:r>
          </w:p>
        </w:tc>
      </w:tr>
      <w:tr>
        <w:trPr>
          <w:trHeight w:val="340"/>
        </w:trPr>
        <w:tc>
          <w:tcPr>
            <w:tcW w:w="340"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p>
        </w:tc>
        <w:tc>
          <w:tcPr>
            <w:tcW w:w="2671"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rPr>
                <w:rFonts w:ascii="Verdana" w:eastAsia="Verdana" w:hAnsi="Verdana" w:cs="Verdana"/>
                <w:noProof/>
                <w:color w:val="FFFFFF"/>
                <w:sz w:val="16"/>
              </w:rPr>
            </w:pPr>
          </w:p>
        </w:tc>
        <w:tc>
          <w:tcPr>
            <w:tcW w:w="1125"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Budget appropriations</w:t>
            </w:r>
          </w:p>
        </w:tc>
        <w:tc>
          <w:tcPr>
            <w:tcW w:w="703" w:type="dxa"/>
            <w:gridSpan w:val="2"/>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Additional appropriations</w:t>
            </w:r>
          </w:p>
        </w:tc>
        <w:tc>
          <w:tcPr>
            <w:tcW w:w="985"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b/>
                <w:noProof/>
                <w:color w:val="FFFFFF"/>
                <w:sz w:val="16"/>
              </w:rPr>
            </w:pPr>
            <w:r>
              <w:rPr>
                <w:rFonts w:ascii="Verdana" w:eastAsia="Verdana" w:hAnsi="Verdana" w:cs="Verdana"/>
                <w:b/>
                <w:noProof/>
                <w:color w:val="FFFFFF"/>
                <w:sz w:val="16"/>
              </w:rPr>
              <w:t>Total appropr. available</w:t>
            </w:r>
          </w:p>
        </w:tc>
        <w:tc>
          <w:tcPr>
            <w:tcW w:w="985"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Budget appropriations</w:t>
            </w:r>
          </w:p>
        </w:tc>
        <w:tc>
          <w:tcPr>
            <w:tcW w:w="844" w:type="dxa"/>
            <w:gridSpan w:val="2"/>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Additional appropriat.</w:t>
            </w:r>
          </w:p>
        </w:tc>
        <w:tc>
          <w:tcPr>
            <w:tcW w:w="1113"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b/>
                <w:noProof/>
                <w:color w:val="FFFFFF"/>
                <w:sz w:val="16"/>
                <w:lang w:bidi="en-GB"/>
              </w:rPr>
            </w:pPr>
            <w:r>
              <w:rPr>
                <w:rFonts w:ascii="Verdana" w:eastAsia="Verdana" w:hAnsi="Verdana" w:cs="Verdana"/>
                <w:b/>
                <w:noProof/>
                <w:color w:val="FFFFFF"/>
                <w:sz w:val="16"/>
              </w:rPr>
              <w:t>Total appropr. available</w:t>
            </w:r>
          </w:p>
        </w:tc>
      </w:tr>
      <w:tr>
        <w:trPr>
          <w:trHeight w:val="340"/>
        </w:trPr>
        <w:tc>
          <w:tcPr>
            <w:tcW w:w="340"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p>
        </w:tc>
        <w:tc>
          <w:tcPr>
            <w:tcW w:w="2671"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125"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985"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Amending budgets &amp; transfers</w:t>
            </w:r>
          </w:p>
        </w:tc>
        <w:tc>
          <w:tcPr>
            <w:tcW w:w="986"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703"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Carry-overs</w:t>
            </w:r>
          </w:p>
        </w:tc>
        <w:tc>
          <w:tcPr>
            <w:tcW w:w="845"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Assigned revenue</w:t>
            </w:r>
          </w:p>
        </w:tc>
        <w:tc>
          <w:tcPr>
            <w:tcW w:w="117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b/>
                <w:noProof/>
                <w:color w:val="FFFFFF"/>
                <w:sz w:val="16"/>
              </w:rPr>
            </w:pPr>
          </w:p>
        </w:tc>
        <w:tc>
          <w:tcPr>
            <w:tcW w:w="985"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986"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Amending budgets &amp; transfers</w:t>
            </w:r>
          </w:p>
        </w:tc>
        <w:tc>
          <w:tcPr>
            <w:tcW w:w="985"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844"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Carry-overs</w:t>
            </w:r>
          </w:p>
        </w:tc>
        <w:tc>
          <w:tcPr>
            <w:tcW w:w="990" w:type="dxa"/>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lang w:bidi="en-GB"/>
              </w:rPr>
            </w:pPr>
            <w:r>
              <w:rPr>
                <w:rFonts w:ascii="Verdana" w:eastAsia="Verdana" w:hAnsi="Verdana" w:cs="Verdana"/>
                <w:noProof/>
                <w:color w:val="FFFFFF"/>
                <w:sz w:val="16"/>
              </w:rPr>
              <w:t>Assigned revenue</w:t>
            </w:r>
          </w:p>
        </w:tc>
        <w:tc>
          <w:tcPr>
            <w:tcW w:w="1005"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5MFFBreakdownincommitmandpayments"/>
              <w:jc w:val="center"/>
              <w:rPr>
                <w:rFonts w:ascii="Verdana" w:eastAsia="Verdana" w:hAnsi="Verdana" w:cs="Verdana"/>
                <w:b/>
                <w:noProof/>
                <w:color w:val="FFFFFF"/>
                <w:sz w:val="16"/>
              </w:rPr>
            </w:pPr>
          </w:p>
        </w:tc>
      </w:tr>
      <w:tr>
        <w:trPr>
          <w:trHeight w:val="340"/>
        </w:trPr>
        <w:tc>
          <w:tcPr>
            <w:tcW w:w="340"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p>
        </w:tc>
        <w:tc>
          <w:tcPr>
            <w:tcW w:w="2671"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p>
        </w:tc>
        <w:tc>
          <w:tcPr>
            <w:tcW w:w="1125"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985"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986"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3=1+2</w:t>
            </w:r>
          </w:p>
        </w:tc>
        <w:tc>
          <w:tcPr>
            <w:tcW w:w="703"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4</w:t>
            </w:r>
          </w:p>
        </w:tc>
        <w:tc>
          <w:tcPr>
            <w:tcW w:w="845"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5</w:t>
            </w:r>
          </w:p>
        </w:tc>
        <w:tc>
          <w:tcPr>
            <w:tcW w:w="985"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6=3+4+5</w:t>
            </w:r>
          </w:p>
        </w:tc>
        <w:tc>
          <w:tcPr>
            <w:tcW w:w="985"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986"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8</w:t>
            </w:r>
          </w:p>
        </w:tc>
        <w:tc>
          <w:tcPr>
            <w:tcW w:w="985"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9=7+8</w:t>
            </w:r>
          </w:p>
        </w:tc>
        <w:tc>
          <w:tcPr>
            <w:tcW w:w="844"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10</w:t>
            </w:r>
          </w:p>
        </w:tc>
        <w:tc>
          <w:tcPr>
            <w:tcW w:w="990"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11</w:t>
            </w:r>
          </w:p>
        </w:tc>
        <w:tc>
          <w:tcPr>
            <w:tcW w:w="1113" w:type="dxa"/>
            <w:tcBorders>
              <w:top w:val="nil"/>
              <w:left w:val="nil"/>
              <w:bottom w:val="nil"/>
              <w:right w:val="nil"/>
              <w:tl2br w:val="nil"/>
              <w:tr2bl w:val="nil"/>
            </w:tcBorders>
            <w:shd w:val="solid" w:color="3486A9" w:fill="FFFFFF"/>
            <w:tcMar>
              <w:left w:w="60" w:type="dxa"/>
              <w:right w:w="60" w:type="dxa"/>
            </w:tcMar>
            <w:vAlign w:val="center"/>
          </w:tcPr>
          <w:p>
            <w:pPr>
              <w:pStyle w:val="DMETW15798BIP05MFFBreakdownincommitmandpayments"/>
              <w:jc w:val="center"/>
              <w:rPr>
                <w:rFonts w:ascii="Verdana" w:eastAsia="Verdana" w:hAnsi="Verdana" w:cs="Verdana"/>
                <w:noProof/>
                <w:color w:val="FFFFFF"/>
                <w:sz w:val="16"/>
              </w:rPr>
            </w:pPr>
            <w:r>
              <w:rPr>
                <w:rFonts w:ascii="Verdana" w:eastAsia="Verdana" w:hAnsi="Verdana" w:cs="Verdana"/>
                <w:noProof/>
                <w:color w:val="FFFFFF"/>
                <w:sz w:val="16"/>
              </w:rPr>
              <w:t>12=9+10</w:t>
            </w:r>
          </w:p>
          <w:p>
            <w:pPr>
              <w:pStyle w:val="DMETW15798BIP05MFFBreakdownincommitmandpayments"/>
              <w:jc w:val="center"/>
              <w:rPr>
                <w:rFonts w:ascii="Verdana" w:eastAsia="Verdana" w:hAnsi="Verdana" w:cs="Verdana"/>
                <w:noProof/>
                <w:color w:val="FFFFFF"/>
                <w:sz w:val="16"/>
                <w:lang w:bidi="en-GB"/>
              </w:rPr>
            </w:pPr>
            <w:r>
              <w:rPr>
                <w:rFonts w:ascii="Verdana" w:eastAsia="Verdana" w:hAnsi="Verdana" w:cs="Verdana"/>
                <w:noProof/>
                <w:color w:val="FFFFFF"/>
                <w:sz w:val="16"/>
              </w:rPr>
              <w:t>+11</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1</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Smart and inclusive growth</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77 534</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77 532</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123</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11 994</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89 649</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66 624</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108</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66 733</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120</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14 064</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80 917</w:t>
            </w:r>
          </w:p>
        </w:tc>
      </w:tr>
      <w:tr>
        <w:trPr>
          <w:trHeight w:val="489"/>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i/>
                <w:noProof/>
                <w:color w:val="000000"/>
                <w:sz w:val="16"/>
              </w:rPr>
            </w:pPr>
            <w:r>
              <w:rPr>
                <w:rFonts w:ascii="Verdana" w:eastAsia="Verdana" w:hAnsi="Verdana" w:cs="Verdana"/>
                <w:i/>
                <w:noProof/>
                <w:color w:val="000000"/>
                <w:sz w:val="16"/>
              </w:rPr>
              <w:t xml:space="preserve">    1a: Competitiveness for growth and jobs</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22 001</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(2)</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22 000</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4</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3 861</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25 864</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20 097</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57</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20 155</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108</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4 811</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lang w:bidi="en-GB"/>
              </w:rPr>
            </w:pPr>
            <w:r>
              <w:rPr>
                <w:rFonts w:ascii="Verdana" w:eastAsia="Verdana" w:hAnsi="Verdana" w:cs="Verdana"/>
                <w:i/>
                <w:noProof/>
                <w:color w:val="000000"/>
                <w:sz w:val="16"/>
              </w:rPr>
              <w:t>25 073</w:t>
            </w:r>
          </w:p>
        </w:tc>
      </w:tr>
      <w:tr>
        <w:trPr>
          <w:trHeight w:val="425"/>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i/>
                <w:noProof/>
                <w:color w:val="000000"/>
                <w:sz w:val="16"/>
              </w:rPr>
            </w:pPr>
            <w:r>
              <w:rPr>
                <w:rFonts w:ascii="Verdana" w:eastAsia="Verdana" w:hAnsi="Verdana" w:cs="Verdana"/>
                <w:i/>
                <w:noProof/>
                <w:color w:val="000000"/>
                <w:sz w:val="16"/>
              </w:rPr>
              <w:t xml:space="preserve">    1b: Economic, social and territorial cohesion</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55 532</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55 532</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119</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8 133</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63 785</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46 527</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51</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46 578</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13</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9 253</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lang w:bidi="en-GB"/>
              </w:rPr>
            </w:pPr>
            <w:r>
              <w:rPr>
                <w:rFonts w:ascii="Verdana" w:eastAsia="Verdana" w:hAnsi="Verdana" w:cs="Verdana"/>
                <w:i/>
                <w:noProof/>
                <w:color w:val="000000"/>
                <w:sz w:val="16"/>
              </w:rPr>
              <w:t>55 844</w:t>
            </w:r>
          </w:p>
        </w:tc>
      </w:tr>
      <w:tr>
        <w:trPr>
          <w:trHeight w:val="545"/>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2</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Sustainable growth: natural resources</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59 285</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(46)</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59 239</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451</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2 729</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62 419</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56 084</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157</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56 241</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663</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2 744</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59 648</w:t>
            </w:r>
          </w:p>
        </w:tc>
      </w:tr>
      <w:tr>
        <w:trPr>
          <w:trHeight w:val="709"/>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i/>
                <w:noProof/>
                <w:color w:val="000000"/>
                <w:sz w:val="16"/>
              </w:rPr>
            </w:pPr>
            <w:r>
              <w:rPr>
                <w:rFonts w:ascii="Verdana" w:eastAsia="Verdana" w:hAnsi="Verdana" w:cs="Verdana"/>
                <w:i/>
                <w:noProof/>
                <w:color w:val="000000"/>
                <w:sz w:val="16"/>
              </w:rPr>
              <w:t xml:space="preserve">    of which: Market related expenditure and direct payments</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43 235</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43 233</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451</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1 601</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45 284</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43 189</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(9)</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43 180</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656</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rPr>
            </w:pPr>
            <w:r>
              <w:rPr>
                <w:rFonts w:ascii="Verdana" w:eastAsia="Verdana" w:hAnsi="Verdana" w:cs="Verdana"/>
                <w:i/>
                <w:noProof/>
                <w:color w:val="000000"/>
                <w:sz w:val="16"/>
              </w:rPr>
              <w:t>1 601</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i/>
                <w:noProof/>
                <w:color w:val="000000"/>
                <w:sz w:val="16"/>
                <w:lang w:bidi="en-GB"/>
              </w:rPr>
            </w:pPr>
            <w:r>
              <w:rPr>
                <w:rFonts w:ascii="Verdana" w:eastAsia="Verdana" w:hAnsi="Verdana" w:cs="Verdana"/>
                <w:i/>
                <w:noProof/>
                <w:color w:val="000000"/>
                <w:sz w:val="16"/>
              </w:rPr>
              <w:t>45 436</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3</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3 493</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3 492</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247</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276</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4 015</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2 981</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32</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3 013</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276</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3 305</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4</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Global Europe</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9 569</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810</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10 379</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64</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1 005</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11 448</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8 906</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(93)</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8 813</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315</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1 659</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10 788</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5</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Administration</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5 650</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5 650</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393</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6 043</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5 651</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5 651</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347</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394</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6 392</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6</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Compensations</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8</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9</w:t>
            </w:r>
          </w:p>
        </w:tc>
        <w:tc>
          <w:tcPr>
            <w:tcW w:w="2671"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112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567</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(179)</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388</w:t>
            </w:r>
          </w:p>
        </w:tc>
        <w:tc>
          <w:tcPr>
            <w:tcW w:w="70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41</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429</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420</w:t>
            </w:r>
          </w:p>
        </w:tc>
        <w:tc>
          <w:tcPr>
            <w:tcW w:w="986"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(118)</w:t>
            </w:r>
          </w:p>
        </w:tc>
        <w:tc>
          <w:tcPr>
            <w:tcW w:w="985"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302</w:t>
            </w:r>
          </w:p>
        </w:tc>
        <w:tc>
          <w:tcPr>
            <w:tcW w:w="844"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0"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rPr>
            </w:pPr>
            <w:r>
              <w:rPr>
                <w:rFonts w:ascii="Verdana" w:eastAsia="Verdana" w:hAnsi="Verdana" w:cs="Verdana"/>
                <w:noProof/>
                <w:color w:val="000000"/>
                <w:sz w:val="16"/>
              </w:rPr>
              <w:t xml:space="preserve"> 38</w:t>
            </w:r>
          </w:p>
        </w:tc>
        <w:tc>
          <w:tcPr>
            <w:tcW w:w="1113" w:type="dxa"/>
            <w:tcBorders>
              <w:top w:val="nil"/>
              <w:left w:val="nil"/>
              <w:bottom w:val="nil"/>
              <w:right w:val="nil"/>
              <w:tl2br w:val="nil"/>
              <w:tr2bl w:val="nil"/>
            </w:tcBorders>
            <w:shd w:val="clear" w:color="auto" w:fill="auto"/>
            <w:tcMar>
              <w:left w:w="60" w:type="dxa"/>
              <w:right w:w="60" w:type="dxa"/>
            </w:tcMar>
            <w:vAlign w:val="center"/>
          </w:tcPr>
          <w:p>
            <w:pPr>
              <w:pStyle w:val="DMETW15798BIP05MFFBreakdownincommitmand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340</w:t>
            </w:r>
          </w:p>
        </w:tc>
      </w:tr>
      <w:tr>
        <w:trPr>
          <w:trHeight w:val="340"/>
        </w:trPr>
        <w:tc>
          <w:tcPr>
            <w:tcW w:w="340"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rPr>
                <w:rFonts w:ascii="Verdana" w:eastAsia="Verdana" w:hAnsi="Verdana" w:cs="Verdana"/>
                <w:b/>
                <w:noProof/>
                <w:color w:val="000000"/>
                <w:sz w:val="16"/>
              </w:rPr>
            </w:pPr>
          </w:p>
        </w:tc>
        <w:tc>
          <w:tcPr>
            <w:tcW w:w="2671"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rPr>
                <w:rFonts w:ascii="Verdana" w:eastAsia="Verdana" w:hAnsi="Verdana" w:cs="Verdana"/>
                <w:b/>
                <w:noProof/>
                <w:color w:val="000000"/>
                <w:sz w:val="16"/>
              </w:rPr>
            </w:pPr>
            <w:r>
              <w:rPr>
                <w:rFonts w:ascii="Verdana" w:eastAsia="Verdana" w:hAnsi="Verdana" w:cs="Verdana"/>
                <w:b/>
                <w:noProof/>
                <w:color w:val="000000"/>
                <w:sz w:val="16"/>
              </w:rPr>
              <w:t>Total</w:t>
            </w:r>
          </w:p>
        </w:tc>
        <w:tc>
          <w:tcPr>
            <w:tcW w:w="1125"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156 098</w:t>
            </w:r>
          </w:p>
        </w:tc>
        <w:tc>
          <w:tcPr>
            <w:tcW w:w="985"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583</w:t>
            </w:r>
          </w:p>
        </w:tc>
        <w:tc>
          <w:tcPr>
            <w:tcW w:w="986"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156 681</w:t>
            </w:r>
          </w:p>
        </w:tc>
        <w:tc>
          <w:tcPr>
            <w:tcW w:w="703"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884</w:t>
            </w:r>
          </w:p>
        </w:tc>
        <w:tc>
          <w:tcPr>
            <w:tcW w:w="845"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16 437</w:t>
            </w:r>
          </w:p>
        </w:tc>
        <w:tc>
          <w:tcPr>
            <w:tcW w:w="985"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174 003</w:t>
            </w:r>
          </w:p>
        </w:tc>
        <w:tc>
          <w:tcPr>
            <w:tcW w:w="985"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140 666</w:t>
            </w:r>
          </w:p>
        </w:tc>
        <w:tc>
          <w:tcPr>
            <w:tcW w:w="986"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87</w:t>
            </w:r>
          </w:p>
        </w:tc>
        <w:tc>
          <w:tcPr>
            <w:tcW w:w="985"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140 753</w:t>
            </w:r>
          </w:p>
        </w:tc>
        <w:tc>
          <w:tcPr>
            <w:tcW w:w="844"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1 462</w:t>
            </w:r>
          </w:p>
        </w:tc>
        <w:tc>
          <w:tcPr>
            <w:tcW w:w="990"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19 175</w:t>
            </w:r>
          </w:p>
        </w:tc>
        <w:tc>
          <w:tcPr>
            <w:tcW w:w="1113" w:type="dxa"/>
            <w:tcBorders>
              <w:top w:val="nil"/>
              <w:left w:val="nil"/>
              <w:bottom w:val="nil"/>
              <w:right w:val="nil"/>
              <w:tl2br w:val="nil"/>
              <w:tr2bl w:val="nil"/>
            </w:tcBorders>
            <w:shd w:val="solid" w:color="CCE1EA" w:fill="FFFFFF"/>
            <w:tcMar>
              <w:left w:w="60" w:type="dxa"/>
              <w:right w:w="60" w:type="dxa"/>
            </w:tcMar>
            <w:vAlign w:val="center"/>
          </w:tcPr>
          <w:p>
            <w:pPr>
              <w:pStyle w:val="DMETW15798BIP05MFFBreakdownincommitmandpayments"/>
              <w:jc w:val="right"/>
              <w:rPr>
                <w:rFonts w:ascii="Verdana" w:eastAsia="Verdana" w:hAnsi="Verdana" w:cs="Verdana"/>
                <w:b/>
                <w:noProof/>
                <w:color w:val="000000"/>
                <w:sz w:val="16"/>
              </w:rPr>
            </w:pPr>
            <w:r>
              <w:rPr>
                <w:rFonts w:ascii="Verdana" w:eastAsia="Verdana" w:hAnsi="Verdana" w:cs="Verdana"/>
                <w:b/>
                <w:noProof/>
                <w:color w:val="000000"/>
                <w:sz w:val="16"/>
              </w:rPr>
              <w:t>161 390</w:t>
            </w:r>
          </w:p>
        </w:tc>
      </w:tr>
    </w:tbl>
    <w:p>
      <w:pPr>
        <w:pStyle w:val="HEADER2PartBUDG"/>
        <w:numPr>
          <w:ilvl w:val="0"/>
          <w:numId w:val="0"/>
        </w:numPr>
        <w:rPr>
          <w:noProof/>
          <w:highlight w:val="lightGray"/>
          <w:lang w:val="en-GB"/>
        </w:rPr>
      </w:pPr>
      <w:r>
        <w:rPr>
          <w:noProof/>
          <w:highlight w:val="lightGray"/>
          <w:lang w:val="en-GB"/>
        </w:rPr>
        <w:br w:type="page"/>
      </w:r>
    </w:p>
    <w:p>
      <w:pPr>
        <w:pStyle w:val="HEADER2PartBUDG"/>
        <w:rPr>
          <w:noProof/>
          <w:lang w:val="en-GB"/>
        </w:rPr>
      </w:pPr>
      <w:bookmarkStart w:id="207" w:name="_Toc11403547"/>
      <w:r>
        <w:rPr>
          <w:noProof/>
          <w:lang w:val="en-GB"/>
        </w:rPr>
        <w:t xml:space="preserve">MFF: </w:t>
      </w:r>
      <w:r>
        <w:rPr>
          <w:noProof/>
        </w:rPr>
        <w:t>IMPLEMENTATION</w:t>
      </w:r>
      <w:r>
        <w:rPr>
          <w:noProof/>
          <w:lang w:val="en-GB"/>
        </w:rPr>
        <w:t xml:space="preserve"> OF COMMITMENT APPROPRIATIONS</w:t>
      </w:r>
      <w:bookmarkEnd w:id="207"/>
    </w:p>
    <w:p>
      <w:pPr>
        <w:pStyle w:val="DGTextstand-alone"/>
      </w:pPr>
      <w: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2482"/>
        <w:gridCol w:w="968"/>
        <w:gridCol w:w="967"/>
        <w:gridCol w:w="692"/>
        <w:gridCol w:w="967"/>
        <w:gridCol w:w="967"/>
        <w:gridCol w:w="692"/>
        <w:gridCol w:w="967"/>
        <w:gridCol w:w="831"/>
        <w:gridCol w:w="830"/>
        <w:gridCol w:w="967"/>
        <w:gridCol w:w="831"/>
        <w:gridCol w:w="830"/>
        <w:gridCol w:w="1065"/>
      </w:tblGrid>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lang w:bidi="en-GB"/>
              </w:rPr>
            </w:pPr>
            <w:bookmarkStart w:id="208" w:name="DOC_TBL00101_1_1"/>
            <w:bookmarkEnd w:id="208"/>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rPr>
        <w:tc>
          <w:tcPr>
            <w:tcW w:w="342"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p>
        </w:tc>
        <w:tc>
          <w:tcPr>
            <w:tcW w:w="2510"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p>
        </w:tc>
        <w:tc>
          <w:tcPr>
            <w:tcW w:w="978"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b/>
                <w:noProof/>
                <w:color w:val="FFFFFF"/>
                <w:sz w:val="16"/>
              </w:rPr>
            </w:pPr>
            <w:r>
              <w:rPr>
                <w:rFonts w:ascii="Verdana" w:eastAsia="Verdana" w:hAnsi="Verdana" w:cs="Verdana"/>
                <w:b/>
                <w:noProof/>
                <w:color w:val="FFFFFF"/>
                <w:sz w:val="16"/>
              </w:rPr>
              <w:t>Total appropr. available</w:t>
            </w:r>
          </w:p>
        </w:tc>
        <w:tc>
          <w:tcPr>
            <w:tcW w:w="977" w:type="dxa"/>
            <w:gridSpan w:val="5"/>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b/>
                <w:noProof/>
                <w:color w:val="FFFFFF"/>
                <w:sz w:val="16"/>
              </w:rPr>
            </w:pPr>
            <w:r>
              <w:rPr>
                <w:rFonts w:ascii="Verdana" w:eastAsia="Verdana" w:hAnsi="Verdana" w:cs="Verdana"/>
                <w:b/>
                <w:noProof/>
                <w:color w:val="FFFFFF"/>
                <w:sz w:val="16"/>
              </w:rPr>
              <w:t>Commitments made</w:t>
            </w:r>
          </w:p>
        </w:tc>
        <w:tc>
          <w:tcPr>
            <w:tcW w:w="977"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b/>
                <w:noProof/>
                <w:color w:val="FFFFFF"/>
                <w:sz w:val="16"/>
              </w:rPr>
            </w:pPr>
            <w:r>
              <w:rPr>
                <w:rFonts w:ascii="Verdana" w:eastAsia="Verdana" w:hAnsi="Verdana" w:cs="Verdana"/>
                <w:b/>
                <w:noProof/>
                <w:color w:val="FFFFFF"/>
                <w:sz w:val="16"/>
              </w:rPr>
              <w:t>Appropriat. carried over</w:t>
            </w:r>
          </w:p>
          <w:p>
            <w:pPr>
              <w:pStyle w:val="DMETW15798BIP06MFFImplemCommitments"/>
              <w:jc w:val="center"/>
              <w:rPr>
                <w:rFonts w:ascii="Verdana" w:eastAsia="Verdana" w:hAnsi="Verdana" w:cs="Verdana"/>
                <w:b/>
                <w:noProof/>
                <w:color w:val="FFFFFF"/>
                <w:sz w:val="16"/>
              </w:rPr>
            </w:pPr>
            <w:r>
              <w:rPr>
                <w:rFonts w:ascii="Verdana" w:eastAsia="Verdana" w:hAnsi="Verdana" w:cs="Verdana"/>
                <w:b/>
                <w:noProof/>
                <w:color w:val="FFFFFF"/>
                <w:sz w:val="16"/>
              </w:rPr>
              <w:t>to 2019</w:t>
            </w:r>
          </w:p>
        </w:tc>
        <w:tc>
          <w:tcPr>
            <w:tcW w:w="977"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b/>
                <w:noProof/>
                <w:color w:val="FFFFFF"/>
                <w:sz w:val="16"/>
                <w:lang w:bidi="en-GB"/>
              </w:rPr>
            </w:pPr>
            <w:r>
              <w:rPr>
                <w:rFonts w:ascii="Verdana" w:eastAsia="Verdana" w:hAnsi="Verdana" w:cs="Verdana"/>
                <w:b/>
                <w:noProof/>
                <w:color w:val="FFFFFF"/>
                <w:sz w:val="16"/>
              </w:rPr>
              <w:t>Appropriations lapsing</w:t>
            </w:r>
          </w:p>
        </w:tc>
      </w:tr>
      <w:tr>
        <w:trPr>
          <w:trHeight w:val="340"/>
        </w:trPr>
        <w:tc>
          <w:tcPr>
            <w:tcW w:w="342"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p>
        </w:tc>
        <w:tc>
          <w:tcPr>
            <w:tcW w:w="2510"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02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b/>
                <w:noProof/>
                <w:color w:val="FFFFFF"/>
                <w:sz w:val="16"/>
              </w:rPr>
            </w:pPr>
          </w:p>
        </w:tc>
        <w:tc>
          <w:tcPr>
            <w:tcW w:w="977"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699"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from carry-overs</w:t>
            </w:r>
          </w:p>
        </w:tc>
        <w:tc>
          <w:tcPr>
            <w:tcW w:w="977"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977"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699"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w:t>
            </w:r>
          </w:p>
        </w:tc>
        <w:tc>
          <w:tcPr>
            <w:tcW w:w="977"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assigned revenue</w:t>
            </w:r>
          </w:p>
        </w:tc>
        <w:tc>
          <w:tcPr>
            <w:tcW w:w="839"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carry-overs by decision</w:t>
            </w:r>
          </w:p>
        </w:tc>
        <w:tc>
          <w:tcPr>
            <w:tcW w:w="838"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977"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839"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from carry- overs</w:t>
            </w:r>
          </w:p>
        </w:tc>
        <w:tc>
          <w:tcPr>
            <w:tcW w:w="838"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1076" w:type="dxa"/>
            <w:tcBorders>
              <w:top w:val="nil"/>
              <w:left w:val="nil"/>
              <w:bottom w:val="nil"/>
              <w:right w:val="nil"/>
              <w:tl2br w:val="nil"/>
              <w:tr2bl w:val="nil"/>
            </w:tcBorders>
            <w:shd w:val="solid" w:color="016794" w:fill="FFFFFF"/>
            <w:tcMar>
              <w:left w:w="60" w:type="dxa"/>
              <w:right w:w="60" w:type="dxa"/>
            </w:tcMar>
            <w:vAlign w:val="center"/>
          </w:tcPr>
          <w:p>
            <w:pPr>
              <w:pStyle w:val="DMETW15798BIP06MFFImplemCommitments"/>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r>
      <w:tr>
        <w:trPr>
          <w:trHeight w:val="340"/>
        </w:trPr>
        <w:tc>
          <w:tcPr>
            <w:tcW w:w="342"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p>
        </w:tc>
        <w:tc>
          <w:tcPr>
            <w:tcW w:w="2510"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p>
        </w:tc>
        <w:tc>
          <w:tcPr>
            <w:tcW w:w="978"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977"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699"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3</w:t>
            </w:r>
          </w:p>
        </w:tc>
        <w:tc>
          <w:tcPr>
            <w:tcW w:w="977"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4</w:t>
            </w:r>
          </w:p>
        </w:tc>
        <w:tc>
          <w:tcPr>
            <w:tcW w:w="977"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5=2+3+4</w:t>
            </w:r>
          </w:p>
        </w:tc>
        <w:tc>
          <w:tcPr>
            <w:tcW w:w="699"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6=5/1</w:t>
            </w:r>
          </w:p>
        </w:tc>
        <w:tc>
          <w:tcPr>
            <w:tcW w:w="977"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839"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8</w:t>
            </w:r>
          </w:p>
        </w:tc>
        <w:tc>
          <w:tcPr>
            <w:tcW w:w="838"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9=7+8</w:t>
            </w:r>
          </w:p>
        </w:tc>
        <w:tc>
          <w:tcPr>
            <w:tcW w:w="977"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10</w:t>
            </w:r>
          </w:p>
        </w:tc>
        <w:tc>
          <w:tcPr>
            <w:tcW w:w="839"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11</w:t>
            </w:r>
          </w:p>
        </w:tc>
        <w:tc>
          <w:tcPr>
            <w:tcW w:w="838"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12</w:t>
            </w:r>
          </w:p>
        </w:tc>
        <w:tc>
          <w:tcPr>
            <w:tcW w:w="1076" w:type="dxa"/>
            <w:tcBorders>
              <w:top w:val="nil"/>
              <w:left w:val="nil"/>
              <w:bottom w:val="nil"/>
              <w:right w:val="nil"/>
              <w:tl2br w:val="nil"/>
              <w:tr2bl w:val="nil"/>
            </w:tcBorders>
            <w:shd w:val="solid" w:color="3486A9" w:fill="FFFFFF"/>
            <w:tcMar>
              <w:left w:w="60" w:type="dxa"/>
              <w:right w:w="60" w:type="dxa"/>
            </w:tcMar>
            <w:vAlign w:val="center"/>
          </w:tcPr>
          <w:p>
            <w:pPr>
              <w:pStyle w:val="DMETW15798BIP06MFFImplemCommitments"/>
              <w:jc w:val="center"/>
              <w:rPr>
                <w:rFonts w:ascii="Verdana" w:eastAsia="Verdana" w:hAnsi="Verdana" w:cs="Verdana"/>
                <w:noProof/>
                <w:color w:val="FFFFFF"/>
                <w:sz w:val="16"/>
              </w:rPr>
            </w:pPr>
            <w:r>
              <w:rPr>
                <w:rFonts w:ascii="Verdana" w:eastAsia="Verdana" w:hAnsi="Verdana" w:cs="Verdana"/>
                <w:noProof/>
                <w:color w:val="FFFFFF"/>
                <w:sz w:val="16"/>
              </w:rPr>
              <w:t>13=10+</w:t>
            </w:r>
          </w:p>
          <w:p>
            <w:pPr>
              <w:pStyle w:val="DMETW15798BIP06MFFImplemCommitments"/>
              <w:jc w:val="center"/>
              <w:rPr>
                <w:rFonts w:ascii="Verdana" w:eastAsia="Verdana" w:hAnsi="Verdana" w:cs="Verdana"/>
                <w:noProof/>
                <w:color w:val="FFFFFF"/>
                <w:sz w:val="16"/>
                <w:lang w:bidi="en-GB"/>
              </w:rPr>
            </w:pPr>
            <w:r>
              <w:rPr>
                <w:rFonts w:ascii="Verdana" w:eastAsia="Verdana" w:hAnsi="Verdana" w:cs="Verdana"/>
                <w:noProof/>
                <w:color w:val="FFFFFF"/>
                <w:sz w:val="16"/>
              </w:rPr>
              <w:t>11+12</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1</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Smart and inclusive growth</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89 649</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77 514</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9 729</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87 357</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2 265</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2 265</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27</w:t>
            </w:r>
          </w:p>
        </w:tc>
      </w:tr>
      <w:tr>
        <w:trPr>
          <w:trHeight w:val="513"/>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i/>
                <w:noProof/>
                <w:color w:val="000000"/>
                <w:sz w:val="16"/>
              </w:rPr>
            </w:pPr>
            <w:r>
              <w:rPr>
                <w:rFonts w:ascii="Verdana" w:eastAsia="Verdana" w:hAnsi="Verdana" w:cs="Verdana"/>
                <w:i/>
                <w:noProof/>
                <w:color w:val="000000"/>
                <w:sz w:val="16"/>
              </w:rPr>
              <w:t xml:space="preserve">    1a: Competitiveness for growth and jobs</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25 864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21 988</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1 780</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23 773</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92 %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2 080</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0</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2 081</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11</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0</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0</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11</w:t>
            </w:r>
          </w:p>
        </w:tc>
      </w:tr>
      <w:tr>
        <w:trPr>
          <w:trHeight w:val="563"/>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i/>
                <w:noProof/>
                <w:color w:val="000000"/>
                <w:sz w:val="16"/>
              </w:rPr>
            </w:pPr>
            <w:r>
              <w:rPr>
                <w:rFonts w:ascii="Verdana" w:eastAsia="Verdana" w:hAnsi="Verdana" w:cs="Verdana"/>
                <w:i/>
                <w:noProof/>
                <w:color w:val="000000"/>
                <w:sz w:val="16"/>
              </w:rPr>
              <w:t xml:space="preserve">    1b: Economic, social and territorial cohesion</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63 785</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55 525</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110</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7 949</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63 585</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100 %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184</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184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7</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9</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16</w:t>
            </w:r>
          </w:p>
        </w:tc>
      </w:tr>
      <w:tr>
        <w:trPr>
          <w:trHeight w:val="415"/>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2</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Sustainable growth: natural resources</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62 419</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58 774</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442</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1 344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60 560</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1 385</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460</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1 845</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w:t>
            </w:r>
          </w:p>
        </w:tc>
      </w:tr>
      <w:tr>
        <w:trPr>
          <w:trHeight w:val="72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i/>
                <w:noProof/>
                <w:color w:val="000000"/>
                <w:sz w:val="16"/>
              </w:rPr>
            </w:pPr>
            <w:r>
              <w:rPr>
                <w:rFonts w:ascii="Verdana" w:eastAsia="Verdana" w:hAnsi="Verdana" w:cs="Verdana"/>
                <w:i/>
                <w:noProof/>
                <w:color w:val="000000"/>
                <w:sz w:val="16"/>
              </w:rPr>
              <w:t xml:space="preserve">    of which: Market related expenditure and direct payments</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45 284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42 771</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442</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1 152</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44 364</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98 %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449</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460</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908</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3</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 xml:space="preserve"> 9</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11</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3</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4 015</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3 491</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247</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118</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3 855</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158</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158</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4</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Global Europe</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11 448</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10 377</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621</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11 062</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383</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383</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5</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Administration</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6 043</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5 606</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239</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5 845</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154</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43</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44</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6</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Compensations</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0 %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8</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0 %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42"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9</w:t>
            </w:r>
          </w:p>
        </w:tc>
        <w:tc>
          <w:tcPr>
            <w:tcW w:w="2510"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97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429</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180</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180</w:t>
            </w:r>
          </w:p>
        </w:tc>
        <w:tc>
          <w:tcPr>
            <w:tcW w:w="69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42 %</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41</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64</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104</w:t>
            </w:r>
          </w:p>
        </w:tc>
        <w:tc>
          <w:tcPr>
            <w:tcW w:w="977"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144</w:t>
            </w:r>
          </w:p>
        </w:tc>
        <w:tc>
          <w:tcPr>
            <w:tcW w:w="839"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38"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76" w:type="dxa"/>
            <w:tcBorders>
              <w:top w:val="nil"/>
              <w:left w:val="nil"/>
              <w:bottom w:val="nil"/>
              <w:right w:val="nil"/>
              <w:tl2br w:val="nil"/>
              <w:tr2bl w:val="nil"/>
            </w:tcBorders>
            <w:shd w:val="clear" w:color="auto" w:fill="auto"/>
            <w:tcMar>
              <w:left w:w="60" w:type="dxa"/>
              <w:right w:w="60" w:type="dxa"/>
            </w:tcMar>
            <w:vAlign w:val="center"/>
          </w:tcPr>
          <w:p>
            <w:pPr>
              <w:pStyle w:val="DMETW15798BIP06MFF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144</w:t>
            </w:r>
          </w:p>
        </w:tc>
      </w:tr>
      <w:tr>
        <w:trPr>
          <w:trHeight w:val="340"/>
        </w:trPr>
        <w:tc>
          <w:tcPr>
            <w:tcW w:w="342"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rPr>
                <w:rFonts w:ascii="Verdana" w:eastAsia="Verdana" w:hAnsi="Verdana" w:cs="Verdana"/>
                <w:b/>
                <w:noProof/>
                <w:color w:val="000000"/>
                <w:sz w:val="16"/>
              </w:rPr>
            </w:pPr>
          </w:p>
        </w:tc>
        <w:tc>
          <w:tcPr>
            <w:tcW w:w="2510"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rPr>
                <w:rFonts w:ascii="Verdana" w:eastAsia="Verdana" w:hAnsi="Verdana" w:cs="Verdana"/>
                <w:b/>
                <w:noProof/>
                <w:color w:val="000000"/>
                <w:sz w:val="16"/>
              </w:rPr>
            </w:pPr>
            <w:r>
              <w:rPr>
                <w:rFonts w:ascii="Verdana" w:eastAsia="Verdana" w:hAnsi="Verdana" w:cs="Verdana"/>
                <w:b/>
                <w:noProof/>
                <w:color w:val="000000"/>
                <w:sz w:val="16"/>
              </w:rPr>
              <w:t>Total</w:t>
            </w:r>
          </w:p>
        </w:tc>
        <w:tc>
          <w:tcPr>
            <w:tcW w:w="978"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174 003</w:t>
            </w:r>
          </w:p>
        </w:tc>
        <w:tc>
          <w:tcPr>
            <w:tcW w:w="977"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155 941</w:t>
            </w:r>
          </w:p>
        </w:tc>
        <w:tc>
          <w:tcPr>
            <w:tcW w:w="699"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866</w:t>
            </w:r>
          </w:p>
        </w:tc>
        <w:tc>
          <w:tcPr>
            <w:tcW w:w="977"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12 051</w:t>
            </w:r>
          </w:p>
        </w:tc>
        <w:tc>
          <w:tcPr>
            <w:tcW w:w="977"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168 859</w:t>
            </w:r>
          </w:p>
        </w:tc>
        <w:tc>
          <w:tcPr>
            <w:tcW w:w="699"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97 %</w:t>
            </w:r>
          </w:p>
        </w:tc>
        <w:tc>
          <w:tcPr>
            <w:tcW w:w="977"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4 386</w:t>
            </w:r>
          </w:p>
        </w:tc>
        <w:tc>
          <w:tcPr>
            <w:tcW w:w="839"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525</w:t>
            </w:r>
          </w:p>
        </w:tc>
        <w:tc>
          <w:tcPr>
            <w:tcW w:w="838"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4 911</w:t>
            </w:r>
          </w:p>
        </w:tc>
        <w:tc>
          <w:tcPr>
            <w:tcW w:w="977"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215</w:t>
            </w:r>
          </w:p>
        </w:tc>
        <w:tc>
          <w:tcPr>
            <w:tcW w:w="839"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18</w:t>
            </w:r>
          </w:p>
        </w:tc>
        <w:tc>
          <w:tcPr>
            <w:tcW w:w="838"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0</w:t>
            </w:r>
          </w:p>
        </w:tc>
        <w:tc>
          <w:tcPr>
            <w:tcW w:w="1076" w:type="dxa"/>
            <w:tcBorders>
              <w:top w:val="nil"/>
              <w:left w:val="nil"/>
              <w:bottom w:val="nil"/>
              <w:right w:val="nil"/>
              <w:tl2br w:val="nil"/>
              <w:tr2bl w:val="nil"/>
            </w:tcBorders>
            <w:shd w:val="solid" w:color="CCE1EA" w:fill="FFFFFF"/>
            <w:tcMar>
              <w:left w:w="60" w:type="dxa"/>
              <w:right w:w="60" w:type="dxa"/>
            </w:tcMar>
            <w:vAlign w:val="center"/>
          </w:tcPr>
          <w:p>
            <w:pPr>
              <w:pStyle w:val="DMETW15798BIP06MFF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233</w:t>
            </w:r>
          </w:p>
        </w:tc>
      </w:tr>
    </w:tbl>
    <w:p>
      <w:pPr>
        <w:pStyle w:val="DGTextstand-alone"/>
      </w:pPr>
      <w:r>
        <w:br w:type="page"/>
      </w:r>
    </w:p>
    <w:p>
      <w:pPr>
        <w:pStyle w:val="DGTextstand-alone"/>
      </w:pPr>
    </w:p>
    <w:p>
      <w:pPr>
        <w:pStyle w:val="HEADER2PartBUDG"/>
        <w:rPr>
          <w:noProof/>
          <w:lang w:val="en-GB"/>
        </w:rPr>
      </w:pPr>
      <w:bookmarkStart w:id="209" w:name="_Toc11403548"/>
      <w:r>
        <w:rPr>
          <w:noProof/>
          <w:lang w:val="en-GB"/>
        </w:rPr>
        <w:t>MFF: IMPLEMENTATION OF PAYMENT APPROPRIATIONS</w:t>
      </w:r>
      <w:bookmarkEnd w:id="209"/>
    </w:p>
    <w:p>
      <w:pPr>
        <w:pStyle w:val="Textstand-alone"/>
      </w:pPr>
      <w: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2204"/>
        <w:gridCol w:w="982"/>
        <w:gridCol w:w="983"/>
        <w:gridCol w:w="701"/>
        <w:gridCol w:w="843"/>
        <w:gridCol w:w="982"/>
        <w:gridCol w:w="702"/>
        <w:gridCol w:w="702"/>
        <w:gridCol w:w="842"/>
        <w:gridCol w:w="843"/>
        <w:gridCol w:w="701"/>
        <w:gridCol w:w="843"/>
        <w:gridCol w:w="702"/>
        <w:gridCol w:w="996"/>
        <w:gridCol w:w="1132"/>
      </w:tblGrid>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lang w:bidi="en-GB"/>
              </w:rPr>
            </w:pPr>
            <w:bookmarkStart w:id="210" w:name="DOC_TBL00102_1_1"/>
            <w:bookmarkEnd w:id="210"/>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284"/>
        </w:trPr>
        <w:tc>
          <w:tcPr>
            <w:tcW w:w="240"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p>
        </w:tc>
        <w:tc>
          <w:tcPr>
            <w:tcW w:w="2230"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p>
        </w:tc>
        <w:tc>
          <w:tcPr>
            <w:tcW w:w="992"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b/>
                <w:noProof/>
                <w:color w:val="FFFFFF"/>
                <w:sz w:val="16"/>
              </w:rPr>
            </w:pPr>
            <w:r>
              <w:rPr>
                <w:rFonts w:ascii="Verdana" w:eastAsia="Verdana" w:hAnsi="Verdana" w:cs="Verdana"/>
                <w:b/>
                <w:noProof/>
                <w:color w:val="FFFFFF"/>
                <w:sz w:val="16"/>
              </w:rPr>
              <w:t>Total appropr. available</w:t>
            </w:r>
          </w:p>
        </w:tc>
        <w:tc>
          <w:tcPr>
            <w:tcW w:w="993" w:type="dxa"/>
            <w:gridSpan w:val="5"/>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b/>
                <w:noProof/>
                <w:color w:val="FFFFFF"/>
                <w:sz w:val="16"/>
              </w:rPr>
            </w:pPr>
            <w:r>
              <w:rPr>
                <w:rFonts w:ascii="Verdana" w:eastAsia="Verdana" w:hAnsi="Verdana" w:cs="Verdana"/>
                <w:b/>
                <w:noProof/>
                <w:color w:val="FFFFFF"/>
                <w:sz w:val="16"/>
              </w:rPr>
              <w:t>Payments made</w:t>
            </w:r>
          </w:p>
        </w:tc>
        <w:tc>
          <w:tcPr>
            <w:tcW w:w="709"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b/>
                <w:noProof/>
                <w:color w:val="FFFFFF"/>
                <w:sz w:val="16"/>
              </w:rPr>
            </w:pPr>
            <w:r>
              <w:rPr>
                <w:rFonts w:ascii="Verdana" w:eastAsia="Verdana" w:hAnsi="Verdana" w:cs="Verdana"/>
                <w:b/>
                <w:noProof/>
                <w:color w:val="FFFFFF"/>
                <w:sz w:val="16"/>
              </w:rPr>
              <w:t>Appropriations carried over to 2019</w:t>
            </w:r>
          </w:p>
        </w:tc>
        <w:tc>
          <w:tcPr>
            <w:tcW w:w="851"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right"/>
              <w:rPr>
                <w:rFonts w:ascii="Verdana" w:eastAsia="Verdana" w:hAnsi="Verdana" w:cs="Verdana"/>
                <w:b/>
                <w:noProof/>
                <w:color w:val="FFFFFF"/>
                <w:sz w:val="16"/>
              </w:rPr>
            </w:pPr>
            <w:r>
              <w:rPr>
                <w:rFonts w:ascii="Verdana" w:eastAsia="Verdana" w:hAnsi="Verdana" w:cs="Verdana"/>
                <w:b/>
                <w:noProof/>
                <w:color w:val="FFFFFF"/>
                <w:sz w:val="16"/>
              </w:rPr>
              <w:t>Appropriations lapsing</w:t>
            </w:r>
          </w:p>
        </w:tc>
        <w:tc>
          <w:tcPr>
            <w:tcW w:w="1144"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rPr>
                <w:rFonts w:ascii="Verdana" w:eastAsia="Verdana" w:hAnsi="Verdana" w:cs="Verdana"/>
                <w:b/>
                <w:noProof/>
                <w:color w:val="FFFFFF"/>
                <w:sz w:val="16"/>
                <w:lang w:bidi="en-GB"/>
              </w:rPr>
            </w:pPr>
          </w:p>
        </w:tc>
      </w:tr>
      <w:tr>
        <w:trPr>
          <w:trHeight w:val="284"/>
        </w:trPr>
        <w:tc>
          <w:tcPr>
            <w:tcW w:w="240"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p>
        </w:tc>
        <w:tc>
          <w:tcPr>
            <w:tcW w:w="2230"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02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b/>
                <w:noProof/>
                <w:color w:val="FFFFFF"/>
                <w:sz w:val="16"/>
              </w:rPr>
            </w:pPr>
          </w:p>
        </w:tc>
        <w:tc>
          <w:tcPr>
            <w:tcW w:w="993"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708"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from carry-overs</w:t>
            </w:r>
          </w:p>
        </w:tc>
        <w:tc>
          <w:tcPr>
            <w:tcW w:w="851"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709"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w:t>
            </w:r>
          </w:p>
        </w:tc>
        <w:tc>
          <w:tcPr>
            <w:tcW w:w="709"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auto-</w:t>
            </w:r>
          </w:p>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matic carry-overs</w:t>
            </w:r>
          </w:p>
        </w:tc>
        <w:tc>
          <w:tcPr>
            <w:tcW w:w="850"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carry-overs by decis.</w:t>
            </w:r>
          </w:p>
        </w:tc>
        <w:tc>
          <w:tcPr>
            <w:tcW w:w="851"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assigned revenue</w:t>
            </w:r>
          </w:p>
        </w:tc>
        <w:tc>
          <w:tcPr>
            <w:tcW w:w="708"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851"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709"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from carry-  overs</w:t>
            </w:r>
          </w:p>
        </w:tc>
        <w:tc>
          <w:tcPr>
            <w:tcW w:w="1006"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1144" w:type="dxa"/>
            <w:tcBorders>
              <w:top w:val="nil"/>
              <w:left w:val="nil"/>
              <w:bottom w:val="nil"/>
              <w:right w:val="nil"/>
              <w:tl2br w:val="nil"/>
              <w:tr2bl w:val="nil"/>
            </w:tcBorders>
            <w:shd w:val="solid" w:color="016794" w:fill="FFFFFF"/>
            <w:tcMar>
              <w:left w:w="60" w:type="dxa"/>
              <w:right w:w="60" w:type="dxa"/>
            </w:tcMar>
            <w:vAlign w:val="center"/>
          </w:tcPr>
          <w:p>
            <w:pPr>
              <w:pStyle w:val="DMETW15798BIP07MFFImplemPayments"/>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r>
      <w:tr>
        <w:trPr>
          <w:trHeight w:val="284"/>
        </w:trPr>
        <w:tc>
          <w:tcPr>
            <w:tcW w:w="240"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p>
        </w:tc>
        <w:tc>
          <w:tcPr>
            <w:tcW w:w="2230"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993"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708"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3</w:t>
            </w:r>
          </w:p>
        </w:tc>
        <w:tc>
          <w:tcPr>
            <w:tcW w:w="851"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4</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5=2+</w:t>
            </w:r>
          </w:p>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3+4</w:t>
            </w:r>
          </w:p>
        </w:tc>
        <w:tc>
          <w:tcPr>
            <w:tcW w:w="709"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6=5/1</w:t>
            </w:r>
          </w:p>
        </w:tc>
        <w:tc>
          <w:tcPr>
            <w:tcW w:w="709"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850"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8</w:t>
            </w:r>
          </w:p>
        </w:tc>
        <w:tc>
          <w:tcPr>
            <w:tcW w:w="851"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9</w:t>
            </w:r>
          </w:p>
        </w:tc>
        <w:tc>
          <w:tcPr>
            <w:tcW w:w="708"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10=7+</w:t>
            </w:r>
          </w:p>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8+9</w:t>
            </w:r>
          </w:p>
        </w:tc>
        <w:tc>
          <w:tcPr>
            <w:tcW w:w="851"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11</w:t>
            </w:r>
          </w:p>
        </w:tc>
        <w:tc>
          <w:tcPr>
            <w:tcW w:w="709"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12</w:t>
            </w:r>
          </w:p>
        </w:tc>
        <w:tc>
          <w:tcPr>
            <w:tcW w:w="1006"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13</w:t>
            </w:r>
          </w:p>
        </w:tc>
        <w:tc>
          <w:tcPr>
            <w:tcW w:w="1144" w:type="dxa"/>
            <w:tcBorders>
              <w:top w:val="nil"/>
              <w:left w:val="nil"/>
              <w:bottom w:val="nil"/>
              <w:right w:val="nil"/>
              <w:tl2br w:val="nil"/>
              <w:tr2bl w:val="nil"/>
            </w:tcBorders>
            <w:shd w:val="solid" w:color="3486A9" w:fill="FFFFFF"/>
            <w:tcMar>
              <w:left w:w="60" w:type="dxa"/>
              <w:right w:w="60" w:type="dxa"/>
            </w:tcMar>
            <w:vAlign w:val="center"/>
          </w:tcPr>
          <w:p>
            <w:pPr>
              <w:pStyle w:val="DMETW15798BIP07MFFImplemPayments"/>
              <w:jc w:val="center"/>
              <w:rPr>
                <w:rFonts w:ascii="Verdana" w:eastAsia="Verdana" w:hAnsi="Verdana" w:cs="Verdana"/>
                <w:noProof/>
                <w:color w:val="FFFFFF"/>
                <w:sz w:val="16"/>
              </w:rPr>
            </w:pPr>
            <w:r>
              <w:rPr>
                <w:rFonts w:ascii="Verdana" w:eastAsia="Verdana" w:hAnsi="Verdana" w:cs="Verdana"/>
                <w:noProof/>
                <w:color w:val="FFFFFF"/>
                <w:sz w:val="16"/>
              </w:rPr>
              <w:t>14=11+</w:t>
            </w:r>
          </w:p>
          <w:p>
            <w:pPr>
              <w:pStyle w:val="DMETW15798BIP07MFFImplemPayments"/>
              <w:jc w:val="center"/>
              <w:rPr>
                <w:rFonts w:ascii="Verdana" w:eastAsia="Verdana" w:hAnsi="Verdana" w:cs="Verdana"/>
                <w:noProof/>
                <w:color w:val="FFFFFF"/>
                <w:sz w:val="16"/>
                <w:lang w:bidi="en-GB"/>
              </w:rPr>
            </w:pPr>
            <w:r>
              <w:rPr>
                <w:rFonts w:ascii="Verdana" w:eastAsia="Verdana" w:hAnsi="Verdana" w:cs="Verdana"/>
                <w:noProof/>
                <w:color w:val="FFFFFF"/>
                <w:sz w:val="16"/>
              </w:rPr>
              <w:t>12+13</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1</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Smart and inclusive growth</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80 917</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66 540</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107</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9 230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75 876</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130</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4 833</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4 966</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74</w:t>
            </w:r>
          </w:p>
        </w:tc>
      </w:tr>
      <w:tr>
        <w:trPr>
          <w:trHeight w:val="52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i/>
                <w:noProof/>
                <w:color w:val="000000"/>
                <w:sz w:val="16"/>
              </w:rPr>
            </w:pPr>
            <w:r>
              <w:rPr>
                <w:rFonts w:ascii="Verdana" w:eastAsia="Verdana" w:hAnsi="Verdana" w:cs="Verdana"/>
                <w:i/>
                <w:noProof/>
                <w:color w:val="000000"/>
                <w:sz w:val="16"/>
              </w:rPr>
              <w:t xml:space="preserve">    1a: Competitiveness for growth and jobs</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25 073</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19 993</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97</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1 318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21 408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85 %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117</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3</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3 492</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3 612</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41</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11</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53</w:t>
            </w:r>
          </w:p>
        </w:tc>
      </w:tr>
      <w:tr>
        <w:trPr>
          <w:trHeight w:val="432"/>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i/>
                <w:noProof/>
                <w:color w:val="000000"/>
                <w:sz w:val="16"/>
              </w:rPr>
            </w:pPr>
            <w:r>
              <w:rPr>
                <w:rFonts w:ascii="Verdana" w:eastAsia="Verdana" w:hAnsi="Verdana" w:cs="Verdana"/>
                <w:i/>
                <w:noProof/>
                <w:color w:val="000000"/>
                <w:sz w:val="16"/>
              </w:rPr>
              <w:t xml:space="preserve">    1b: Economic, social and territorial cohesion</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55 844</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46 547</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10</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7 912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54 468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98 %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13</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1 341</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1 354</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3</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21</w:t>
            </w:r>
          </w:p>
        </w:tc>
      </w:tr>
      <w:tr>
        <w:trPr>
          <w:trHeight w:val="437"/>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2</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Sustainable growth: natural resources</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59 648</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55 576</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643</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1 827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58 046</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193</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460</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918</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1 570</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33</w:t>
            </w:r>
          </w:p>
        </w:tc>
      </w:tr>
      <w:tr>
        <w:trPr>
          <w:trHeight w:val="699"/>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i/>
                <w:noProof/>
                <w:color w:val="000000"/>
                <w:sz w:val="16"/>
              </w:rPr>
            </w:pPr>
            <w:r>
              <w:rPr>
                <w:rFonts w:ascii="Verdana" w:eastAsia="Verdana" w:hAnsi="Verdana" w:cs="Verdana"/>
                <w:i/>
                <w:noProof/>
                <w:color w:val="000000"/>
                <w:sz w:val="16"/>
              </w:rPr>
              <w:t xml:space="preserve">    of which: Market related expenditure and direct payments</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45 436</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42 533</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636</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1 142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44 310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98 %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186</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460</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459</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1 104</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 xml:space="preserve"> 20</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rPr>
            </w:pPr>
            <w:r>
              <w:rPr>
                <w:rFonts w:ascii="Verdana" w:eastAsia="Verdana" w:hAnsi="Verdana" w:cs="Verdana"/>
                <w:i/>
                <w:noProof/>
                <w:color w:val="000000"/>
                <w:sz w:val="16"/>
              </w:rPr>
              <w:t>–</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i/>
                <w:noProof/>
                <w:color w:val="000000"/>
                <w:sz w:val="16"/>
                <w:lang w:bidi="en-GB"/>
              </w:rPr>
            </w:pPr>
            <w:r>
              <w:rPr>
                <w:rFonts w:ascii="Verdana" w:eastAsia="Verdana" w:hAnsi="Verdana" w:cs="Verdana"/>
                <w:i/>
                <w:noProof/>
                <w:color w:val="000000"/>
                <w:sz w:val="16"/>
              </w:rPr>
              <w:t xml:space="preserve"> 22</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3</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3 305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2 980</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3 108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159</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167</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29</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4</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Global Europe</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10 788</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8 711</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310</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498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9 519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88 %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65</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1 161</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1 226</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37</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42</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5</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Administration</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6 392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5 296</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322</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186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5 804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91 %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310</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207</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519</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70</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6</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Compensations</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0 %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8</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0 %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24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9</w:t>
            </w:r>
          </w:p>
        </w:tc>
        <w:tc>
          <w:tcPr>
            <w:tcW w:w="223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340</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157</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180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53 %</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708"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851"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4" w:type="dxa"/>
            <w:tcBorders>
              <w:top w:val="nil"/>
              <w:left w:val="nil"/>
              <w:bottom w:val="nil"/>
              <w:right w:val="nil"/>
              <w:tl2br w:val="nil"/>
              <w:tr2bl w:val="nil"/>
            </w:tcBorders>
            <w:shd w:val="clear" w:color="auto" w:fill="auto"/>
            <w:tcMar>
              <w:left w:w="60" w:type="dxa"/>
              <w:right w:w="60" w:type="dxa"/>
            </w:tcMar>
            <w:vAlign w:val="center"/>
          </w:tcPr>
          <w:p>
            <w:pPr>
              <w:pStyle w:val="DMETW15798BIP07MFF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144</w:t>
            </w:r>
          </w:p>
        </w:tc>
      </w:tr>
      <w:tr>
        <w:trPr>
          <w:trHeight w:val="284"/>
        </w:trPr>
        <w:tc>
          <w:tcPr>
            <w:tcW w:w="240"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rPr>
                <w:rFonts w:ascii="Verdana" w:eastAsia="Verdana" w:hAnsi="Verdana" w:cs="Verdana"/>
                <w:b/>
                <w:noProof/>
                <w:color w:val="000000"/>
                <w:sz w:val="16"/>
              </w:rPr>
            </w:pPr>
          </w:p>
        </w:tc>
        <w:tc>
          <w:tcPr>
            <w:tcW w:w="2230"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rPr>
                <w:rFonts w:ascii="Verdana" w:eastAsia="Verdana" w:hAnsi="Verdana" w:cs="Verdana"/>
                <w:b/>
                <w:noProof/>
                <w:color w:val="000000"/>
                <w:sz w:val="16"/>
              </w:rPr>
            </w:pPr>
            <w:r>
              <w:rPr>
                <w:rFonts w:ascii="Verdana" w:eastAsia="Verdana" w:hAnsi="Verdana" w:cs="Verdana"/>
                <w:b/>
                <w:noProof/>
                <w:color w:val="000000"/>
                <w:sz w:val="16"/>
              </w:rPr>
              <w:t>Total</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161 390</w:t>
            </w:r>
          </w:p>
        </w:tc>
        <w:tc>
          <w:tcPr>
            <w:tcW w:w="993"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139 260</w:t>
            </w:r>
          </w:p>
        </w:tc>
        <w:tc>
          <w:tcPr>
            <w:tcW w:w="708"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1 394</w:t>
            </w:r>
          </w:p>
        </w:tc>
        <w:tc>
          <w:tcPr>
            <w:tcW w:w="851"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11 879</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152 533</w:t>
            </w:r>
          </w:p>
        </w:tc>
        <w:tc>
          <w:tcPr>
            <w:tcW w:w="709"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95 %</w:t>
            </w:r>
          </w:p>
        </w:tc>
        <w:tc>
          <w:tcPr>
            <w:tcW w:w="709"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706</w:t>
            </w:r>
          </w:p>
        </w:tc>
        <w:tc>
          <w:tcPr>
            <w:tcW w:w="850"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465</w:t>
            </w:r>
          </w:p>
        </w:tc>
        <w:tc>
          <w:tcPr>
            <w:tcW w:w="851"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7 294</w:t>
            </w:r>
          </w:p>
        </w:tc>
        <w:tc>
          <w:tcPr>
            <w:tcW w:w="708"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8 465</w:t>
            </w:r>
          </w:p>
        </w:tc>
        <w:tc>
          <w:tcPr>
            <w:tcW w:w="851"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322</w:t>
            </w:r>
          </w:p>
        </w:tc>
        <w:tc>
          <w:tcPr>
            <w:tcW w:w="709"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68</w:t>
            </w:r>
          </w:p>
        </w:tc>
        <w:tc>
          <w:tcPr>
            <w:tcW w:w="1006"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2</w:t>
            </w:r>
          </w:p>
        </w:tc>
        <w:tc>
          <w:tcPr>
            <w:tcW w:w="1144" w:type="dxa"/>
            <w:tcBorders>
              <w:top w:val="nil"/>
              <w:left w:val="nil"/>
              <w:bottom w:val="nil"/>
              <w:right w:val="nil"/>
              <w:tl2br w:val="nil"/>
              <w:tr2bl w:val="nil"/>
            </w:tcBorders>
            <w:shd w:val="solid" w:color="CCE1EA" w:fill="FFFFFF"/>
            <w:tcMar>
              <w:left w:w="60" w:type="dxa"/>
              <w:right w:w="60" w:type="dxa"/>
            </w:tcMar>
            <w:vAlign w:val="center"/>
          </w:tcPr>
          <w:p>
            <w:pPr>
              <w:pStyle w:val="DMETW15798BIP07MFF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392</w:t>
            </w:r>
          </w:p>
        </w:tc>
      </w:tr>
    </w:tbl>
    <w:p>
      <w:pPr>
        <w:pStyle w:val="Textstand-alone"/>
      </w:pPr>
    </w:p>
    <w:p>
      <w:pPr>
        <w:pStyle w:val="Textstand-alone"/>
      </w:pPr>
      <w:bookmarkStart w:id="211" w:name="_1_1"/>
      <w:bookmarkEnd w:id="211"/>
    </w:p>
    <w:p>
      <w:pPr>
        <w:pStyle w:val="HEADER2PartBUDG"/>
        <w:rPr>
          <w:noProof/>
          <w:lang w:val="en-GB"/>
        </w:rPr>
      </w:pPr>
      <w:bookmarkStart w:id="212" w:name="_Toc11403549"/>
      <w:r>
        <w:rPr>
          <w:noProof/>
          <w:lang w:val="en-GB"/>
        </w:rPr>
        <w:t>MFF: MOVEMENTS IN COMMITMENTS OUTSTANDING (RAL)</w:t>
      </w:r>
      <w:bookmarkEnd w:id="212"/>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2967"/>
        <w:gridCol w:w="1420"/>
        <w:gridCol w:w="1559"/>
        <w:gridCol w:w="992"/>
        <w:gridCol w:w="1274"/>
        <w:gridCol w:w="992"/>
        <w:gridCol w:w="992"/>
        <w:gridCol w:w="1420"/>
        <w:gridCol w:w="1138"/>
        <w:gridCol w:w="1439"/>
      </w:tblGrid>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lang w:bidi="en-GB"/>
              </w:rPr>
            </w:pPr>
            <w:bookmarkStart w:id="213" w:name="DOC_TBL00103_1_1"/>
            <w:bookmarkEnd w:id="213"/>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284"/>
        </w:trPr>
        <w:tc>
          <w:tcPr>
            <w:tcW w:w="352"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p>
        </w:tc>
        <w:tc>
          <w:tcPr>
            <w:tcW w:w="2999"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p>
        </w:tc>
        <w:tc>
          <w:tcPr>
            <w:tcW w:w="1434"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b/>
                <w:noProof/>
                <w:color w:val="FFFFFF"/>
                <w:sz w:val="16"/>
              </w:rPr>
            </w:pPr>
            <w:r>
              <w:rPr>
                <w:rFonts w:ascii="Verdana" w:eastAsia="Verdana" w:hAnsi="Verdana" w:cs="Verdana"/>
                <w:b/>
                <w:noProof/>
                <w:color w:val="FFFFFF"/>
                <w:sz w:val="16"/>
              </w:rPr>
              <w:t>Commitments outstanding at the end of previous year</w:t>
            </w:r>
          </w:p>
        </w:tc>
        <w:tc>
          <w:tcPr>
            <w:tcW w:w="1002"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b/>
                <w:noProof/>
                <w:color w:val="FFFFFF"/>
                <w:sz w:val="16"/>
              </w:rPr>
            </w:pPr>
            <w:r>
              <w:rPr>
                <w:rFonts w:ascii="Verdana" w:eastAsia="Verdana" w:hAnsi="Verdana" w:cs="Verdana"/>
                <w:b/>
                <w:noProof/>
                <w:color w:val="FFFFFF"/>
                <w:sz w:val="16"/>
              </w:rPr>
              <w:t>Commitments of the current year</w:t>
            </w:r>
          </w:p>
        </w:tc>
        <w:tc>
          <w:tcPr>
            <w:tcW w:w="1454"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b/>
                <w:noProof/>
                <w:color w:val="FFFFFF"/>
                <w:sz w:val="16"/>
                <w:lang w:bidi="en-GB"/>
              </w:rPr>
            </w:pPr>
            <w:r>
              <w:rPr>
                <w:rFonts w:ascii="Verdana" w:eastAsia="Verdana" w:hAnsi="Verdana" w:cs="Verdana"/>
                <w:b/>
                <w:noProof/>
                <w:color w:val="FFFFFF"/>
                <w:sz w:val="16"/>
              </w:rPr>
              <w:t>Total commitm. outstanding at end of the year</w:t>
            </w:r>
          </w:p>
        </w:tc>
      </w:tr>
      <w:tr>
        <w:trPr>
          <w:trHeight w:val="284"/>
        </w:trPr>
        <w:tc>
          <w:tcPr>
            <w:tcW w:w="352"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p>
        </w:tc>
        <w:tc>
          <w:tcPr>
            <w:tcW w:w="2999"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434"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Commit. carried forward from prev. year</w:t>
            </w:r>
          </w:p>
        </w:tc>
        <w:tc>
          <w:tcPr>
            <w:tcW w:w="1575"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Decommitments/</w:t>
            </w:r>
          </w:p>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Revaluations/</w:t>
            </w:r>
          </w:p>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Cancellations</w:t>
            </w:r>
          </w:p>
        </w:tc>
        <w:tc>
          <w:tcPr>
            <w:tcW w:w="1002"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Payments</w:t>
            </w:r>
          </w:p>
        </w:tc>
        <w:tc>
          <w:tcPr>
            <w:tcW w:w="1287"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Commitm. outstanding at year-end</w:t>
            </w:r>
          </w:p>
        </w:tc>
        <w:tc>
          <w:tcPr>
            <w:tcW w:w="1002"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Commit. made during the year</w:t>
            </w:r>
          </w:p>
        </w:tc>
        <w:tc>
          <w:tcPr>
            <w:tcW w:w="1002"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Payments</w:t>
            </w:r>
          </w:p>
        </w:tc>
        <w:tc>
          <w:tcPr>
            <w:tcW w:w="1434"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Cancellation of commitm. which cannot be carried-over</w:t>
            </w:r>
          </w:p>
        </w:tc>
        <w:tc>
          <w:tcPr>
            <w:tcW w:w="1149" w:type="dxa"/>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lang w:bidi="en-GB"/>
              </w:rPr>
            </w:pPr>
            <w:r>
              <w:rPr>
                <w:rFonts w:ascii="Verdana" w:eastAsia="Verdana" w:hAnsi="Verdana" w:cs="Verdana"/>
                <w:noProof/>
                <w:color w:val="FFFFFF"/>
                <w:sz w:val="16"/>
              </w:rPr>
              <w:t>Commitm. outstanding at year-end</w:t>
            </w:r>
          </w:p>
        </w:tc>
        <w:tc>
          <w:tcPr>
            <w:tcW w:w="1125"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08MFFMovementsincommitmentsoustanding"/>
              <w:jc w:val="center"/>
              <w:rPr>
                <w:rFonts w:ascii="Verdana" w:eastAsia="Verdana" w:hAnsi="Verdana" w:cs="Verdana"/>
                <w:b/>
                <w:noProof/>
                <w:color w:val="FFFFFF"/>
                <w:sz w:val="16"/>
              </w:rPr>
            </w:pPr>
          </w:p>
        </w:tc>
      </w:tr>
      <w:tr>
        <w:trPr>
          <w:trHeight w:val="284"/>
        </w:trPr>
        <w:tc>
          <w:tcPr>
            <w:tcW w:w="352"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p>
        </w:tc>
        <w:tc>
          <w:tcPr>
            <w:tcW w:w="2999"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p>
        </w:tc>
        <w:tc>
          <w:tcPr>
            <w:tcW w:w="1434"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1575"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1002"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3</w:t>
            </w:r>
          </w:p>
        </w:tc>
        <w:tc>
          <w:tcPr>
            <w:tcW w:w="1287"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4=1+2+3</w:t>
            </w:r>
          </w:p>
        </w:tc>
        <w:tc>
          <w:tcPr>
            <w:tcW w:w="1002"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5</w:t>
            </w:r>
          </w:p>
        </w:tc>
        <w:tc>
          <w:tcPr>
            <w:tcW w:w="1002"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6</w:t>
            </w:r>
          </w:p>
        </w:tc>
        <w:tc>
          <w:tcPr>
            <w:tcW w:w="1434"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1149"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rPr>
            </w:pPr>
            <w:r>
              <w:rPr>
                <w:rFonts w:ascii="Verdana" w:eastAsia="Verdana" w:hAnsi="Verdana" w:cs="Verdana"/>
                <w:noProof/>
                <w:color w:val="FFFFFF"/>
                <w:sz w:val="16"/>
              </w:rPr>
              <w:t>8=5+6+7</w:t>
            </w:r>
          </w:p>
        </w:tc>
        <w:tc>
          <w:tcPr>
            <w:tcW w:w="1454" w:type="dxa"/>
            <w:tcBorders>
              <w:top w:val="nil"/>
              <w:left w:val="nil"/>
              <w:bottom w:val="nil"/>
              <w:right w:val="nil"/>
              <w:tl2br w:val="nil"/>
              <w:tr2bl w:val="nil"/>
            </w:tcBorders>
            <w:shd w:val="solid" w:color="3486A9" w:fill="FFFFFF"/>
            <w:tcMar>
              <w:left w:w="60" w:type="dxa"/>
              <w:right w:w="60" w:type="dxa"/>
            </w:tcMar>
            <w:vAlign w:val="center"/>
          </w:tcPr>
          <w:p>
            <w:pPr>
              <w:pStyle w:val="DMETW15798BIP08MFFMovementsincommitmentsoustanding"/>
              <w:jc w:val="center"/>
              <w:rPr>
                <w:rFonts w:ascii="Verdana" w:eastAsia="Verdana" w:hAnsi="Verdana" w:cs="Verdana"/>
                <w:noProof/>
                <w:color w:val="FFFFFF"/>
                <w:sz w:val="16"/>
                <w:lang w:bidi="en-GB"/>
              </w:rPr>
            </w:pPr>
            <w:r>
              <w:rPr>
                <w:rFonts w:ascii="Verdana" w:eastAsia="Verdana" w:hAnsi="Verdana" w:cs="Verdana"/>
                <w:noProof/>
                <w:color w:val="FFFFFF"/>
                <w:sz w:val="16"/>
              </w:rPr>
              <w:t>9=4+8</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1</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i/>
                <w:noProof/>
                <w:color w:val="000000"/>
                <w:sz w:val="16"/>
              </w:rPr>
            </w:pPr>
            <w:r>
              <w:rPr>
                <w:rFonts w:ascii="Verdana" w:eastAsia="Verdana" w:hAnsi="Verdana" w:cs="Verdana"/>
                <w:i/>
                <w:noProof/>
                <w:color w:val="000000"/>
                <w:sz w:val="16"/>
              </w:rPr>
              <w:t>Smart and inclusive growth</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196 837</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(1 323)</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(67 640)</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127 874</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87 357</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(8 237)</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 xml:space="preserve"> (4)</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79 117</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lang w:bidi="en-GB"/>
              </w:rPr>
            </w:pPr>
            <w:r>
              <w:rPr>
                <w:rFonts w:ascii="Verdana" w:eastAsia="Verdana" w:hAnsi="Verdana" w:cs="Verdana"/>
                <w:i/>
                <w:noProof/>
                <w:color w:val="000000"/>
                <w:sz w:val="16"/>
              </w:rPr>
              <w:t>206 991</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i/>
                <w:noProof/>
                <w:color w:val="000000"/>
                <w:sz w:val="16"/>
              </w:rPr>
            </w:pPr>
            <w:r>
              <w:rPr>
                <w:rFonts w:ascii="Verdana" w:eastAsia="Verdana" w:hAnsi="Verdana" w:cs="Verdana"/>
                <w:i/>
                <w:noProof/>
                <w:color w:val="000000"/>
                <w:sz w:val="16"/>
              </w:rPr>
              <w:t xml:space="preserve">    1a: Competitiveness for growth and jobs</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35 576</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 xml:space="preserve"> (932)</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(13 691)</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20 953</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23 773</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(7 717)</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 xml:space="preserve"> (4)</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16 052</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lang w:bidi="en-GB"/>
              </w:rPr>
            </w:pPr>
            <w:r>
              <w:rPr>
                <w:rFonts w:ascii="Verdana" w:eastAsia="Verdana" w:hAnsi="Verdana" w:cs="Verdana"/>
                <w:i/>
                <w:noProof/>
                <w:color w:val="000000"/>
                <w:sz w:val="16"/>
              </w:rPr>
              <w:t>37 006</w:t>
            </w:r>
          </w:p>
        </w:tc>
      </w:tr>
      <w:tr>
        <w:trPr>
          <w:trHeight w:val="537"/>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 xml:space="preserve">    1b: Economic, social and territorial cohesion</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161 260</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(392)</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(53 948)</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106 920</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63 585</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(520)</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63 064</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169 985</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2</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i/>
                <w:noProof/>
                <w:color w:val="000000"/>
                <w:sz w:val="16"/>
              </w:rPr>
            </w:pPr>
            <w:r>
              <w:rPr>
                <w:rFonts w:ascii="Verdana" w:eastAsia="Verdana" w:hAnsi="Verdana" w:cs="Verdana"/>
                <w:i/>
                <w:noProof/>
                <w:color w:val="000000"/>
                <w:sz w:val="16"/>
              </w:rPr>
              <w:t>Sustainable growth: natural resources</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37 883</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 xml:space="preserve"> (360)</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(13 466)</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24 058</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60 560</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(44 580)</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 xml:space="preserve"> (0)</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rPr>
            </w:pPr>
            <w:r>
              <w:rPr>
                <w:rFonts w:ascii="Verdana" w:eastAsia="Verdana" w:hAnsi="Verdana" w:cs="Verdana"/>
                <w:i/>
                <w:noProof/>
                <w:color w:val="000000"/>
                <w:sz w:val="16"/>
              </w:rPr>
              <w:t>15 980</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i/>
                <w:noProof/>
                <w:color w:val="000000"/>
                <w:sz w:val="16"/>
                <w:lang w:bidi="en-GB"/>
              </w:rPr>
            </w:pPr>
            <w:r>
              <w:rPr>
                <w:rFonts w:ascii="Verdana" w:eastAsia="Verdana" w:hAnsi="Verdana" w:cs="Verdana"/>
                <w:i/>
                <w:noProof/>
                <w:color w:val="000000"/>
                <w:sz w:val="16"/>
              </w:rPr>
              <w:t>40 037</w:t>
            </w:r>
          </w:p>
        </w:tc>
      </w:tr>
      <w:tr>
        <w:trPr>
          <w:trHeight w:val="479"/>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 xml:space="preserve">    of which: Market related expenditure and direct payments</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309</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(228)</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67</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44 364</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(44 082)</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282</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349</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3</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5 194</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(107)</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(1 781)</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3 306</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3 855</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(1 327)</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2 528</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5 834</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4</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Global Europe</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26 478</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(667)</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(6 746)</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19 064</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11 062</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(2 773)</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8 288</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27 352</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5</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Administration</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359</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(26)</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(330)</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5 845</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(5 474)</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371</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374</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6</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Compensations</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8</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35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9</w:t>
            </w:r>
          </w:p>
        </w:tc>
        <w:tc>
          <w:tcPr>
            <w:tcW w:w="299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575"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87"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180</w:t>
            </w:r>
          </w:p>
        </w:tc>
        <w:tc>
          <w:tcPr>
            <w:tcW w:w="1002"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(180)</w:t>
            </w:r>
          </w:p>
        </w:tc>
        <w:tc>
          <w:tcPr>
            <w:tcW w:w="143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9"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454" w:type="dxa"/>
            <w:tcBorders>
              <w:top w:val="nil"/>
              <w:left w:val="nil"/>
              <w:bottom w:val="nil"/>
              <w:right w:val="nil"/>
              <w:tl2br w:val="nil"/>
              <w:tr2bl w:val="nil"/>
            </w:tcBorders>
            <w:shd w:val="clear" w:color="auto" w:fill="auto"/>
            <w:tcMar>
              <w:left w:w="60" w:type="dxa"/>
              <w:right w:w="60" w:type="dxa"/>
            </w:tcMar>
            <w:vAlign w:val="center"/>
          </w:tcPr>
          <w:p>
            <w:pPr>
              <w:pStyle w:val="DMETW15798BIP08MFFMovementsincommitmentsou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284"/>
        </w:trPr>
        <w:tc>
          <w:tcPr>
            <w:tcW w:w="352"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rPr>
                <w:rFonts w:ascii="Verdana" w:eastAsia="Verdana" w:hAnsi="Verdana" w:cs="Verdana"/>
                <w:b/>
                <w:noProof/>
                <w:color w:val="000000"/>
                <w:sz w:val="16"/>
              </w:rPr>
            </w:pPr>
          </w:p>
        </w:tc>
        <w:tc>
          <w:tcPr>
            <w:tcW w:w="2999"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rPr>
                <w:rFonts w:ascii="Verdana" w:eastAsia="Verdana" w:hAnsi="Verdana" w:cs="Verdana"/>
                <w:b/>
                <w:noProof/>
                <w:color w:val="000000"/>
                <w:sz w:val="16"/>
              </w:rPr>
            </w:pPr>
            <w:r>
              <w:rPr>
                <w:rFonts w:ascii="Verdana" w:eastAsia="Verdana" w:hAnsi="Verdana" w:cs="Verdana"/>
                <w:b/>
                <w:noProof/>
                <w:color w:val="000000"/>
                <w:sz w:val="16"/>
              </w:rPr>
              <w:t>Total</w:t>
            </w:r>
          </w:p>
        </w:tc>
        <w:tc>
          <w:tcPr>
            <w:tcW w:w="1434"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266 751</w:t>
            </w:r>
          </w:p>
        </w:tc>
        <w:tc>
          <w:tcPr>
            <w:tcW w:w="1575"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(2 483)</w:t>
            </w:r>
          </w:p>
        </w:tc>
        <w:tc>
          <w:tcPr>
            <w:tcW w:w="1002"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(89 963)</w:t>
            </w:r>
          </w:p>
        </w:tc>
        <w:tc>
          <w:tcPr>
            <w:tcW w:w="1287"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174 305</w:t>
            </w:r>
          </w:p>
        </w:tc>
        <w:tc>
          <w:tcPr>
            <w:tcW w:w="1002"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168 859</w:t>
            </w:r>
          </w:p>
        </w:tc>
        <w:tc>
          <w:tcPr>
            <w:tcW w:w="1002"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(62 570)</w:t>
            </w:r>
          </w:p>
        </w:tc>
        <w:tc>
          <w:tcPr>
            <w:tcW w:w="1434"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 xml:space="preserve"> (5)</w:t>
            </w:r>
          </w:p>
        </w:tc>
        <w:tc>
          <w:tcPr>
            <w:tcW w:w="1149"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106 284</w:t>
            </w:r>
          </w:p>
        </w:tc>
        <w:tc>
          <w:tcPr>
            <w:tcW w:w="1454" w:type="dxa"/>
            <w:tcBorders>
              <w:top w:val="nil"/>
              <w:left w:val="nil"/>
              <w:bottom w:val="nil"/>
              <w:right w:val="nil"/>
              <w:tl2br w:val="nil"/>
              <w:tr2bl w:val="nil"/>
            </w:tcBorders>
            <w:shd w:val="solid" w:color="CCE1EA" w:fill="FFFFFF"/>
            <w:tcMar>
              <w:left w:w="60" w:type="dxa"/>
              <w:right w:w="60" w:type="dxa"/>
            </w:tcMar>
            <w:vAlign w:val="center"/>
          </w:tcPr>
          <w:p>
            <w:pPr>
              <w:pStyle w:val="DMETW15798BIP08MFFMovementsincommitmentsoustanding"/>
              <w:jc w:val="right"/>
              <w:rPr>
                <w:rFonts w:ascii="Verdana" w:eastAsia="Verdana" w:hAnsi="Verdana" w:cs="Verdana"/>
                <w:b/>
                <w:noProof/>
                <w:color w:val="000000"/>
                <w:sz w:val="16"/>
              </w:rPr>
            </w:pPr>
            <w:r>
              <w:rPr>
                <w:rFonts w:ascii="Verdana" w:eastAsia="Verdana" w:hAnsi="Verdana" w:cs="Verdana"/>
                <w:b/>
                <w:noProof/>
                <w:color w:val="000000"/>
                <w:sz w:val="16"/>
              </w:rPr>
              <w:t>280 589</w:t>
            </w:r>
          </w:p>
        </w:tc>
      </w:tr>
    </w:tbl>
    <w:p>
      <w:pPr>
        <w:pStyle w:val="Textstand-alone"/>
      </w:pPr>
    </w:p>
    <w:p>
      <w:pPr>
        <w:pStyle w:val="Textstand-alone"/>
      </w:pPr>
    </w:p>
    <w:p>
      <w:pPr>
        <w:pStyle w:val="Textstand-alone"/>
      </w:pPr>
    </w:p>
    <w:p>
      <w:pPr>
        <w:pStyle w:val="Textstand-alone"/>
        <w:sectPr>
          <w:headerReference w:type="even" r:id="rId347"/>
          <w:headerReference w:type="default" r:id="rId348"/>
          <w:footerReference w:type="even" r:id="rId349"/>
          <w:footerReference w:type="default" r:id="rId350"/>
          <w:headerReference w:type="first" r:id="rId351"/>
          <w:footerReference w:type="first" r:id="rId352"/>
          <w:pgSz w:w="16838" w:h="11906" w:orient="landscape"/>
          <w:pgMar w:top="1134" w:right="1134" w:bottom="1134" w:left="1134" w:header="708" w:footer="708" w:gutter="0"/>
          <w:cols w:space="708"/>
          <w:docGrid w:linePitch="360"/>
        </w:sectPr>
      </w:pPr>
    </w:p>
    <w:p>
      <w:pPr>
        <w:pStyle w:val="HEADER2PartBUDG"/>
        <w:rPr>
          <w:noProof/>
          <w:lang w:val="en-GB"/>
        </w:rPr>
      </w:pPr>
      <w:bookmarkStart w:id="214" w:name="_Toc11403550"/>
      <w:r>
        <w:rPr>
          <w:noProof/>
          <w:lang w:val="en-GB"/>
        </w:rPr>
        <w:t>MFF: COMMITMENTS OUTSTANDING BY YEAR OF ORIGIN</w:t>
      </w:r>
      <w:bookmarkEnd w:id="214"/>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4484"/>
        <w:gridCol w:w="1027"/>
        <w:gridCol w:w="1027"/>
        <w:gridCol w:w="1027"/>
        <w:gridCol w:w="1027"/>
        <w:gridCol w:w="1027"/>
        <w:gridCol w:w="1178"/>
        <w:gridCol w:w="1027"/>
        <w:gridCol w:w="1103"/>
        <w:gridCol w:w="1131"/>
      </w:tblGrid>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lang w:bidi="en-GB"/>
              </w:rPr>
            </w:pPr>
            <w:bookmarkStart w:id="215" w:name="DOC_TBL00104_1_1"/>
            <w:bookmarkEnd w:id="215"/>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284"/>
        </w:trPr>
        <w:tc>
          <w:tcPr>
            <w:tcW w:w="341"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p>
        </w:tc>
        <w:tc>
          <w:tcPr>
            <w:tcW w:w="4534"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MFF Heading</w:t>
            </w:r>
          </w:p>
        </w:tc>
        <w:tc>
          <w:tcPr>
            <w:tcW w:w="1037"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&lt;2012</w:t>
            </w:r>
          </w:p>
        </w:tc>
        <w:tc>
          <w:tcPr>
            <w:tcW w:w="1037"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2012</w:t>
            </w:r>
          </w:p>
        </w:tc>
        <w:tc>
          <w:tcPr>
            <w:tcW w:w="1037"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2013</w:t>
            </w:r>
          </w:p>
        </w:tc>
        <w:tc>
          <w:tcPr>
            <w:tcW w:w="1037"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2014</w:t>
            </w:r>
          </w:p>
        </w:tc>
        <w:tc>
          <w:tcPr>
            <w:tcW w:w="1037"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2015</w:t>
            </w:r>
          </w:p>
        </w:tc>
        <w:tc>
          <w:tcPr>
            <w:tcW w:w="1190"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2016</w:t>
            </w:r>
          </w:p>
        </w:tc>
        <w:tc>
          <w:tcPr>
            <w:tcW w:w="1037"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2017</w:t>
            </w:r>
          </w:p>
        </w:tc>
        <w:tc>
          <w:tcPr>
            <w:tcW w:w="1114"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2018</w:t>
            </w:r>
          </w:p>
        </w:tc>
        <w:tc>
          <w:tcPr>
            <w:tcW w:w="1142" w:type="dxa"/>
            <w:tcBorders>
              <w:top w:val="nil"/>
              <w:left w:val="nil"/>
              <w:bottom w:val="nil"/>
              <w:right w:val="nil"/>
              <w:tl2br w:val="nil"/>
              <w:tr2bl w:val="nil"/>
            </w:tcBorders>
            <w:shd w:val="solid" w:color="016794" w:fill="FFFFFF"/>
            <w:tcMar>
              <w:left w:w="60" w:type="dxa"/>
              <w:right w:w="60" w:type="dxa"/>
            </w:tcMar>
            <w:vAlign w:val="center"/>
          </w:tcPr>
          <w:p>
            <w:pPr>
              <w:pStyle w:val="DMETW15798BIP09MFFCommitmentsoutstandingyearoforigin"/>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1</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Smart and inclusive growth</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1 355</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744</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5 867</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3 807</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13 803</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37 234</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65 049</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79 131</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206 991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2</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Sustainable growth: natural resources</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186</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56</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461</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311</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2 138</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8 301</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12 411</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16 173</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40 037</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3</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Security and citizenship</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50</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67</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56</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118</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901</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2 069</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2 528</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5 834</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4</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Global Europe</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1 065</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671</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1 526</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1 753</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2 920</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4 697</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6 385</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8 335</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27 352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5</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Administration</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371</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374</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6</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Compensations</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8</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 xml:space="preserve">Negative reserve and deficit carried over from the previous financial year </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9</w:t>
            </w:r>
          </w:p>
        </w:tc>
        <w:tc>
          <w:tcPr>
            <w:tcW w:w="453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rPr>
                <w:rFonts w:ascii="Verdana" w:eastAsia="Verdana" w:hAnsi="Verdana" w:cs="Verdana"/>
                <w:noProof/>
                <w:color w:val="000000"/>
                <w:sz w:val="16"/>
              </w:rPr>
            </w:pPr>
            <w:r>
              <w:rPr>
                <w:rFonts w:ascii="Verdana" w:eastAsia="Verdana" w:hAnsi="Verdana" w:cs="Verdana"/>
                <w:noProof/>
                <w:color w:val="000000"/>
                <w:sz w:val="16"/>
              </w:rPr>
              <w:t>Special Instruments</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0"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37"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14"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42" w:type="dxa"/>
            <w:tcBorders>
              <w:top w:val="nil"/>
              <w:left w:val="nil"/>
              <w:bottom w:val="nil"/>
              <w:right w:val="nil"/>
              <w:tl2br w:val="nil"/>
              <w:tr2bl w:val="nil"/>
            </w:tcBorders>
            <w:shd w:val="clear" w:color="auto" w:fill="auto"/>
            <w:tcMar>
              <w:left w:w="60" w:type="dxa"/>
              <w:right w:w="60" w:type="dxa"/>
            </w:tcMar>
            <w:vAlign w:val="center"/>
          </w:tcPr>
          <w:p>
            <w:pPr>
              <w:pStyle w:val="DMETW15798BIP09MFF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284"/>
        </w:trPr>
        <w:tc>
          <w:tcPr>
            <w:tcW w:w="341"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rPr>
                <w:rFonts w:ascii="Verdana" w:eastAsia="Verdana" w:hAnsi="Verdana" w:cs="Verdana"/>
                <w:b/>
                <w:noProof/>
                <w:color w:val="000000"/>
                <w:sz w:val="16"/>
              </w:rPr>
            </w:pPr>
          </w:p>
        </w:tc>
        <w:tc>
          <w:tcPr>
            <w:tcW w:w="4534"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rPr>
                <w:rFonts w:ascii="Verdana" w:eastAsia="Verdana" w:hAnsi="Verdana" w:cs="Verdana"/>
                <w:b/>
                <w:noProof/>
                <w:color w:val="000000"/>
                <w:sz w:val="16"/>
              </w:rPr>
            </w:pPr>
            <w:r>
              <w:rPr>
                <w:rFonts w:ascii="Verdana" w:eastAsia="Verdana" w:hAnsi="Verdana" w:cs="Verdana"/>
                <w:b/>
                <w:noProof/>
                <w:color w:val="000000"/>
                <w:sz w:val="16"/>
              </w:rPr>
              <w:t>Total</w:t>
            </w:r>
          </w:p>
        </w:tc>
        <w:tc>
          <w:tcPr>
            <w:tcW w:w="1037"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2 656</w:t>
            </w:r>
          </w:p>
        </w:tc>
        <w:tc>
          <w:tcPr>
            <w:tcW w:w="1037"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1 538</w:t>
            </w:r>
          </w:p>
        </w:tc>
        <w:tc>
          <w:tcPr>
            <w:tcW w:w="1037"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7 910</w:t>
            </w:r>
          </w:p>
        </w:tc>
        <w:tc>
          <w:tcPr>
            <w:tcW w:w="1037"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5 916</w:t>
            </w:r>
          </w:p>
        </w:tc>
        <w:tc>
          <w:tcPr>
            <w:tcW w:w="1037"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18 979</w:t>
            </w:r>
          </w:p>
        </w:tc>
        <w:tc>
          <w:tcPr>
            <w:tcW w:w="1190"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51 133</w:t>
            </w:r>
          </w:p>
        </w:tc>
        <w:tc>
          <w:tcPr>
            <w:tcW w:w="1037"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85 917</w:t>
            </w:r>
          </w:p>
        </w:tc>
        <w:tc>
          <w:tcPr>
            <w:tcW w:w="1114"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106 539</w:t>
            </w:r>
          </w:p>
        </w:tc>
        <w:tc>
          <w:tcPr>
            <w:tcW w:w="1142" w:type="dxa"/>
            <w:tcBorders>
              <w:top w:val="nil"/>
              <w:left w:val="nil"/>
              <w:bottom w:val="nil"/>
              <w:right w:val="nil"/>
              <w:tl2br w:val="nil"/>
              <w:tr2bl w:val="nil"/>
            </w:tcBorders>
            <w:shd w:val="solid" w:color="CCE1EA" w:fill="FFFFFF"/>
            <w:tcMar>
              <w:left w:w="60" w:type="dxa"/>
              <w:right w:w="60" w:type="dxa"/>
            </w:tcMar>
            <w:vAlign w:val="center"/>
          </w:tcPr>
          <w:p>
            <w:pPr>
              <w:pStyle w:val="DMETW15798BIP09MFF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280 589</w:t>
            </w:r>
          </w:p>
        </w:tc>
      </w:tr>
    </w:tbl>
    <w:p>
      <w:pPr>
        <w:pStyle w:val="Textstand-alone"/>
      </w:pPr>
    </w:p>
    <w:p>
      <w:pPr>
        <w:pStyle w:val="Textstand-alone"/>
      </w:pPr>
    </w:p>
    <w:p>
      <w:pPr>
        <w:pStyle w:val="Textstand-alone"/>
      </w:pPr>
    </w:p>
    <w:p>
      <w:pPr>
        <w:pStyle w:val="Textstand-alone"/>
        <w:sectPr>
          <w:headerReference w:type="even" r:id="rId353"/>
          <w:headerReference w:type="default" r:id="rId354"/>
          <w:footerReference w:type="even" r:id="rId355"/>
          <w:footerReference w:type="default" r:id="rId356"/>
          <w:headerReference w:type="first" r:id="rId357"/>
          <w:footerReference w:type="first" r:id="rId358"/>
          <w:pgSz w:w="16838" w:h="11906" w:orient="landscape"/>
          <w:pgMar w:top="1134" w:right="1134" w:bottom="1134" w:left="1134" w:header="708" w:footer="708" w:gutter="0"/>
          <w:cols w:space="708"/>
          <w:docGrid w:linePitch="360"/>
        </w:sectPr>
      </w:pPr>
    </w:p>
    <w:p>
      <w:pPr>
        <w:pStyle w:val="HEADER2PartBUDG"/>
        <w:rPr>
          <w:noProof/>
          <w:lang w:val="en-GB"/>
        </w:rPr>
      </w:pPr>
      <w:bookmarkStart w:id="216" w:name="_Toc11403551"/>
      <w:r>
        <w:rPr>
          <w:noProof/>
          <w:lang w:val="en-GB"/>
        </w:rPr>
        <w:t>POLICY AREA: BREAKDOWN AND CHANGES IN COMMITMENT AND PAYMENT APPROPRIATIONS</w:t>
      </w:r>
      <w:bookmarkEnd w:id="216"/>
    </w:p>
    <w:p>
      <w:pPr>
        <w:pStyle w:val="Textstand-alone"/>
      </w:pPr>
      <w: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2555"/>
        <w:gridCol w:w="993"/>
        <w:gridCol w:w="992"/>
        <w:gridCol w:w="992"/>
        <w:gridCol w:w="709"/>
        <w:gridCol w:w="850"/>
        <w:gridCol w:w="993"/>
        <w:gridCol w:w="992"/>
        <w:gridCol w:w="1134"/>
        <w:gridCol w:w="992"/>
        <w:gridCol w:w="709"/>
        <w:gridCol w:w="1006"/>
        <w:gridCol w:w="1139"/>
      </w:tblGrid>
      <w:tr>
        <w:trPr>
          <w:trHeight w:val="284"/>
          <w:tblHeader/>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lang w:bidi="en-GB"/>
              </w:rPr>
            </w:pPr>
            <w:bookmarkStart w:id="217" w:name="DOC_TBL00105_1_1"/>
            <w:bookmarkEnd w:id="217"/>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284"/>
          <w:tblHeader/>
        </w:trPr>
        <w:tc>
          <w:tcPr>
            <w:tcW w:w="340"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2555"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993" w:type="dxa"/>
            <w:gridSpan w:val="6"/>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b/>
                <w:noProof/>
                <w:color w:val="FFFFFF"/>
                <w:sz w:val="16"/>
              </w:rPr>
            </w:pPr>
            <w:r>
              <w:rPr>
                <w:rFonts w:ascii="Verdana" w:eastAsia="Verdana" w:hAnsi="Verdana" w:cs="Verdana"/>
                <w:b/>
                <w:noProof/>
                <w:color w:val="FFFFFF"/>
                <w:sz w:val="16"/>
              </w:rPr>
              <w:t>Commitment appropriations</w:t>
            </w:r>
          </w:p>
        </w:tc>
        <w:tc>
          <w:tcPr>
            <w:tcW w:w="992" w:type="dxa"/>
            <w:gridSpan w:val="6"/>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b/>
                <w:noProof/>
                <w:color w:val="FFFFFF"/>
                <w:sz w:val="16"/>
                <w:lang w:bidi="en-GB"/>
              </w:rPr>
            </w:pPr>
            <w:r>
              <w:rPr>
                <w:rFonts w:ascii="Verdana" w:eastAsia="Verdana" w:hAnsi="Verdana" w:cs="Verdana"/>
                <w:b/>
                <w:noProof/>
                <w:color w:val="FFFFFF"/>
                <w:sz w:val="16"/>
              </w:rPr>
              <w:t>Payment appropriations</w:t>
            </w:r>
          </w:p>
        </w:tc>
      </w:tr>
      <w:tr>
        <w:trPr>
          <w:trHeight w:val="284"/>
          <w:tblHeader/>
        </w:trPr>
        <w:tc>
          <w:tcPr>
            <w:tcW w:w="340"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2555"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993"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Budget appropriations</w:t>
            </w:r>
          </w:p>
        </w:tc>
        <w:tc>
          <w:tcPr>
            <w:tcW w:w="709" w:type="dxa"/>
            <w:gridSpan w:val="2"/>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Additional appropriations</w:t>
            </w:r>
          </w:p>
        </w:tc>
        <w:tc>
          <w:tcPr>
            <w:tcW w:w="993"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b/>
                <w:noProof/>
                <w:color w:val="FFFFFF"/>
                <w:sz w:val="16"/>
              </w:rPr>
            </w:pPr>
            <w:r>
              <w:rPr>
                <w:rFonts w:ascii="Verdana" w:eastAsia="Verdana" w:hAnsi="Verdana" w:cs="Verdana"/>
                <w:b/>
                <w:noProof/>
                <w:color w:val="FFFFFF"/>
                <w:sz w:val="16"/>
              </w:rPr>
              <w:t>Total appropr. available</w:t>
            </w:r>
          </w:p>
        </w:tc>
        <w:tc>
          <w:tcPr>
            <w:tcW w:w="992"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Budget appropriations</w:t>
            </w:r>
          </w:p>
        </w:tc>
        <w:tc>
          <w:tcPr>
            <w:tcW w:w="709" w:type="dxa"/>
            <w:gridSpan w:val="2"/>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Additional appropriations</w:t>
            </w:r>
          </w:p>
        </w:tc>
        <w:tc>
          <w:tcPr>
            <w:tcW w:w="1139"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b/>
                <w:noProof/>
                <w:color w:val="FFFFFF"/>
                <w:sz w:val="16"/>
                <w:lang w:bidi="en-GB"/>
              </w:rPr>
            </w:pPr>
            <w:r>
              <w:rPr>
                <w:rFonts w:ascii="Verdana" w:eastAsia="Verdana" w:hAnsi="Verdana" w:cs="Verdana"/>
                <w:b/>
                <w:noProof/>
                <w:color w:val="FFFFFF"/>
                <w:sz w:val="16"/>
              </w:rPr>
              <w:t>Total appropr. available</w:t>
            </w:r>
          </w:p>
        </w:tc>
      </w:tr>
      <w:tr>
        <w:trPr>
          <w:trHeight w:val="284"/>
          <w:tblHeader/>
        </w:trPr>
        <w:tc>
          <w:tcPr>
            <w:tcW w:w="340"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2555"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Policy area</w:t>
            </w:r>
          </w:p>
        </w:tc>
        <w:tc>
          <w:tcPr>
            <w:tcW w:w="993"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Amending budgets &amp; transfers</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709"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Carried-over</w:t>
            </w:r>
          </w:p>
        </w:tc>
        <w:tc>
          <w:tcPr>
            <w:tcW w:w="850"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Assigned revenue</w:t>
            </w:r>
          </w:p>
        </w:tc>
        <w:tc>
          <w:tcPr>
            <w:tcW w:w="117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b/>
                <w:noProof/>
                <w:color w:val="FFFFFF"/>
                <w:sz w:val="16"/>
              </w:rPr>
            </w:pP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Initial adopted budget</w:t>
            </w:r>
          </w:p>
        </w:tc>
        <w:tc>
          <w:tcPr>
            <w:tcW w:w="1134"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Amending budgets &amp; transfers</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Final adopted budget</w:t>
            </w:r>
          </w:p>
        </w:tc>
        <w:tc>
          <w:tcPr>
            <w:tcW w:w="709"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Carried-over</w:t>
            </w:r>
          </w:p>
        </w:tc>
        <w:tc>
          <w:tcPr>
            <w:tcW w:w="1006" w:type="dxa"/>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noProof/>
                <w:color w:val="FFFFFF"/>
                <w:sz w:val="16"/>
                <w:lang w:bidi="en-GB"/>
              </w:rPr>
            </w:pPr>
            <w:r>
              <w:rPr>
                <w:rFonts w:ascii="Verdana" w:eastAsia="Verdana" w:hAnsi="Verdana" w:cs="Verdana"/>
                <w:noProof/>
                <w:color w:val="FFFFFF"/>
                <w:sz w:val="16"/>
              </w:rPr>
              <w:t>Assigned revenue</w:t>
            </w:r>
          </w:p>
        </w:tc>
        <w:tc>
          <w:tcPr>
            <w:tcW w:w="1005"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10PolAreaBreakdownCommitmPaym"/>
              <w:jc w:val="center"/>
              <w:rPr>
                <w:rFonts w:ascii="Verdana" w:eastAsia="Verdana" w:hAnsi="Verdana" w:cs="Verdana"/>
                <w:b/>
                <w:noProof/>
                <w:color w:val="FFFFFF"/>
                <w:sz w:val="16"/>
              </w:rPr>
            </w:pPr>
          </w:p>
        </w:tc>
      </w:tr>
      <w:tr>
        <w:trPr>
          <w:trHeight w:val="284"/>
          <w:tblHeader/>
        </w:trPr>
        <w:tc>
          <w:tcPr>
            <w:tcW w:w="340"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2555"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p>
        </w:tc>
        <w:tc>
          <w:tcPr>
            <w:tcW w:w="993"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3=1+2</w:t>
            </w:r>
          </w:p>
        </w:tc>
        <w:tc>
          <w:tcPr>
            <w:tcW w:w="709"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4</w:t>
            </w:r>
          </w:p>
        </w:tc>
        <w:tc>
          <w:tcPr>
            <w:tcW w:w="850"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5</w:t>
            </w:r>
          </w:p>
        </w:tc>
        <w:tc>
          <w:tcPr>
            <w:tcW w:w="993"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6=3+</w:t>
            </w:r>
          </w:p>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4+5</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1134"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8</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9=7+8</w:t>
            </w:r>
          </w:p>
        </w:tc>
        <w:tc>
          <w:tcPr>
            <w:tcW w:w="709"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10</w:t>
            </w:r>
          </w:p>
        </w:tc>
        <w:tc>
          <w:tcPr>
            <w:tcW w:w="1006"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11</w:t>
            </w:r>
          </w:p>
        </w:tc>
        <w:tc>
          <w:tcPr>
            <w:tcW w:w="1139" w:type="dxa"/>
            <w:tcBorders>
              <w:top w:val="nil"/>
              <w:left w:val="nil"/>
              <w:bottom w:val="nil"/>
              <w:right w:val="nil"/>
              <w:tl2br w:val="nil"/>
              <w:tr2bl w:val="nil"/>
            </w:tcBorders>
            <w:shd w:val="solid" w:color="3486A9" w:fill="FFFFFF"/>
            <w:tcMar>
              <w:left w:w="60" w:type="dxa"/>
              <w:right w:w="60" w:type="dxa"/>
            </w:tcMar>
            <w:vAlign w:val="center"/>
          </w:tcPr>
          <w:p>
            <w:pPr>
              <w:pStyle w:val="DMETW15798BIP10PolAreaBreakdownCommitmPaym"/>
              <w:jc w:val="center"/>
              <w:rPr>
                <w:rFonts w:ascii="Verdana" w:eastAsia="Verdana" w:hAnsi="Verdana" w:cs="Verdana"/>
                <w:noProof/>
                <w:color w:val="FFFFFF"/>
                <w:sz w:val="16"/>
              </w:rPr>
            </w:pPr>
            <w:r>
              <w:rPr>
                <w:rFonts w:ascii="Verdana" w:eastAsia="Verdana" w:hAnsi="Verdana" w:cs="Verdana"/>
                <w:noProof/>
                <w:color w:val="FFFFFF"/>
                <w:sz w:val="16"/>
              </w:rPr>
              <w:t>12=9+10</w:t>
            </w:r>
          </w:p>
          <w:p>
            <w:pPr>
              <w:pStyle w:val="DMETW15798BIP10PolAreaBreakdownCommitmPaym"/>
              <w:jc w:val="center"/>
              <w:rPr>
                <w:rFonts w:ascii="Verdana" w:eastAsia="Verdana" w:hAnsi="Verdana" w:cs="Verdana"/>
                <w:noProof/>
                <w:color w:val="FFFFFF"/>
                <w:sz w:val="16"/>
                <w:lang w:bidi="en-GB"/>
              </w:rPr>
            </w:pPr>
            <w:r>
              <w:rPr>
                <w:rFonts w:ascii="Verdana" w:eastAsia="Verdana" w:hAnsi="Verdana" w:cs="Verdana"/>
                <w:noProof/>
                <w:color w:val="FFFFFF"/>
                <w:sz w:val="16"/>
              </w:rPr>
              <w:t>+11</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01</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Economic and financial affairs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2 208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2 306</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652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2 958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2 154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2 296</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282</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653</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3 231</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02</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Internal market, industry, entrepreneurship and SMEs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2 356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2 349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299</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2 648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2 062</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2 192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490</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2 697</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03</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Competition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128</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04</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Employment, social affairs and inclusion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14 505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(107)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14 398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2 263</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16 661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12 208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12 191</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3 322</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15 525</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05</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Agriculture and rural development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58 160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58 142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451</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2 626</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61 218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55 463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55 632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664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2 528</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58 825</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06</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Mobility and transport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4 008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4 008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239</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4 248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2 267</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2 252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197</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2 454</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07</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Environment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498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498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516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351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355</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374</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08</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Research and innovation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6 890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6 889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1 320</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8 210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6 472</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6 304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27</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1 987</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8 317</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09</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Communications networks, content and technology</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2 133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2 132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378</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2 513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2 259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(101)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2 158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445</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2 617</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10</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Direct research</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404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404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580</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983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397</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397</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47</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534</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978</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11</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Maritime affairs and fisheries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1 085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1 084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1 226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660</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659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270</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932</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12</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Financial stability, financial services and capital markets union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95</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101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93</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103</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13</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Regional and urban policy</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39 812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318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40 130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121</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5 964</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46 214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34 133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34 259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5 994</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40 266</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14</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Taxation and customs union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176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179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189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167</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184</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15</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Education and culture</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3 806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3 848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625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4 473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3 503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3 620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734</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4 369</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16</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Communication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213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212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224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212</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211</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236</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17</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Health and food safety</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599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600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645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563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562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46</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619</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18</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Migration and home affairs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2 637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2 637</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247</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246</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3 130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2 258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2 202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255</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2 466</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19</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Foreign policy instruments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817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860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47</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907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705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750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62</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815</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20</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Trade</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119</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21</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International cooperation and development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3 486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3 491</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232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3 723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3 249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3 161</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23</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276</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3 460</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22</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Neighbourhood and enlargement negotiations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3 891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543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4 434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4 546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3 681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(333)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3 348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489</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3 850</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23</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Humanitarian aid and civil protection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1 189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324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1 513</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62</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1 637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1 196</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344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1 540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279</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1 833</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24</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Fight against fraud</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80</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86</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25</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Commission's policy coordination and legal advice</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243</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255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243</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274</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26</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Commission's administration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1 126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1 166</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202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1 368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1 128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1 168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162</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202</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1 532</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27</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Budget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17</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94</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28</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Audit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29</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Statistics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143</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162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131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146</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26</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178</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30</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Pensions and related expenditure</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1 899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1 899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1 901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1 899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1 899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1 901</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31</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Language services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79</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471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392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79</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495</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32</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Energy</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1 640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1 639</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217</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1 857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1 579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103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1 682</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220</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1 908</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33</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Justice and consumers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258</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257</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265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225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270</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281</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34</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Climate action</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156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97</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88</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93</w:t>
            </w:r>
          </w:p>
        </w:tc>
      </w:tr>
      <w:tr>
        <w:trPr>
          <w:trHeight w:val="284"/>
        </w:trPr>
        <w:tc>
          <w:tcPr>
            <w:tcW w:w="34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40</w:t>
            </w:r>
          </w:p>
        </w:tc>
        <w:tc>
          <w:tcPr>
            <w:tcW w:w="2555"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rPr>
                <w:rFonts w:ascii="Verdana" w:eastAsia="Verdana" w:hAnsi="Verdana" w:cs="Verdana"/>
                <w:noProof/>
                <w:color w:val="000000"/>
                <w:sz w:val="16"/>
              </w:rPr>
            </w:pPr>
            <w:r>
              <w:rPr>
                <w:rFonts w:ascii="Verdana" w:eastAsia="Verdana" w:hAnsi="Verdana" w:cs="Verdana"/>
                <w:noProof/>
                <w:color w:val="000000"/>
                <w:sz w:val="16"/>
              </w:rPr>
              <w:t>Reserves</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859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(674)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184</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50"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3"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184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508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(383)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 xml:space="preserve"> 125</w:t>
            </w:r>
          </w:p>
        </w:tc>
        <w:tc>
          <w:tcPr>
            <w:tcW w:w="70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06"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9" w:type="dxa"/>
            <w:tcBorders>
              <w:top w:val="nil"/>
              <w:left w:val="nil"/>
              <w:bottom w:val="nil"/>
              <w:right w:val="nil"/>
              <w:tl2br w:val="nil"/>
              <w:tr2bl w:val="nil"/>
            </w:tcBorders>
            <w:shd w:val="clear" w:color="auto" w:fill="auto"/>
            <w:tcMar>
              <w:left w:w="60" w:type="dxa"/>
              <w:right w:w="60" w:type="dxa"/>
            </w:tcMar>
            <w:vAlign w:val="center"/>
          </w:tcPr>
          <w:p>
            <w:pPr>
              <w:pStyle w:val="DMETW15798BIP10PolAreaBreakdownCommitmPaym"/>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125</w:t>
            </w:r>
          </w:p>
        </w:tc>
      </w:tr>
      <w:tr>
        <w:trPr>
          <w:trHeight w:val="284"/>
        </w:trPr>
        <w:tc>
          <w:tcPr>
            <w:tcW w:w="340" w:type="dxa"/>
            <w:gridSpan w:val="2"/>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rPr>
                <w:rFonts w:ascii="Verdana" w:eastAsia="Verdana" w:hAnsi="Verdana" w:cs="Verdana"/>
                <w:b/>
                <w:noProof/>
                <w:color w:val="000000"/>
                <w:sz w:val="16"/>
              </w:rPr>
            </w:pPr>
            <w:r>
              <w:rPr>
                <w:rFonts w:ascii="Verdana" w:eastAsia="Verdana" w:hAnsi="Verdana" w:cs="Verdana"/>
                <w:b/>
                <w:noProof/>
                <w:color w:val="000000"/>
                <w:sz w:val="16"/>
              </w:rPr>
              <w:t>Total</w:t>
            </w:r>
          </w:p>
        </w:tc>
        <w:tc>
          <w:tcPr>
            <w:tcW w:w="993"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156 098</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 xml:space="preserve"> 583</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156 681</w:t>
            </w:r>
          </w:p>
        </w:tc>
        <w:tc>
          <w:tcPr>
            <w:tcW w:w="709"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 xml:space="preserve"> 884</w:t>
            </w:r>
          </w:p>
        </w:tc>
        <w:tc>
          <w:tcPr>
            <w:tcW w:w="850"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16 437</w:t>
            </w:r>
          </w:p>
        </w:tc>
        <w:tc>
          <w:tcPr>
            <w:tcW w:w="993"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174 003</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140 666</w:t>
            </w:r>
          </w:p>
        </w:tc>
        <w:tc>
          <w:tcPr>
            <w:tcW w:w="1134"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 xml:space="preserve"> 87</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140 753</w:t>
            </w:r>
          </w:p>
        </w:tc>
        <w:tc>
          <w:tcPr>
            <w:tcW w:w="709"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1 462</w:t>
            </w:r>
          </w:p>
        </w:tc>
        <w:tc>
          <w:tcPr>
            <w:tcW w:w="1006"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19 175</w:t>
            </w:r>
          </w:p>
        </w:tc>
        <w:tc>
          <w:tcPr>
            <w:tcW w:w="1139" w:type="dxa"/>
            <w:tcBorders>
              <w:top w:val="nil"/>
              <w:left w:val="nil"/>
              <w:bottom w:val="nil"/>
              <w:right w:val="nil"/>
              <w:tl2br w:val="nil"/>
              <w:tr2bl w:val="nil"/>
            </w:tcBorders>
            <w:shd w:val="solid" w:color="CCE1EA" w:fill="FFFFFF"/>
            <w:tcMar>
              <w:left w:w="60" w:type="dxa"/>
              <w:right w:w="60" w:type="dxa"/>
            </w:tcMar>
            <w:vAlign w:val="center"/>
          </w:tcPr>
          <w:p>
            <w:pPr>
              <w:pStyle w:val="DMETW15798BIP10PolAreaBreakdownCommitmPaym"/>
              <w:jc w:val="right"/>
              <w:rPr>
                <w:rFonts w:ascii="Verdana" w:eastAsia="Verdana" w:hAnsi="Verdana" w:cs="Verdana"/>
                <w:b/>
                <w:noProof/>
                <w:color w:val="000000"/>
                <w:sz w:val="16"/>
              </w:rPr>
            </w:pPr>
            <w:r>
              <w:rPr>
                <w:rFonts w:ascii="Verdana" w:eastAsia="Verdana" w:hAnsi="Verdana" w:cs="Verdana"/>
                <w:b/>
                <w:noProof/>
                <w:color w:val="000000"/>
                <w:sz w:val="16"/>
              </w:rPr>
              <w:t>161 390</w:t>
            </w:r>
          </w:p>
        </w:tc>
      </w:tr>
    </w:tbl>
    <w:p>
      <w:pPr>
        <w:pStyle w:val="Textstand-alone"/>
      </w:pPr>
      <w:r>
        <w:br w:type="page"/>
      </w:r>
    </w:p>
    <w:p>
      <w:pPr>
        <w:pStyle w:val="HEADER2PartBUDG"/>
        <w:rPr>
          <w:noProof/>
          <w:lang w:val="en-GB"/>
        </w:rPr>
      </w:pPr>
      <w:bookmarkStart w:id="218" w:name="_Toc11403552"/>
      <w:r>
        <w:rPr>
          <w:noProof/>
          <w:lang w:val="en-GB"/>
        </w:rPr>
        <w:t>POLICY AREA: IMPLEMENTATION OF COMMITMENT APPROPRIATIONS</w:t>
      </w:r>
      <w:bookmarkEnd w:id="218"/>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2386"/>
        <w:gridCol w:w="941"/>
        <w:gridCol w:w="882"/>
        <w:gridCol w:w="786"/>
        <w:gridCol w:w="834"/>
        <w:gridCol w:w="973"/>
        <w:gridCol w:w="834"/>
        <w:gridCol w:w="835"/>
        <w:gridCol w:w="834"/>
        <w:gridCol w:w="972"/>
        <w:gridCol w:w="835"/>
        <w:gridCol w:w="834"/>
        <w:gridCol w:w="835"/>
        <w:gridCol w:w="1277"/>
      </w:tblGrid>
      <w:tr>
        <w:trPr>
          <w:trHeight w:val="340"/>
          <w:tblHeader/>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lang w:bidi="en-GB"/>
              </w:rPr>
            </w:pPr>
            <w:bookmarkStart w:id="219" w:name="DOC_TBL00106_1_1"/>
            <w:bookmarkEnd w:id="219"/>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blHeader/>
        </w:trPr>
        <w:tc>
          <w:tcPr>
            <w:tcW w:w="341"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p>
        </w:tc>
        <w:tc>
          <w:tcPr>
            <w:tcW w:w="2413"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p>
        </w:tc>
        <w:tc>
          <w:tcPr>
            <w:tcW w:w="951"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Total appropr. available</w:t>
            </w:r>
          </w:p>
        </w:tc>
        <w:tc>
          <w:tcPr>
            <w:tcW w:w="891" w:type="dxa"/>
            <w:gridSpan w:val="5"/>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b/>
                <w:noProof/>
                <w:color w:val="FFFFFF"/>
                <w:sz w:val="16"/>
              </w:rPr>
            </w:pPr>
            <w:r>
              <w:rPr>
                <w:rFonts w:ascii="Verdana" w:eastAsia="Verdana" w:hAnsi="Verdana" w:cs="Verdana"/>
                <w:b/>
                <w:noProof/>
                <w:color w:val="FFFFFF"/>
                <w:sz w:val="16"/>
              </w:rPr>
              <w:t>Commitments made</w:t>
            </w:r>
          </w:p>
        </w:tc>
        <w:tc>
          <w:tcPr>
            <w:tcW w:w="843" w:type="dxa"/>
            <w:gridSpan w:val="3"/>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b/>
                <w:noProof/>
                <w:color w:val="FFFFFF"/>
                <w:sz w:val="16"/>
              </w:rPr>
            </w:pPr>
            <w:r>
              <w:rPr>
                <w:rFonts w:ascii="Verdana" w:eastAsia="Verdana" w:hAnsi="Verdana" w:cs="Verdana"/>
                <w:b/>
                <w:noProof/>
                <w:color w:val="FFFFFF"/>
                <w:sz w:val="16"/>
              </w:rPr>
              <w:t>Appropriations carried over</w:t>
            </w:r>
          </w:p>
          <w:p>
            <w:pPr>
              <w:pStyle w:val="DMETW15798BIP11PolAreaImplemCommitments"/>
              <w:jc w:val="center"/>
              <w:rPr>
                <w:rFonts w:ascii="Verdana" w:eastAsia="Verdana" w:hAnsi="Verdana" w:cs="Verdana"/>
                <w:b/>
                <w:noProof/>
                <w:color w:val="FFFFFF"/>
                <w:sz w:val="16"/>
              </w:rPr>
            </w:pPr>
            <w:r>
              <w:rPr>
                <w:rFonts w:ascii="Verdana" w:eastAsia="Verdana" w:hAnsi="Verdana" w:cs="Verdana"/>
                <w:b/>
                <w:noProof/>
                <w:color w:val="FFFFFF"/>
                <w:sz w:val="16"/>
              </w:rPr>
              <w:t>to 2019</w:t>
            </w:r>
          </w:p>
        </w:tc>
        <w:tc>
          <w:tcPr>
            <w:tcW w:w="843"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b/>
                <w:noProof/>
                <w:color w:val="FFFFFF"/>
                <w:sz w:val="16"/>
                <w:lang w:bidi="en-GB"/>
              </w:rPr>
            </w:pPr>
            <w:r>
              <w:rPr>
                <w:rFonts w:ascii="Verdana" w:eastAsia="Verdana" w:hAnsi="Verdana" w:cs="Verdana"/>
                <w:b/>
                <w:noProof/>
                <w:color w:val="FFFFFF"/>
                <w:sz w:val="16"/>
              </w:rPr>
              <w:t>Appropriations lapsing</w:t>
            </w:r>
          </w:p>
        </w:tc>
      </w:tr>
      <w:tr>
        <w:trPr>
          <w:trHeight w:val="340"/>
          <w:tblHeader/>
        </w:trPr>
        <w:tc>
          <w:tcPr>
            <w:tcW w:w="341"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p>
        </w:tc>
        <w:tc>
          <w:tcPr>
            <w:tcW w:w="2413"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Policy area</w:t>
            </w:r>
          </w:p>
        </w:tc>
        <w:tc>
          <w:tcPr>
            <w:tcW w:w="102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p>
        </w:tc>
        <w:tc>
          <w:tcPr>
            <w:tcW w:w="891"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794"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from carry-overs</w:t>
            </w:r>
          </w:p>
        </w:tc>
        <w:tc>
          <w:tcPr>
            <w:tcW w:w="842"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983"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842"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w:t>
            </w:r>
          </w:p>
        </w:tc>
        <w:tc>
          <w:tcPr>
            <w:tcW w:w="843"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assigned revenue</w:t>
            </w:r>
          </w:p>
        </w:tc>
        <w:tc>
          <w:tcPr>
            <w:tcW w:w="842"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carry-overs by decision</w:t>
            </w:r>
          </w:p>
        </w:tc>
        <w:tc>
          <w:tcPr>
            <w:tcW w:w="982"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843"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842"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from carry-overs</w:t>
            </w:r>
          </w:p>
        </w:tc>
        <w:tc>
          <w:tcPr>
            <w:tcW w:w="843"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1291" w:type="dxa"/>
            <w:tcBorders>
              <w:top w:val="nil"/>
              <w:left w:val="nil"/>
              <w:bottom w:val="nil"/>
              <w:right w:val="nil"/>
              <w:tl2br w:val="nil"/>
              <w:tr2bl w:val="nil"/>
            </w:tcBorders>
            <w:shd w:val="solid" w:color="016794" w:fill="FFFFFF"/>
            <w:tcMar>
              <w:left w:w="60" w:type="dxa"/>
              <w:right w:w="60" w:type="dxa"/>
            </w:tcMar>
            <w:vAlign w:val="center"/>
          </w:tcPr>
          <w:p>
            <w:pPr>
              <w:pStyle w:val="DMETW15798BIP11PolAreaImplemCommitments"/>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r>
      <w:tr>
        <w:trPr>
          <w:trHeight w:val="340"/>
          <w:tblHeader/>
        </w:trPr>
        <w:tc>
          <w:tcPr>
            <w:tcW w:w="341"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p>
        </w:tc>
        <w:tc>
          <w:tcPr>
            <w:tcW w:w="2413"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p>
        </w:tc>
        <w:tc>
          <w:tcPr>
            <w:tcW w:w="951"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891"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794"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3</w:t>
            </w:r>
          </w:p>
        </w:tc>
        <w:tc>
          <w:tcPr>
            <w:tcW w:w="842"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4</w:t>
            </w:r>
          </w:p>
        </w:tc>
        <w:tc>
          <w:tcPr>
            <w:tcW w:w="983"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5=2+</w:t>
            </w:r>
          </w:p>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3+4</w:t>
            </w:r>
          </w:p>
        </w:tc>
        <w:tc>
          <w:tcPr>
            <w:tcW w:w="842"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6=5/1</w:t>
            </w:r>
          </w:p>
        </w:tc>
        <w:tc>
          <w:tcPr>
            <w:tcW w:w="843"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842"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8</w:t>
            </w:r>
          </w:p>
        </w:tc>
        <w:tc>
          <w:tcPr>
            <w:tcW w:w="982"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9=7+8</w:t>
            </w:r>
          </w:p>
        </w:tc>
        <w:tc>
          <w:tcPr>
            <w:tcW w:w="843"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10</w:t>
            </w:r>
          </w:p>
        </w:tc>
        <w:tc>
          <w:tcPr>
            <w:tcW w:w="842"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11</w:t>
            </w:r>
          </w:p>
        </w:tc>
        <w:tc>
          <w:tcPr>
            <w:tcW w:w="843"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12</w:t>
            </w:r>
          </w:p>
        </w:tc>
        <w:tc>
          <w:tcPr>
            <w:tcW w:w="1291" w:type="dxa"/>
            <w:tcBorders>
              <w:top w:val="nil"/>
              <w:left w:val="nil"/>
              <w:bottom w:val="nil"/>
              <w:right w:val="nil"/>
              <w:tl2br w:val="nil"/>
              <w:tr2bl w:val="nil"/>
            </w:tcBorders>
            <w:shd w:val="solid" w:color="3486A9" w:fill="FFFFFF"/>
            <w:tcMar>
              <w:left w:w="60" w:type="dxa"/>
              <w:right w:w="60" w:type="dxa"/>
            </w:tcMar>
            <w:vAlign w:val="center"/>
          </w:tcPr>
          <w:p>
            <w:pPr>
              <w:pStyle w:val="DMETW15798BIP11PolAreaImplemCommitments"/>
              <w:jc w:val="center"/>
              <w:rPr>
                <w:rFonts w:ascii="Verdana" w:eastAsia="Verdana" w:hAnsi="Verdana" w:cs="Verdana"/>
                <w:noProof/>
                <w:color w:val="FFFFFF"/>
                <w:sz w:val="16"/>
              </w:rPr>
            </w:pPr>
            <w:r>
              <w:rPr>
                <w:rFonts w:ascii="Verdana" w:eastAsia="Verdana" w:hAnsi="Verdana" w:cs="Verdana"/>
                <w:noProof/>
                <w:color w:val="FFFFFF"/>
                <w:sz w:val="16"/>
              </w:rPr>
              <w:t>13=10+</w:t>
            </w:r>
          </w:p>
          <w:p>
            <w:pPr>
              <w:pStyle w:val="DMETW15798BIP11PolAreaImplemCommitments"/>
              <w:jc w:val="center"/>
              <w:rPr>
                <w:rFonts w:ascii="Verdana" w:eastAsia="Verdana" w:hAnsi="Verdana" w:cs="Verdana"/>
                <w:noProof/>
                <w:color w:val="FFFFFF"/>
                <w:sz w:val="16"/>
                <w:lang w:bidi="en-GB"/>
              </w:rPr>
            </w:pPr>
            <w:r>
              <w:rPr>
                <w:rFonts w:ascii="Verdana" w:eastAsia="Verdana" w:hAnsi="Verdana" w:cs="Verdana"/>
                <w:noProof/>
                <w:color w:val="FFFFFF"/>
                <w:sz w:val="16"/>
              </w:rPr>
              <w:t>11+12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01</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Economic and financial affairs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2 958</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2 305</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381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2 686</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91 %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271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271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02</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Internal market, industry, entrepreneurship and SMEs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2 648</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2 348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173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2 522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95 %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126</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126</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03</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Competition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117</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04</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Employment, social affairs and inclusion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16 661</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14 388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2 080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16 469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05</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Agriculture and rural development</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61 218</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57 678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442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1 225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59 345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1 401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460</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1 860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13</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06</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Mobility and transport</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4 248</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4 007</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4 118</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07</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Environment</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516</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498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505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98 %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08</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Research and innovation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8 210</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6 889</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616</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7 505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91 %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704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704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09</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Communications networks, content and technology</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2 513</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2 131</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202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2 337</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93 %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176</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176</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10</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Direct research</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983</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404</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524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53 %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459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459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11</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Maritime affairs and fisheries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1 226</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1 082</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140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1 222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100 %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12</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Financial stability, financial services and capital markets union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101</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95</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98</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13</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Regional and urban policy</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46 214</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40 098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5 881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46 090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100 %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30</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14</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Taxation and customs union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189</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178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15</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Education and culture</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4 473</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3 847</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407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4 255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95 %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218</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218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16</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Communication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224</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212</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219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98 %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17</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Health and food safety</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645</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599</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622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18</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Migration and home affairs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3 130</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2 636</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247</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103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2 985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95 %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143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143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19</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Foreign policy instruments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907</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859</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885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98 %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20</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Trade</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117</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114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98 %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21</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International cooperation and development</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3 723</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3 488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164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3 652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98 %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22</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Neighbourhood and enlargement negotiations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4 546</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4 432</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4 500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23</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Humanitarian aid and civil protection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1 637</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1 512</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56</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1 630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100 %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24</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Fight against fraud</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82</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81</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81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98 %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25</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Commission's policy coordination and legal advice</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255</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242</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249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26</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Commission's administration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1 368</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1 165</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1 290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77</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77</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27</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Budget</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77</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68</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28</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Audit</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29</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Statistics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162</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142</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95 %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30</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Pensions and related expenditure</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1 901</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1 881</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1 882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19</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31</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Language services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471</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390</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444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32</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Energy</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1 857</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1 633</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43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1 676</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90 %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174</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174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6</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33</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Justice and consumers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265</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256</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261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34</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Climate action</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156</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340"/>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40</w:t>
            </w:r>
          </w:p>
        </w:tc>
        <w:tc>
          <w:tcPr>
            <w:tcW w:w="241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rPr>
                <w:rFonts w:ascii="Verdana" w:eastAsia="Verdana" w:hAnsi="Verdana" w:cs="Verdana"/>
                <w:noProof/>
                <w:color w:val="000000"/>
                <w:sz w:val="16"/>
              </w:rPr>
            </w:pPr>
            <w:r>
              <w:rPr>
                <w:rFonts w:ascii="Verdana" w:eastAsia="Verdana" w:hAnsi="Verdana" w:cs="Verdana"/>
                <w:noProof/>
                <w:color w:val="000000"/>
                <w:sz w:val="16"/>
              </w:rPr>
              <w:t>Reserves</w:t>
            </w:r>
          </w:p>
        </w:tc>
        <w:tc>
          <w:tcPr>
            <w:tcW w:w="95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184</w:t>
            </w:r>
          </w:p>
        </w:tc>
        <w:tc>
          <w:tcPr>
            <w:tcW w:w="8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94"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0 %</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34</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34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 xml:space="preserve"> 150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91" w:type="dxa"/>
            <w:tcBorders>
              <w:top w:val="nil"/>
              <w:left w:val="nil"/>
              <w:bottom w:val="nil"/>
              <w:right w:val="nil"/>
              <w:tl2br w:val="nil"/>
              <w:tr2bl w:val="nil"/>
            </w:tcBorders>
            <w:shd w:val="clear" w:color="auto" w:fill="auto"/>
            <w:tcMar>
              <w:left w:w="60" w:type="dxa"/>
              <w:right w:w="60" w:type="dxa"/>
            </w:tcMar>
            <w:vAlign w:val="center"/>
          </w:tcPr>
          <w:p>
            <w:pPr>
              <w:pStyle w:val="DMETW15798BIP11PolAreaImplemCommit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150</w:t>
            </w:r>
          </w:p>
        </w:tc>
      </w:tr>
      <w:tr>
        <w:trPr>
          <w:trHeight w:val="340"/>
        </w:trPr>
        <w:tc>
          <w:tcPr>
            <w:tcW w:w="341" w:type="dxa"/>
            <w:gridSpan w:val="2"/>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rPr>
                <w:rFonts w:ascii="Verdana" w:eastAsia="Verdana" w:hAnsi="Verdana" w:cs="Verdana"/>
                <w:b/>
                <w:noProof/>
                <w:color w:val="000000"/>
                <w:sz w:val="16"/>
              </w:rPr>
            </w:pPr>
            <w:r>
              <w:rPr>
                <w:rFonts w:ascii="Verdana" w:eastAsia="Verdana" w:hAnsi="Verdana" w:cs="Verdana"/>
                <w:b/>
                <w:noProof/>
                <w:color w:val="000000"/>
                <w:sz w:val="16"/>
              </w:rPr>
              <w:t>Total</w:t>
            </w:r>
          </w:p>
        </w:tc>
        <w:tc>
          <w:tcPr>
            <w:tcW w:w="951"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174 003</w:t>
            </w:r>
          </w:p>
        </w:tc>
        <w:tc>
          <w:tcPr>
            <w:tcW w:w="891"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155 941</w:t>
            </w:r>
          </w:p>
        </w:tc>
        <w:tc>
          <w:tcPr>
            <w:tcW w:w="794"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866</w:t>
            </w:r>
          </w:p>
        </w:tc>
        <w:tc>
          <w:tcPr>
            <w:tcW w:w="842"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12 051</w:t>
            </w:r>
          </w:p>
        </w:tc>
        <w:tc>
          <w:tcPr>
            <w:tcW w:w="983"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168 859</w:t>
            </w:r>
          </w:p>
        </w:tc>
        <w:tc>
          <w:tcPr>
            <w:tcW w:w="842"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97 %</w:t>
            </w:r>
          </w:p>
        </w:tc>
        <w:tc>
          <w:tcPr>
            <w:tcW w:w="843"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4 386</w:t>
            </w:r>
          </w:p>
        </w:tc>
        <w:tc>
          <w:tcPr>
            <w:tcW w:w="842"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525</w:t>
            </w:r>
          </w:p>
        </w:tc>
        <w:tc>
          <w:tcPr>
            <w:tcW w:w="982"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4 911</w:t>
            </w:r>
          </w:p>
        </w:tc>
        <w:tc>
          <w:tcPr>
            <w:tcW w:w="843"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215</w:t>
            </w:r>
          </w:p>
        </w:tc>
        <w:tc>
          <w:tcPr>
            <w:tcW w:w="842"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18</w:t>
            </w:r>
          </w:p>
        </w:tc>
        <w:tc>
          <w:tcPr>
            <w:tcW w:w="843"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0</w:t>
            </w:r>
          </w:p>
        </w:tc>
        <w:tc>
          <w:tcPr>
            <w:tcW w:w="1291" w:type="dxa"/>
            <w:tcBorders>
              <w:top w:val="nil"/>
              <w:left w:val="nil"/>
              <w:bottom w:val="nil"/>
              <w:right w:val="nil"/>
              <w:tl2br w:val="nil"/>
              <w:tr2bl w:val="nil"/>
            </w:tcBorders>
            <w:shd w:val="solid" w:color="CCE1EA" w:fill="FFFFFF"/>
            <w:tcMar>
              <w:left w:w="60" w:type="dxa"/>
              <w:right w:w="60" w:type="dxa"/>
            </w:tcMar>
            <w:vAlign w:val="center"/>
          </w:tcPr>
          <w:p>
            <w:pPr>
              <w:pStyle w:val="DMETW15798BIP11PolAreaImplemCommitments"/>
              <w:jc w:val="right"/>
              <w:rPr>
                <w:rFonts w:ascii="Verdana" w:eastAsia="Verdana" w:hAnsi="Verdana" w:cs="Verdana"/>
                <w:b/>
                <w:noProof/>
                <w:color w:val="000000"/>
                <w:sz w:val="16"/>
              </w:rPr>
            </w:pPr>
            <w:r>
              <w:rPr>
                <w:rFonts w:ascii="Verdana" w:eastAsia="Verdana" w:hAnsi="Verdana" w:cs="Verdana"/>
                <w:b/>
                <w:noProof/>
                <w:color w:val="000000"/>
                <w:sz w:val="16"/>
              </w:rPr>
              <w:t xml:space="preserve"> 233</w:t>
            </w:r>
          </w:p>
        </w:tc>
      </w:tr>
    </w:tbl>
    <w:p>
      <w:pPr>
        <w:pStyle w:val="Textstand-alone"/>
      </w:pPr>
      <w:r>
        <w:t xml:space="preserve"> </w:t>
      </w:r>
      <w:r>
        <w:br w:type="page"/>
      </w:r>
    </w:p>
    <w:p>
      <w:pPr>
        <w:pStyle w:val="HEADER2PartBUDG"/>
        <w:rPr>
          <w:noProof/>
          <w:lang w:val="en-GB"/>
        </w:rPr>
      </w:pPr>
      <w:bookmarkStart w:id="220" w:name="_Toc11403553"/>
      <w:r>
        <w:rPr>
          <w:noProof/>
          <w:lang w:val="en-GB"/>
        </w:rPr>
        <w:t>POLICY AREA: IMPLEMENTATION OF PAYMENT APPROPRIATIONS</w:t>
      </w:r>
      <w:bookmarkEnd w:id="220"/>
    </w:p>
    <w:p>
      <w:pPr>
        <w:pStyle w:val="Textstand-alone"/>
      </w:pPr>
      <w: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2079"/>
        <w:gridCol w:w="972"/>
        <w:gridCol w:w="973"/>
        <w:gridCol w:w="694"/>
        <w:gridCol w:w="835"/>
        <w:gridCol w:w="933"/>
        <w:gridCol w:w="671"/>
        <w:gridCol w:w="982"/>
        <w:gridCol w:w="749"/>
        <w:gridCol w:w="834"/>
        <w:gridCol w:w="695"/>
        <w:gridCol w:w="835"/>
        <w:gridCol w:w="694"/>
        <w:gridCol w:w="973"/>
        <w:gridCol w:w="1139"/>
      </w:tblGrid>
      <w:tr>
        <w:trPr>
          <w:trHeight w:val="284"/>
          <w:tblHeader/>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lang w:bidi="en-GB"/>
              </w:rPr>
            </w:pPr>
            <w:bookmarkStart w:id="221" w:name="DOC_TBL00107_1_1"/>
            <w:bookmarkEnd w:id="221"/>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284"/>
          <w:tblHeader/>
        </w:trPr>
        <w:tc>
          <w:tcPr>
            <w:tcW w:w="341"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p>
        </w:tc>
        <w:tc>
          <w:tcPr>
            <w:tcW w:w="210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p>
        </w:tc>
        <w:tc>
          <w:tcPr>
            <w:tcW w:w="982"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Total appropr. available</w:t>
            </w:r>
          </w:p>
        </w:tc>
        <w:tc>
          <w:tcPr>
            <w:tcW w:w="983" w:type="dxa"/>
            <w:gridSpan w:val="5"/>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b/>
                <w:noProof/>
                <w:color w:val="FFFFFF"/>
                <w:sz w:val="16"/>
              </w:rPr>
            </w:pPr>
            <w:r>
              <w:rPr>
                <w:rFonts w:ascii="Verdana" w:eastAsia="Verdana" w:hAnsi="Verdana" w:cs="Verdana"/>
                <w:b/>
                <w:noProof/>
                <w:color w:val="FFFFFF"/>
                <w:sz w:val="16"/>
              </w:rPr>
              <w:t>Payments made</w:t>
            </w:r>
          </w:p>
        </w:tc>
        <w:tc>
          <w:tcPr>
            <w:tcW w:w="992"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b/>
                <w:noProof/>
                <w:color w:val="FFFFFF"/>
                <w:sz w:val="16"/>
              </w:rPr>
            </w:pPr>
            <w:r>
              <w:rPr>
                <w:rFonts w:ascii="Verdana" w:eastAsia="Verdana" w:hAnsi="Verdana" w:cs="Verdana"/>
                <w:b/>
                <w:noProof/>
                <w:color w:val="FFFFFF"/>
                <w:sz w:val="16"/>
              </w:rPr>
              <w:t>Appropriations carried over to 2019</w:t>
            </w:r>
          </w:p>
        </w:tc>
        <w:tc>
          <w:tcPr>
            <w:tcW w:w="843"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b/>
                <w:noProof/>
                <w:color w:val="FFFFFF"/>
                <w:sz w:val="16"/>
                <w:lang w:bidi="en-GB"/>
              </w:rPr>
            </w:pPr>
            <w:r>
              <w:rPr>
                <w:rFonts w:ascii="Verdana" w:eastAsia="Verdana" w:hAnsi="Verdana" w:cs="Verdana"/>
                <w:b/>
                <w:noProof/>
                <w:color w:val="FFFFFF"/>
                <w:sz w:val="16"/>
              </w:rPr>
              <w:t>Appropriations lapsing</w:t>
            </w:r>
          </w:p>
        </w:tc>
      </w:tr>
      <w:tr>
        <w:trPr>
          <w:trHeight w:val="284"/>
          <w:tblHeader/>
        </w:trPr>
        <w:tc>
          <w:tcPr>
            <w:tcW w:w="341"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p>
        </w:tc>
        <w:tc>
          <w:tcPr>
            <w:tcW w:w="210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Policy area</w:t>
            </w:r>
          </w:p>
        </w:tc>
        <w:tc>
          <w:tcPr>
            <w:tcW w:w="1020"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p>
        </w:tc>
        <w:tc>
          <w:tcPr>
            <w:tcW w:w="98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701"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from carry-overs</w:t>
            </w:r>
          </w:p>
        </w:tc>
        <w:tc>
          <w:tcPr>
            <w:tcW w:w="84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94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677"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automatic carry-overs</w:t>
            </w:r>
          </w:p>
        </w:tc>
        <w:tc>
          <w:tcPr>
            <w:tcW w:w="756"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carry-overs by decis.</w:t>
            </w:r>
          </w:p>
        </w:tc>
        <w:tc>
          <w:tcPr>
            <w:tcW w:w="842"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assigned revenue</w:t>
            </w:r>
          </w:p>
        </w:tc>
        <w:tc>
          <w:tcPr>
            <w:tcW w:w="702"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Total</w:t>
            </w:r>
          </w:p>
        </w:tc>
        <w:tc>
          <w:tcPr>
            <w:tcW w:w="84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from final adopted budget</w:t>
            </w:r>
          </w:p>
        </w:tc>
        <w:tc>
          <w:tcPr>
            <w:tcW w:w="701"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from carry-overs</w:t>
            </w:r>
          </w:p>
        </w:tc>
        <w:tc>
          <w:tcPr>
            <w:tcW w:w="983"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from assigned revenue</w:t>
            </w:r>
          </w:p>
        </w:tc>
        <w:tc>
          <w:tcPr>
            <w:tcW w:w="1151" w:type="dxa"/>
            <w:tcBorders>
              <w:top w:val="nil"/>
              <w:left w:val="nil"/>
              <w:bottom w:val="nil"/>
              <w:right w:val="nil"/>
              <w:tl2br w:val="nil"/>
              <w:tr2bl w:val="nil"/>
            </w:tcBorders>
            <w:shd w:val="solid" w:color="016794" w:fill="FFFFFF"/>
            <w:tcMar>
              <w:left w:w="60" w:type="dxa"/>
              <w:right w:w="60" w:type="dxa"/>
            </w:tcMar>
            <w:vAlign w:val="center"/>
          </w:tcPr>
          <w:p>
            <w:pPr>
              <w:pStyle w:val="DMETW15798BIP12PolAreaImplemPayments"/>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r>
      <w:tr>
        <w:trPr>
          <w:trHeight w:val="284"/>
          <w:tblHeader/>
        </w:trPr>
        <w:tc>
          <w:tcPr>
            <w:tcW w:w="341"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p>
        </w:tc>
        <w:tc>
          <w:tcPr>
            <w:tcW w:w="2103"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p>
        </w:tc>
        <w:tc>
          <w:tcPr>
            <w:tcW w:w="982"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983"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701"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3</w:t>
            </w:r>
          </w:p>
        </w:tc>
        <w:tc>
          <w:tcPr>
            <w:tcW w:w="843"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4</w:t>
            </w:r>
          </w:p>
        </w:tc>
        <w:tc>
          <w:tcPr>
            <w:tcW w:w="943"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5=2+</w:t>
            </w:r>
          </w:p>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3+4</w:t>
            </w:r>
          </w:p>
        </w:tc>
        <w:tc>
          <w:tcPr>
            <w:tcW w:w="677"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6=5/1</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756"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8</w:t>
            </w:r>
          </w:p>
        </w:tc>
        <w:tc>
          <w:tcPr>
            <w:tcW w:w="842"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9</w:t>
            </w:r>
          </w:p>
        </w:tc>
        <w:tc>
          <w:tcPr>
            <w:tcW w:w="702"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10=7+</w:t>
            </w:r>
          </w:p>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8+9</w:t>
            </w:r>
          </w:p>
        </w:tc>
        <w:tc>
          <w:tcPr>
            <w:tcW w:w="843"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11</w:t>
            </w:r>
          </w:p>
        </w:tc>
        <w:tc>
          <w:tcPr>
            <w:tcW w:w="701"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12</w:t>
            </w:r>
          </w:p>
        </w:tc>
        <w:tc>
          <w:tcPr>
            <w:tcW w:w="983"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13</w:t>
            </w:r>
          </w:p>
        </w:tc>
        <w:tc>
          <w:tcPr>
            <w:tcW w:w="1151" w:type="dxa"/>
            <w:tcBorders>
              <w:top w:val="nil"/>
              <w:left w:val="nil"/>
              <w:bottom w:val="nil"/>
              <w:right w:val="nil"/>
              <w:tl2br w:val="nil"/>
              <w:tr2bl w:val="nil"/>
            </w:tcBorders>
            <w:shd w:val="solid" w:color="3486A9" w:fill="FFFFFF"/>
            <w:tcMar>
              <w:left w:w="60" w:type="dxa"/>
              <w:right w:w="60" w:type="dxa"/>
            </w:tcMar>
            <w:vAlign w:val="center"/>
          </w:tcPr>
          <w:p>
            <w:pPr>
              <w:pStyle w:val="DMETW15798BIP12PolAreaImplemPayments"/>
              <w:jc w:val="center"/>
              <w:rPr>
                <w:rFonts w:ascii="Verdana" w:eastAsia="Verdana" w:hAnsi="Verdana" w:cs="Verdana"/>
                <w:noProof/>
                <w:color w:val="FFFFFF"/>
                <w:sz w:val="16"/>
              </w:rPr>
            </w:pPr>
            <w:r>
              <w:rPr>
                <w:rFonts w:ascii="Verdana" w:eastAsia="Verdana" w:hAnsi="Verdana" w:cs="Verdana"/>
                <w:noProof/>
                <w:color w:val="FFFFFF"/>
                <w:sz w:val="16"/>
              </w:rPr>
              <w:t>14=11+</w:t>
            </w:r>
          </w:p>
          <w:p>
            <w:pPr>
              <w:pStyle w:val="DMETW15798BIP12PolAreaImplemPayments"/>
              <w:jc w:val="center"/>
              <w:rPr>
                <w:rFonts w:ascii="Verdana" w:eastAsia="Verdana" w:hAnsi="Verdana" w:cs="Verdana"/>
                <w:noProof/>
                <w:color w:val="FFFFFF"/>
                <w:sz w:val="16"/>
                <w:lang w:bidi="en-GB"/>
              </w:rPr>
            </w:pPr>
            <w:r>
              <w:rPr>
                <w:rFonts w:ascii="Verdana" w:eastAsia="Verdana" w:hAnsi="Verdana" w:cs="Verdana"/>
                <w:noProof/>
                <w:color w:val="FFFFFF"/>
                <w:sz w:val="16"/>
              </w:rPr>
              <w:t>12+13</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01</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Economic and financial affairs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3 231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2 258</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281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82</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2 622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81 %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31</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571</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602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7</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02</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Internal market, industry, entrepreneurship and SMEs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2 697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2 176</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2 354</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87 %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327</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341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03</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Competition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128</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98</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86 %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04</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Employment, social affairs and inclusion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15 525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12 162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2 482</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14 652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840</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850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23</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05</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Agriculture and rural development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58 825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54 946</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644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1 577</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57 166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460</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951</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1 605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34</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54</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06</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Mobility and transport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2 454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2 243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120</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2 367</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78</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5</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07</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Environment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374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351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363</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97 %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08</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Research and innovation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8 317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6 269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472</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6 766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81 %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1 515</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1 549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09</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Communications networks, content and technology</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2 617</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2 133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2 258</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86 %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332</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344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10</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Direct research</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978</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351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110</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502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51 %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46</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424</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470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5</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11</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Maritime affairs and fisheries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932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656</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268</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927</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12</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Financial stability, financial services and capital markets union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92 %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13</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Regional and urban policy</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40 266</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34 219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5 437</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39 666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558</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570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27</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29</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14</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Taxation and customs union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184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169</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92 %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15</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Education and culture</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4 369</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3 599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220</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3 833</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88 %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17</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514</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534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16</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Communication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236</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196</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213</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91 %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17</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Health and food safety</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619</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552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585</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94 %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18</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Migration and home affairs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2 466</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2 177</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2 278</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92 %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162</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170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17</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18</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19</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Foreign policy instruments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815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746</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31</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780</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31</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20</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Trade</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119</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108</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95 %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21</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International cooperation and development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3 460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3 133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3 316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96 %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6</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22</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Neighbourhood and enlargement negotiations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3 850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3 334</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226</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3 572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93 %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263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275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23</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Humanitarian aid and civil protection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1 833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1 523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66</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1 600</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87 %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213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221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24</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Fight against fraud</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86</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66</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71</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82 %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8</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25</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Commission's policy coordination and legal advice</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274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222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246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90 %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26</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Commission's administration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1 532</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1 029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153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86</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1 269</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83 %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135</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117</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27</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Budget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94</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54</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73</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78 %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28</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Audit</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92 %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0</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29</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Statistics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178</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139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152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85 %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30</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Pensions and related expenditure</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1 901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1 881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1 882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99 %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19</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31</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Language services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495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372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23</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47</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442</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89 %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32</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50</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32</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Energy</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1 908</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1 660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52</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1 717</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90 %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168</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175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16</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33</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Justice and consumers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281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260</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268</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95 %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6</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34</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Climate action</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93</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81</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86</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92 %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w:t>
            </w:r>
          </w:p>
        </w:tc>
      </w:tr>
      <w:tr>
        <w:trPr>
          <w:trHeight w:val="284"/>
        </w:trPr>
        <w:tc>
          <w:tcPr>
            <w:tcW w:w="34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40</w:t>
            </w:r>
          </w:p>
        </w:tc>
        <w:tc>
          <w:tcPr>
            <w:tcW w:w="210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rPr>
                <w:rFonts w:ascii="Verdana" w:eastAsia="Verdana" w:hAnsi="Verdana" w:cs="Verdana"/>
                <w:noProof/>
                <w:color w:val="000000"/>
                <w:sz w:val="16"/>
              </w:rPr>
            </w:pPr>
            <w:r>
              <w:rPr>
                <w:rFonts w:ascii="Verdana" w:eastAsia="Verdana" w:hAnsi="Verdana" w:cs="Verdana"/>
                <w:noProof/>
                <w:color w:val="000000"/>
                <w:sz w:val="16"/>
              </w:rPr>
              <w:t>Reserves</w:t>
            </w:r>
          </w:p>
        </w:tc>
        <w:tc>
          <w:tcPr>
            <w:tcW w:w="98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125</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677"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0 %</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56"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702"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84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 xml:space="preserve"> 125</w:t>
            </w:r>
          </w:p>
        </w:tc>
        <w:tc>
          <w:tcPr>
            <w:tcW w:w="70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83"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51" w:type="dxa"/>
            <w:tcBorders>
              <w:top w:val="nil"/>
              <w:left w:val="nil"/>
              <w:bottom w:val="nil"/>
              <w:right w:val="nil"/>
              <w:tl2br w:val="nil"/>
              <w:tr2bl w:val="nil"/>
            </w:tcBorders>
            <w:shd w:val="clear" w:color="auto" w:fill="auto"/>
            <w:tcMar>
              <w:left w:w="60" w:type="dxa"/>
              <w:right w:w="60" w:type="dxa"/>
            </w:tcMar>
            <w:vAlign w:val="center"/>
          </w:tcPr>
          <w:p>
            <w:pPr>
              <w:pStyle w:val="DMETW15798BIP12PolAreaImplemPayments"/>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125</w:t>
            </w:r>
          </w:p>
        </w:tc>
      </w:tr>
      <w:tr>
        <w:trPr>
          <w:trHeight w:val="284"/>
        </w:trPr>
        <w:tc>
          <w:tcPr>
            <w:tcW w:w="341" w:type="dxa"/>
            <w:gridSpan w:val="2"/>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rPr>
                <w:rFonts w:ascii="Verdana" w:eastAsia="Verdana" w:hAnsi="Verdana" w:cs="Verdana"/>
                <w:b/>
                <w:noProof/>
                <w:color w:val="000000"/>
                <w:sz w:val="16"/>
              </w:rPr>
            </w:pPr>
            <w:r>
              <w:rPr>
                <w:rFonts w:ascii="Verdana" w:eastAsia="Verdana" w:hAnsi="Verdana" w:cs="Verdana"/>
                <w:b/>
                <w:noProof/>
                <w:color w:val="000000"/>
                <w:sz w:val="16"/>
              </w:rPr>
              <w:t>Total</w:t>
            </w:r>
          </w:p>
        </w:tc>
        <w:tc>
          <w:tcPr>
            <w:tcW w:w="982"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161 390</w:t>
            </w:r>
          </w:p>
        </w:tc>
        <w:tc>
          <w:tcPr>
            <w:tcW w:w="983"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139 260</w:t>
            </w:r>
          </w:p>
        </w:tc>
        <w:tc>
          <w:tcPr>
            <w:tcW w:w="701"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1 394</w:t>
            </w:r>
          </w:p>
        </w:tc>
        <w:tc>
          <w:tcPr>
            <w:tcW w:w="843"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11 879</w:t>
            </w:r>
          </w:p>
        </w:tc>
        <w:tc>
          <w:tcPr>
            <w:tcW w:w="943"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152 533</w:t>
            </w:r>
          </w:p>
        </w:tc>
        <w:tc>
          <w:tcPr>
            <w:tcW w:w="677"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95 %</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706</w:t>
            </w:r>
          </w:p>
        </w:tc>
        <w:tc>
          <w:tcPr>
            <w:tcW w:w="756"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465</w:t>
            </w:r>
          </w:p>
        </w:tc>
        <w:tc>
          <w:tcPr>
            <w:tcW w:w="842"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7 294</w:t>
            </w:r>
          </w:p>
        </w:tc>
        <w:tc>
          <w:tcPr>
            <w:tcW w:w="702"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8 465</w:t>
            </w:r>
          </w:p>
        </w:tc>
        <w:tc>
          <w:tcPr>
            <w:tcW w:w="843"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322</w:t>
            </w:r>
          </w:p>
        </w:tc>
        <w:tc>
          <w:tcPr>
            <w:tcW w:w="701"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68</w:t>
            </w:r>
          </w:p>
        </w:tc>
        <w:tc>
          <w:tcPr>
            <w:tcW w:w="983"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2</w:t>
            </w:r>
          </w:p>
        </w:tc>
        <w:tc>
          <w:tcPr>
            <w:tcW w:w="1151" w:type="dxa"/>
            <w:tcBorders>
              <w:top w:val="nil"/>
              <w:left w:val="nil"/>
              <w:bottom w:val="nil"/>
              <w:right w:val="nil"/>
              <w:tl2br w:val="nil"/>
              <w:tr2bl w:val="nil"/>
            </w:tcBorders>
            <w:shd w:val="solid" w:color="CCE1EA" w:fill="FFFFFF"/>
            <w:tcMar>
              <w:left w:w="60" w:type="dxa"/>
              <w:right w:w="60" w:type="dxa"/>
            </w:tcMar>
            <w:vAlign w:val="center"/>
          </w:tcPr>
          <w:p>
            <w:pPr>
              <w:pStyle w:val="DMETW15798BIP12PolAreaImplemPayments"/>
              <w:jc w:val="right"/>
              <w:rPr>
                <w:rFonts w:ascii="Verdana" w:eastAsia="Verdana" w:hAnsi="Verdana" w:cs="Verdana"/>
                <w:b/>
                <w:noProof/>
                <w:color w:val="000000"/>
                <w:sz w:val="16"/>
              </w:rPr>
            </w:pPr>
            <w:r>
              <w:rPr>
                <w:rFonts w:ascii="Verdana" w:eastAsia="Verdana" w:hAnsi="Verdana" w:cs="Verdana"/>
                <w:b/>
                <w:noProof/>
                <w:color w:val="000000"/>
                <w:sz w:val="16"/>
              </w:rPr>
              <w:t xml:space="preserve"> 392</w:t>
            </w:r>
          </w:p>
        </w:tc>
      </w:tr>
    </w:tbl>
    <w:p>
      <w:pPr>
        <w:pStyle w:val="Textstand-alone"/>
      </w:pPr>
    </w:p>
    <w:p>
      <w:pPr>
        <w:pStyle w:val="Textstand-alone"/>
        <w:sectPr>
          <w:headerReference w:type="even" r:id="rId359"/>
          <w:headerReference w:type="default" r:id="rId360"/>
          <w:footerReference w:type="even" r:id="rId361"/>
          <w:footerReference w:type="default" r:id="rId362"/>
          <w:headerReference w:type="first" r:id="rId363"/>
          <w:footerReference w:type="first" r:id="rId364"/>
          <w:pgSz w:w="16838" w:h="11906" w:orient="landscape"/>
          <w:pgMar w:top="1134" w:right="1134" w:bottom="1134" w:left="1134" w:header="708" w:footer="708" w:gutter="0"/>
          <w:cols w:space="708"/>
          <w:docGrid w:linePitch="360"/>
        </w:sectPr>
      </w:pPr>
    </w:p>
    <w:p>
      <w:pPr>
        <w:pStyle w:val="HEADER2PartBUDG"/>
        <w:rPr>
          <w:noProof/>
          <w:lang w:val="en-GB"/>
        </w:rPr>
      </w:pPr>
      <w:bookmarkStart w:id="222" w:name="_Toc11403554"/>
      <w:r>
        <w:rPr>
          <w:noProof/>
          <w:lang w:val="en-GB"/>
        </w:rPr>
        <w:t>POLICY AREA: MOVEMENTS IN COMMITMENTS OUTSTANDING (RAL)</w:t>
      </w:r>
      <w:bookmarkEnd w:id="222"/>
    </w:p>
    <w:p>
      <w:pPr>
        <w:pStyle w:val="Textstand-alone"/>
      </w:pPr>
      <w:r>
        <w:t xml:space="preserve">  </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2262"/>
        <w:gridCol w:w="1276"/>
        <w:gridCol w:w="1559"/>
        <w:gridCol w:w="992"/>
        <w:gridCol w:w="1276"/>
        <w:gridCol w:w="1134"/>
        <w:gridCol w:w="930"/>
        <w:gridCol w:w="1334"/>
        <w:gridCol w:w="1197"/>
        <w:gridCol w:w="1352"/>
      </w:tblGrid>
      <w:tr>
        <w:trPr>
          <w:trHeight w:val="284"/>
          <w:tblHeader/>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lang w:bidi="en-GB"/>
              </w:rPr>
            </w:pPr>
            <w:bookmarkStart w:id="223" w:name="DOC_TBL00108_1_1"/>
            <w:bookmarkEnd w:id="223"/>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284"/>
          <w:tblHeader/>
        </w:trPr>
        <w:tc>
          <w:tcPr>
            <w:tcW w:w="350"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p>
        </w:tc>
        <w:tc>
          <w:tcPr>
            <w:tcW w:w="2262"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p>
        </w:tc>
        <w:tc>
          <w:tcPr>
            <w:tcW w:w="1276"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b/>
                <w:noProof/>
                <w:color w:val="FFFFFF"/>
                <w:sz w:val="16"/>
              </w:rPr>
            </w:pPr>
            <w:r>
              <w:rPr>
                <w:rFonts w:ascii="Verdana" w:eastAsia="Verdana" w:hAnsi="Verdana" w:cs="Verdana"/>
                <w:b/>
                <w:noProof/>
                <w:color w:val="FFFFFF"/>
                <w:sz w:val="16"/>
              </w:rPr>
              <w:t>Commitments outstanding at the end of previous year</w:t>
            </w:r>
          </w:p>
        </w:tc>
        <w:tc>
          <w:tcPr>
            <w:tcW w:w="1134" w:type="dxa"/>
            <w:gridSpan w:val="4"/>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b/>
                <w:noProof/>
                <w:color w:val="FFFFFF"/>
                <w:sz w:val="16"/>
              </w:rPr>
            </w:pPr>
            <w:r>
              <w:rPr>
                <w:rFonts w:ascii="Verdana" w:eastAsia="Verdana" w:hAnsi="Verdana" w:cs="Verdana"/>
                <w:b/>
                <w:noProof/>
                <w:color w:val="FFFFFF"/>
                <w:sz w:val="16"/>
              </w:rPr>
              <w:t>Commitments of the current year</w:t>
            </w:r>
          </w:p>
        </w:tc>
        <w:tc>
          <w:tcPr>
            <w:tcW w:w="1352" w:type="dxa"/>
            <w:vMerge w:val="restart"/>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b/>
                <w:noProof/>
                <w:color w:val="FFFFFF"/>
                <w:sz w:val="16"/>
                <w:lang w:bidi="en-GB"/>
              </w:rPr>
            </w:pPr>
            <w:r>
              <w:rPr>
                <w:rFonts w:ascii="Verdana" w:eastAsia="Verdana" w:hAnsi="Verdana" w:cs="Verdana"/>
                <w:b/>
                <w:noProof/>
                <w:color w:val="FFFFFF"/>
                <w:sz w:val="16"/>
              </w:rPr>
              <w:t>Total commitm. outstanding at end of the year</w:t>
            </w:r>
          </w:p>
        </w:tc>
      </w:tr>
      <w:tr>
        <w:trPr>
          <w:trHeight w:val="284"/>
          <w:tblHeader/>
        </w:trPr>
        <w:tc>
          <w:tcPr>
            <w:tcW w:w="350"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p>
        </w:tc>
        <w:tc>
          <w:tcPr>
            <w:tcW w:w="2262"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Policy area</w:t>
            </w:r>
          </w:p>
        </w:tc>
        <w:tc>
          <w:tcPr>
            <w:tcW w:w="1276"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Commitm. carried forward from prev. year</w:t>
            </w:r>
          </w:p>
        </w:tc>
        <w:tc>
          <w:tcPr>
            <w:tcW w:w="1559"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Decommitments/</w:t>
            </w:r>
          </w:p>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Revaluations/</w:t>
            </w:r>
          </w:p>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Cancellations</w:t>
            </w:r>
          </w:p>
        </w:tc>
        <w:tc>
          <w:tcPr>
            <w:tcW w:w="992"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Payments</w:t>
            </w:r>
          </w:p>
        </w:tc>
        <w:tc>
          <w:tcPr>
            <w:tcW w:w="1276"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Commitm. outstanding at year-end</w:t>
            </w:r>
          </w:p>
        </w:tc>
        <w:tc>
          <w:tcPr>
            <w:tcW w:w="1134"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Commitm. made during the year</w:t>
            </w:r>
          </w:p>
        </w:tc>
        <w:tc>
          <w:tcPr>
            <w:tcW w:w="930"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Payments</w:t>
            </w:r>
          </w:p>
        </w:tc>
        <w:tc>
          <w:tcPr>
            <w:tcW w:w="1334"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Cancellation of commitm. which cannot be carried-over</w:t>
            </w:r>
          </w:p>
        </w:tc>
        <w:tc>
          <w:tcPr>
            <w:tcW w:w="1197" w:type="dxa"/>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lang w:bidi="en-GB"/>
              </w:rPr>
            </w:pPr>
            <w:r>
              <w:rPr>
                <w:rFonts w:ascii="Verdana" w:eastAsia="Verdana" w:hAnsi="Verdana" w:cs="Verdana"/>
                <w:noProof/>
                <w:color w:val="FFFFFF"/>
                <w:sz w:val="16"/>
              </w:rPr>
              <w:t>Commitm. outstanding at year-end</w:t>
            </w:r>
          </w:p>
        </w:tc>
        <w:tc>
          <w:tcPr>
            <w:tcW w:w="1125" w:type="dxa"/>
            <w:vMerge/>
            <w:tcBorders>
              <w:top w:val="nil"/>
              <w:left w:val="nil"/>
              <w:bottom w:val="nil"/>
              <w:right w:val="nil"/>
              <w:tl2br w:val="nil"/>
              <w:tr2bl w:val="nil"/>
            </w:tcBorders>
            <w:shd w:val="solid" w:color="016794" w:fill="FFFFFF"/>
            <w:tcMar>
              <w:left w:w="60" w:type="dxa"/>
              <w:right w:w="60" w:type="dxa"/>
            </w:tcMar>
            <w:vAlign w:val="center"/>
          </w:tcPr>
          <w:p>
            <w:pPr>
              <w:pStyle w:val="DMETW15798BIP13PolAreaMovementsincommitmentsoutstanding"/>
              <w:jc w:val="center"/>
              <w:rPr>
                <w:rFonts w:ascii="Verdana" w:eastAsia="Verdana" w:hAnsi="Verdana" w:cs="Verdana"/>
                <w:b/>
                <w:noProof/>
                <w:color w:val="FFFFFF"/>
                <w:sz w:val="16"/>
              </w:rPr>
            </w:pPr>
          </w:p>
        </w:tc>
      </w:tr>
      <w:tr>
        <w:trPr>
          <w:trHeight w:val="284"/>
          <w:tblHeader/>
        </w:trPr>
        <w:tc>
          <w:tcPr>
            <w:tcW w:w="350"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p>
        </w:tc>
        <w:tc>
          <w:tcPr>
            <w:tcW w:w="2262"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p>
        </w:tc>
        <w:tc>
          <w:tcPr>
            <w:tcW w:w="1276"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1</w:t>
            </w:r>
          </w:p>
        </w:tc>
        <w:tc>
          <w:tcPr>
            <w:tcW w:w="1559"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2</w:t>
            </w:r>
          </w:p>
        </w:tc>
        <w:tc>
          <w:tcPr>
            <w:tcW w:w="992"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3</w:t>
            </w:r>
          </w:p>
        </w:tc>
        <w:tc>
          <w:tcPr>
            <w:tcW w:w="1276"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4=1+2+3</w:t>
            </w:r>
          </w:p>
        </w:tc>
        <w:tc>
          <w:tcPr>
            <w:tcW w:w="1134"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5</w:t>
            </w:r>
          </w:p>
        </w:tc>
        <w:tc>
          <w:tcPr>
            <w:tcW w:w="930"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6</w:t>
            </w:r>
          </w:p>
        </w:tc>
        <w:tc>
          <w:tcPr>
            <w:tcW w:w="1334"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7</w:t>
            </w:r>
          </w:p>
        </w:tc>
        <w:tc>
          <w:tcPr>
            <w:tcW w:w="1197"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rPr>
            </w:pPr>
            <w:r>
              <w:rPr>
                <w:rFonts w:ascii="Verdana" w:eastAsia="Verdana" w:hAnsi="Verdana" w:cs="Verdana"/>
                <w:noProof/>
                <w:color w:val="FFFFFF"/>
                <w:sz w:val="16"/>
              </w:rPr>
              <w:t>8=5+6+7</w:t>
            </w:r>
          </w:p>
        </w:tc>
        <w:tc>
          <w:tcPr>
            <w:tcW w:w="1352" w:type="dxa"/>
            <w:tcBorders>
              <w:top w:val="nil"/>
              <w:left w:val="nil"/>
              <w:bottom w:val="nil"/>
              <w:right w:val="nil"/>
              <w:tl2br w:val="nil"/>
              <w:tr2bl w:val="nil"/>
            </w:tcBorders>
            <w:shd w:val="solid" w:color="3486A9" w:fill="FFFFFF"/>
            <w:tcMar>
              <w:left w:w="60" w:type="dxa"/>
              <w:right w:w="60" w:type="dxa"/>
            </w:tcMar>
            <w:vAlign w:val="center"/>
          </w:tcPr>
          <w:p>
            <w:pPr>
              <w:pStyle w:val="DMETW15798BIP13PolAreaMovementsincommitmentsoutstanding"/>
              <w:jc w:val="center"/>
              <w:rPr>
                <w:rFonts w:ascii="Verdana" w:eastAsia="Verdana" w:hAnsi="Verdana" w:cs="Verdana"/>
                <w:noProof/>
                <w:color w:val="FFFFFF"/>
                <w:sz w:val="16"/>
                <w:lang w:bidi="en-GB"/>
              </w:rPr>
            </w:pPr>
            <w:r>
              <w:rPr>
                <w:rFonts w:ascii="Verdana" w:eastAsia="Verdana" w:hAnsi="Verdana" w:cs="Verdana"/>
                <w:noProof/>
                <w:color w:val="FFFFFF"/>
                <w:sz w:val="16"/>
              </w:rPr>
              <w:t>9=4+8</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01</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Economic and financial affairs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3 262</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(2 302)</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906</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2 686</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(319)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2 367</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3 273</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02</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Internal market, industry, entrepreneurship and SMEs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2 788</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(1 248)</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1 497</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2 522</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(1 106)</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1 416</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2 913</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03</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Competition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11</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(100)</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13</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04</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Employment, social affairs and inclusion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42 622</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(14 291)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28 084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16 469</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(361)</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16 108</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44 192</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05</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Agriculture and rural development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33 873</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(12 646)</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21 105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59 345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(44 521)</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14 824</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35 928</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06</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Mobility and transport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8 870</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(340)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(2 048)</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6 483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4 118</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(319)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3 798</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10 281</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07</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Environment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1 281</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(234)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1 046</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505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(130)</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375</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1 421</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08</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Research and innovation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13 677</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(4 835)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8 743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7 505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(1 931)</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5 573</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14 315</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09</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Communications networks, content and technology</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2 618</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(1 179)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1 388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2 337</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(1 079)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1 258</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2 646</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10</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Direct research</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214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71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524</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(381)</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143</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214</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11</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Maritime affairs and fisheries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3 244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(236)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(767)</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2 241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1 222</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(160)</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1 061</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3 302</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12</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Financial stability, financial services and capital markets union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98</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(86)</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13</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Regional and urban policy</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114 695</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(200)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(39 075)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75 420</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46 090</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(592)</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45 498</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120 918</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14</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Taxation and customs union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148</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181</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(80)</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100</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158</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15</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Education and culture</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2 564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(1 054)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1 382</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4 255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(2 779)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1 475</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2 857</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16</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Communication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65</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(56)</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219</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(157)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62</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68</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17</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Health and food safety</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474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(251)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185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622</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(334)</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288</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473</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18</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Migration and home affairs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4 497</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(1 395)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3 042</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2 985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(883)</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2 102</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5 144</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19</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Foreign policy instruments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1 027</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(365)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597</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885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(415)</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469</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1 066</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20</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Trade</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114</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(98)</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24</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21</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International cooperation and development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9 479</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(2 690)</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6 544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3 652</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(625)</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3 027</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9 571</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22</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Neighbourhood and enlargement negotiations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13 822</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(277)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(2 855)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10 690</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4 500</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(717)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3 782</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14 472</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23</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Humanitarian aid and civil protection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983</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(37)</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(460)</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486</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1 630</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(1 140)</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490</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977</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24</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Fight against fraud</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27</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81</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33</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25</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Commission's policy coordination and legal advice</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249</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(227)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21</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26</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Commission's administration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206</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(184)</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1 290</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(1 085)</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204</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217</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27</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Budget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17</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72</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28</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Audit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29</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Statistics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125</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(65)</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55</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154</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(87)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67</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122</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30</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Pensions and related expenditure</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1 882</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(1 882)</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31</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Language services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(23)</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444</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(419)</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25</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32</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Energy</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5 525</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(181)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(1 471)</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3 874</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1 676</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(246)</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1 429</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5 302</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33</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Justice and consumers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252</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(119)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130</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261</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(148)</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243</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34</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Climate action</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301</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(59)</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241</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155</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(27)</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 xml:space="preserve"> 128</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369</w:t>
            </w:r>
          </w:p>
        </w:tc>
      </w:tr>
      <w:tr>
        <w:trPr>
          <w:trHeight w:val="284"/>
        </w:trPr>
        <w:tc>
          <w:tcPr>
            <w:tcW w:w="35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40</w:t>
            </w:r>
          </w:p>
        </w:tc>
        <w:tc>
          <w:tcPr>
            <w:tcW w:w="226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rPr>
                <w:rFonts w:ascii="Verdana" w:eastAsia="Verdana" w:hAnsi="Verdana" w:cs="Verdana"/>
                <w:noProof/>
                <w:color w:val="000000"/>
                <w:sz w:val="16"/>
              </w:rPr>
            </w:pPr>
            <w:r>
              <w:rPr>
                <w:rFonts w:ascii="Verdana" w:eastAsia="Verdana" w:hAnsi="Verdana" w:cs="Verdana"/>
                <w:noProof/>
                <w:color w:val="000000"/>
                <w:sz w:val="16"/>
              </w:rPr>
              <w:t>Reserves</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559"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9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76"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930"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334"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7"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352" w:type="dxa"/>
            <w:tcBorders>
              <w:top w:val="nil"/>
              <w:left w:val="nil"/>
              <w:bottom w:val="nil"/>
              <w:right w:val="nil"/>
              <w:tl2br w:val="nil"/>
              <w:tr2bl w:val="nil"/>
            </w:tcBorders>
            <w:shd w:val="clear" w:color="auto" w:fill="auto"/>
            <w:tcMar>
              <w:left w:w="60" w:type="dxa"/>
              <w:right w:w="60" w:type="dxa"/>
            </w:tcMar>
            <w:vAlign w:val="center"/>
          </w:tcPr>
          <w:p>
            <w:pPr>
              <w:pStyle w:val="DMETW15798BIP13PolAreaMovementsincommitmentsoutstanding"/>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284"/>
        </w:trPr>
        <w:tc>
          <w:tcPr>
            <w:tcW w:w="350" w:type="dxa"/>
            <w:gridSpan w:val="2"/>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rPr>
                <w:rFonts w:ascii="Verdana" w:eastAsia="Verdana" w:hAnsi="Verdana" w:cs="Verdana"/>
                <w:b/>
                <w:noProof/>
                <w:color w:val="000000"/>
                <w:sz w:val="16"/>
              </w:rPr>
            </w:pPr>
            <w:r>
              <w:rPr>
                <w:rFonts w:ascii="Verdana" w:eastAsia="Verdana" w:hAnsi="Verdana" w:cs="Verdana"/>
                <w:b/>
                <w:noProof/>
                <w:color w:val="000000"/>
                <w:sz w:val="16"/>
              </w:rPr>
              <w:t>Total</w:t>
            </w:r>
          </w:p>
        </w:tc>
        <w:tc>
          <w:tcPr>
            <w:tcW w:w="1276"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266 751</w:t>
            </w:r>
          </w:p>
        </w:tc>
        <w:tc>
          <w:tcPr>
            <w:tcW w:w="1559"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(2 483)</w:t>
            </w:r>
          </w:p>
        </w:tc>
        <w:tc>
          <w:tcPr>
            <w:tcW w:w="992"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(89 963)</w:t>
            </w:r>
          </w:p>
        </w:tc>
        <w:tc>
          <w:tcPr>
            <w:tcW w:w="1276"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174 305</w:t>
            </w:r>
          </w:p>
        </w:tc>
        <w:tc>
          <w:tcPr>
            <w:tcW w:w="1134"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168 859</w:t>
            </w:r>
          </w:p>
        </w:tc>
        <w:tc>
          <w:tcPr>
            <w:tcW w:w="930"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(62 570)</w:t>
            </w:r>
          </w:p>
        </w:tc>
        <w:tc>
          <w:tcPr>
            <w:tcW w:w="1334"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 xml:space="preserve"> (5)</w:t>
            </w:r>
          </w:p>
        </w:tc>
        <w:tc>
          <w:tcPr>
            <w:tcW w:w="1197"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106 284</w:t>
            </w:r>
          </w:p>
        </w:tc>
        <w:tc>
          <w:tcPr>
            <w:tcW w:w="1352" w:type="dxa"/>
            <w:tcBorders>
              <w:top w:val="nil"/>
              <w:left w:val="nil"/>
              <w:bottom w:val="nil"/>
              <w:right w:val="nil"/>
              <w:tl2br w:val="nil"/>
              <w:tr2bl w:val="nil"/>
            </w:tcBorders>
            <w:shd w:val="solid" w:color="CCE1EA" w:fill="FFFFFF"/>
            <w:tcMar>
              <w:left w:w="60" w:type="dxa"/>
              <w:right w:w="60" w:type="dxa"/>
            </w:tcMar>
            <w:vAlign w:val="center"/>
          </w:tcPr>
          <w:p>
            <w:pPr>
              <w:pStyle w:val="DMETW15798BIP13PolAreaMovementsincommitmentsoutstanding"/>
              <w:jc w:val="right"/>
              <w:rPr>
                <w:rFonts w:ascii="Verdana" w:eastAsia="Verdana" w:hAnsi="Verdana" w:cs="Verdana"/>
                <w:b/>
                <w:noProof/>
                <w:color w:val="000000"/>
                <w:sz w:val="16"/>
              </w:rPr>
            </w:pPr>
            <w:r>
              <w:rPr>
                <w:rFonts w:ascii="Verdana" w:eastAsia="Verdana" w:hAnsi="Verdana" w:cs="Verdana"/>
                <w:b/>
                <w:noProof/>
                <w:color w:val="000000"/>
                <w:sz w:val="16"/>
              </w:rPr>
              <w:t>280 589</w:t>
            </w:r>
          </w:p>
        </w:tc>
      </w:tr>
    </w:tbl>
    <w:p>
      <w:pPr>
        <w:pStyle w:val="Textstand-alone"/>
      </w:pPr>
    </w:p>
    <w:p>
      <w:pPr>
        <w:pStyle w:val="Textstand-alone"/>
      </w:pPr>
      <w:r>
        <w:br w:type="page"/>
      </w:r>
    </w:p>
    <w:p>
      <w:pPr>
        <w:pStyle w:val="HEADER2PartBUDG"/>
        <w:rPr>
          <w:noProof/>
          <w:lang w:val="en-GB"/>
        </w:rPr>
      </w:pPr>
      <w:bookmarkStart w:id="224" w:name="_Toc11403555"/>
      <w:r>
        <w:rPr>
          <w:noProof/>
          <w:lang w:val="en-GB"/>
        </w:rPr>
        <w:t>POLICY AREA: COMMITMENTS OUTSTANDING BY YEAR OF ORIGIN</w:t>
      </w:r>
      <w:bookmarkEnd w:id="224"/>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4035"/>
        <w:gridCol w:w="1073"/>
        <w:gridCol w:w="1071"/>
        <w:gridCol w:w="1071"/>
        <w:gridCol w:w="1071"/>
        <w:gridCol w:w="1071"/>
        <w:gridCol w:w="1231"/>
        <w:gridCol w:w="1071"/>
        <w:gridCol w:w="1151"/>
        <w:gridCol w:w="1184"/>
      </w:tblGrid>
      <w:tr>
        <w:trPr>
          <w:trHeight w:val="340"/>
          <w:tblHeader/>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lang w:bidi="en-GB"/>
              </w:rPr>
            </w:pPr>
            <w:bookmarkStart w:id="225" w:name="DOC_TBL00109_1_1"/>
            <w:bookmarkEnd w:id="225"/>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i/>
                <w:noProof/>
                <w:color w:val="000000"/>
                <w:sz w:val="16"/>
                <w:lang w:bidi="en-GB"/>
              </w:rPr>
            </w:pPr>
            <w:r>
              <w:rPr>
                <w:rFonts w:ascii="Verdana" w:eastAsia="Verdana" w:hAnsi="Verdana" w:cs="Verdana"/>
                <w:i/>
                <w:noProof/>
                <w:color w:val="000000"/>
                <w:sz w:val="16"/>
              </w:rPr>
              <w:t>EUR million</w:t>
            </w:r>
          </w:p>
        </w:tc>
      </w:tr>
      <w:tr>
        <w:trPr>
          <w:trHeight w:val="340"/>
          <w:tblHeader/>
        </w:trPr>
        <w:tc>
          <w:tcPr>
            <w:tcW w:w="369"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p>
        </w:tc>
        <w:tc>
          <w:tcPr>
            <w:tcW w:w="4079"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Policy area</w:t>
            </w:r>
          </w:p>
        </w:tc>
        <w:tc>
          <w:tcPr>
            <w:tcW w:w="1083"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&lt;2012</w:t>
            </w:r>
          </w:p>
        </w:tc>
        <w:tc>
          <w:tcPr>
            <w:tcW w:w="1082"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2012</w:t>
            </w:r>
          </w:p>
        </w:tc>
        <w:tc>
          <w:tcPr>
            <w:tcW w:w="1082"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2013</w:t>
            </w:r>
          </w:p>
        </w:tc>
        <w:tc>
          <w:tcPr>
            <w:tcW w:w="1082"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2014</w:t>
            </w:r>
          </w:p>
        </w:tc>
        <w:tc>
          <w:tcPr>
            <w:tcW w:w="1082"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2015</w:t>
            </w:r>
          </w:p>
        </w:tc>
        <w:tc>
          <w:tcPr>
            <w:tcW w:w="1243"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2016</w:t>
            </w:r>
          </w:p>
        </w:tc>
        <w:tc>
          <w:tcPr>
            <w:tcW w:w="1082"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2017</w:t>
            </w:r>
          </w:p>
        </w:tc>
        <w:tc>
          <w:tcPr>
            <w:tcW w:w="1163"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rPr>
            </w:pPr>
            <w:r>
              <w:rPr>
                <w:rFonts w:ascii="Verdana" w:eastAsia="Verdana" w:hAnsi="Verdana" w:cs="Verdana"/>
                <w:noProof/>
                <w:color w:val="FFFFFF"/>
                <w:sz w:val="16"/>
              </w:rPr>
              <w:t>2018</w:t>
            </w:r>
          </w:p>
        </w:tc>
        <w:tc>
          <w:tcPr>
            <w:tcW w:w="1196" w:type="dxa"/>
            <w:tcBorders>
              <w:top w:val="nil"/>
              <w:left w:val="nil"/>
              <w:bottom w:val="nil"/>
              <w:right w:val="nil"/>
              <w:tl2br w:val="nil"/>
              <w:tr2bl w:val="nil"/>
            </w:tcBorders>
            <w:shd w:val="solid" w:color="016794" w:fill="FFFFFF"/>
            <w:tcMar>
              <w:left w:w="60" w:type="dxa"/>
              <w:right w:w="60" w:type="dxa"/>
            </w:tcMar>
            <w:vAlign w:val="center"/>
          </w:tcPr>
          <w:p>
            <w:pPr>
              <w:pStyle w:val="DMETW15798BIP14PolAreaCommitmentsoutstandingyearoforigin"/>
              <w:jc w:val="center"/>
              <w:rPr>
                <w:rFonts w:ascii="Verdana" w:eastAsia="Verdana" w:hAnsi="Verdana" w:cs="Verdana"/>
                <w:noProof/>
                <w:color w:val="FFFFFF"/>
                <w:sz w:val="16"/>
                <w:lang w:bidi="en-GB"/>
              </w:rPr>
            </w:pPr>
            <w:r>
              <w:rPr>
                <w:rFonts w:ascii="Verdana" w:eastAsia="Verdana" w:hAnsi="Verdana" w:cs="Verdana"/>
                <w:noProof/>
                <w:color w:val="FFFFFF"/>
                <w:sz w:val="16"/>
              </w:rPr>
              <w:t>Total</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01</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Economic and financial affairs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173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729</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2 367</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3 273</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02</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Internal market, industry, entrepreneurship and SMEs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164</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290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966</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1 416</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2 913</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03</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Competition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13</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04</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Employment, social affairs and inclusion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398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115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1 328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478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3 178</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8 200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14 388</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16 108</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44 192</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05</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Agriculture and rural development</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351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204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1 599</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7 482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11 435</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14 824</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35 928</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06</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Mobility and transport</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524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767</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2 390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2 784</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3 798</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10 281</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07</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Environment</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169</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152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188</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569</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1 421</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08</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Research and innovation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128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176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574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1 123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1 632</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2 183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2 928</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5 573</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14 315</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09</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Communications networks, content and technology</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218</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357</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520</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1 261</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2 646</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10</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Direct research</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36</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143</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214</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11</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Maritime affairs and fisheries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358</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763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1 007</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1 061</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3 302</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12</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Financial stability, financial services and capital markets union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13</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Regional and urban policy</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562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341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3 097</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1 006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7 234</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22 484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40 697</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45 498</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120 918</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14</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Taxation and customs union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39</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100</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158</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15</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Education and culture</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120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182</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323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675</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1 475</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2 857</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16</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Communication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62</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68</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17</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Health and food safety</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87</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288</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473</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18</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Migration and home affairs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88</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828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1 902</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2 102</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5 144</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19</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Foreign policy instruments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106</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221</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474</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1 066</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20</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Trade</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16</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24</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21</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International cooperation and development</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269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198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491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618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1 020</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1 553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2 393</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3 028</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9 571</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22</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Neighbourhood and enlargement negotiations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625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445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760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1 030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1 750</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2 760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3 267</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3 834</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14 472</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23</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Humanitarian aid and civil protection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126</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289</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490</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977</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24</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Fight against fraud</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24</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33</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25</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Commission's policy coordination and legal advice</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21</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26</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Commission's administration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12</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204</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217</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27</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Budget</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15</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15</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28</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Audit</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29</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Statistics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36</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67</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122</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30</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Pensions and related expenditure</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31</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Language services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0</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25</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25</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32</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Energy</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324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47</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701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363</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402</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884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1 154</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1 429</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5 302</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33</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Justice and consumers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7</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9</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18</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57</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113</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243</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34</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Climate action</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31</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41</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80</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89</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 xml:space="preserve"> 128</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 xml:space="preserve"> 369</w:t>
            </w:r>
          </w:p>
        </w:tc>
      </w:tr>
      <w:tr>
        <w:trPr>
          <w:trHeight w:val="340"/>
        </w:trPr>
        <w:tc>
          <w:tcPr>
            <w:tcW w:w="36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40</w:t>
            </w:r>
          </w:p>
        </w:tc>
        <w:tc>
          <w:tcPr>
            <w:tcW w:w="4079"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rPr>
                <w:rFonts w:ascii="Verdana" w:eastAsia="Verdana" w:hAnsi="Verdana" w:cs="Verdana"/>
                <w:noProof/>
                <w:color w:val="000000"/>
                <w:sz w:val="16"/>
              </w:rPr>
            </w:pPr>
            <w:r>
              <w:rPr>
                <w:rFonts w:ascii="Verdana" w:eastAsia="Verdana" w:hAnsi="Verdana" w:cs="Verdana"/>
                <w:noProof/>
                <w:color w:val="000000"/>
                <w:sz w:val="16"/>
              </w:rPr>
              <w:t>Reserves</w:t>
            </w:r>
          </w:p>
        </w:tc>
        <w:tc>
          <w:tcPr>
            <w:tcW w:w="108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24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082"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63"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rPr>
            </w:pPr>
            <w:r>
              <w:rPr>
                <w:rFonts w:ascii="Verdana" w:eastAsia="Verdana" w:hAnsi="Verdana" w:cs="Verdana"/>
                <w:noProof/>
                <w:color w:val="000000"/>
                <w:sz w:val="16"/>
              </w:rPr>
              <w:t>–</w:t>
            </w:r>
          </w:p>
        </w:tc>
        <w:tc>
          <w:tcPr>
            <w:tcW w:w="1196" w:type="dxa"/>
            <w:tcBorders>
              <w:top w:val="nil"/>
              <w:left w:val="nil"/>
              <w:bottom w:val="nil"/>
              <w:right w:val="nil"/>
              <w:tl2br w:val="nil"/>
              <w:tr2bl w:val="nil"/>
            </w:tcBorders>
            <w:shd w:val="clear" w:color="auto" w:fill="auto"/>
            <w:tcMar>
              <w:left w:w="60" w:type="dxa"/>
              <w:right w:w="60" w:type="dxa"/>
            </w:tcMar>
            <w:vAlign w:val="center"/>
          </w:tcPr>
          <w:p>
            <w:pPr>
              <w:pStyle w:val="DMETW15798BIP14PolAreaCommitmentsoutstandingyearoforigin"/>
              <w:jc w:val="right"/>
              <w:rPr>
                <w:rFonts w:ascii="Verdana" w:eastAsia="Verdana" w:hAnsi="Verdana" w:cs="Verdana"/>
                <w:noProof/>
                <w:color w:val="000000"/>
                <w:sz w:val="16"/>
                <w:lang w:bidi="en-GB"/>
              </w:rPr>
            </w:pPr>
            <w:r>
              <w:rPr>
                <w:rFonts w:ascii="Verdana" w:eastAsia="Verdana" w:hAnsi="Verdana" w:cs="Verdana"/>
                <w:noProof/>
                <w:color w:val="000000"/>
                <w:sz w:val="16"/>
              </w:rPr>
              <w:t>–</w:t>
            </w:r>
          </w:p>
        </w:tc>
      </w:tr>
      <w:tr>
        <w:trPr>
          <w:trHeight w:val="340"/>
        </w:trPr>
        <w:tc>
          <w:tcPr>
            <w:tcW w:w="369" w:type="dxa"/>
            <w:gridSpan w:val="2"/>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rPr>
                <w:rFonts w:ascii="Verdana" w:eastAsia="Verdana" w:hAnsi="Verdana" w:cs="Verdana"/>
                <w:b/>
                <w:noProof/>
                <w:color w:val="000000"/>
                <w:sz w:val="16"/>
              </w:rPr>
            </w:pPr>
            <w:r>
              <w:rPr>
                <w:rFonts w:ascii="Verdana" w:eastAsia="Verdana" w:hAnsi="Verdana" w:cs="Verdana"/>
                <w:b/>
                <w:noProof/>
                <w:color w:val="000000"/>
                <w:sz w:val="16"/>
              </w:rPr>
              <w:t>Total</w:t>
            </w:r>
          </w:p>
        </w:tc>
        <w:tc>
          <w:tcPr>
            <w:tcW w:w="1083"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2 656</w:t>
            </w:r>
          </w:p>
        </w:tc>
        <w:tc>
          <w:tcPr>
            <w:tcW w:w="1082"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1 538</w:t>
            </w:r>
          </w:p>
        </w:tc>
        <w:tc>
          <w:tcPr>
            <w:tcW w:w="1082"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7 910</w:t>
            </w:r>
          </w:p>
        </w:tc>
        <w:tc>
          <w:tcPr>
            <w:tcW w:w="1082"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5 916</w:t>
            </w:r>
          </w:p>
        </w:tc>
        <w:tc>
          <w:tcPr>
            <w:tcW w:w="1082"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18 979</w:t>
            </w:r>
          </w:p>
        </w:tc>
        <w:tc>
          <w:tcPr>
            <w:tcW w:w="1243"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51 133</w:t>
            </w:r>
          </w:p>
        </w:tc>
        <w:tc>
          <w:tcPr>
            <w:tcW w:w="1082"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85 917</w:t>
            </w:r>
          </w:p>
        </w:tc>
        <w:tc>
          <w:tcPr>
            <w:tcW w:w="1163"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106 539</w:t>
            </w:r>
          </w:p>
        </w:tc>
        <w:tc>
          <w:tcPr>
            <w:tcW w:w="1196" w:type="dxa"/>
            <w:tcBorders>
              <w:top w:val="nil"/>
              <w:left w:val="nil"/>
              <w:bottom w:val="nil"/>
              <w:right w:val="nil"/>
              <w:tl2br w:val="nil"/>
              <w:tr2bl w:val="nil"/>
            </w:tcBorders>
            <w:shd w:val="solid" w:color="CCE1EA" w:fill="FFFFFF"/>
            <w:tcMar>
              <w:left w:w="60" w:type="dxa"/>
              <w:right w:w="60" w:type="dxa"/>
            </w:tcMar>
            <w:vAlign w:val="center"/>
          </w:tcPr>
          <w:p>
            <w:pPr>
              <w:pStyle w:val="DMETW15798BIP14PolAreaCommitmentsoutstandingyearoforigin"/>
              <w:jc w:val="right"/>
              <w:rPr>
                <w:rFonts w:ascii="Verdana" w:eastAsia="Verdana" w:hAnsi="Verdana" w:cs="Verdana"/>
                <w:b/>
                <w:noProof/>
                <w:color w:val="000000"/>
                <w:sz w:val="16"/>
              </w:rPr>
            </w:pPr>
            <w:r>
              <w:rPr>
                <w:rFonts w:ascii="Verdana" w:eastAsia="Verdana" w:hAnsi="Verdana" w:cs="Verdana"/>
                <w:b/>
                <w:noProof/>
                <w:color w:val="000000"/>
                <w:sz w:val="16"/>
              </w:rPr>
              <w:t>280 589</w:t>
            </w:r>
          </w:p>
        </w:tc>
      </w:tr>
    </w:tbl>
    <w:p>
      <w:pPr>
        <w:pStyle w:val="Textstand-alone"/>
        <w:rPr>
          <w:lang w:bidi="en-GB"/>
        </w:rPr>
      </w:pPr>
    </w:p>
    <w:bookmarkEnd w:id="203"/>
    <w:p>
      <w:pPr>
        <w:pStyle w:val="Textstand-alone"/>
        <w:rPr>
          <w:lang w:bidi="en-GB"/>
        </w:rPr>
        <w:sectPr>
          <w:headerReference w:type="even" r:id="rId365"/>
          <w:headerReference w:type="default" r:id="rId366"/>
          <w:footerReference w:type="even" r:id="rId367"/>
          <w:footerReference w:type="default" r:id="rId368"/>
          <w:headerReference w:type="first" r:id="rId369"/>
          <w:footerReference w:type="first" r:id="rId370"/>
          <w:pgSz w:w="16838" w:h="11906" w:orient="landscape"/>
          <w:pgMar w:top="1134" w:right="1134" w:bottom="1134" w:left="1134" w:header="708" w:footer="708" w:gutter="0"/>
          <w:cols w:space="708"/>
          <w:docGrid w:linePitch="360"/>
        </w:sectPr>
      </w:pPr>
    </w:p>
    <w:p>
      <w:pPr>
        <w:pStyle w:val="HEADERTITLE2"/>
      </w:pPr>
      <w:bookmarkStart w:id="226" w:name="_Toc11403556"/>
      <w:bookmarkStart w:id="227" w:name="_DMBM_14052"/>
      <w:r>
        <w:t>RECONCILIATION OF ECONOMIC RESULT WITH BUDGET RESULT</w:t>
      </w:r>
      <w:bookmarkEnd w:id="226"/>
    </w:p>
    <w:p>
      <w:pPr>
        <w:pStyle w:val="DGTextstand-alone"/>
      </w:pPr>
      <w: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trPr>
          <w:cantSplit/>
        </w:trPr>
        <w:tc>
          <w:tcPr>
            <w:tcW w:w="5637" w:type="dxa"/>
            <w:tcBorders>
              <w:top w:val="nil"/>
              <w:left w:val="nil"/>
              <w:bottom w:val="nil"/>
              <w:right w:val="nil"/>
            </w:tcBorders>
            <w:tcMar>
              <w:top w:w="0" w:type="dxa"/>
              <w:left w:w="108" w:type="dxa"/>
              <w:bottom w:w="0" w:type="dxa"/>
              <w:right w:w="108" w:type="dxa"/>
            </w:tcMar>
          </w:tcPr>
          <w:p>
            <w:pPr>
              <w:pStyle w:val="Text8pItalicLeft"/>
              <w:rPr>
                <w:rFonts w:eastAsia="Times New Roman" w:cs="Verdana"/>
                <w:color w:val="FFFFFF"/>
              </w:rPr>
            </w:pPr>
            <w:bookmarkStart w:id="228" w:name="DOC_TBL00110_1_1"/>
            <w:bookmarkEnd w:id="228"/>
          </w:p>
        </w:tc>
        <w:tc>
          <w:tcPr>
            <w:tcW w:w="2126" w:type="dxa"/>
            <w:tcBorders>
              <w:top w:val="nil"/>
              <w:left w:val="nil"/>
              <w:bottom w:val="nil"/>
              <w:right w:val="nil"/>
            </w:tcBorders>
            <w:tcMar>
              <w:top w:w="0" w:type="dxa"/>
              <w:left w:w="108" w:type="dxa"/>
              <w:bottom w:w="0" w:type="dxa"/>
              <w:right w:w="108" w:type="dxa"/>
            </w:tcMar>
          </w:tcPr>
          <w:p>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pPr>
              <w:pStyle w:val="Text8pItalicRight025EUR"/>
              <w:rPr>
                <w:rFonts w:eastAsia="Times New Roman" w:cs="Verdana"/>
              </w:rPr>
            </w:pPr>
            <w:r>
              <w:rPr>
                <w:rFonts w:eastAsia="Times New Roman" w:cs="Verdana"/>
              </w:rPr>
              <w:t>EUR million</w:t>
            </w:r>
          </w:p>
        </w:tc>
      </w:tr>
      <w:tr>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Left"/>
              <w:rPr>
                <w:rFonts w:eastAsia="Times New Roman"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2018</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pPr>
              <w:pStyle w:val="Heading10pNormalRight025"/>
              <w:rPr>
                <w:rFonts w:eastAsia="Times New Roman" w:cs="Verdana"/>
              </w:rPr>
            </w:pPr>
            <w:r>
              <w:rPr>
                <w:rFonts w:eastAsia="Times New Roman" w:cs="Verdana"/>
              </w:rPr>
              <w:t>2017</w:t>
            </w: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ECONOMIC RESULT OF THE YEAR</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14 372</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7 901</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r>
      <w:tr>
        <w:trPr>
          <w:cantSplit/>
        </w:trPr>
        <w:tc>
          <w:tcPr>
            <w:tcW w:w="5637" w:type="dxa"/>
            <w:tcBorders>
              <w:top w:val="nil"/>
              <w:left w:val="nil"/>
              <w:bottom w:val="nil"/>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Revenue</w:t>
            </w:r>
          </w:p>
        </w:tc>
        <w:tc>
          <w:tcPr>
            <w:tcW w:w="2126" w:type="dxa"/>
            <w:tcBorders>
              <w:top w:val="nil"/>
              <w:left w:val="nil"/>
              <w:bottom w:val="nil"/>
              <w:right w:val="nil"/>
            </w:tcBorders>
            <w:tcMar>
              <w:top w:w="0" w:type="dxa"/>
              <w:left w:w="108" w:type="dxa"/>
              <w:bottom w:w="0" w:type="dxa"/>
              <w:right w:w="108" w:type="dxa"/>
            </w:tcMar>
          </w:tcPr>
          <w:p>
            <w:pPr>
              <w:pStyle w:val="Figures9pBoldRight025"/>
              <w:rPr>
                <w:rFonts w:eastAsia="Times New Roman" w:cs="Verdana"/>
              </w:rPr>
            </w:pPr>
          </w:p>
        </w:tc>
        <w:tc>
          <w:tcPr>
            <w:tcW w:w="1985" w:type="dxa"/>
            <w:tcBorders>
              <w:top w:val="nil"/>
              <w:left w:val="nil"/>
              <w:bottom w:val="nil"/>
              <w:right w:val="nil"/>
            </w:tcBorders>
            <w:tcMar>
              <w:top w:w="0" w:type="dxa"/>
              <w:left w:w="108" w:type="dxa"/>
              <w:bottom w:w="0" w:type="dxa"/>
              <w:right w:w="108" w:type="dxa"/>
            </w:tcMar>
          </w:tcPr>
          <w:p>
            <w:pPr>
              <w:pStyle w:val="Figures9pBoldRight025"/>
              <w:rPr>
                <w:rFonts w:eastAsia="Times New Roman" w:cs="Verdana"/>
              </w:rPr>
            </w:pP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Entitlements established in current year but not yet collected</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(6 212)</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(4 402)</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Entitlements established in previous years and collected in current year</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9 326</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10 733</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Accrued revenue (net)</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(4 015)</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 xml:space="preserve"> (257)</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BoldLeft"/>
              <w:rPr>
                <w:rFonts w:eastAsia="Times New Roman" w:cs="Verdana"/>
              </w:rPr>
            </w:pPr>
            <w:r>
              <w:rPr>
                <w:rFonts w:eastAsia="Times New Roman" w:cs="Verdana"/>
              </w:rPr>
              <w:t>Expenses</w:t>
            </w:r>
          </w:p>
        </w:tc>
        <w:tc>
          <w:tcPr>
            <w:tcW w:w="2126" w:type="dxa"/>
            <w:tcBorders>
              <w:top w:val="nil"/>
              <w:left w:val="nil"/>
              <w:bottom w:val="nil"/>
              <w:right w:val="nil"/>
            </w:tcBorders>
            <w:tcMar>
              <w:top w:w="0" w:type="dxa"/>
              <w:left w:w="108" w:type="dxa"/>
              <w:bottom w:w="0" w:type="dxa"/>
              <w:right w:w="108" w:type="dxa"/>
            </w:tcMar>
          </w:tcPr>
          <w:p>
            <w:pPr>
              <w:pStyle w:val="Figures9pBoldRight025"/>
              <w:rPr>
                <w:rFonts w:eastAsia="Times New Roman" w:cs="Verdana"/>
              </w:rPr>
            </w:pPr>
          </w:p>
        </w:tc>
        <w:tc>
          <w:tcPr>
            <w:tcW w:w="1985" w:type="dxa"/>
            <w:tcBorders>
              <w:top w:val="nil"/>
              <w:left w:val="nil"/>
              <w:bottom w:val="nil"/>
              <w:right w:val="nil"/>
            </w:tcBorders>
            <w:tcMar>
              <w:top w:w="0" w:type="dxa"/>
              <w:left w:w="108" w:type="dxa"/>
              <w:bottom w:w="0" w:type="dxa"/>
              <w:right w:w="108" w:type="dxa"/>
            </w:tcMar>
          </w:tcPr>
          <w:p>
            <w:pPr>
              <w:pStyle w:val="Figures9pBoldRight025"/>
              <w:rPr>
                <w:rFonts w:eastAsia="Times New Roman" w:cs="Verdana"/>
              </w:rPr>
            </w:pP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Accrued expenses (net)</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4 439</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3 706</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Amount from liaison account</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3 568</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3 378</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Expenses prior year paid in current year</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(6 086)</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(3 574)</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Net-effect pre-financing</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(8 570)</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(12 039)</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Payment appropriations carried over to next year</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(2 255)</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(2 746)</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Payments made from carry-overs &amp; cancellation of unused payment appropriations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1 471</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1 181</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Movement in provisions</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3 509</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6 795</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r>
              <w:rPr>
                <w:rFonts w:eastAsia="Times New Roman" w:cs="Verdana"/>
              </w:rPr>
              <w:t>Other</w:t>
            </w: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(4 220)</w:t>
            </w: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r>
              <w:rPr>
                <w:rFonts w:eastAsia="Times New Roman" w:cs="Verdana"/>
              </w:rPr>
              <w:t>(6 675)</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BUDGET RESULT OF THE YEAR</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5 327</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4 000</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BUDGET RESULT OTHER INSTITUTIONS</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(3 525)</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(3 445)</w:t>
            </w:r>
          </w:p>
        </w:tc>
      </w:tr>
      <w:tr>
        <w:trPr>
          <w:cantSplit/>
        </w:trPr>
        <w:tc>
          <w:tcPr>
            <w:tcW w:w="5637" w:type="dxa"/>
            <w:tcBorders>
              <w:top w:val="nil"/>
              <w:left w:val="nil"/>
              <w:bottom w:val="nil"/>
              <w:right w:val="nil"/>
            </w:tcBorders>
            <w:tcMar>
              <w:top w:w="0" w:type="dxa"/>
              <w:left w:w="108" w:type="dxa"/>
              <w:bottom w:w="0" w:type="dxa"/>
              <w:right w:w="108" w:type="dxa"/>
            </w:tcMar>
          </w:tcPr>
          <w:p>
            <w:pPr>
              <w:pStyle w:val="Text9pItalicLeft"/>
              <w:rPr>
                <w:rFonts w:eastAsia="Times New Roman" w:cs="Verdana"/>
              </w:rPr>
            </w:pPr>
          </w:p>
        </w:tc>
        <w:tc>
          <w:tcPr>
            <w:tcW w:w="2126"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c>
          <w:tcPr>
            <w:tcW w:w="1985" w:type="dxa"/>
            <w:tcBorders>
              <w:top w:val="nil"/>
              <w:left w:val="nil"/>
              <w:bottom w:val="nil"/>
              <w:right w:val="nil"/>
            </w:tcBorders>
            <w:tcMar>
              <w:top w:w="0" w:type="dxa"/>
              <w:left w:w="108" w:type="dxa"/>
              <w:bottom w:w="0" w:type="dxa"/>
              <w:right w:w="108" w:type="dxa"/>
            </w:tcMar>
          </w:tcPr>
          <w:p>
            <w:pPr>
              <w:pStyle w:val="Figures9pItalicRight025"/>
              <w:rPr>
                <w:rFonts w:eastAsia="Times New Roman" w:cs="Verdana"/>
              </w:rPr>
            </w:pPr>
          </w:p>
        </w:tc>
      </w:tr>
      <w:tr>
        <w:trPr>
          <w:cantSplit/>
        </w:trPr>
        <w:tc>
          <w:tcPr>
            <w:tcW w:w="5637" w:type="dxa"/>
            <w:tcBorders>
              <w:top w:val="nil"/>
              <w:left w:val="nil"/>
              <w:bottom w:val="nil"/>
              <w:right w:val="nil"/>
            </w:tcBorders>
            <w:shd w:val="clear" w:color="auto" w:fill="CCE1EA"/>
            <w:tcMar>
              <w:top w:w="0" w:type="dxa"/>
              <w:left w:w="108" w:type="dxa"/>
              <w:bottom w:w="0" w:type="dxa"/>
              <w:right w:w="108" w:type="dxa"/>
            </w:tcMar>
          </w:tcPr>
          <w:p>
            <w:pPr>
              <w:pStyle w:val="Text9pBoldLeft"/>
              <w:rPr>
                <w:rFonts w:eastAsia="Times New Roman" w:cs="Verdana"/>
              </w:rPr>
            </w:pPr>
            <w:r>
              <w:rPr>
                <w:rFonts w:eastAsia="Times New Roman" w:cs="Verdana"/>
              </w:rPr>
              <w:t>BUDGET RESULT OF THE YEAR (EU)</w:t>
            </w:r>
          </w:p>
        </w:tc>
        <w:tc>
          <w:tcPr>
            <w:tcW w:w="2126"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1 802</w:t>
            </w:r>
          </w:p>
        </w:tc>
        <w:tc>
          <w:tcPr>
            <w:tcW w:w="1985" w:type="dxa"/>
            <w:tcBorders>
              <w:top w:val="nil"/>
              <w:left w:val="nil"/>
              <w:bottom w:val="nil"/>
              <w:right w:val="nil"/>
            </w:tcBorders>
            <w:shd w:val="clear" w:color="auto" w:fill="CCE1EA"/>
            <w:tcMar>
              <w:top w:w="0" w:type="dxa"/>
              <w:left w:w="108" w:type="dxa"/>
              <w:bottom w:w="0" w:type="dxa"/>
              <w:right w:w="108" w:type="dxa"/>
            </w:tcMar>
          </w:tcPr>
          <w:p>
            <w:pPr>
              <w:pStyle w:val="Figures9pBoldRight025"/>
              <w:rPr>
                <w:rFonts w:eastAsia="Times New Roman" w:cs="Verdana"/>
              </w:rPr>
            </w:pPr>
            <w:r>
              <w:rPr>
                <w:rFonts w:eastAsia="Times New Roman" w:cs="Verdana"/>
              </w:rPr>
              <w:t xml:space="preserve"> 555</w:t>
            </w:r>
          </w:p>
        </w:tc>
      </w:tr>
    </w:tbl>
    <w:p>
      <w:pPr>
        <w:pStyle w:val="Text9pItalicLeft"/>
        <w:rPr>
          <w:lang w:bidi="en-GB"/>
        </w:rPr>
      </w:pPr>
    </w:p>
    <w:p>
      <w:pPr>
        <w:pStyle w:val="DGTextstand-alone"/>
        <w:rPr>
          <w:lang w:bidi="en-GB"/>
        </w:rPr>
      </w:pPr>
    </w:p>
    <w:bookmarkEnd w:id="227"/>
    <w:bookmarkEnd w:id="1"/>
    <w:p>
      <w:pPr>
        <w:pStyle w:val="DGTextstand-alone"/>
        <w:rPr>
          <w:lang w:bidi="en-GB"/>
        </w:rPr>
      </w:pPr>
    </w:p>
    <w:sectPr>
      <w:headerReference w:type="even" r:id="rId371"/>
      <w:headerReference w:type="default" r:id="rId372"/>
      <w:footerReference w:type="even" r:id="rId373"/>
      <w:footerReference w:type="default" r:id="rId374"/>
      <w:headerReference w:type="first" r:id="rId375"/>
      <w:footerReference w:type="first" r:id="rId376"/>
      <w:pgSz w:w="11907" w:h="16840" w:code="9"/>
      <w:pgMar w:top="1134"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7564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64257315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229660" id="Rectangle 3" o:spid="_x0000_s1026" style="position:absolute;margin-left:227.35pt;margin-top:.35pt;width:31.75pt;height:62.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cAjICV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43</w:t>
    </w:r>
    <w:r>
      <w:rPr>
        <w:rFonts w:ascii="Verdana" w:hAnsi="Verdana"/>
        <w:b/>
        <w:noProof/>
        <w:color w:val="FFFFFF"/>
        <w:sz w:val="18"/>
        <w:szCs w:val="18"/>
      </w:rPr>
      <w:fldChar w:fldCharType="end"/>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8179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7206121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DCBFFA" id="Rectangle 3" o:spid="_x0000_s1026" style="position:absolute;margin-left:227.35pt;margin-top:.35pt;width:31.75pt;height:62.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wXKsv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44</w:t>
    </w:r>
    <w:r>
      <w:rPr>
        <w:rFonts w:ascii="Verdana" w:hAnsi="Verdana"/>
        <w:b/>
        <w:noProof/>
        <w:color w:val="FFFFFF"/>
        <w:sz w:val="18"/>
        <w:szCs w:val="18"/>
      </w:rPr>
      <w:fldChar w:fldCharType="end"/>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8793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49732204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4044BC" id="Rectangle 3" o:spid="_x0000_s1026" style="position:absolute;margin-left:227.35pt;margin-top:.35pt;width:31.75pt;height:62.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DwUVY4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49132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81663878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338D8A" id="Rectangle 3" o:spid="_x0000_s1026" style="position:absolute;margin-left:227.35pt;margin-top:.35pt;width:31.75pt;height:62.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&#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BCKaH5aAgAAuA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w:t>
    </w:r>
    <w:r>
      <w:rPr>
        <w:rFonts w:ascii="Verdana" w:hAnsi="Verdana"/>
        <w:b/>
        <w:noProof/>
        <w:color w:val="FFFFFF"/>
        <w:sz w:val="18"/>
        <w:szCs w:val="18"/>
      </w:rPr>
      <w:fldChar w:fldCharType="end"/>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9408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57387087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2097BF" id="Rectangle 3" o:spid="_x0000_s1026" style="position:absolute;margin-left:227.35pt;margin-top:.35pt;width:31.75pt;height:6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lfrA7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0022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14508744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295ECE" id="Rectangle 3" o:spid="_x0000_s1026" style="position:absolute;margin-left:227.35pt;margin-top:.35pt;width:31.75pt;height:62.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4RycU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44</w:t>
    </w:r>
    <w:r>
      <w:rPr>
        <w:rFonts w:ascii="Verdana" w:hAnsi="Verdana"/>
        <w:b/>
        <w:noProof/>
        <w:color w:val="FFFFFF"/>
        <w:sz w:val="18"/>
        <w:szCs w:val="18"/>
      </w:rPr>
      <w:fldChar w:fldCharType="end"/>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0636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282197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AE955C" id="Rectangle 3" o:spid="_x0000_s1026" style="position:absolute;margin-left:227.35pt;margin-top:.35pt;width:31.75pt;height:62.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CPdJA3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1251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8870159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4C0C38" id="Rectangle 3" o:spid="_x0000_s1026" style="position:absolute;margin-left:227.35pt;margin-top:.35pt;width:31.75pt;height:62.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dNhe+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46</w:t>
    </w:r>
    <w:r>
      <w:rPr>
        <w:rFonts w:ascii="Verdana" w:hAnsi="Verdana"/>
        <w:b/>
        <w:noProof/>
        <w:color w:val="FFFFFF"/>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18656"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191662135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5F493B" id="Rectangle 3" o:spid="_x0000_s1026" style="position:absolute;margin-left:350.05pt;margin-top:6.5pt;width:31.75pt;height:62.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45</w:t>
    </w:r>
    <w:r>
      <w:rPr>
        <w:rFonts w:ascii="Verdana" w:hAnsi="Verdana"/>
        <w:b/>
        <w:noProof/>
        <w:color w:val="FFFFFF"/>
        <w:sz w:val="18"/>
        <w:szCs w:val="18"/>
      </w:rPr>
      <w:fldChar w:fldCharType="end"/>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2480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8326154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7B5D8" id="Rectangle 3" o:spid="_x0000_s1026" style="position:absolute;margin-left:227.35pt;margin-top:.35pt;width:31.75pt;height:62.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BtOi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46</w:t>
    </w:r>
    <w:r>
      <w:rPr>
        <w:rFonts w:ascii="Verdana" w:hAnsi="Verdana"/>
        <w:b/>
        <w:noProof/>
        <w:color w:val="FFFFFF"/>
        <w:sz w:val="18"/>
        <w:szCs w:val="18"/>
      </w:rPr>
      <w:fldChar w:fldCharType="end"/>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3094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4585861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D03B1D" id="Rectangle 3" o:spid="_x0000_s1026" style="position:absolute;margin-left:227.35pt;margin-top:.35pt;width:31.75pt;height:62.6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T9s8d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3708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09149324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FEBA98" id="Rectangle 3" o:spid="_x0000_s1026" style="position:absolute;margin-left:227.35pt;margin-top:.35pt;width:31.75pt;height:62.6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BzZBKV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47</w:t>
    </w:r>
    <w:r>
      <w:rPr>
        <w:rFonts w:ascii="Verdana" w:hAnsi="Verdana"/>
        <w:b/>
        <w:noProof/>
        <w:color w:val="FFFFFF"/>
        <w:sz w:val="18"/>
        <w:szCs w:val="18"/>
      </w:rPr>
      <w:fldChar w:fldCharType="end"/>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4323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98726021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627FD0" id="Rectangle 3" o:spid="_x0000_s1026" style="position:absolute;margin-left:227.35pt;margin-top:.35pt;width:31.75pt;height:62.6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5M3DZF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48</w:t>
    </w:r>
    <w:r>
      <w:rPr>
        <w:rFonts w:ascii="Verdana" w:hAnsi="Verdana"/>
        <w:b/>
        <w:noProof/>
        <w:color w:val="FFFFFF"/>
        <w:sz w:val="18"/>
        <w:szCs w:val="18"/>
      </w:rPr>
      <w:fldChar w:fldCharType="end"/>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81286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0C100A" id="Rectangle 3" o:spid="_x0000_s1026" style="position:absolute;margin-left:227.35pt;margin-top:.35pt;width:31.75pt;height:62.6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49</w:t>
    </w:r>
    <w:r>
      <w:rPr>
        <w:rFonts w:ascii="Verdana" w:hAnsi="Verdana"/>
        <w:b/>
        <w:noProof/>
        <w:color w:val="FFFFFF"/>
        <w:sz w:val="18"/>
        <w:szCs w:val="18"/>
      </w:rPr>
      <w:fldChar w:fldCharType="end"/>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0361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8207736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3638FA" id="Rectangle 3" o:spid="_x0000_s1026" style="position:absolute;margin-left:227.35pt;margin-top:.35pt;width:31.75pt;height:62.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eqcCIVkCAAC3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w:t>
    </w:r>
    <w:r>
      <w:rPr>
        <w:rFonts w:ascii="Verdana" w:hAnsi="Verdana"/>
        <w:b/>
        <w:noProof/>
        <w:color w:val="FFFFFF"/>
        <w:sz w:val="18"/>
        <w:szCs w:val="18"/>
      </w:rPr>
      <w:fldChar w:fldCharType="end"/>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49747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01657290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8360C0" id="Rectangle 3" o:spid="_x0000_s1026" style="position:absolute;margin-left:227.35pt;margin-top:.35pt;width:31.75pt;height:62.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CvPl1a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52</w:t>
    </w:r>
    <w:r>
      <w:rPr>
        <w:rFonts w:ascii="Verdana" w:hAnsi="Verdana"/>
        <w:b/>
        <w:noProof/>
        <w:color w:val="FFFFFF"/>
        <w:sz w:val="18"/>
        <w:szCs w:val="18"/>
      </w:rPr>
      <w:fldChar w:fldCharType="end"/>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4937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02632062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E48825" id="Rectangle 3" o:spid="_x0000_s1026" style="position:absolute;margin-left:227.35pt;margin-top:.35pt;width:31.75pt;height:62.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&#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EcnK/R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53</w:t>
    </w:r>
    <w:r>
      <w:rPr>
        <w:rFonts w:ascii="Verdana" w:hAnsi="Verdana"/>
        <w:b/>
        <w:noProof/>
        <w:color w:val="FFFFFF"/>
        <w:sz w:val="18"/>
        <w:szCs w:val="18"/>
      </w:rPr>
      <w:fldChar w:fldCharType="end"/>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5552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39253071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6FF8F6" id="Rectangle 3" o:spid="_x0000_s1026" style="position:absolute;margin-left:227.35pt;margin-top:.35pt;width:31.75pt;height:62.6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Q9vPPF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55</w:t>
    </w:r>
    <w:r>
      <w:rPr>
        <w:rFonts w:ascii="Verdana" w:hAnsi="Verdana"/>
        <w:b/>
        <w:noProof/>
        <w:color w:val="FFFFFF"/>
        <w:sz w:val="18"/>
        <w:szCs w:val="18"/>
      </w:rPr>
      <w:fldChar w:fldCharType="end"/>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6166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2448481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7919F3" id="Rectangle 3" o:spid="_x0000_s1026" style="position:absolute;margin-left:227.35pt;margin-top:.35pt;width:31.75pt;height:62.6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pyaDiV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54</w:t>
    </w:r>
    <w:r>
      <w:rPr>
        <w:rFonts w:ascii="Verdana" w:hAnsi="Verdana"/>
        <w:b/>
        <w:noProof/>
        <w:color w:val="FFFFFF"/>
        <w:sz w:val="18"/>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6780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21695360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25F4F3" id="Rectangle 3" o:spid="_x0000_s1026" style="position:absolute;margin-left:227.35pt;margin-top:.35pt;width:31.75pt;height:62.6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55</w:t>
    </w:r>
    <w:r>
      <w:rPr>
        <w:rFonts w:ascii="Verdana" w:hAnsi="Verdana"/>
        <w:b/>
        <w:noProof/>
        <w:color w:val="FFFFFF"/>
        <w:sz w:val="18"/>
        <w:szCs w:val="18"/>
      </w:rPr>
      <w:fldChar w:fldCharType="end"/>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7395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37307154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CB49DD" id="Rectangle 3" o:spid="_x0000_s1026" style="position:absolute;margin-left:227.35pt;margin-top:.35pt;width:31.75pt;height:62.6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TxDZOF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56</w:t>
    </w:r>
    <w:r>
      <w:rPr>
        <w:rFonts w:ascii="Verdana" w:hAnsi="Verdana"/>
        <w:b/>
        <w:noProof/>
        <w:color w:val="FFFFFF"/>
        <w:sz w:val="18"/>
        <w:szCs w:val="18"/>
      </w:rPr>
      <w:fldChar w:fldCharType="end"/>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8009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2844495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709EA2" id="Rectangle 3" o:spid="_x0000_s1026" style="position:absolute;margin-left:227.35pt;margin-top:.35pt;width:31.75pt;height:62.6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B6QHdz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57</w:t>
    </w:r>
    <w:r>
      <w:rPr>
        <w:rFonts w:ascii="Verdana" w:hAnsi="Verdana"/>
        <w:b/>
        <w:noProof/>
        <w:color w:val="FFFFFF"/>
        <w:sz w:val="18"/>
        <w:szCs w:val="18"/>
      </w:rPr>
      <w:fldChar w:fldCharType="end"/>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8624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6964085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FD0920" id="Rectangle 3" o:spid="_x0000_s1026" style="position:absolute;margin-left:227.35pt;margin-top:.35pt;width:31.75pt;height:62.6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&#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Bl87mt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58</w:t>
    </w:r>
    <w:r>
      <w:rPr>
        <w:rFonts w:ascii="Verdana" w:hAnsi="Verdana"/>
        <w:b/>
        <w:noProof/>
        <w:color w:val="FFFFFF"/>
        <w:sz w:val="18"/>
        <w:szCs w:val="18"/>
      </w:rPr>
      <w:fldChar w:fldCharType="end"/>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82003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5"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D065D9" id="Rectangle 3" o:spid="_x0000_s1026" style="position:absolute;margin-left:227.35pt;margin-top:.35pt;width:31.75pt;height:62.6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61</w:t>
    </w:r>
    <w:r>
      <w:rPr>
        <w:rFonts w:ascii="Verdana" w:hAnsi="Verdana"/>
        <w:b/>
        <w:noProof/>
        <w:color w:val="FFFFFF"/>
        <w:sz w:val="18"/>
        <w:szCs w:val="18"/>
      </w:rPr>
      <w:fldChar w:fldCharType="end"/>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92384"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163374264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12E55A" id="Rectangle 3" o:spid="_x0000_s1026" style="position:absolute;margin-left:350.05pt;margin-top:6.5pt;width:31.75pt;height:62.6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62</w:t>
    </w:r>
    <w:r>
      <w:rPr>
        <w:rFonts w:ascii="Verdana" w:hAnsi="Verdana"/>
        <w:b/>
        <w:noProof/>
        <w:color w:val="FFFFFF"/>
        <w:sz w:val="18"/>
        <w:szCs w:val="18"/>
      </w:rPr>
      <w:fldChar w:fldCharType="end"/>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0976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47161168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AFBE13" id="Rectangle 3" o:spid="_x0000_s1026" style="position:absolute;margin-left:227.35pt;margin-top:.35pt;width:31.75pt;height:62.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Hrvjg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w:t>
    </w:r>
    <w:r>
      <w:rPr>
        <w:rFonts w:ascii="Verdana" w:hAnsi="Verdana"/>
        <w:b/>
        <w:noProof/>
        <w:color w:val="FFFFFF"/>
        <w:sz w:val="18"/>
        <w:szCs w:val="18"/>
      </w:rPr>
      <w:fldChar w:fldCharType="end"/>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98528"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74578744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6FD01A" id="Rectangle 3" o:spid="_x0000_s1026" style="position:absolute;margin-left:350.05pt;margin-top:6.5pt;width:31.75pt;height:62.6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66</w:t>
    </w:r>
    <w:r>
      <w:rPr>
        <w:rFonts w:ascii="Verdana" w:hAnsi="Verdana"/>
        <w:b/>
        <w:noProof/>
        <w:color w:val="FFFFFF"/>
        <w:sz w:val="18"/>
        <w:szCs w:val="18"/>
      </w:rPr>
      <w:fldChar w:fldCharType="end"/>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827200"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47B12" id="Rectangle 3" o:spid="_x0000_s1026" style="position:absolute;margin-left:350.05pt;margin-top:6.5pt;width:31.75pt;height:62.6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67</w:t>
    </w:r>
    <w:r>
      <w:rPr>
        <w:rFonts w:ascii="Verdana" w:hAnsi="Verdana"/>
        <w:b/>
        <w:noProof/>
        <w:color w:val="FFFFFF"/>
        <w:sz w:val="18"/>
        <w:szCs w:val="18"/>
      </w:rPr>
      <w:fldChar w:fldCharType="end"/>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834368"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8AC07B" id="Rectangle 3" o:spid="_x0000_s1026" style="position:absolute;margin-left:350.05pt;margin-top:6.5pt;width:31.75pt;height:62.6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73</w:t>
    </w:r>
    <w:r>
      <w:rPr>
        <w:rFonts w:ascii="Verdana" w:hAnsi="Verdana"/>
        <w:b/>
        <w:noProof/>
        <w:color w:val="FFFFFF"/>
        <w:sz w:val="18"/>
        <w:szCs w:val="18"/>
      </w:rPr>
      <w:fldChar w:fldCharType="end"/>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835392"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6973B2" id="Rectangle 3" o:spid="_x0000_s1026" style="position:absolute;margin-left:350.05pt;margin-top:6.5pt;width:31.75pt;height:62.6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77</w:t>
    </w:r>
    <w:r>
      <w:rPr>
        <w:rFonts w:ascii="Verdana" w:hAnsi="Verdana"/>
        <w:b/>
        <w:noProof/>
        <w:color w:val="FFFFFF"/>
        <w:sz w:val="18"/>
        <w:szCs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78214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64600358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960D5D" id="Rectangle 3" o:spid="_x0000_s1026" style="position:absolute;margin-left:227.35pt;margin-top:.35pt;width:31.75pt;height:62.6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MWXGeF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78</w:t>
    </w:r>
    <w:r>
      <w:rPr>
        <w:rFonts w:ascii="Verdana" w:hAnsi="Verdana"/>
        <w:b/>
        <w:noProof/>
        <w:color w:val="FFFFFF"/>
        <w:sz w:val="18"/>
        <w:szCs w:val="18"/>
      </w:rPr>
      <w:fldChar w:fldCharType="end"/>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1590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58794301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5C8999" id="Rectangle 3" o:spid="_x0000_s1026" style="position:absolute;margin-left:227.35pt;margin-top:.35pt;width:31.75pt;height:62.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5MXkeV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w:t>
    </w:r>
    <w:r>
      <w:rPr>
        <w:rFonts w:ascii="Verdana" w:hAnsi="Verdana"/>
        <w:b/>
        <w:noProof/>
        <w:color w:val="FFFFFF"/>
        <w:sz w:val="18"/>
        <w:szCs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2204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06403085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457768" id="Rectangle 3" o:spid="_x0000_s1026" style="position:absolute;margin-left:227.35pt;margin-top:.35pt;width:31.75pt;height:62.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0Hi+X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7</w:t>
    </w:r>
    <w:r>
      <w:rPr>
        <w:rFonts w:ascii="Verdana" w:hAnsi="Verdana"/>
        <w:b/>
        <w:noProof/>
        <w:color w:val="FFFFFF"/>
        <w:sz w:val="18"/>
        <w:szCs w:val="1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2819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75282078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2CD5B1" id="Rectangle 3" o:spid="_x0000_s1026" style="position:absolute;margin-left:227.35pt;margin-top:.35pt;width:31.75pt;height:62.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wLbIc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8</w:t>
    </w:r>
    <w:r>
      <w:rPr>
        <w:rFonts w:ascii="Verdana" w:hAnsi="Verdana"/>
        <w:b/>
        <w:noProof/>
        <w:color w:val="FFFFFF"/>
        <w:sz w:val="18"/>
        <w:szCs w:val="18"/>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34336"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1A20C9" id="Rectangle 3" o:spid="_x0000_s1026" style="position:absolute;margin-left:350.05pt;margin-top:6.5pt;width:31.75pt;height:62.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9</w:t>
    </w:r>
    <w:r>
      <w:rPr>
        <w:rFonts w:ascii="Verdana" w:hAnsi="Verdana"/>
        <w:b/>
        <w:noProof/>
        <w:color w:val="FFFFF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4048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01236597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504924" id="Rectangle 3" o:spid="_x0000_s1026" style="position:absolute;margin-left:227.35pt;margin-top:.35pt;width:31.75pt;height:62.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PO402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10</w:t>
    </w:r>
    <w:r>
      <w:rPr>
        <w:rFonts w:ascii="Verdana" w:hAnsi="Verdana"/>
        <w:b/>
        <w:noProof/>
        <w:color w:val="FFFFFF"/>
        <w:sz w:val="18"/>
        <w:szCs w:val="18"/>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4662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08067493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FD19E2" id="Rectangle 3" o:spid="_x0000_s1026" style="position:absolute;margin-left:227.35pt;margin-top:.35pt;width:31.75pt;height:62.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&#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IMxFVx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11</w:t>
    </w:r>
    <w:r>
      <w:rPr>
        <w:rFonts w:ascii="Verdana" w:hAnsi="Verdana"/>
        <w:b/>
        <w:noProof/>
        <w:color w:val="FFFFFF"/>
        <w:sz w:val="18"/>
        <w:szCs w:val="18"/>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80569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A77326" id="Rectangle 3" o:spid="_x0000_s1026" style="position:absolute;margin-left:227.35pt;margin-top:.35pt;width:31.75pt;height:62.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21</w:t>
    </w:r>
    <w:r>
      <w:rPr>
        <w:rFonts w:ascii="Verdana" w:hAnsi="Verdana"/>
        <w:b/>
        <w:noProof/>
        <w:color w:val="FFFFFF"/>
        <w:sz w:val="18"/>
        <w:szCs w:val="18"/>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5276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189678865"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457085" id="Rectangle 3" o:spid="_x0000_s1026" style="position:absolute;margin-left:227.35pt;margin-top:.35pt;width:31.75pt;height:62.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9AjWH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25</w:t>
    </w:r>
    <w:r>
      <w:rPr>
        <w:rFonts w:ascii="Verdana" w:hAnsi="Verdana"/>
        <w:b/>
        <w:noProof/>
        <w:color w:val="FFFFFF"/>
        <w:sz w:val="18"/>
        <w:szCs w:val="18"/>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5891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14201739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78887A" id="Rectangle 3" o:spid="_x0000_s1026" style="position:absolute;margin-left:227.35pt;margin-top:.35pt;width:31.75pt;height:62.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XSEE0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6505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43163282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590820" id="Rectangle 3" o:spid="_x0000_s1026" style="position:absolute;margin-left:227.35pt;margin-top:.35pt;width:31.75pt;height:6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LxNeSV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71200" behindDoc="1" locked="0" layoutInCell="1" allowOverlap="1">
              <wp:simplePos x="0" y="0"/>
              <wp:positionH relativeFrom="column">
                <wp:posOffset>4445635</wp:posOffset>
              </wp:positionH>
              <wp:positionV relativeFrom="paragraph">
                <wp:posOffset>82740</wp:posOffset>
              </wp:positionV>
              <wp:extent cx="403225" cy="795655"/>
              <wp:effectExtent l="0" t="0" r="15875" b="23495"/>
              <wp:wrapNone/>
              <wp:docPr id="187041586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12C884" id="Rectangle 3" o:spid="_x0000_s1026" style="position:absolute;margin-left:350.05pt;margin-top:6.5pt;width:31.75pt;height:6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26</w:t>
    </w:r>
    <w:r>
      <w:rPr>
        <w:rFonts w:ascii="Verdana" w:hAnsi="Verdana"/>
        <w:b/>
        <w:noProof/>
        <w:color w:val="FFFFFF"/>
        <w:sz w:val="18"/>
        <w:szCs w:val="18"/>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7734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7124902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196E10" id="Rectangle 3" o:spid="_x0000_s1026" style="position:absolute;margin-left:227.35pt;margin-top:.35pt;width:31.75pt;height:62.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yAX+IF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27</w:t>
    </w:r>
    <w:r>
      <w:rPr>
        <w:rFonts w:ascii="Verdana" w:hAnsi="Verdana"/>
        <w:b/>
        <w:noProof/>
        <w:color w:val="FFFFFF"/>
        <w:sz w:val="18"/>
        <w:szCs w:val="18"/>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8348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3121254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9EE822" id="Rectangle 3" o:spid="_x0000_s1026" style="position:absolute;margin-left:227.35pt;margin-top:.35pt;width:31.75pt;height:62.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woohD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31</w:t>
    </w:r>
    <w:r>
      <w:rPr>
        <w:rFonts w:ascii="Verdana" w:hAnsi="Verdana"/>
        <w:b/>
        <w:noProof/>
        <w:color w:val="FFFFFF"/>
        <w:sz w:val="18"/>
        <w:szCs w:val="18"/>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8963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98027241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F3AA91" id="Rectangle 3" o:spid="_x0000_s1026" style="position:absolute;margin-left:227.35pt;margin-top:.35pt;width:31.75pt;height:62.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kNqST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34</w:t>
    </w:r>
    <w:r>
      <w:rPr>
        <w:rFonts w:ascii="Verdana" w:hAnsi="Verdana"/>
        <w:b/>
        <w:noProof/>
        <w:color w:val="FFFFF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59577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78819330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FFFD2A" id="Rectangle 3" o:spid="_x0000_s1026" style="position:absolute;margin-left:227.35pt;margin-top:.35pt;width:31.75pt;height:62.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I5eHy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0192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54693013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B4C3A0" id="Rectangle 3" o:spid="_x0000_s1026" style="position:absolute;margin-left:227.35pt;margin-top:.35pt;width:31.75pt;height:6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AnUzkK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35</w:t>
    </w:r>
    <w:r>
      <w:rPr>
        <w:rFonts w:ascii="Verdana" w:hAnsi="Verdana"/>
        <w:b/>
        <w:noProof/>
        <w:color w:val="FFFFFF"/>
        <w:sz w:val="18"/>
        <w:szCs w:val="18"/>
      </w:rP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0806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09419577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9B0BE4" id="Rectangle 3" o:spid="_x0000_s1026" style="position:absolute;margin-left:227.35pt;margin-top:.35pt;width:31.75pt;height:6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&#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GA4eLF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36</w:t>
    </w:r>
    <w:r>
      <w:rPr>
        <w:rFonts w:ascii="Verdana" w:hAnsi="Verdana"/>
        <w:b/>
        <w:noProof/>
        <w:color w:val="FFFFFF"/>
        <w:sz w:val="18"/>
        <w:szCs w:val="18"/>
      </w:rP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1420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8998488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C292BD" id="Rectangle 3" o:spid="_x0000_s1026" style="position:absolute;margin-left:227.35pt;margin-top:.35pt;width:31.75pt;height:6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Xyjux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39</w:t>
    </w:r>
    <w:r>
      <w:rPr>
        <w:rFonts w:ascii="Verdana" w:hAnsi="Verdana"/>
        <w:b/>
        <w:noProof/>
        <w:color w:val="FFFFFF"/>
        <w:sz w:val="18"/>
        <w:szCs w:val="18"/>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2035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38145053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F1539C" id="Rectangle 3" o:spid="_x0000_s1026" style="position:absolute;margin-left:227.35pt;margin-top:.35pt;width:31.75pt;height:6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HXrOJ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40</w:t>
    </w:r>
    <w:r>
      <w:rPr>
        <w:rFonts w:ascii="Verdana" w:hAnsi="Verdana"/>
        <w:b/>
        <w:noProof/>
        <w:color w:val="FFFFFF"/>
        <w:sz w:val="18"/>
        <w:szCs w:val="18"/>
      </w:rP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2649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65495303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88DD2F" id="Rectangle 3" o:spid="_x0000_s1026" style="position:absolute;margin-left:227.35pt;margin-top:.35pt;width:31.75pt;height:6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Q5zVNF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48518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7A9515" id="Rectangle 3" o:spid="_x0000_s1026" style="position:absolute;margin-left:227.35pt;margin-top:.35pt;width:31.75pt;height:62.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w:t>
    </w:r>
    <w:r>
      <w:rPr>
        <w:rFonts w:ascii="Verdana" w:hAnsi="Verdana"/>
        <w:b/>
        <w:noProof/>
        <w:color w:val="FFFFFF"/>
        <w:sz w:val="18"/>
        <w:szCs w:val="18"/>
      </w:rP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3264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98912757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A554BA" id="Rectangle 3" o:spid="_x0000_s1026" style="position:absolute;margin-left:227.35pt;margin-top:.35pt;width:31.75pt;height:6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DPGnM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41</w:t>
    </w:r>
    <w:r>
      <w:rPr>
        <w:rFonts w:ascii="Verdana" w:hAnsi="Verdana"/>
        <w:b/>
        <w:noProof/>
        <w:color w:val="FFFFFF"/>
        <w:sz w:val="18"/>
        <w:szCs w:val="18"/>
      </w:rPr>
      <w:fldChar w:fldCharType="end"/>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38784"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54159845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88346F" id="Rectangle 3" o:spid="_x0000_s1026" style="position:absolute;margin-left:227.35pt;margin-top:.35pt;width:31.75pt;height:6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l4qnh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42</w:t>
    </w:r>
    <w:r>
      <w:rPr>
        <w:rFonts w:ascii="Verdana" w:hAnsi="Verdana"/>
        <w:b/>
        <w:noProof/>
        <w:color w:val="FFFFFF"/>
        <w:sz w:val="18"/>
        <w:szCs w:val="18"/>
      </w:rPr>
      <w:fldChar w:fldCharType="end"/>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44928"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78314725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A30002" id="Rectangle 3" o:spid="_x0000_s1026" style="position:absolute;margin-left:227.35pt;margin-top:.35pt;width:31.75pt;height:6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kl6vY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51072"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72264672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3AB361" id="Rectangle 3" o:spid="_x0000_s1026" style="position:absolute;margin-left:227.35pt;margin-top:.35pt;width:31.75pt;height:6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&#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CCFeKd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57216"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63046573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5F703" id="Rectangle 3" o:spid="_x0000_s1026" style="position:absolute;margin-left:227.35pt;margin-top:.35pt;width:31.7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EGf8n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6336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69801236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73C7E8" id="Rectangle 3" o:spid="_x0000_s1026" style="position:absolute;margin-left:227.35pt;margin-top:.35pt;width:31.75pt;height:6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yH0vR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Verdana" w:hAnsi="Verdana"/>
        <w:b/>
        <w:color w:val="FFFFFF"/>
        <w:sz w:val="18"/>
        <w:szCs w:val="18"/>
      </w:rPr>
    </w:pPr>
    <w:r>
      <w:rPr>
        <w:noProof/>
      </w:rPr>
      <mc:AlternateContent>
        <mc:Choice Requires="wps">
          <w:drawing>
            <wp:anchor distT="0" distB="0" distL="114300" distR="114300" simplePos="0" relativeHeight="25166848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42200189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543F5E" id="Rectangle 3" o:spid="_x0000_s1026" style="position:absolute;margin-left:227.35pt;margin-top:.35pt;width:31.75pt;height:62.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A+h3p9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id="1">
    <w:p>
      <w:pPr>
        <w:pStyle w:val="Text6pNormalLeft"/>
        <w:jc w:val="both"/>
      </w:pPr>
      <w:r>
        <w:rPr>
          <w:rStyle w:val="FootnoteReference"/>
        </w:rPr>
        <w:footnoteRef/>
      </w:r>
      <w:r>
        <w:t xml:space="preserve"> The PSEO is a notional (virtual) fund with defined benefits, in which staff’s contributions serve to finance their future pensions. Although there is no actual investment fund, the amount that would have been collected by such a fund is considered to have been invested in the Member States’ long-term bonds and is reflected in the pension liability that is registered in the annual accounts of the European Union. Member States jointly guarantee the payment of the benefits pursuant to Article 83 of the Staff Regulations and Article 4(3) of the Treaty on European Union (see COM(2018) 829 for a detailed description of the scheme).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677"/>
        <w:tab w:val="clear" w:pos="9355"/>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2018</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2018</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9A8520"/>
    <w:lvl w:ilvl="0">
      <w:start w:val="1"/>
      <w:numFmt w:val="decimal"/>
      <w:pStyle w:val="HEADER1Part3"/>
      <w:lvlText w:val="%1."/>
      <w:lvlJc w:val="left"/>
      <w:pPr>
        <w:ind w:left="907" w:hanging="907"/>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1">
      <w:start w:val="1"/>
      <w:numFmt w:val="decimal"/>
      <w:pStyle w:val="HEADER2Part3"/>
      <w:lvlText w:val="%1.%2."/>
      <w:lvlJc w:val="left"/>
      <w:pPr>
        <w:ind w:left="907" w:hanging="907"/>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2">
      <w:start w:val="1"/>
      <w:numFmt w:val="decimal"/>
      <w:pStyle w:val="HEADER3Part3"/>
      <w:lvlText w:val="%1.%2.%3."/>
      <w:lvlJc w:val="left"/>
      <w:pPr>
        <w:ind w:left="907" w:hanging="907"/>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3">
      <w:start w:val="1"/>
      <w:numFmt w:val="decimal"/>
      <w:lvlText w:val="%1.%2.%3.%4."/>
      <w:lvlJc w:val="left"/>
      <w:pPr>
        <w:ind w:left="907" w:hanging="9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
    <w:nsid w:val="00000002"/>
    <w:multiLevelType w:val="hybridMultilevel"/>
    <w:tmpl w:val="675ED66A"/>
    <w:lvl w:ilvl="0" w:tplc="12221BA4">
      <w:start w:val="1"/>
      <w:numFmt w:val="lowerLetter"/>
      <w:pStyle w:val="Textstand-alonenumberingLetters"/>
      <w:lvlText w:val="%1)"/>
      <w:lvlJc w:val="left"/>
      <w:pPr>
        <w:ind w:left="720" w:hanging="360"/>
      </w:pPr>
      <w:rPr>
        <w:rFonts w:hint="default"/>
      </w:rPr>
    </w:lvl>
    <w:lvl w:ilvl="1" w:tplc="A74812CC" w:tentative="1">
      <w:start w:val="1"/>
      <w:numFmt w:val="lowerLetter"/>
      <w:lvlText w:val="%2."/>
      <w:lvlJc w:val="left"/>
      <w:pPr>
        <w:ind w:left="1440" w:hanging="360"/>
      </w:pPr>
    </w:lvl>
    <w:lvl w:ilvl="2" w:tplc="5D981BEC" w:tentative="1">
      <w:start w:val="1"/>
      <w:numFmt w:val="lowerRoman"/>
      <w:lvlText w:val="%3."/>
      <w:lvlJc w:val="right"/>
      <w:pPr>
        <w:ind w:left="2160" w:hanging="180"/>
      </w:pPr>
    </w:lvl>
    <w:lvl w:ilvl="3" w:tplc="82709C3A" w:tentative="1">
      <w:start w:val="1"/>
      <w:numFmt w:val="decimal"/>
      <w:lvlText w:val="%4."/>
      <w:lvlJc w:val="left"/>
      <w:pPr>
        <w:ind w:left="2880" w:hanging="360"/>
      </w:pPr>
    </w:lvl>
    <w:lvl w:ilvl="4" w:tplc="DDF47652" w:tentative="1">
      <w:start w:val="1"/>
      <w:numFmt w:val="lowerLetter"/>
      <w:lvlText w:val="%5."/>
      <w:lvlJc w:val="left"/>
      <w:pPr>
        <w:ind w:left="3600" w:hanging="360"/>
      </w:pPr>
    </w:lvl>
    <w:lvl w:ilvl="5" w:tplc="B0983E98" w:tentative="1">
      <w:start w:val="1"/>
      <w:numFmt w:val="lowerRoman"/>
      <w:lvlText w:val="%6."/>
      <w:lvlJc w:val="right"/>
      <w:pPr>
        <w:ind w:left="4320" w:hanging="180"/>
      </w:pPr>
    </w:lvl>
    <w:lvl w:ilvl="6" w:tplc="C83674F8" w:tentative="1">
      <w:start w:val="1"/>
      <w:numFmt w:val="decimal"/>
      <w:lvlText w:val="%7."/>
      <w:lvlJc w:val="left"/>
      <w:pPr>
        <w:ind w:left="5040" w:hanging="360"/>
      </w:pPr>
    </w:lvl>
    <w:lvl w:ilvl="7" w:tplc="DE38AFC0" w:tentative="1">
      <w:start w:val="1"/>
      <w:numFmt w:val="lowerLetter"/>
      <w:lvlText w:val="%8."/>
      <w:lvlJc w:val="left"/>
      <w:pPr>
        <w:ind w:left="5760" w:hanging="360"/>
      </w:pPr>
    </w:lvl>
    <w:lvl w:ilvl="8" w:tplc="FF3AF9CC" w:tentative="1">
      <w:start w:val="1"/>
      <w:numFmt w:val="lowerRoman"/>
      <w:lvlText w:val="%9."/>
      <w:lvlJc w:val="right"/>
      <w:pPr>
        <w:ind w:left="6480" w:hanging="180"/>
      </w:pPr>
    </w:lvl>
  </w:abstractNum>
  <w:abstractNum w:abstractNumId="2">
    <w:nsid w:val="00000004"/>
    <w:multiLevelType w:val="hybridMultilevel"/>
    <w:tmpl w:val="7CB6E1C4"/>
    <w:lvl w:ilvl="0" w:tplc="E9FAAC32">
      <w:start w:val="1"/>
      <w:numFmt w:val="decimal"/>
      <w:pStyle w:val="DGTextstand-alonenumbering"/>
      <w:lvlText w:val="(%1)"/>
      <w:lvlJc w:val="left"/>
      <w:pPr>
        <w:ind w:left="720" w:hanging="360"/>
      </w:pPr>
      <w:rPr>
        <w:rFonts w:hint="default"/>
      </w:rPr>
    </w:lvl>
    <w:lvl w:ilvl="1" w:tplc="742AC8A2" w:tentative="1">
      <w:start w:val="1"/>
      <w:numFmt w:val="lowerLetter"/>
      <w:lvlText w:val="%2."/>
      <w:lvlJc w:val="left"/>
      <w:pPr>
        <w:ind w:left="1440" w:hanging="360"/>
      </w:pPr>
    </w:lvl>
    <w:lvl w:ilvl="2" w:tplc="6D60578C" w:tentative="1">
      <w:start w:val="1"/>
      <w:numFmt w:val="lowerRoman"/>
      <w:lvlText w:val="%3."/>
      <w:lvlJc w:val="right"/>
      <w:pPr>
        <w:ind w:left="2160" w:hanging="180"/>
      </w:pPr>
    </w:lvl>
    <w:lvl w:ilvl="3" w:tplc="2F02A508" w:tentative="1">
      <w:start w:val="1"/>
      <w:numFmt w:val="decimal"/>
      <w:lvlText w:val="%4."/>
      <w:lvlJc w:val="left"/>
      <w:pPr>
        <w:ind w:left="2880" w:hanging="360"/>
      </w:pPr>
    </w:lvl>
    <w:lvl w:ilvl="4" w:tplc="C1BCE84E" w:tentative="1">
      <w:start w:val="1"/>
      <w:numFmt w:val="lowerLetter"/>
      <w:lvlText w:val="%5."/>
      <w:lvlJc w:val="left"/>
      <w:pPr>
        <w:ind w:left="3600" w:hanging="360"/>
      </w:pPr>
    </w:lvl>
    <w:lvl w:ilvl="5" w:tplc="8B7E085E" w:tentative="1">
      <w:start w:val="1"/>
      <w:numFmt w:val="lowerRoman"/>
      <w:lvlText w:val="%6."/>
      <w:lvlJc w:val="right"/>
      <w:pPr>
        <w:ind w:left="4320" w:hanging="180"/>
      </w:pPr>
    </w:lvl>
    <w:lvl w:ilvl="6" w:tplc="59101754" w:tentative="1">
      <w:start w:val="1"/>
      <w:numFmt w:val="decimal"/>
      <w:lvlText w:val="%7."/>
      <w:lvlJc w:val="left"/>
      <w:pPr>
        <w:ind w:left="5040" w:hanging="360"/>
      </w:pPr>
    </w:lvl>
    <w:lvl w:ilvl="7" w:tplc="5FE8AD86" w:tentative="1">
      <w:start w:val="1"/>
      <w:numFmt w:val="lowerLetter"/>
      <w:lvlText w:val="%8."/>
      <w:lvlJc w:val="left"/>
      <w:pPr>
        <w:ind w:left="5760" w:hanging="360"/>
      </w:pPr>
    </w:lvl>
    <w:lvl w:ilvl="8" w:tplc="8C008034" w:tentative="1">
      <w:start w:val="1"/>
      <w:numFmt w:val="lowerRoman"/>
      <w:lvlText w:val="%9."/>
      <w:lvlJc w:val="right"/>
      <w:pPr>
        <w:ind w:left="6480" w:hanging="180"/>
      </w:pPr>
    </w:lvl>
  </w:abstractNum>
  <w:abstractNum w:abstractNumId="3">
    <w:nsid w:val="00000006"/>
    <w:multiLevelType w:val="hybridMultilevel"/>
    <w:tmpl w:val="42FC2B20"/>
    <w:lvl w:ilvl="0" w:tplc="E42AB348">
      <w:start w:val="1"/>
      <w:numFmt w:val="lowerRoman"/>
      <w:pStyle w:val="TextSubtitlenumberingRCItalic"/>
      <w:lvlText w:val="(%1)"/>
      <w:lvlJc w:val="left"/>
      <w:pPr>
        <w:ind w:left="720" w:hanging="360"/>
      </w:pPr>
      <w:rPr>
        <w:rFonts w:hint="default"/>
      </w:rPr>
    </w:lvl>
    <w:lvl w:ilvl="1" w:tplc="4F8069DC">
      <w:start w:val="1"/>
      <w:numFmt w:val="lowerLetter"/>
      <w:lvlText w:val="%2."/>
      <w:lvlJc w:val="left"/>
      <w:pPr>
        <w:ind w:left="1440" w:hanging="360"/>
      </w:pPr>
    </w:lvl>
    <w:lvl w:ilvl="2" w:tplc="9E7C8098" w:tentative="1">
      <w:start w:val="1"/>
      <w:numFmt w:val="lowerRoman"/>
      <w:lvlText w:val="%3."/>
      <w:lvlJc w:val="right"/>
      <w:pPr>
        <w:ind w:left="2160" w:hanging="180"/>
      </w:pPr>
    </w:lvl>
    <w:lvl w:ilvl="3" w:tplc="B202ABE0" w:tentative="1">
      <w:start w:val="1"/>
      <w:numFmt w:val="decimal"/>
      <w:lvlText w:val="%4."/>
      <w:lvlJc w:val="left"/>
      <w:pPr>
        <w:ind w:left="2880" w:hanging="360"/>
      </w:pPr>
    </w:lvl>
    <w:lvl w:ilvl="4" w:tplc="6478E6F2" w:tentative="1">
      <w:start w:val="1"/>
      <w:numFmt w:val="lowerLetter"/>
      <w:lvlText w:val="%5."/>
      <w:lvlJc w:val="left"/>
      <w:pPr>
        <w:ind w:left="3600" w:hanging="360"/>
      </w:pPr>
    </w:lvl>
    <w:lvl w:ilvl="5" w:tplc="587628CC" w:tentative="1">
      <w:start w:val="1"/>
      <w:numFmt w:val="lowerRoman"/>
      <w:lvlText w:val="%6."/>
      <w:lvlJc w:val="right"/>
      <w:pPr>
        <w:ind w:left="4320" w:hanging="180"/>
      </w:pPr>
    </w:lvl>
    <w:lvl w:ilvl="6" w:tplc="9028B78E" w:tentative="1">
      <w:start w:val="1"/>
      <w:numFmt w:val="decimal"/>
      <w:lvlText w:val="%7."/>
      <w:lvlJc w:val="left"/>
      <w:pPr>
        <w:ind w:left="5040" w:hanging="360"/>
      </w:pPr>
    </w:lvl>
    <w:lvl w:ilvl="7" w:tplc="37A40A6E" w:tentative="1">
      <w:start w:val="1"/>
      <w:numFmt w:val="lowerLetter"/>
      <w:lvlText w:val="%8."/>
      <w:lvlJc w:val="left"/>
      <w:pPr>
        <w:ind w:left="5760" w:hanging="360"/>
      </w:pPr>
    </w:lvl>
    <w:lvl w:ilvl="8" w:tplc="6ECCFD82" w:tentative="1">
      <w:start w:val="1"/>
      <w:numFmt w:val="lowerRoman"/>
      <w:lvlText w:val="%9."/>
      <w:lvlJc w:val="right"/>
      <w:pPr>
        <w:ind w:left="6480" w:hanging="180"/>
      </w:pPr>
    </w:lvl>
  </w:abstractNum>
  <w:abstractNum w:abstractNumId="4">
    <w:nsid w:val="00000007"/>
    <w:multiLevelType w:val="hybridMultilevel"/>
    <w:tmpl w:val="5DD0517A"/>
    <w:lvl w:ilvl="0" w:tplc="51B283C6">
      <w:start w:val="1"/>
      <w:numFmt w:val="lowerRoman"/>
      <w:pStyle w:val="TextstandalonenumberingRCJustified"/>
      <w:lvlText w:val="(%1)"/>
      <w:lvlJc w:val="left"/>
      <w:pPr>
        <w:tabs>
          <w:tab w:val="num" w:pos="0"/>
        </w:tabs>
        <w:ind w:left="107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highlight w:val="none"/>
        <w:u w:val="none"/>
        <w:effect w:val="none"/>
        <w:vertAlign w:val="baseline"/>
        <w:rtl w:val="0"/>
        <w:cs w:val="0"/>
        <w:specVanish w:val="0"/>
      </w:rPr>
    </w:lvl>
    <w:lvl w:ilvl="1" w:tplc="D44AB93E" w:tentative="1">
      <w:start w:val="1"/>
      <w:numFmt w:val="lowerLetter"/>
      <w:lvlText w:val="%2."/>
      <w:lvlJc w:val="left"/>
      <w:pPr>
        <w:ind w:left="1797" w:hanging="360"/>
      </w:pPr>
    </w:lvl>
    <w:lvl w:ilvl="2" w:tplc="18AE25E8" w:tentative="1">
      <w:start w:val="1"/>
      <w:numFmt w:val="lowerRoman"/>
      <w:lvlText w:val="%3."/>
      <w:lvlJc w:val="right"/>
      <w:pPr>
        <w:ind w:left="2517" w:hanging="180"/>
      </w:pPr>
    </w:lvl>
    <w:lvl w:ilvl="3" w:tplc="B9A0DB6A" w:tentative="1">
      <w:start w:val="1"/>
      <w:numFmt w:val="decimal"/>
      <w:lvlText w:val="%4."/>
      <w:lvlJc w:val="left"/>
      <w:pPr>
        <w:ind w:left="3237" w:hanging="360"/>
      </w:pPr>
    </w:lvl>
    <w:lvl w:ilvl="4" w:tplc="F3406536" w:tentative="1">
      <w:start w:val="1"/>
      <w:numFmt w:val="lowerLetter"/>
      <w:lvlText w:val="%5."/>
      <w:lvlJc w:val="left"/>
      <w:pPr>
        <w:ind w:left="3957" w:hanging="360"/>
      </w:pPr>
    </w:lvl>
    <w:lvl w:ilvl="5" w:tplc="64F6A1E4" w:tentative="1">
      <w:start w:val="1"/>
      <w:numFmt w:val="lowerRoman"/>
      <w:lvlText w:val="%6."/>
      <w:lvlJc w:val="right"/>
      <w:pPr>
        <w:ind w:left="4677" w:hanging="180"/>
      </w:pPr>
    </w:lvl>
    <w:lvl w:ilvl="6" w:tplc="39D2BDBC" w:tentative="1">
      <w:start w:val="1"/>
      <w:numFmt w:val="decimal"/>
      <w:lvlText w:val="%7."/>
      <w:lvlJc w:val="left"/>
      <w:pPr>
        <w:ind w:left="5397" w:hanging="360"/>
      </w:pPr>
    </w:lvl>
    <w:lvl w:ilvl="7" w:tplc="656E8D76" w:tentative="1">
      <w:start w:val="1"/>
      <w:numFmt w:val="lowerLetter"/>
      <w:lvlText w:val="%8."/>
      <w:lvlJc w:val="left"/>
      <w:pPr>
        <w:ind w:left="6117" w:hanging="360"/>
      </w:pPr>
    </w:lvl>
    <w:lvl w:ilvl="8" w:tplc="5A803540" w:tentative="1">
      <w:start w:val="1"/>
      <w:numFmt w:val="lowerRoman"/>
      <w:lvlText w:val="%9."/>
      <w:lvlJc w:val="right"/>
      <w:pPr>
        <w:ind w:left="6837" w:hanging="180"/>
      </w:pPr>
    </w:lvl>
  </w:abstractNum>
  <w:abstractNum w:abstractNumId="5">
    <w:nsid w:val="00000008"/>
    <w:multiLevelType w:val="multilevel"/>
    <w:tmpl w:val="9EC0C04E"/>
    <w:lvl w:ilvl="0">
      <w:start w:val="1"/>
      <w:numFmt w:val="lowerLetter"/>
      <w:pStyle w:val="TextSubtitleItalicnumberinglettera"/>
      <w:lvlText w:val="(%1)"/>
      <w:lvlJc w:val="left"/>
      <w:pPr>
        <w:ind w:left="0" w:firstLine="0"/>
      </w:pPr>
      <w:rPr>
        <w:rFonts w:ascii="Verdana" w:hAnsi="Verdana" w:hint="default"/>
        <w:b w:val="0"/>
        <w:i w:val="0"/>
        <w:iCs w:val="0"/>
        <w:caps w:val="0"/>
        <w:smallCaps w:val="0"/>
        <w:strike w:val="0"/>
        <w:dstrike w:val="0"/>
        <w:noProof w:val="0"/>
        <w:vanish w:val="0"/>
        <w:color w:val="auto"/>
        <w:spacing w:val="0"/>
        <w:position w:val="0"/>
        <w:sz w:val="18"/>
        <w:u w:val="none"/>
        <w:effect w:val="none"/>
        <w:vertAlign w:val="baseline"/>
        <w:specVanish w:val="0"/>
      </w:rPr>
    </w:lvl>
    <w:lvl w:ilvl="1">
      <w:start w:val="1"/>
      <w:numFmt w:val="decimal"/>
      <w:lvlText w:val="%1.%2"/>
      <w:lvlJc w:val="left"/>
      <w:pPr>
        <w:ind w:left="1440" w:hanging="1440"/>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2">
      <w:start w:val="1"/>
      <w:numFmt w:val="decimal"/>
      <w:lvlText w:val="%1.%2.%3."/>
      <w:lvlJc w:val="left"/>
      <w:pPr>
        <w:ind w:left="992" w:hanging="992"/>
      </w:pPr>
      <w:rPr>
        <w:rFonts w:cs="Times New Roman" w:hint="default"/>
        <w:b w:val="0"/>
        <w:bCs w:val="0"/>
        <w:i w:val="0"/>
        <w:iCs w:val="0"/>
        <w:caps w:val="0"/>
        <w:smallCaps w:val="0"/>
        <w:strike w:val="0"/>
        <w:dstrike w:val="0"/>
        <w:vanish w:val="0"/>
        <w:spacing w:val="0"/>
        <w:kern w:val="0"/>
        <w:position w:val="0"/>
        <w:u w:val="none"/>
        <w:effect w:val="none"/>
        <w:vertAlign w:val="baseli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2757792"/>
    <w:multiLevelType w:val="multilevel"/>
    <w:tmpl w:val="20141470"/>
    <w:lvl w:ilvl="0">
      <w:start w:val="1"/>
      <w:numFmt w:val="decimal"/>
      <w:pStyle w:val="HEADER1Part1"/>
      <w:isLgl/>
      <w:lvlText w:val="%1."/>
      <w:lvlJc w:val="left"/>
      <w:pPr>
        <w:ind w:left="907" w:hanging="907"/>
      </w:pPr>
      <w:rPr>
        <w:rFonts w:hint="default"/>
        <w:b/>
        <w:i w:val="0"/>
        <w:color w:val="016794"/>
        <w:sz w:val="32"/>
        <w:szCs w:val="28"/>
      </w:rPr>
    </w:lvl>
    <w:lvl w:ilvl="1">
      <w:start w:val="1"/>
      <w:numFmt w:val="decimal"/>
      <w:pStyle w:val="HEADER2Part1"/>
      <w:isLgl/>
      <w:lvlText w:val="%1.%2."/>
      <w:lvlJc w:val="left"/>
      <w:pPr>
        <w:ind w:left="907" w:hanging="907"/>
      </w:pPr>
      <w:rPr>
        <w:rFonts w:hint="default"/>
      </w:rPr>
    </w:lvl>
    <w:lvl w:ilvl="2">
      <w:start w:val="1"/>
      <w:numFmt w:val="decimal"/>
      <w:pStyle w:val="HEADER3Part1"/>
      <w:isLgl/>
      <w:lvlText w:val="%1.%2.%3."/>
      <w:lvlJc w:val="left"/>
      <w:pPr>
        <w:ind w:left="907" w:hanging="907"/>
      </w:pPr>
      <w:rPr>
        <w:rFonts w:hint="default"/>
      </w:rPr>
    </w:lvl>
    <w:lvl w:ilvl="3">
      <w:start w:val="1"/>
      <w:numFmt w:val="decimal"/>
      <w:isLgl/>
      <w:lvlText w:val="%1.%2.%3.%4."/>
      <w:lvlJc w:val="left"/>
      <w:pPr>
        <w:ind w:left="907"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98A3198"/>
    <w:multiLevelType w:val="hybridMultilevel"/>
    <w:tmpl w:val="A99C3C74"/>
    <w:lvl w:ilvl="0" w:tplc="16341C92">
      <w:start w:val="1"/>
      <w:numFmt w:val="decimal"/>
      <w:pStyle w:val="HEADER4Part3"/>
      <w:lvlText w:val="%1.1.1.1"/>
      <w:lvlJc w:val="left"/>
      <w:pPr>
        <w:ind w:left="720" w:hanging="360"/>
      </w:pPr>
      <w:rPr>
        <w:rFonts w:ascii="Verdana" w:hAnsi="Verdana" w:hint="default"/>
        <w:sz w:val="18"/>
        <w:szCs w:val="18"/>
      </w:rPr>
    </w:lvl>
    <w:lvl w:ilvl="1" w:tplc="55027E1C" w:tentative="1">
      <w:start w:val="1"/>
      <w:numFmt w:val="lowerLetter"/>
      <w:lvlText w:val="%2."/>
      <w:lvlJc w:val="left"/>
      <w:pPr>
        <w:ind w:left="1440" w:hanging="360"/>
      </w:pPr>
    </w:lvl>
    <w:lvl w:ilvl="2" w:tplc="7E76FC56" w:tentative="1">
      <w:start w:val="1"/>
      <w:numFmt w:val="lowerRoman"/>
      <w:lvlText w:val="%3."/>
      <w:lvlJc w:val="right"/>
      <w:pPr>
        <w:ind w:left="2160" w:hanging="180"/>
      </w:pPr>
    </w:lvl>
    <w:lvl w:ilvl="3" w:tplc="086C6B78">
      <w:start w:val="1"/>
      <w:numFmt w:val="decimal"/>
      <w:lvlText w:val="%4."/>
      <w:lvlJc w:val="left"/>
      <w:pPr>
        <w:ind w:left="2880" w:hanging="360"/>
      </w:pPr>
    </w:lvl>
    <w:lvl w:ilvl="4" w:tplc="4942F954" w:tentative="1">
      <w:start w:val="1"/>
      <w:numFmt w:val="lowerLetter"/>
      <w:lvlText w:val="%5."/>
      <w:lvlJc w:val="left"/>
      <w:pPr>
        <w:ind w:left="3600" w:hanging="360"/>
      </w:pPr>
    </w:lvl>
    <w:lvl w:ilvl="5" w:tplc="8E72295E" w:tentative="1">
      <w:start w:val="1"/>
      <w:numFmt w:val="lowerRoman"/>
      <w:lvlText w:val="%6."/>
      <w:lvlJc w:val="right"/>
      <w:pPr>
        <w:ind w:left="4320" w:hanging="180"/>
      </w:pPr>
    </w:lvl>
    <w:lvl w:ilvl="6" w:tplc="78DE3ADC" w:tentative="1">
      <w:start w:val="1"/>
      <w:numFmt w:val="decimal"/>
      <w:lvlText w:val="%7."/>
      <w:lvlJc w:val="left"/>
      <w:pPr>
        <w:ind w:left="5040" w:hanging="360"/>
      </w:pPr>
    </w:lvl>
    <w:lvl w:ilvl="7" w:tplc="70DAB7FE" w:tentative="1">
      <w:start w:val="1"/>
      <w:numFmt w:val="lowerLetter"/>
      <w:lvlText w:val="%8."/>
      <w:lvlJc w:val="left"/>
      <w:pPr>
        <w:ind w:left="5760" w:hanging="360"/>
      </w:pPr>
    </w:lvl>
    <w:lvl w:ilvl="8" w:tplc="19566A20" w:tentative="1">
      <w:start w:val="1"/>
      <w:numFmt w:val="lowerRoman"/>
      <w:lvlText w:val="%9."/>
      <w:lvlJc w:val="right"/>
      <w:pPr>
        <w:ind w:left="6480" w:hanging="180"/>
      </w:pPr>
    </w:lvl>
  </w:abstractNum>
  <w:abstractNum w:abstractNumId="8">
    <w:nsid w:val="0F3F1D52"/>
    <w:multiLevelType w:val="multilevel"/>
    <w:tmpl w:val="2A64B2D4"/>
    <w:lvl w:ilvl="0">
      <w:start w:val="1"/>
      <w:numFmt w:val="decimal"/>
      <w:pStyle w:val="HEADER1NOTES"/>
      <w:lvlText w:val="%1."/>
      <w:lvlJc w:val="left"/>
      <w:pPr>
        <w:ind w:left="907" w:hanging="907"/>
      </w:pPr>
      <w:rPr>
        <w:rFonts w:hint="default"/>
      </w:rPr>
    </w:lvl>
    <w:lvl w:ilvl="1">
      <w:start w:val="1"/>
      <w:numFmt w:val="decimal"/>
      <w:pStyle w:val="HEADER2NOTES"/>
      <w:lvlText w:val="%1.%2."/>
      <w:lvlJc w:val="left"/>
      <w:pPr>
        <w:ind w:left="907" w:hanging="907"/>
      </w:pPr>
      <w:rPr>
        <w:rFonts w:hint="default"/>
      </w:rPr>
    </w:lvl>
    <w:lvl w:ilvl="2">
      <w:start w:val="1"/>
      <w:numFmt w:val="decimal"/>
      <w:pStyle w:val="HEADER3NOTES"/>
      <w:lvlText w:val="%1.%2.%3."/>
      <w:lvlJc w:val="left"/>
      <w:pPr>
        <w:ind w:left="907" w:hanging="907"/>
      </w:pPr>
      <w:rPr>
        <w:rFonts w:hint="default"/>
      </w:rPr>
    </w:lvl>
    <w:lvl w:ilvl="3">
      <w:start w:val="1"/>
      <w:numFmt w:val="decimal"/>
      <w:pStyle w:val="HEADER4Part1"/>
      <w:lvlText w:val="%1.%2.%3.%4."/>
      <w:lvlJc w:val="left"/>
      <w:pPr>
        <w:ind w:left="907" w:hanging="907"/>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
    <w:nsid w:val="10FF3492"/>
    <w:multiLevelType w:val="multilevel"/>
    <w:tmpl w:val="3290469E"/>
    <w:lvl w:ilvl="0">
      <w:start w:val="1"/>
      <w:numFmt w:val="decimal"/>
      <w:pStyle w:val="HEADER1PartBUDG"/>
      <w:lvlText w:val="%1."/>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ER2PartBUDG"/>
      <w:lvlText w:val="%1.%2."/>
      <w:lvlJc w:val="left"/>
      <w:pPr>
        <w:ind w:left="360" w:hanging="360"/>
      </w:pPr>
      <w:rPr>
        <w:rFonts w:hint="default"/>
      </w:rPr>
    </w:lvl>
    <w:lvl w:ilvl="2">
      <w:start w:val="1"/>
      <w:numFmt w:val="decimal"/>
      <w:pStyle w:val="HEADER3PartBUGD"/>
      <w:lvlText w:val="%1.%2.%3."/>
      <w:lvlJc w:val="right"/>
      <w:pPr>
        <w:ind w:left="180" w:hanging="180"/>
      </w:pPr>
      <w:rPr>
        <w:rFonts w:hint="default"/>
      </w:rPr>
    </w:lvl>
    <w:lvl w:ilvl="3">
      <w:start w:val="1"/>
      <w:numFmt w:val="decimal"/>
      <w:pStyle w:val="HEADER4PartBUDG"/>
      <w:lvlText w:val="%1.%2.%3.%4."/>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199F1DAA"/>
    <w:multiLevelType w:val="hybridMultilevel"/>
    <w:tmpl w:val="1248AB5A"/>
    <w:lvl w:ilvl="0" w:tplc="FA88C15C">
      <w:start w:val="1"/>
      <w:numFmt w:val="decimal"/>
      <w:pStyle w:val="Textstand-alonenumberingJustified"/>
      <w:lvlText w:val="(%1)"/>
      <w:lvlJc w:val="left"/>
      <w:pPr>
        <w:ind w:left="720" w:hanging="360"/>
      </w:pPr>
      <w:rPr>
        <w:rFonts w:ascii="Verdana" w:hAnsi="Verdana" w:hint="default"/>
        <w:b w:val="0"/>
        <w:i w:val="0"/>
        <w:sz w:val="18"/>
      </w:rPr>
    </w:lvl>
    <w:lvl w:ilvl="1" w:tplc="994204A0" w:tentative="1">
      <w:start w:val="1"/>
      <w:numFmt w:val="lowerLetter"/>
      <w:lvlText w:val="%2."/>
      <w:lvlJc w:val="left"/>
      <w:pPr>
        <w:ind w:left="1440" w:hanging="360"/>
      </w:pPr>
    </w:lvl>
    <w:lvl w:ilvl="2" w:tplc="C688C436" w:tentative="1">
      <w:start w:val="1"/>
      <w:numFmt w:val="lowerRoman"/>
      <w:lvlText w:val="%3."/>
      <w:lvlJc w:val="right"/>
      <w:pPr>
        <w:ind w:left="2160" w:hanging="180"/>
      </w:pPr>
    </w:lvl>
    <w:lvl w:ilvl="3" w:tplc="D6A05432" w:tentative="1">
      <w:start w:val="1"/>
      <w:numFmt w:val="decimal"/>
      <w:lvlText w:val="%4."/>
      <w:lvlJc w:val="left"/>
      <w:pPr>
        <w:ind w:left="2880" w:hanging="360"/>
      </w:pPr>
    </w:lvl>
    <w:lvl w:ilvl="4" w:tplc="9E0EF8E0" w:tentative="1">
      <w:start w:val="1"/>
      <w:numFmt w:val="lowerLetter"/>
      <w:lvlText w:val="%5."/>
      <w:lvlJc w:val="left"/>
      <w:pPr>
        <w:ind w:left="3600" w:hanging="360"/>
      </w:pPr>
    </w:lvl>
    <w:lvl w:ilvl="5" w:tplc="6D2EEF64" w:tentative="1">
      <w:start w:val="1"/>
      <w:numFmt w:val="lowerRoman"/>
      <w:lvlText w:val="%6."/>
      <w:lvlJc w:val="right"/>
      <w:pPr>
        <w:ind w:left="4320" w:hanging="180"/>
      </w:pPr>
    </w:lvl>
    <w:lvl w:ilvl="6" w:tplc="8586FED0" w:tentative="1">
      <w:start w:val="1"/>
      <w:numFmt w:val="decimal"/>
      <w:lvlText w:val="%7."/>
      <w:lvlJc w:val="left"/>
      <w:pPr>
        <w:ind w:left="5040" w:hanging="360"/>
      </w:pPr>
    </w:lvl>
    <w:lvl w:ilvl="7" w:tplc="21C02AB4" w:tentative="1">
      <w:start w:val="1"/>
      <w:numFmt w:val="lowerLetter"/>
      <w:lvlText w:val="%8."/>
      <w:lvlJc w:val="left"/>
      <w:pPr>
        <w:ind w:left="5760" w:hanging="360"/>
      </w:pPr>
    </w:lvl>
    <w:lvl w:ilvl="8" w:tplc="96F006EA" w:tentative="1">
      <w:start w:val="1"/>
      <w:numFmt w:val="lowerRoman"/>
      <w:lvlText w:val="%9."/>
      <w:lvlJc w:val="right"/>
      <w:pPr>
        <w:ind w:left="6480" w:hanging="180"/>
      </w:pPr>
    </w:lvl>
  </w:abstractNum>
  <w:abstractNum w:abstractNumId="11">
    <w:nsid w:val="263169F2"/>
    <w:multiLevelType w:val="multilevel"/>
    <w:tmpl w:val="2BC217C8"/>
    <w:lvl w:ilvl="0">
      <w:start w:val="1"/>
      <w:numFmt w:val="decimal"/>
      <w:pStyle w:val="HEADER1Part2"/>
      <w:lvlText w:val="%1."/>
      <w:lvlJc w:val="left"/>
      <w:pPr>
        <w:ind w:left="907" w:hanging="907"/>
      </w:pPr>
      <w:rPr>
        <w:rFonts w:hint="default"/>
      </w:rPr>
    </w:lvl>
    <w:lvl w:ilvl="1">
      <w:start w:val="1"/>
      <w:numFmt w:val="decimal"/>
      <w:pStyle w:val="HEADER2Part2"/>
      <w:lvlText w:val="%1.%2."/>
      <w:lvlJc w:val="left"/>
      <w:pPr>
        <w:ind w:left="907" w:hanging="907"/>
      </w:pPr>
      <w:rPr>
        <w:rFonts w:hint="default"/>
      </w:rPr>
    </w:lvl>
    <w:lvl w:ilvl="2">
      <w:start w:val="1"/>
      <w:numFmt w:val="decimal"/>
      <w:pStyle w:val="HEADER3Part2"/>
      <w:lvlText w:val="%1.%2.%3."/>
      <w:lvlJc w:val="left"/>
      <w:pPr>
        <w:ind w:left="907" w:hanging="907"/>
      </w:pPr>
      <w:rPr>
        <w:rFonts w:hint="default"/>
      </w:rPr>
    </w:lvl>
    <w:lvl w:ilvl="3">
      <w:start w:val="1"/>
      <w:numFmt w:val="decimal"/>
      <w:pStyle w:val="HEADER4Part2"/>
      <w:lvlText w:val="%1.%2.%3.%4."/>
      <w:lvlJc w:val="left"/>
      <w:pPr>
        <w:ind w:left="907" w:hanging="907"/>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
    <w:nsid w:val="2DF123A2"/>
    <w:multiLevelType w:val="hybridMultilevel"/>
    <w:tmpl w:val="17543FC2"/>
    <w:lvl w:ilvl="0" w:tplc="F0A0C3D0">
      <w:start w:val="1"/>
      <w:numFmt w:val="decimal"/>
      <w:pStyle w:val="HEADER1Part4"/>
      <w:lvlText w:val="%1."/>
      <w:lvlJc w:val="left"/>
      <w:pPr>
        <w:ind w:left="360" w:hanging="360"/>
      </w:pPr>
    </w:lvl>
    <w:lvl w:ilvl="1" w:tplc="BF48E574" w:tentative="1">
      <w:start w:val="1"/>
      <w:numFmt w:val="lowerLetter"/>
      <w:lvlText w:val="%2."/>
      <w:lvlJc w:val="left"/>
      <w:pPr>
        <w:ind w:left="1080" w:hanging="360"/>
      </w:pPr>
    </w:lvl>
    <w:lvl w:ilvl="2" w:tplc="40D2082A" w:tentative="1">
      <w:start w:val="1"/>
      <w:numFmt w:val="lowerRoman"/>
      <w:lvlText w:val="%3."/>
      <w:lvlJc w:val="right"/>
      <w:pPr>
        <w:ind w:left="1800" w:hanging="180"/>
      </w:pPr>
    </w:lvl>
    <w:lvl w:ilvl="3" w:tplc="78A011F0" w:tentative="1">
      <w:start w:val="1"/>
      <w:numFmt w:val="decimal"/>
      <w:lvlText w:val="%4."/>
      <w:lvlJc w:val="left"/>
      <w:pPr>
        <w:ind w:left="2520" w:hanging="360"/>
      </w:pPr>
    </w:lvl>
    <w:lvl w:ilvl="4" w:tplc="92A8BFE8" w:tentative="1">
      <w:start w:val="1"/>
      <w:numFmt w:val="lowerLetter"/>
      <w:lvlText w:val="%5."/>
      <w:lvlJc w:val="left"/>
      <w:pPr>
        <w:ind w:left="3240" w:hanging="360"/>
      </w:pPr>
    </w:lvl>
    <w:lvl w:ilvl="5" w:tplc="9C40EE94" w:tentative="1">
      <w:start w:val="1"/>
      <w:numFmt w:val="lowerRoman"/>
      <w:lvlText w:val="%6."/>
      <w:lvlJc w:val="right"/>
      <w:pPr>
        <w:ind w:left="3960" w:hanging="180"/>
      </w:pPr>
    </w:lvl>
    <w:lvl w:ilvl="6" w:tplc="6160230E" w:tentative="1">
      <w:start w:val="1"/>
      <w:numFmt w:val="decimal"/>
      <w:lvlText w:val="%7."/>
      <w:lvlJc w:val="left"/>
      <w:pPr>
        <w:ind w:left="4680" w:hanging="360"/>
      </w:pPr>
    </w:lvl>
    <w:lvl w:ilvl="7" w:tplc="5BC86576" w:tentative="1">
      <w:start w:val="1"/>
      <w:numFmt w:val="lowerLetter"/>
      <w:lvlText w:val="%8."/>
      <w:lvlJc w:val="left"/>
      <w:pPr>
        <w:ind w:left="5400" w:hanging="360"/>
      </w:pPr>
    </w:lvl>
    <w:lvl w:ilvl="8" w:tplc="D668CF50" w:tentative="1">
      <w:start w:val="1"/>
      <w:numFmt w:val="lowerRoman"/>
      <w:lvlText w:val="%9."/>
      <w:lvlJc w:val="right"/>
      <w:pPr>
        <w:ind w:left="6120" w:hanging="180"/>
      </w:pPr>
    </w:lvl>
  </w:abstractNum>
  <w:abstractNum w:abstractNumId="13">
    <w:nsid w:val="31D31BBD"/>
    <w:multiLevelType w:val="hybridMultilevel"/>
    <w:tmpl w:val="AB545582"/>
    <w:lvl w:ilvl="0" w:tplc="285CBEAC">
      <w:start w:val="1"/>
      <w:numFmt w:val="bullet"/>
      <w:pStyle w:val="Textstand-alonebulletpointJustified"/>
      <w:lvlText w:val=""/>
      <w:lvlJc w:val="left"/>
      <w:pPr>
        <w:ind w:left="1080" w:hanging="360"/>
      </w:pPr>
      <w:rPr>
        <w:rFonts w:ascii="Verdana" w:hAnsi="Verdana" w:hint="default"/>
      </w:rPr>
    </w:lvl>
    <w:lvl w:ilvl="1" w:tplc="45B83436" w:tentative="1">
      <w:start w:val="1"/>
      <w:numFmt w:val="bullet"/>
      <w:lvlText w:val="o"/>
      <w:lvlJc w:val="left"/>
      <w:pPr>
        <w:ind w:left="1800" w:hanging="360"/>
      </w:pPr>
      <w:rPr>
        <w:rFonts w:ascii="Courier New" w:hAnsi="Courier New" w:cs="Courier New" w:hint="default"/>
      </w:rPr>
    </w:lvl>
    <w:lvl w:ilvl="2" w:tplc="86725430" w:tentative="1">
      <w:start w:val="1"/>
      <w:numFmt w:val="bullet"/>
      <w:lvlText w:val=""/>
      <w:lvlJc w:val="left"/>
      <w:pPr>
        <w:ind w:left="2520" w:hanging="360"/>
      </w:pPr>
      <w:rPr>
        <w:rFonts w:ascii="Wingdings" w:hAnsi="Wingdings" w:hint="default"/>
      </w:rPr>
    </w:lvl>
    <w:lvl w:ilvl="3" w:tplc="30E2AC92" w:tentative="1">
      <w:start w:val="1"/>
      <w:numFmt w:val="bullet"/>
      <w:lvlText w:val=""/>
      <w:lvlJc w:val="left"/>
      <w:pPr>
        <w:ind w:left="3240" w:hanging="360"/>
      </w:pPr>
      <w:rPr>
        <w:rFonts w:ascii="Symbol" w:hAnsi="Symbol" w:hint="default"/>
      </w:rPr>
    </w:lvl>
    <w:lvl w:ilvl="4" w:tplc="F496BA76" w:tentative="1">
      <w:start w:val="1"/>
      <w:numFmt w:val="bullet"/>
      <w:lvlText w:val="o"/>
      <w:lvlJc w:val="left"/>
      <w:pPr>
        <w:ind w:left="3960" w:hanging="360"/>
      </w:pPr>
      <w:rPr>
        <w:rFonts w:ascii="Courier New" w:hAnsi="Courier New" w:cs="Courier New" w:hint="default"/>
      </w:rPr>
    </w:lvl>
    <w:lvl w:ilvl="5" w:tplc="D5744E5A" w:tentative="1">
      <w:start w:val="1"/>
      <w:numFmt w:val="bullet"/>
      <w:lvlText w:val=""/>
      <w:lvlJc w:val="left"/>
      <w:pPr>
        <w:ind w:left="4680" w:hanging="360"/>
      </w:pPr>
      <w:rPr>
        <w:rFonts w:ascii="Wingdings" w:hAnsi="Wingdings" w:hint="default"/>
      </w:rPr>
    </w:lvl>
    <w:lvl w:ilvl="6" w:tplc="2FFE753A" w:tentative="1">
      <w:start w:val="1"/>
      <w:numFmt w:val="bullet"/>
      <w:lvlText w:val=""/>
      <w:lvlJc w:val="left"/>
      <w:pPr>
        <w:ind w:left="5400" w:hanging="360"/>
      </w:pPr>
      <w:rPr>
        <w:rFonts w:ascii="Symbol" w:hAnsi="Symbol" w:hint="default"/>
      </w:rPr>
    </w:lvl>
    <w:lvl w:ilvl="7" w:tplc="D4EE4D80" w:tentative="1">
      <w:start w:val="1"/>
      <w:numFmt w:val="bullet"/>
      <w:lvlText w:val="o"/>
      <w:lvlJc w:val="left"/>
      <w:pPr>
        <w:ind w:left="6120" w:hanging="360"/>
      </w:pPr>
      <w:rPr>
        <w:rFonts w:ascii="Courier New" w:hAnsi="Courier New" w:cs="Courier New" w:hint="default"/>
      </w:rPr>
    </w:lvl>
    <w:lvl w:ilvl="8" w:tplc="B776B7FA" w:tentative="1">
      <w:start w:val="1"/>
      <w:numFmt w:val="bullet"/>
      <w:lvlText w:val=""/>
      <w:lvlJc w:val="left"/>
      <w:pPr>
        <w:ind w:left="6840" w:hanging="360"/>
      </w:pPr>
      <w:rPr>
        <w:rFonts w:ascii="Wingdings" w:hAnsi="Wingdings" w:hint="default"/>
      </w:rPr>
    </w:lvl>
  </w:abstractNum>
  <w:abstractNum w:abstractNumId="14">
    <w:nsid w:val="468404C8"/>
    <w:multiLevelType w:val="hybridMultilevel"/>
    <w:tmpl w:val="51522B34"/>
    <w:lvl w:ilvl="0" w:tplc="4DBEE9CC">
      <w:start w:val="1"/>
      <w:numFmt w:val="lowerLetter"/>
      <w:lvlText w:val="%1)"/>
      <w:lvlJc w:val="left"/>
      <w:pPr>
        <w:ind w:left="720" w:hanging="360"/>
      </w:pPr>
    </w:lvl>
    <w:lvl w:ilvl="1" w:tplc="EDDCB0AC" w:tentative="1">
      <w:start w:val="1"/>
      <w:numFmt w:val="lowerLetter"/>
      <w:lvlText w:val="%2."/>
      <w:lvlJc w:val="left"/>
      <w:pPr>
        <w:ind w:left="1440" w:hanging="360"/>
      </w:pPr>
    </w:lvl>
    <w:lvl w:ilvl="2" w:tplc="27C88B60" w:tentative="1">
      <w:start w:val="1"/>
      <w:numFmt w:val="lowerRoman"/>
      <w:lvlText w:val="%3."/>
      <w:lvlJc w:val="right"/>
      <w:pPr>
        <w:ind w:left="2160" w:hanging="180"/>
      </w:pPr>
    </w:lvl>
    <w:lvl w:ilvl="3" w:tplc="6EAC3EA2" w:tentative="1">
      <w:start w:val="1"/>
      <w:numFmt w:val="decimal"/>
      <w:lvlText w:val="%4."/>
      <w:lvlJc w:val="left"/>
      <w:pPr>
        <w:ind w:left="2880" w:hanging="360"/>
      </w:pPr>
    </w:lvl>
    <w:lvl w:ilvl="4" w:tplc="3EF463BC" w:tentative="1">
      <w:start w:val="1"/>
      <w:numFmt w:val="lowerLetter"/>
      <w:lvlText w:val="%5."/>
      <w:lvlJc w:val="left"/>
      <w:pPr>
        <w:ind w:left="3600" w:hanging="360"/>
      </w:pPr>
    </w:lvl>
    <w:lvl w:ilvl="5" w:tplc="7C0A0346" w:tentative="1">
      <w:start w:val="1"/>
      <w:numFmt w:val="lowerRoman"/>
      <w:lvlText w:val="%6."/>
      <w:lvlJc w:val="right"/>
      <w:pPr>
        <w:ind w:left="4320" w:hanging="180"/>
      </w:pPr>
    </w:lvl>
    <w:lvl w:ilvl="6" w:tplc="09D8E80E" w:tentative="1">
      <w:start w:val="1"/>
      <w:numFmt w:val="decimal"/>
      <w:lvlText w:val="%7."/>
      <w:lvlJc w:val="left"/>
      <w:pPr>
        <w:ind w:left="5040" w:hanging="360"/>
      </w:pPr>
    </w:lvl>
    <w:lvl w:ilvl="7" w:tplc="FC84FDBC" w:tentative="1">
      <w:start w:val="1"/>
      <w:numFmt w:val="lowerLetter"/>
      <w:lvlText w:val="%8."/>
      <w:lvlJc w:val="left"/>
      <w:pPr>
        <w:ind w:left="5760" w:hanging="360"/>
      </w:pPr>
    </w:lvl>
    <w:lvl w:ilvl="8" w:tplc="AA1A10F4" w:tentative="1">
      <w:start w:val="1"/>
      <w:numFmt w:val="lowerRoman"/>
      <w:lvlText w:val="%9."/>
      <w:lvlJc w:val="right"/>
      <w:pPr>
        <w:ind w:left="6480" w:hanging="180"/>
      </w:pPr>
    </w:lvl>
  </w:abstractNum>
  <w:abstractNum w:abstractNumId="15">
    <w:nsid w:val="48AC237C"/>
    <w:multiLevelType w:val="hybridMultilevel"/>
    <w:tmpl w:val="25BE3B7A"/>
    <w:lvl w:ilvl="0" w:tplc="AF3AE9CC">
      <w:start w:val="1"/>
      <w:numFmt w:val="lowerRoman"/>
      <w:lvlText w:val="%1."/>
      <w:lvlJc w:val="right"/>
      <w:pPr>
        <w:ind w:left="720" w:hanging="360"/>
      </w:pPr>
    </w:lvl>
    <w:lvl w:ilvl="1" w:tplc="C05050EE" w:tentative="1">
      <w:start w:val="1"/>
      <w:numFmt w:val="lowerLetter"/>
      <w:lvlText w:val="%2."/>
      <w:lvlJc w:val="left"/>
      <w:pPr>
        <w:ind w:left="1440" w:hanging="360"/>
      </w:pPr>
    </w:lvl>
    <w:lvl w:ilvl="2" w:tplc="4DEA95CC" w:tentative="1">
      <w:start w:val="1"/>
      <w:numFmt w:val="lowerRoman"/>
      <w:lvlText w:val="%3."/>
      <w:lvlJc w:val="right"/>
      <w:pPr>
        <w:ind w:left="2160" w:hanging="180"/>
      </w:pPr>
    </w:lvl>
    <w:lvl w:ilvl="3" w:tplc="5402663E" w:tentative="1">
      <w:start w:val="1"/>
      <w:numFmt w:val="decimal"/>
      <w:lvlText w:val="%4."/>
      <w:lvlJc w:val="left"/>
      <w:pPr>
        <w:ind w:left="2880" w:hanging="360"/>
      </w:pPr>
    </w:lvl>
    <w:lvl w:ilvl="4" w:tplc="B3DCB702" w:tentative="1">
      <w:start w:val="1"/>
      <w:numFmt w:val="lowerLetter"/>
      <w:lvlText w:val="%5."/>
      <w:lvlJc w:val="left"/>
      <w:pPr>
        <w:ind w:left="3600" w:hanging="360"/>
      </w:pPr>
    </w:lvl>
    <w:lvl w:ilvl="5" w:tplc="351250C4" w:tentative="1">
      <w:start w:val="1"/>
      <w:numFmt w:val="lowerRoman"/>
      <w:lvlText w:val="%6."/>
      <w:lvlJc w:val="right"/>
      <w:pPr>
        <w:ind w:left="4320" w:hanging="180"/>
      </w:pPr>
    </w:lvl>
    <w:lvl w:ilvl="6" w:tplc="F9480A06" w:tentative="1">
      <w:start w:val="1"/>
      <w:numFmt w:val="decimal"/>
      <w:lvlText w:val="%7."/>
      <w:lvlJc w:val="left"/>
      <w:pPr>
        <w:ind w:left="5040" w:hanging="360"/>
      </w:pPr>
    </w:lvl>
    <w:lvl w:ilvl="7" w:tplc="CB228DA8" w:tentative="1">
      <w:start w:val="1"/>
      <w:numFmt w:val="lowerLetter"/>
      <w:lvlText w:val="%8."/>
      <w:lvlJc w:val="left"/>
      <w:pPr>
        <w:ind w:left="5760" w:hanging="360"/>
      </w:pPr>
    </w:lvl>
    <w:lvl w:ilvl="8" w:tplc="D318F5CC" w:tentative="1">
      <w:start w:val="1"/>
      <w:numFmt w:val="lowerRoman"/>
      <w:lvlText w:val="%9."/>
      <w:lvlJc w:val="right"/>
      <w:pPr>
        <w:ind w:left="6480" w:hanging="180"/>
      </w:pPr>
    </w:lvl>
  </w:abstractNum>
  <w:abstractNum w:abstractNumId="16">
    <w:nsid w:val="4F6804A1"/>
    <w:multiLevelType w:val="hybridMultilevel"/>
    <w:tmpl w:val="BFF0D1CA"/>
    <w:lvl w:ilvl="0" w:tplc="0F32308A">
      <w:start w:val="1"/>
      <w:numFmt w:val="bullet"/>
      <w:lvlText w:val=""/>
      <w:lvlJc w:val="left"/>
      <w:pPr>
        <w:ind w:left="720" w:hanging="360"/>
      </w:pPr>
      <w:rPr>
        <w:rFonts w:ascii="Symbol" w:hAnsi="Symbol" w:hint="default"/>
      </w:rPr>
    </w:lvl>
    <w:lvl w:ilvl="1" w:tplc="7A8A828A" w:tentative="1">
      <w:start w:val="1"/>
      <w:numFmt w:val="bullet"/>
      <w:lvlText w:val="o"/>
      <w:lvlJc w:val="left"/>
      <w:pPr>
        <w:ind w:left="1440" w:hanging="360"/>
      </w:pPr>
      <w:rPr>
        <w:rFonts w:ascii="Courier New" w:hAnsi="Courier New" w:cs="Courier New" w:hint="default"/>
      </w:rPr>
    </w:lvl>
    <w:lvl w:ilvl="2" w:tplc="685C0C80" w:tentative="1">
      <w:start w:val="1"/>
      <w:numFmt w:val="bullet"/>
      <w:lvlText w:val=""/>
      <w:lvlJc w:val="left"/>
      <w:pPr>
        <w:ind w:left="2160" w:hanging="360"/>
      </w:pPr>
      <w:rPr>
        <w:rFonts w:ascii="Wingdings" w:hAnsi="Wingdings" w:hint="default"/>
      </w:rPr>
    </w:lvl>
    <w:lvl w:ilvl="3" w:tplc="CF60163A" w:tentative="1">
      <w:start w:val="1"/>
      <w:numFmt w:val="bullet"/>
      <w:lvlText w:val=""/>
      <w:lvlJc w:val="left"/>
      <w:pPr>
        <w:ind w:left="2880" w:hanging="360"/>
      </w:pPr>
      <w:rPr>
        <w:rFonts w:ascii="Symbol" w:hAnsi="Symbol" w:hint="default"/>
      </w:rPr>
    </w:lvl>
    <w:lvl w:ilvl="4" w:tplc="F54E6548" w:tentative="1">
      <w:start w:val="1"/>
      <w:numFmt w:val="bullet"/>
      <w:lvlText w:val="o"/>
      <w:lvlJc w:val="left"/>
      <w:pPr>
        <w:ind w:left="3600" w:hanging="360"/>
      </w:pPr>
      <w:rPr>
        <w:rFonts w:ascii="Courier New" w:hAnsi="Courier New" w:cs="Courier New" w:hint="default"/>
      </w:rPr>
    </w:lvl>
    <w:lvl w:ilvl="5" w:tplc="D5D03288" w:tentative="1">
      <w:start w:val="1"/>
      <w:numFmt w:val="bullet"/>
      <w:lvlText w:val=""/>
      <w:lvlJc w:val="left"/>
      <w:pPr>
        <w:ind w:left="4320" w:hanging="360"/>
      </w:pPr>
      <w:rPr>
        <w:rFonts w:ascii="Wingdings" w:hAnsi="Wingdings" w:hint="default"/>
      </w:rPr>
    </w:lvl>
    <w:lvl w:ilvl="6" w:tplc="F476DAAE" w:tentative="1">
      <w:start w:val="1"/>
      <w:numFmt w:val="bullet"/>
      <w:lvlText w:val=""/>
      <w:lvlJc w:val="left"/>
      <w:pPr>
        <w:ind w:left="5040" w:hanging="360"/>
      </w:pPr>
      <w:rPr>
        <w:rFonts w:ascii="Symbol" w:hAnsi="Symbol" w:hint="default"/>
      </w:rPr>
    </w:lvl>
    <w:lvl w:ilvl="7" w:tplc="07F24946" w:tentative="1">
      <w:start w:val="1"/>
      <w:numFmt w:val="bullet"/>
      <w:lvlText w:val="o"/>
      <w:lvlJc w:val="left"/>
      <w:pPr>
        <w:ind w:left="5760" w:hanging="360"/>
      </w:pPr>
      <w:rPr>
        <w:rFonts w:ascii="Courier New" w:hAnsi="Courier New" w:cs="Courier New" w:hint="default"/>
      </w:rPr>
    </w:lvl>
    <w:lvl w:ilvl="8" w:tplc="8054978A" w:tentative="1">
      <w:start w:val="1"/>
      <w:numFmt w:val="bullet"/>
      <w:lvlText w:val=""/>
      <w:lvlJc w:val="left"/>
      <w:pPr>
        <w:ind w:left="6480" w:hanging="360"/>
      </w:pPr>
      <w:rPr>
        <w:rFonts w:ascii="Wingdings" w:hAnsi="Wingdings" w:hint="default"/>
      </w:rPr>
    </w:lvl>
  </w:abstractNum>
  <w:abstractNum w:abstractNumId="17">
    <w:nsid w:val="5EA07653"/>
    <w:multiLevelType w:val="hybridMultilevel"/>
    <w:tmpl w:val="549C48F2"/>
    <w:lvl w:ilvl="0" w:tplc="86CA5A9C">
      <w:start w:val="1"/>
      <w:numFmt w:val="bullet"/>
      <w:pStyle w:val="Textstand-aloneBulletpoint"/>
      <w:lvlText w:val="-"/>
      <w:lvlJc w:val="left"/>
      <w:pPr>
        <w:ind w:left="1080" w:hanging="360"/>
      </w:pPr>
      <w:rPr>
        <w:rFonts w:ascii="Verdana" w:hAnsi="Verdana" w:hint="default"/>
      </w:rPr>
    </w:lvl>
    <w:lvl w:ilvl="1" w:tplc="72C6AABA" w:tentative="1">
      <w:start w:val="1"/>
      <w:numFmt w:val="bullet"/>
      <w:lvlText w:val="o"/>
      <w:lvlJc w:val="left"/>
      <w:pPr>
        <w:ind w:left="1800" w:hanging="360"/>
      </w:pPr>
      <w:rPr>
        <w:rFonts w:ascii="Courier New" w:hAnsi="Courier New" w:cs="Courier New" w:hint="default"/>
      </w:rPr>
    </w:lvl>
    <w:lvl w:ilvl="2" w:tplc="3A0093CA" w:tentative="1">
      <w:start w:val="1"/>
      <w:numFmt w:val="bullet"/>
      <w:lvlText w:val=""/>
      <w:lvlJc w:val="left"/>
      <w:pPr>
        <w:ind w:left="2520" w:hanging="360"/>
      </w:pPr>
      <w:rPr>
        <w:rFonts w:ascii="Wingdings" w:hAnsi="Wingdings" w:hint="default"/>
      </w:rPr>
    </w:lvl>
    <w:lvl w:ilvl="3" w:tplc="31BEA36C" w:tentative="1">
      <w:start w:val="1"/>
      <w:numFmt w:val="bullet"/>
      <w:lvlText w:val=""/>
      <w:lvlJc w:val="left"/>
      <w:pPr>
        <w:ind w:left="3240" w:hanging="360"/>
      </w:pPr>
      <w:rPr>
        <w:rFonts w:ascii="Symbol" w:hAnsi="Symbol" w:hint="default"/>
      </w:rPr>
    </w:lvl>
    <w:lvl w:ilvl="4" w:tplc="D65ADE36" w:tentative="1">
      <w:start w:val="1"/>
      <w:numFmt w:val="bullet"/>
      <w:lvlText w:val="o"/>
      <w:lvlJc w:val="left"/>
      <w:pPr>
        <w:ind w:left="3960" w:hanging="360"/>
      </w:pPr>
      <w:rPr>
        <w:rFonts w:ascii="Courier New" w:hAnsi="Courier New" w:cs="Courier New" w:hint="default"/>
      </w:rPr>
    </w:lvl>
    <w:lvl w:ilvl="5" w:tplc="398C3A98" w:tentative="1">
      <w:start w:val="1"/>
      <w:numFmt w:val="bullet"/>
      <w:lvlText w:val=""/>
      <w:lvlJc w:val="left"/>
      <w:pPr>
        <w:ind w:left="4680" w:hanging="360"/>
      </w:pPr>
      <w:rPr>
        <w:rFonts w:ascii="Wingdings" w:hAnsi="Wingdings" w:hint="default"/>
      </w:rPr>
    </w:lvl>
    <w:lvl w:ilvl="6" w:tplc="23828AF4" w:tentative="1">
      <w:start w:val="1"/>
      <w:numFmt w:val="bullet"/>
      <w:lvlText w:val=""/>
      <w:lvlJc w:val="left"/>
      <w:pPr>
        <w:ind w:left="5400" w:hanging="360"/>
      </w:pPr>
      <w:rPr>
        <w:rFonts w:ascii="Symbol" w:hAnsi="Symbol" w:hint="default"/>
      </w:rPr>
    </w:lvl>
    <w:lvl w:ilvl="7" w:tplc="5AD06E9C" w:tentative="1">
      <w:start w:val="1"/>
      <w:numFmt w:val="bullet"/>
      <w:lvlText w:val="o"/>
      <w:lvlJc w:val="left"/>
      <w:pPr>
        <w:ind w:left="6120" w:hanging="360"/>
      </w:pPr>
      <w:rPr>
        <w:rFonts w:ascii="Courier New" w:hAnsi="Courier New" w:cs="Courier New" w:hint="default"/>
      </w:rPr>
    </w:lvl>
    <w:lvl w:ilvl="8" w:tplc="C144001E" w:tentative="1">
      <w:start w:val="1"/>
      <w:numFmt w:val="bullet"/>
      <w:lvlText w:val=""/>
      <w:lvlJc w:val="left"/>
      <w:pPr>
        <w:ind w:left="6840" w:hanging="360"/>
      </w:pPr>
      <w:rPr>
        <w:rFonts w:ascii="Wingdings" w:hAnsi="Wingdings" w:hint="default"/>
      </w:rPr>
    </w:lvl>
  </w:abstractNum>
  <w:abstractNum w:abstractNumId="18">
    <w:nsid w:val="6189026D"/>
    <w:multiLevelType w:val="hybridMultilevel"/>
    <w:tmpl w:val="3EC20C2E"/>
    <w:lvl w:ilvl="0" w:tplc="3AB82A56">
      <w:start w:val="1"/>
      <w:numFmt w:val="bullet"/>
      <w:lvlText w:val=""/>
      <w:lvlJc w:val="left"/>
      <w:pPr>
        <w:ind w:left="720" w:hanging="360"/>
      </w:pPr>
      <w:rPr>
        <w:rFonts w:ascii="Symbol" w:hAnsi="Symbol" w:hint="default"/>
      </w:rPr>
    </w:lvl>
    <w:lvl w:ilvl="1" w:tplc="73AE49EC" w:tentative="1">
      <w:start w:val="1"/>
      <w:numFmt w:val="bullet"/>
      <w:lvlText w:val="o"/>
      <w:lvlJc w:val="left"/>
      <w:pPr>
        <w:ind w:left="1440" w:hanging="360"/>
      </w:pPr>
      <w:rPr>
        <w:rFonts w:ascii="Courier New" w:hAnsi="Courier New" w:cs="Courier New" w:hint="default"/>
      </w:rPr>
    </w:lvl>
    <w:lvl w:ilvl="2" w:tplc="4FCCBF40" w:tentative="1">
      <w:start w:val="1"/>
      <w:numFmt w:val="bullet"/>
      <w:lvlText w:val=""/>
      <w:lvlJc w:val="left"/>
      <w:pPr>
        <w:ind w:left="2160" w:hanging="360"/>
      </w:pPr>
      <w:rPr>
        <w:rFonts w:ascii="Wingdings" w:hAnsi="Wingdings" w:hint="default"/>
      </w:rPr>
    </w:lvl>
    <w:lvl w:ilvl="3" w:tplc="966419DA" w:tentative="1">
      <w:start w:val="1"/>
      <w:numFmt w:val="bullet"/>
      <w:lvlText w:val=""/>
      <w:lvlJc w:val="left"/>
      <w:pPr>
        <w:ind w:left="2880" w:hanging="360"/>
      </w:pPr>
      <w:rPr>
        <w:rFonts w:ascii="Symbol" w:hAnsi="Symbol" w:hint="default"/>
      </w:rPr>
    </w:lvl>
    <w:lvl w:ilvl="4" w:tplc="14545252" w:tentative="1">
      <w:start w:val="1"/>
      <w:numFmt w:val="bullet"/>
      <w:lvlText w:val="o"/>
      <w:lvlJc w:val="left"/>
      <w:pPr>
        <w:ind w:left="3600" w:hanging="360"/>
      </w:pPr>
      <w:rPr>
        <w:rFonts w:ascii="Courier New" w:hAnsi="Courier New" w:cs="Courier New" w:hint="default"/>
      </w:rPr>
    </w:lvl>
    <w:lvl w:ilvl="5" w:tplc="72D61732" w:tentative="1">
      <w:start w:val="1"/>
      <w:numFmt w:val="bullet"/>
      <w:lvlText w:val=""/>
      <w:lvlJc w:val="left"/>
      <w:pPr>
        <w:ind w:left="4320" w:hanging="360"/>
      </w:pPr>
      <w:rPr>
        <w:rFonts w:ascii="Wingdings" w:hAnsi="Wingdings" w:hint="default"/>
      </w:rPr>
    </w:lvl>
    <w:lvl w:ilvl="6" w:tplc="23B42514" w:tentative="1">
      <w:start w:val="1"/>
      <w:numFmt w:val="bullet"/>
      <w:lvlText w:val=""/>
      <w:lvlJc w:val="left"/>
      <w:pPr>
        <w:ind w:left="5040" w:hanging="360"/>
      </w:pPr>
      <w:rPr>
        <w:rFonts w:ascii="Symbol" w:hAnsi="Symbol" w:hint="default"/>
      </w:rPr>
    </w:lvl>
    <w:lvl w:ilvl="7" w:tplc="D666A37A" w:tentative="1">
      <w:start w:val="1"/>
      <w:numFmt w:val="bullet"/>
      <w:lvlText w:val="o"/>
      <w:lvlJc w:val="left"/>
      <w:pPr>
        <w:ind w:left="5760" w:hanging="360"/>
      </w:pPr>
      <w:rPr>
        <w:rFonts w:ascii="Courier New" w:hAnsi="Courier New" w:cs="Courier New" w:hint="default"/>
      </w:rPr>
    </w:lvl>
    <w:lvl w:ilvl="8" w:tplc="169CC034" w:tentative="1">
      <w:start w:val="1"/>
      <w:numFmt w:val="bullet"/>
      <w:lvlText w:val=""/>
      <w:lvlJc w:val="left"/>
      <w:pPr>
        <w:ind w:left="6480" w:hanging="360"/>
      </w:pPr>
      <w:rPr>
        <w:rFonts w:ascii="Wingdings" w:hAnsi="Wingdings" w:hint="default"/>
      </w:rPr>
    </w:lvl>
  </w:abstractNum>
  <w:abstractNum w:abstractNumId="19">
    <w:nsid w:val="65581FE3"/>
    <w:multiLevelType w:val="hybridMultilevel"/>
    <w:tmpl w:val="1968F41E"/>
    <w:lvl w:ilvl="0" w:tplc="EB20B6D4">
      <w:start w:val="1"/>
      <w:numFmt w:val="bullet"/>
      <w:lvlText w:val="-"/>
      <w:lvlJc w:val="left"/>
      <w:pPr>
        <w:ind w:left="1080" w:hanging="360"/>
      </w:pPr>
      <w:rPr>
        <w:rFonts w:ascii="Verdana" w:hAnsi="Verdana" w:hint="default"/>
      </w:rPr>
    </w:lvl>
    <w:lvl w:ilvl="1" w:tplc="7E1A4326" w:tentative="1">
      <w:start w:val="1"/>
      <w:numFmt w:val="bullet"/>
      <w:lvlText w:val="o"/>
      <w:lvlJc w:val="left"/>
      <w:pPr>
        <w:ind w:left="1800" w:hanging="360"/>
      </w:pPr>
      <w:rPr>
        <w:rFonts w:ascii="Courier New" w:hAnsi="Courier New" w:cs="Courier New" w:hint="default"/>
      </w:rPr>
    </w:lvl>
    <w:lvl w:ilvl="2" w:tplc="9B1881E4" w:tentative="1">
      <w:start w:val="1"/>
      <w:numFmt w:val="bullet"/>
      <w:lvlText w:val=""/>
      <w:lvlJc w:val="left"/>
      <w:pPr>
        <w:ind w:left="2520" w:hanging="360"/>
      </w:pPr>
      <w:rPr>
        <w:rFonts w:ascii="Wingdings" w:hAnsi="Wingdings" w:hint="default"/>
      </w:rPr>
    </w:lvl>
    <w:lvl w:ilvl="3" w:tplc="A6CA316E" w:tentative="1">
      <w:start w:val="1"/>
      <w:numFmt w:val="bullet"/>
      <w:lvlText w:val=""/>
      <w:lvlJc w:val="left"/>
      <w:pPr>
        <w:ind w:left="3240" w:hanging="360"/>
      </w:pPr>
      <w:rPr>
        <w:rFonts w:ascii="Symbol" w:hAnsi="Symbol" w:hint="default"/>
      </w:rPr>
    </w:lvl>
    <w:lvl w:ilvl="4" w:tplc="A2C29ACC" w:tentative="1">
      <w:start w:val="1"/>
      <w:numFmt w:val="bullet"/>
      <w:lvlText w:val="o"/>
      <w:lvlJc w:val="left"/>
      <w:pPr>
        <w:ind w:left="3960" w:hanging="360"/>
      </w:pPr>
      <w:rPr>
        <w:rFonts w:ascii="Courier New" w:hAnsi="Courier New" w:cs="Courier New" w:hint="default"/>
      </w:rPr>
    </w:lvl>
    <w:lvl w:ilvl="5" w:tplc="0D82B6E4" w:tentative="1">
      <w:start w:val="1"/>
      <w:numFmt w:val="bullet"/>
      <w:lvlText w:val=""/>
      <w:lvlJc w:val="left"/>
      <w:pPr>
        <w:ind w:left="4680" w:hanging="360"/>
      </w:pPr>
      <w:rPr>
        <w:rFonts w:ascii="Wingdings" w:hAnsi="Wingdings" w:hint="default"/>
      </w:rPr>
    </w:lvl>
    <w:lvl w:ilvl="6" w:tplc="E4D6773A" w:tentative="1">
      <w:start w:val="1"/>
      <w:numFmt w:val="bullet"/>
      <w:lvlText w:val=""/>
      <w:lvlJc w:val="left"/>
      <w:pPr>
        <w:ind w:left="5400" w:hanging="360"/>
      </w:pPr>
      <w:rPr>
        <w:rFonts w:ascii="Symbol" w:hAnsi="Symbol" w:hint="default"/>
      </w:rPr>
    </w:lvl>
    <w:lvl w:ilvl="7" w:tplc="8F6ED03C" w:tentative="1">
      <w:start w:val="1"/>
      <w:numFmt w:val="bullet"/>
      <w:lvlText w:val="o"/>
      <w:lvlJc w:val="left"/>
      <w:pPr>
        <w:ind w:left="6120" w:hanging="360"/>
      </w:pPr>
      <w:rPr>
        <w:rFonts w:ascii="Courier New" w:hAnsi="Courier New" w:cs="Courier New" w:hint="default"/>
      </w:rPr>
    </w:lvl>
    <w:lvl w:ilvl="8" w:tplc="1810A032" w:tentative="1">
      <w:start w:val="1"/>
      <w:numFmt w:val="bullet"/>
      <w:lvlText w:val=""/>
      <w:lvlJc w:val="left"/>
      <w:pPr>
        <w:ind w:left="6840" w:hanging="360"/>
      </w:pPr>
      <w:rPr>
        <w:rFonts w:ascii="Wingdings" w:hAnsi="Wingdings" w:hint="default"/>
      </w:rPr>
    </w:lvl>
  </w:abstractNum>
  <w:abstractNum w:abstractNumId="20">
    <w:nsid w:val="6F351A53"/>
    <w:multiLevelType w:val="hybridMultilevel"/>
    <w:tmpl w:val="A22E4046"/>
    <w:lvl w:ilvl="0" w:tplc="221E6566">
      <w:start w:val="1"/>
      <w:numFmt w:val="lowerRoman"/>
      <w:pStyle w:val="Textstand-alonenumberingRCIndentJustified"/>
      <w:lvlText w:val="(%1)"/>
      <w:lvlJc w:val="left"/>
      <w:pPr>
        <w:ind w:left="720" w:hanging="360"/>
      </w:pPr>
      <w:rPr>
        <w:rFonts w:hint="default"/>
      </w:rPr>
    </w:lvl>
    <w:lvl w:ilvl="1" w:tplc="84C639EC" w:tentative="1">
      <w:start w:val="1"/>
      <w:numFmt w:val="lowerLetter"/>
      <w:lvlText w:val="%2."/>
      <w:lvlJc w:val="left"/>
      <w:pPr>
        <w:ind w:left="1440" w:hanging="360"/>
      </w:pPr>
    </w:lvl>
    <w:lvl w:ilvl="2" w:tplc="77AA3FE2" w:tentative="1">
      <w:start w:val="1"/>
      <w:numFmt w:val="lowerRoman"/>
      <w:lvlText w:val="%3."/>
      <w:lvlJc w:val="right"/>
      <w:pPr>
        <w:ind w:left="2160" w:hanging="180"/>
      </w:pPr>
    </w:lvl>
    <w:lvl w:ilvl="3" w:tplc="10D8A9EA" w:tentative="1">
      <w:start w:val="1"/>
      <w:numFmt w:val="decimal"/>
      <w:lvlText w:val="%4."/>
      <w:lvlJc w:val="left"/>
      <w:pPr>
        <w:ind w:left="2880" w:hanging="360"/>
      </w:pPr>
    </w:lvl>
    <w:lvl w:ilvl="4" w:tplc="129EBA04" w:tentative="1">
      <w:start w:val="1"/>
      <w:numFmt w:val="lowerLetter"/>
      <w:lvlText w:val="%5."/>
      <w:lvlJc w:val="left"/>
      <w:pPr>
        <w:ind w:left="3600" w:hanging="360"/>
      </w:pPr>
    </w:lvl>
    <w:lvl w:ilvl="5" w:tplc="A34C25EC" w:tentative="1">
      <w:start w:val="1"/>
      <w:numFmt w:val="lowerRoman"/>
      <w:lvlText w:val="%6."/>
      <w:lvlJc w:val="right"/>
      <w:pPr>
        <w:ind w:left="4320" w:hanging="180"/>
      </w:pPr>
    </w:lvl>
    <w:lvl w:ilvl="6" w:tplc="4D5C2C58" w:tentative="1">
      <w:start w:val="1"/>
      <w:numFmt w:val="decimal"/>
      <w:lvlText w:val="%7."/>
      <w:lvlJc w:val="left"/>
      <w:pPr>
        <w:ind w:left="5040" w:hanging="360"/>
      </w:pPr>
    </w:lvl>
    <w:lvl w:ilvl="7" w:tplc="77C05B26" w:tentative="1">
      <w:start w:val="1"/>
      <w:numFmt w:val="lowerLetter"/>
      <w:lvlText w:val="%8."/>
      <w:lvlJc w:val="left"/>
      <w:pPr>
        <w:ind w:left="5760" w:hanging="360"/>
      </w:pPr>
    </w:lvl>
    <w:lvl w:ilvl="8" w:tplc="4FD65BBC" w:tentative="1">
      <w:start w:val="1"/>
      <w:numFmt w:val="lowerRoman"/>
      <w:lvlText w:val="%9."/>
      <w:lvlJc w:val="right"/>
      <w:pPr>
        <w:ind w:left="6480" w:hanging="180"/>
      </w:pPr>
    </w:lvl>
  </w:abstractNum>
  <w:abstractNum w:abstractNumId="21">
    <w:nsid w:val="6FC76223"/>
    <w:multiLevelType w:val="hybridMultilevel"/>
    <w:tmpl w:val="2A682C6A"/>
    <w:lvl w:ilvl="0" w:tplc="6DCA46FA">
      <w:start w:val="1"/>
      <w:numFmt w:val="lowerLetter"/>
      <w:lvlText w:val="%1)"/>
      <w:lvlJc w:val="left"/>
      <w:pPr>
        <w:ind w:left="720" w:hanging="360"/>
      </w:pPr>
    </w:lvl>
    <w:lvl w:ilvl="1" w:tplc="76FAEF5C" w:tentative="1">
      <w:start w:val="1"/>
      <w:numFmt w:val="lowerLetter"/>
      <w:lvlText w:val="%2."/>
      <w:lvlJc w:val="left"/>
      <w:pPr>
        <w:ind w:left="1440" w:hanging="360"/>
      </w:pPr>
    </w:lvl>
    <w:lvl w:ilvl="2" w:tplc="1B7476B2" w:tentative="1">
      <w:start w:val="1"/>
      <w:numFmt w:val="lowerRoman"/>
      <w:lvlText w:val="%3."/>
      <w:lvlJc w:val="right"/>
      <w:pPr>
        <w:ind w:left="2160" w:hanging="180"/>
      </w:pPr>
    </w:lvl>
    <w:lvl w:ilvl="3" w:tplc="01EAC126" w:tentative="1">
      <w:start w:val="1"/>
      <w:numFmt w:val="decimal"/>
      <w:lvlText w:val="%4."/>
      <w:lvlJc w:val="left"/>
      <w:pPr>
        <w:ind w:left="2880" w:hanging="360"/>
      </w:pPr>
    </w:lvl>
    <w:lvl w:ilvl="4" w:tplc="3F2E3972" w:tentative="1">
      <w:start w:val="1"/>
      <w:numFmt w:val="lowerLetter"/>
      <w:lvlText w:val="%5."/>
      <w:lvlJc w:val="left"/>
      <w:pPr>
        <w:ind w:left="3600" w:hanging="360"/>
      </w:pPr>
    </w:lvl>
    <w:lvl w:ilvl="5" w:tplc="397221E2" w:tentative="1">
      <w:start w:val="1"/>
      <w:numFmt w:val="lowerRoman"/>
      <w:lvlText w:val="%6."/>
      <w:lvlJc w:val="right"/>
      <w:pPr>
        <w:ind w:left="4320" w:hanging="180"/>
      </w:pPr>
    </w:lvl>
    <w:lvl w:ilvl="6" w:tplc="270435B6" w:tentative="1">
      <w:start w:val="1"/>
      <w:numFmt w:val="decimal"/>
      <w:lvlText w:val="%7."/>
      <w:lvlJc w:val="left"/>
      <w:pPr>
        <w:ind w:left="5040" w:hanging="360"/>
      </w:pPr>
    </w:lvl>
    <w:lvl w:ilvl="7" w:tplc="FAD422AE" w:tentative="1">
      <w:start w:val="1"/>
      <w:numFmt w:val="lowerLetter"/>
      <w:lvlText w:val="%8."/>
      <w:lvlJc w:val="left"/>
      <w:pPr>
        <w:ind w:left="5760" w:hanging="360"/>
      </w:pPr>
    </w:lvl>
    <w:lvl w:ilvl="8" w:tplc="DC007766"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0"/>
  </w:num>
  <w:num w:numId="6">
    <w:abstractNumId w:val="10"/>
  </w:num>
  <w:num w:numId="7">
    <w:abstractNumId w:val="13"/>
  </w:num>
  <w:num w:numId="8">
    <w:abstractNumId w:val="19"/>
  </w:num>
  <w:num w:numId="9">
    <w:abstractNumId w:val="4"/>
  </w:num>
  <w:num w:numId="10">
    <w:abstractNumId w:val="17"/>
  </w:num>
  <w:num w:numId="11">
    <w:abstractNumId w:val="11"/>
  </w:num>
  <w:num w:numId="12">
    <w:abstractNumId w:val="20"/>
  </w:num>
  <w:num w:numId="13">
    <w:abstractNumId w:val="2"/>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9"/>
  </w:num>
  <w:num w:numId="21">
    <w:abstractNumId w:val="9"/>
  </w:num>
  <w:num w:numId="22">
    <w:abstractNumId w:val="9"/>
  </w:num>
  <w:num w:numId="23">
    <w:abstractNumId w:val="8"/>
  </w:num>
  <w:num w:numId="24">
    <w:abstractNumId w:val="8"/>
    <w:lvlOverride w:ilvl="0">
      <w:lvl w:ilvl="0">
        <w:start w:val="1"/>
        <w:numFmt w:val="decimal"/>
        <w:pStyle w:val="HEADER1NOTES"/>
        <w:lvlText w:val="%1."/>
        <w:lvlJc w:val="left"/>
        <w:pPr>
          <w:ind w:left="907" w:hanging="907"/>
        </w:pPr>
        <w:rPr>
          <w:rFonts w:hint="default"/>
        </w:rPr>
      </w:lvl>
    </w:lvlOverride>
    <w:lvlOverride w:ilvl="1">
      <w:lvl w:ilvl="1">
        <w:start w:val="1"/>
        <w:numFmt w:val="decimal"/>
        <w:pStyle w:val="HEADER2NOTES"/>
        <w:lvlText w:val="%1.%2."/>
        <w:lvlJc w:val="left"/>
        <w:pPr>
          <w:ind w:left="907" w:hanging="907"/>
        </w:pPr>
        <w:rPr>
          <w:rFonts w:hint="default"/>
        </w:rPr>
      </w:lvl>
    </w:lvlOverride>
    <w:lvlOverride w:ilvl="2">
      <w:lvl w:ilvl="2">
        <w:start w:val="1"/>
        <w:numFmt w:val="decimal"/>
        <w:pStyle w:val="HEADER3NOTES"/>
        <w:lvlText w:val="%1.%2.%3."/>
        <w:lvlJc w:val="left"/>
        <w:pPr>
          <w:ind w:left="907" w:hanging="907"/>
        </w:pPr>
        <w:rPr>
          <w:rFonts w:hint="default"/>
        </w:rPr>
      </w:lvl>
    </w:lvlOverride>
    <w:lvlOverride w:ilvl="3">
      <w:lvl w:ilvl="3">
        <w:start w:val="1"/>
        <w:numFmt w:val="decimal"/>
        <w:pStyle w:val="HEADER4Part1"/>
        <w:lvlText w:val="%1.%2.%3.%4."/>
        <w:lvlJc w:val="left"/>
        <w:pPr>
          <w:ind w:left="907" w:hanging="907"/>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25">
    <w:abstractNumId w:val="8"/>
  </w:num>
  <w:num w:numId="26">
    <w:abstractNumId w:val="9"/>
  </w:num>
  <w:num w:numId="27">
    <w:abstractNumId w:val="16"/>
  </w:num>
  <w:num w:numId="28">
    <w:abstractNumId w:val="18"/>
  </w:num>
  <w:num w:numId="29">
    <w:abstractNumId w:val="21"/>
  </w:num>
  <w:num w:numId="30">
    <w:abstractNumId w:val="15"/>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90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30-01-2019 09:26:35&lt;/DYNAMIZEDON&gt;&lt;LASTUPDATEDBY&gt;preutan&lt;/LASTUPDATEDBY&gt;&lt;LASTUPDATEDON&gt;6/12/2019 9:07:39 AM&lt;/LASTUPDATEDON&gt;&lt;UTC&gt;1&lt;/UTC&gt;&lt;/UPDATE&gt;&lt;QUERIES bbk=&quot;14046&quot; bbkdesc=&quot;2018 Annual Accounts/EC Annual Accounts/DC - Balance Sheet&quot; datapro=&quot;BS&quot; tdatapro=&quot;BS&quot; author=&quot;&quot; modtime=&quot;11/26/2015 10:51:55 AM&quot; moduser=&quot;gaytabe&quot; rolluptime=&quot;&quot; syuser=&quot;gaytabe&quot; syuzeit=&quot;11/26/2015 10:51:55 AM&quot; root=&quot;/BBOOK/DATAPROVIDER[./META/PROPS/ID='ImplPayApprPA1']/DATA&quot; colcount=&quot;4&quot; rowcount=&quot;37&quot; url=&quot;&quot; dynamizeds=&quot;SAP Disclosure Management - Production&quot; dynamizedstype=&quot;9&quot; refreshds=&quot;&quot; viewtype=&quot;1&quot;&gt;&lt;QUERY reftype=&quot;ABS&quot; elmntsel=&quot;TABLE&quot; bbk=&quot;14046&quot; bbkdesc=&quot;2018 Annual Accounts/EC Annual Accounts/DC - Balance Sheet&quot; datapro=&quot;BS&quot; infos=&quot;&quot; iscomment=&quot;0&quot;&gt;&lt;SELECT&gt;/BBOOK/DATAPROVIDER[./META/PROPS/ID='BS']/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23/03/2018 15:46:02&lt;/DYNAMIZEDON&gt;&lt;LASTUPDATEDBY&gt;milemar&lt;/LASTUPDATEDBY&gt;&lt;LASTUPDATEDON&gt;6/6/2019 5:19:50 PM&lt;/LASTUPDATEDON&gt;&lt;UTC&gt;1&lt;/UTC&gt;&lt;/UPDATE&gt;&lt;QUERIES bbk=&quot;14047&quot; bbkdesc=&quot;2018 Annual Accounts/EC Annual Accounts/DC - Statement of Financial Performance&quot; datapro=&quot;FP&quot; tdatapro=&quot;FP&quot; author=&quot;&quot; modtime=&quot;6/6/2019 5:19:45 PM&quot; moduser=&quot;milemar&quot; rolluptime=&quot;&quot; syuser=&quot;milemar&quot; syuzeit=&quot;6/6/2019 5:19:45 PM&quot; root=&quot;/BBOOK/DATAPROVIDER[./META/PROPS/ID='FP']/DATA&quot; colcount=&quot;4&quot; rowcount=&quot;33&quot; url=&quot;&quot; dynamizeds=&quot;SAP Disclosure Management - Production&quot; dynamizedstype=&quot;9&quot; refreshds=&quot;&quot; viewtype=&quot;1&quot;&gt;&lt;QUERY reftype=&quot;ABS&quot; elmntsel=&quot;TABLE&quot; bbk=&quot;14047&quot; bbkdesc=&quot;2018 Annual Accounts/EC Annual Accounts/DC - Statement of Financial Performance&quot; datapro=&quot;FP&quot; infos=&quot;&quot; iscomment=&quot;0&quot;&gt;&lt;SELECT&gt;/BBOOK/DATAPROVIDER[./META/PROPS/ID='FP']/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27/03/2018 07:53:55&lt;/DYNAMIZEDON&gt;&lt;LASTUPDATEDBY&gt;milemar&lt;/LASTUPDATEDBY&gt;&lt;LASTUPDATEDON&gt;6/6/2019 5:15:58 PM&lt;/LASTUPDATEDON&gt;&lt;UTC&gt;1&lt;/UTC&gt;&lt;/UPDATE&gt;&lt;QUERIES bbk=&quot;14049&quot; bbkdesc=&quot;2018 Annual Accounts/EC Annual Accounts/DC - Cashflow statement automated&quot; datapro=&quot;CF&quot; tdatapro=&quot;CF&quot; author=&quot;&quot; modtime=&quot;3/11/2015 11:14:55 AM&quot; moduser=&quot;servela&quot; rolluptime=&quot;&quot; syuser=&quot;servela&quot; syuzeit=&quot;3/11/2015 11:14:55 AM&quot; root=&quot;/DATA&quot; colcount=&quot;4&quot; rowcount=&quot;30&quot; url=&quot;&quot; dynamizeds=&quot;SAP Disclosure Management - Production&quot; dynamizedstype=&quot;9&quot; refreshds=&quot;&quot; viewtype=&quot;1&quot;&gt;&lt;QUERY reftype=&quot;ABS&quot; elmntsel=&quot;TABLE&quot; bbk=&quot;14049&quot; bbkdesc=&quot;2018 Annual Accounts/EC Annual Accounts/DC - Cashflow statement automated&quot; datapro=&quot;CF&quot; infos=&quot;&quot; iscomment=&quot;0&quot;&gt;&lt;SELECT&gt;/BBOOK/DATAPROVIDER[./META/PROPS/ID='CF']/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3/02/2018 16:08:29&lt;/DYNAMIZEDON&gt;&lt;LASTUPDATEDBY&gt;milemar&lt;/LASTUPDATEDBY&gt;&lt;LASTUPDATEDON&gt;6/6/2019 5:17:44 PM&lt;/LASTUPDATEDON&gt;&lt;UTC&gt;1&lt;/UTC&gt;&lt;/UPDATE&gt;&lt;QUERIES bbk=&quot;14048&quot; bbkdesc=&quot;2018 Annual Accounts/EC Annual Accounts/DC - Statement of changes in net assets&quot; datapro=&quot;CNA&quot; tdatapro=&quot;CNA&quot; author=&quot;&quot; modtime=&quot;2/13/2018 2:55:48 PM&quot; moduser=&quot;preutan&quot; rolluptime=&quot;&quot; syuser=&quot;preutan&quot; syuzeit=&quot;2/13/2018 2:55:48 PM&quot; root=&quot;/DATA&quot; colcount=&quot;5&quot; rowcount=&quot;16&quot; url=&quot;&quot; dynamizeds=&quot;SAP Disclosure Management - Production&quot; dynamizedstype=&quot;9&quot; refreshds=&quot;&quot; viewtype=&quot;1&quot;&gt;&lt;QUERY reftype=&quot;ABS&quot; elmntsel=&quot;TABLE&quot; bbk=&quot;14048&quot; bbkdesc=&quot;2018 Annual Accounts/EC Annual Accounts/DC - Statement of changes in net assets&quot; datapro=&quot;CNA&quot; infos=&quot;&quot; iscomment=&quot;0&quot;&gt;&lt;SELECT&gt;/BBOOK/DATAPROVIDER[./META/PROPS/ID='CNA']/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6.35&lt;/DATE&gt;&lt;DYNAMIZEDBY&gt;servela&lt;/DYNAMIZEDBY&gt;&lt;DYNAMIZEDON&gt;16/03/2017 10:02:58&lt;/DYNAMIZEDON&gt;&lt;LASTUPDATEDBY&gt;milemar&lt;/LASTUPDATEDBY&gt;&lt;LASTUPDATEDON&gt;6/12/2019 8:49:19 AM&lt;/LASTUPDATEDON&gt;&lt;UTC&gt;1&lt;/UTC&gt;&lt;/UPDATE&gt;&lt;QUERIES bbk=&quot;14767&quot; bbkdesc=&quot;2018 Annual Accounts/EU Annual Accounts/DC - Currency table&quot; datapro=&quot;CURRENCY&quot; tdatapro=&quot;CURRENCY&quot; author=&quot;&quot; modtime=&quot;6/12/2019 8:49:14 AM&quot; moduser=&quot;milemar&quot; rolluptime=&quot;&quot; syuser=&quot;milemar&quot; syuzeit=&quot;6/12/2019 8:49:14 AM&quot; root=&quot;/BBOOK/DATAPROVIDER[./META/PROPS/ID='CURRENCY']/DATA&quot; colcount=&quot;6&quot; rowcount=&quot;7&quot; url=&quot;&quot; dynamizeds=&quot;SAP Disclosure Management - Production&quot; dynamizedstype=&quot;9&quot; refreshds=&quot;&quot; viewtype=&quot;1&quot;&gt;&lt;QUERY reftype=&quot;ABS&quot; elmntsel=&quot;TABLE&quot; bbk=&quot;14767&quot; bbkdesc=&quot;2018 Annual Accounts/EU Annual Accounts/DC - Currency table&quot; datapro=&quot;CURRENCY&quot; infos=&quot;&quot; iscomment=&quot;0&quot;&gt;&lt;SELECT&gt;/BBOOK/DATAPROVIDER[./META/PROPS/ID='CURRENCY']/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koehlmn&lt;/DYNAMIZEDBY&gt;&lt;DYNAMIZEDON&gt;3/26/2017 1:14:35 PM&lt;/DYNAMIZEDON&gt;&lt;LASTUPDATEDBY&gt;milemar&lt;/LASTUPDATEDBY&gt;&lt;LASTUPDATEDON&gt;6/12/2019 8:49:19 AM&lt;/LASTUPDATEDON&gt;&lt;UTC&gt;1&lt;/UTC&gt;&lt;/UPDATE&gt;&lt;QUERIES bbk=&quot;14785&quot; bbkdesc=&quot;2018 Annual Accounts/EU Annual Accounts/DC - DeprecRates&quot; datapro=&quot;DEPRECRATES&quot; tdatapro=&quot;DEPRECRATES&quot; author=&quot;&quot; modtime=&quot;2/8/2016 12:25:42 PM&quot; moduser=&quot;koehlmn&quot; rolluptime=&quot;&quot; syuser=&quot;koehlmn&quot; syuzeit=&quot;2/8/2016 12:25:42 PM&quot; root=&quot;/DATA&quot; colcount=&quot;2&quot; rowcount=&quot;8&quot; url=&quot;&quot; dynamizeds=&quot;SAP Disclosure Management - Production&quot; dynamizedstype=&quot;9&quot; refreshds=&quot;&quot; viewtype=&quot;1&quot;&gt;&lt;QUERY reftype=&quot;ABS&quot; elmntsel=&quot;TABLE&quot; bbk=&quot;14785&quot; bbkdesc=&quot;2018 Annual Accounts/EU Annual Accounts/DC - DeprecRates&quot; datapro=&quot;DEPRECRATES&quot; infos=&quot;&quot; iscomment=&quot;0&quot;&gt;&lt;SELECT&gt;/BBOOK/DATAPROVIDER[./META/PROPS/ID='DEPRECRATES']/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1&lt;/USETEMPLATES&gt;&lt;FXC&gt;1&lt;/FXC&gt;&lt;FXR&gt;0&lt;/FXR&gt;&lt;FORMAT&gt;&lt;/FORMAT&gt;&lt;FMODUS&gt;&lt;/FMODUS&gt;&lt;FLCID&gt;2060&lt;/FLCID&gt;&lt;RELATION&gt;&lt;/RELATION&gt;&lt;LINKED&gt;&lt;/LINKED&gt;&lt;SVALUE&gt;&lt;/SVALUE&gt;&lt;INFO&gt;&lt;/INFO&gt;&lt;/META&gt;&lt;UPDATE&gt;&lt;DATE&gt;10.1.10.2&lt;/DATE&gt;&lt;DYNAMIZEDBY&gt;preutan&lt;/DYNAMIZEDBY&gt;&lt;DYNAMIZEDON&gt;28-03-2019 11:03:33&lt;/DYNAMIZEDON&gt;&lt;LASTUPDATEDBY&gt;milemar&lt;/LASTUPDATEDBY&gt;&lt;LASTUPDATEDON&gt;6/6/2019 5:18:44 PM&lt;/LASTUPDATEDON&gt;&lt;UTC&gt;1&lt;/UTC&gt;&lt;/UPDATE&gt;&lt;QUERIES bbk=&quot;13939&quot; bbkdesc=&quot;2018 Annual Accounts/EC Annual Accounts/DC - Intangible assets new method&quot; datapro=&quot;PPEINTANGIBLE&quot; tdatapro=&quot;PPEINTANGIBLE&quot; author=&quot;&quot; modtime=&quot;6/6/2019 5:15:26 PM&quot; moduser=&quot;milemar&quot; rolluptime=&quot;&quot; syuser=&quot;milemar&quot; syuzeit=&quot;6/6/2019 5:15:26 PM&quot; root=&quot;/BBOOK/DATAPROVIDER[./META/PROPS/ID='PPEINTANGIBLE']/DATA&quot; colcount=&quot;2&quot; rowcount=&quot;18&quot; url=&quot;&quot; dynamizeds=&quot;SAP Disclosure Management - Production&quot; dynamizedstype=&quot;9&quot; refreshds=&quot;&quot; viewtype=&quot;1&quot;&gt;&lt;QUERY reftype=&quot;ABS&quot; elmntsel=&quot;TABLE&quot; bbk=&quot;13939&quot; bbkdesc=&quot;2018 Annual Accounts/EC Annual Accounts/DC - Intangible assets new method&quot; datapro=&quot;PPEINTANGIBLE&quot; infos=&quot;&quot; iscomment=&quot;0&quot;&gt;&lt;SELECT&gt;/BBOOK/DATAPROVIDER[./META/PROPS/ID='PPEINTANGIBLE']/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servela&lt;/DYNAMIZEDBY&gt;&lt;DYNAMIZEDON&gt;10/3/2017 1:57:40 PM&lt;/DYNAMIZEDON&gt;&lt;LASTUPDATEDBY&gt;milemar&lt;/LASTUPDATEDBY&gt;&lt;LASTUPDATEDON&gt;6/6/2019 5:19:59 PM&lt;/LASTUPDATEDON&gt;&lt;UTC&gt;1&lt;/UTC&gt;&lt;/UPDATE&gt;&lt;QUERIES bbk=&quot;13991&quot; bbkdesc=&quot;2018 Annual Accounts/EC Annual Accounts/DC - property plant and equipment - new method&quot; datapro=&quot;PPEtable&quot; tdatapro=&quot;PPEtable&quot; author=&quot;&quot; modtime=&quot;6/6/2019 5:19:55 PM&quot; moduser=&quot;milemar&quot; rolluptime=&quot;&quot; syuser=&quot;milemar&quot; syuzeit=&quot;6/6/2019 5:19:55 PM&quot; root=&quot;/BBOOK/DATAPROVIDER[./META/PROPS/ID='PPEtable']/DATA&quot; colcount=&quot;10&quot; rowcount=&quot;18&quot; url=&quot;&quot; dynamizeds=&quot;SAP Disclosure Management - Production&quot; dynamizedstype=&quot;9&quot; refreshds=&quot;&quot; viewtype=&quot;1&quot;&gt;&lt;QUERY reftype=&quot;ABS&quot; elmntsel=&quot;TABLE&quot; bbk=&quot;13991&quot; bbkdesc=&quot;2018 Annual Accounts/EC Annual Accounts/DC - property plant and equipment - new method&quot; datapro=&quot;PPEtable&quot; infos=&quot;&quot; iscomment=&quot;0&quot;&gt;&lt;SELECT&gt;/BBOOK/DATAPROVIDER[./META/PROPS/ID='PPEtable']/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deckesy&lt;/DYNAMIZEDBY&gt;&lt;DYNAMIZEDON&gt;01/06/2018 07:58:28&lt;/DYNAMIZEDON&gt;&lt;LASTUPDATEDBY&gt;milemar&lt;/LASTUPDATEDBY&gt;&lt;LASTUPDATEDON&gt;6/6/2019 5:19:29 PM&lt;/LASTUPDATEDON&gt;&lt;UTC&gt;1&lt;/UTC&gt;&lt;/UPDATE&gt;&lt;QUERIES bbk=&quot;14045&quot; bbkdesc=&quot;2018 Annual Accounts/EC Annual Accounts/DC - Investments accounted for using the equity method new&quot; datapro=&quot;PARTASS1&quot; tdatapro=&quot;PARTASS1&quot; author=&quot;&quot; modtime=&quot;3/1/2018 3:50:14 PM&quot; moduser=&quot;preutan&quot; rolluptime=&quot;&quot; syuser=&quot;preutan&quot; syuzeit=&quot;3/1/2018 3:50:14 PM&quot; root=&quot;/DATA&quot; colcount=&quot;2&quot; rowcount=&quot;10&quot; url=&quot;&quot; dynamizeds=&quot;SAP Disclosure Management - Production&quot; dynamizedstype=&quot;9&quot; refreshds=&quot;&quot; viewtype=&quot;1&quot;&gt;&lt;QUERY reftype=&quot;ABS&quot; elmntsel=&quot;TABLE&quot; bbk=&quot;14045&quot; bbkdesc=&quot;2018 Annual Accounts/EC Annual Accounts/DC - Investments accounted for using the equity method new&quot; datapro=&quot;PARTASS1&quot; infos=&quot;&quot; iscomment=&quot;0&quot;&gt;&lt;SELECT&gt;/BBOOK/DATAPROVIDER[./META/PROPS/ID='PARTASS1']/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orteca&lt;/DYNAMIZEDBY&gt;&lt;DYNAMIZEDON&gt;12/03/2018 18:42:16&lt;/DYNAMIZEDON&gt;&lt;LASTUPDATEDBY&gt;milemar&lt;/LASTUPDATEDBY&gt;&lt;LASTUPDATEDON&gt;6/6/2019 5:19:29 PM&lt;/LASTUPDATEDON&gt;&lt;UTC&gt;1&lt;/UTC&gt;&lt;/UPDATE&gt;&lt;QUERIES bbk=&quot;14045&quot; bbkdesc=&quot;2018 Annual Accounts/EC Annual Accounts/DC - Investments accounted for using the equity method new&quot; datapro=&quot;PARTASS2&quot; tdatapro=&quot;PARTASS2&quot; author=&quot;&quot; modtime=&quot;6/6/2019 5:19:21 PM&quot; moduser=&quot;milemar&quot; rolluptime=&quot;&quot; syuser=&quot;milemar&quot; syuzeit=&quot;6/6/2019 5:19:21 PM&quot; root=&quot;/BBOOK/DATAPROVIDER[./META/PROPS/ID='EIF']/DATA&quot; colcount=&quot;3&quot; rowcount=&quot;8&quot; url=&quot;&quot; dynamizeds=&quot;SAP Disclosure Management - Production&quot; dynamizedstype=&quot;9&quot; refreshds=&quot;&quot; viewtype=&quot;1&quot;&gt;&lt;QUERY reftype=&quot;ABS&quot; elmntsel=&quot;TABLE&quot; bbk=&quot;14045&quot; bbkdesc=&quot;2018 Annual Accounts/EC Annual Accounts/DC - Investments accounted for using the equity method new&quot; datapro=&quot;PARTASS2&quot; infos=&quot;&quot; iscomment=&quot;0&quot;&gt;&lt;SELECT&gt;/BBOOK/DATAPROVIDER[./META/PROPS/ID='PARTASS2']/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orteca&lt;/DYNAMIZEDBY&gt;&lt;DYNAMIZEDON&gt;12/03/2018 18:47:28&lt;/DYNAMIZEDON&gt;&lt;LASTUPDATEDBY&gt;milemar&lt;/LASTUPDATEDBY&gt;&lt;LASTUPDATEDON&gt;6/6/2019 5:19:29 PM&lt;/LASTUPDATEDON&gt;&lt;UTC&gt;1&lt;/UTC&gt;&lt;/UPDATE&gt;&lt;QUERIES bbk=&quot;14045&quot; bbkdesc=&quot;2018 Annual Accounts/EC Annual Accounts/DC - Investments accounted for using the equity method new&quot; datapro=&quot;EM&quot; tdatapro=&quot;EM&quot; author=&quot;&quot; modtime=&quot;6/6/2019 5:19:21 PM&quot; moduser=&quot;milemar&quot; rolluptime=&quot;&quot; syuser=&quot;milemar&quot; syuzeit=&quot;6/6/2019 5:19:21 PM&quot; root=&quot;/BBOOK/DATAPROVIDER[./META/PROPS/ID='EM']/DATA&quot; colcount=&quot;3&quot; rowcount=&quot;5&quot; url=&quot;&quot; dynamizeds=&quot;SAP Disclosure Management - Production&quot; dynamizedstype=&quot;9&quot; refreshds=&quot;&quot; viewtype=&quot;1&quot;&gt;&lt;QUERY reftype=&quot;ABS&quot; elmntsel=&quot;TABLE&quot; bbk=&quot;14045&quot; bbkdesc=&quot;2018 Annual Accounts/EC Annual Accounts/DC - Investments accounted for using the equity method new&quot; datapro=&quot;EM&quot; infos=&quot;&quot; iscomment=&quot;0&quot;&gt;&lt;SELECT&gt;/BBOOK/DATAPROVIDER[./META/PROPS/ID='EM']/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0.5.25&lt;/DATE&gt;&lt;DYNAMIZEDBY&gt;vignoal&lt;/DYNAMIZEDBY&gt;&lt;DYNAMIZEDON&gt;28/10/2014 16:08:03&lt;/DYNAMIZEDON&gt;&lt;LASTUPDATEDBY&gt;milemar&lt;/LASTUPDATEDBY&gt;&lt;LASTUPDATEDON&gt;6/6/2019 5:19:29 PM&lt;/LASTUPDATEDON&gt;&lt;UTC&gt;1&lt;/UTC&gt;&lt;/UPDATE&gt;&lt;QUERIES bbk=&quot;14045&quot; bbkdesc=&quot;2018 Annual Accounts/EC Annual Accounts/DC - Investments accounted for using the equity method new&quot; datapro=&quot;EIF&quot; tdatapro=&quot;EIF&quot; author=&quot;&quot; modtime=&quot;6/6/2019 5:19:21 PM&quot; moduser=&quot;milemar&quot; rolluptime=&quot;&quot; syuser=&quot;milemar&quot; syuzeit=&quot;6/6/2019 5:19:21 PM&quot; root=&quot;/BBOOK/DATAPROVIDER[./META/PROPS/ID='EIF']/DATA&quot; colcount=&quot;3&quot; rowcount=&quot;6&quot; url=&quot;&quot; dynamizeds=&quot;SAP Disclosure Management - Production&quot; dynamizedstype=&quot;9&quot; refreshds=&quot;&quot; viewtype=&quot;1&quot;&gt;&lt;QUERY reftype=&quot;ABS&quot; elmntsel=&quot;TABLE&quot; bbk=&quot;14045&quot; bbkdesc=&quot;2018 Annual Accounts/EC Annual Accounts/DC - Investments accounted for using the equity method new&quot; datapro=&quot;EIF&quot; infos=&quot;&quot; iscomment=&quot;0&quot;&gt;&lt;SELECT&gt;/BBOOK/DATAPROVIDER[./META/PROPS/ID='EIF']/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servela&lt;/DYNAMIZEDBY&gt;&lt;DYNAMIZEDON&gt;10/3/2017 2:14:51 PM&lt;/DYNAMIZEDON&gt;&lt;LASTUPDATEDBY&gt;milemar&lt;/LASTUPDATEDBY&gt;&lt;LASTUPDATEDON&gt;6/6/2019 5:18:58 PM&lt;/LASTUPDATEDON&gt;&lt;UTC&gt;1&lt;/UTC&gt;&lt;/UPDATE&gt;&lt;QUERIES bbk=&quot;14020&quot; bbkdesc=&quot;2018 Annual Accounts/EC Annual Accounts/DC - Financial assets&quot; datapro=&quot;FINA&quot; tdatapro=&quot;FINA&quot; author=&quot;&quot; modtime=&quot;3/9/2015 8:41:53 AM&quot; moduser=&quot;oerboan&quot; rolluptime=&quot;&quot; syuser=&quot;oerboan&quot; syuzeit=&quot;3/9/2015 8:41:53 AM&quot; root=&quot;/DATA&quot; colcount=&quot;4&quot; rowcount=&quot;14&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FINA&quot; infos=&quot;&quot; iscomment=&quot;0&quot;&gt;&lt;SELECT&gt;/BBOOK/DATAPROVIDER[./META/PROPS/ID='FINA']/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06/02/2019 12:35:27&lt;/DYNAMIZEDON&gt;&lt;LASTUPDATEDBY&gt;milemar&lt;/LASTUPDATEDBY&gt;&lt;LASTUPDATEDON&gt;6/6/2019 5:18:58 PM&lt;/LASTUPDATEDON&gt;&lt;UTC&gt;1&lt;/UTC&gt;&lt;/UPDATE&gt;&lt;QUERIES bbk=&quot;14020&quot; bbkdesc=&quot;2018 Annual Accounts/EC Annual Accounts/DC - Financial assets&quot; datapro=&quot;AFS&quot; tdatapro=&quot;AFS&quot; author=&quot;&quot; modtime=&quot;6/6/2019 5:18:52 PM&quot; moduser=&quot;milemar&quot; rolluptime=&quot;&quot; syuser=&quot;milemar&quot; syuzeit=&quot;6/6/2019 5:18:52 PM&quot; root=&quot;/BBOOK/DATAPROVIDER[./META/PROPS/ID='AFS']/DATA&quot; colcount=&quot;3&quot; rowcount=&quot;22&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AFS&quot; infos=&quot;&quot; iscomment=&quot;0&quot;&gt;&lt;SELECT&gt;/BBOOK/DATAPROVIDER[./META/PROPS/ID='AFS']/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5-03-2019 14:35:01&lt;/DYNAMIZEDON&gt;&lt;LASTUPDATEDBY&gt;milemar&lt;/LASTUPDATEDBY&gt;&lt;LASTUPDATEDON&gt;6/6/2019 5:18:58 PM&lt;/LASTUPDATEDON&gt;&lt;UTC&gt;1&lt;/UTC&gt;&lt;/UPDATE&gt;&lt;QUERIES bbk=&quot;14020&quot; bbkdesc=&quot;2018 Annual Accounts/EC Annual Accounts/DC - Financial assets&quot; datapro=&quot;FAFVTSD&quot; tdatapro=&quot;FAFVTSD&quot; author=&quot;&quot; modtime=&quot;3/16/2018 8:52:43 AM&quot; moduser=&quot;preutan&quot; rolluptime=&quot;&quot; syuser=&quot;preutan&quot; syuzeit=&quot;3/16/2018 8:52:43 AM&quot; root=&quot;/DATA&quot; colcount=&quot;7&quot; rowcount=&quot;8&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FAFVTSD&quot; infos=&quot;&quot; iscomment=&quot;0&quot;&gt;&lt;SELECT&gt;/BBOOK/DATAPROVIDER[./META/PROPS/ID='FAFVTSD']/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servela&lt;/DYNAMIZEDBY&gt;&lt;DYNAMIZEDON&gt;10/3/2017 2:39:25 PM&lt;/DYNAMIZEDON&gt;&lt;LASTUPDATEDBY&gt;milemar&lt;/LASTUPDATEDBY&gt;&lt;LASTUPDATEDON&gt;6/6/2019 5:18:58 PM&lt;/LASTUPDATEDON&gt;&lt;UTC&gt;1&lt;/UTC&gt;&lt;/UPDATE&gt;&lt;QUERIES bbk=&quot;14020&quot; bbkdesc=&quot;2018 Annual Accounts/EC Annual Accounts/DC - Financial assets&quot; datapro=&quot;FVH&quot; tdatapro=&quot;FVH&quot; author=&quot;&quot; modtime=&quot;6/6/2019 5:18:52 PM&quot; moduser=&quot;milemar&quot; rolluptime=&quot;&quot; syuser=&quot;milemar&quot; syuzeit=&quot;6/6/2019 5:18:52 PM&quot; root=&quot;/BBOOK/DATAPROVIDER[./META/PROPS/ID='FVH']/DATA&quot; colcount=&quot;3&quot; rowcount=&quot;7&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FVH&quot; infos=&quot;&quot; iscomment=&quot;0&quot;&gt;&lt;SELECT&gt;/BBOOK/DATAPROVIDER[./META/PROPS/ID='FVH']/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1:12:46&lt;/DYNAMIZEDON&gt;&lt;LASTUPDATEDBY&gt;milemar&lt;/LASTUPDATEDBY&gt;&lt;LASTUPDATEDON&gt;6/6/2019 5:18:58 PM&lt;/LASTUPDATEDON&gt;&lt;UTC&gt;1&lt;/UTC&gt;&lt;/UPDATE&gt;&lt;QUERIES bbk=&quot;14020&quot; bbkdesc=&quot;2018 Annual Accounts/EC Annual Accounts/DC - Financial assets&quot; datapro=&quot;RECOFINA&quot; tdatapro=&quot;RECOFINA&quot; author=&quot;&quot; modtime=&quot;6/6/2019 5:18:52 PM&quot; moduser=&quot;milemar&quot; rolluptime=&quot;&quot; syuser=&quot;milemar&quot; syuzeit=&quot;6/6/2019 5:18:52 PM&quot; root=&quot;/BBOOK/DATAPROVIDER[./META/PROPS/ID='FVH']/DATA&quot; colcount=&quot;2&quot; rowcount=&quot;11&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RECOFINA&quot; infos=&quot;&quot; iscomment=&quot;0&quot;&gt;&lt;SELECT&gt;/BBOOK/DATAPROVIDER[./META/PROPS/ID='RECOFINA']/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4:23:53&lt;/DYNAMIZEDON&gt;&lt;LASTUPDATEDBY&gt;milemar&lt;/LASTUPDATEDBY&gt;&lt;LASTUPDATEDON&gt;6/6/2019 5:18:58 PM&lt;/LASTUPDATEDON&gt;&lt;UTC&gt;1&lt;/UTC&gt;&lt;/UPDATE&gt;&lt;QUERIES bbk=&quot;14020&quot; bbkdesc=&quot;2018 Annual Accounts/EC Annual Accounts/DC - Financial assets&quot; datapro=&quot;LO&quot; tdatapro=&quot;LO&quot; author=&quot;&quot; modtime=&quot;6/6/2019 5:18:52 PM&quot; moduser=&quot;milemar&quot; rolluptime=&quot;&quot; syuser=&quot;milemar&quot; syuzeit=&quot;6/6/2019 5:18:52 PM&quot; root=&quot;/BBOOK/DATAPROVIDER[./META/PROPS/ID='FVH']/DATA&quot; colcount=&quot;4&quot; rowcount=&quot;7&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LO&quot; infos=&quot;&quot; iscomment=&quot;0&quot;&gt;&lt;SELECT&gt;/BBOOK/DATAPROVIDER[./META/PROPS/ID='LO']/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servela&lt;/DYNAMIZEDBY&gt;&lt;DYNAMIZEDON&gt;10/3/2017 3:19:21 PM&lt;/DYNAMIZEDON&gt;&lt;LASTUPDATEDBY&gt;milemar&lt;/LASTUPDATEDBY&gt;&lt;LASTUPDATEDON&gt;6/6/2019 5:18:58 PM&lt;/LASTUPDATEDON&gt;&lt;UTC&gt;1&lt;/UTC&gt;&lt;/UPDATE&gt;&lt;QUERIES bbk=&quot;14752&quot; bbkdesc=&quot;2018 Annual Accounts/EU Annual Accounts/DC - Loans granted from borrowed funds LINKED TO EC&quot; datapro=&quot;LGFBFEC&quot; tdatapro=&quot;LGFBFEC&quot; author=&quot;&quot; modtime=&quot;3/25/2019 12:54:00 PM&quot; moduser=&quot;milemar&quot; rolluptime=&quot;&quot; syuser=&quot;milemar&quot; syuzeit=&quot;3/25/2019 12:54:00 PM&quot; root=&quot;/BBOOK/DATAPROVIDER[./META/PROPS/ID='LGFBFEC']/DATA&quot; colcount=&quot;6&quot; rowcount=&quot;11&quot; url=&quot;&quot; dynamizeds=&quot;SAP Disclosure Management - Production&quot; dynamizedstype=&quot;9&quot; refreshds=&quot;&quot; viewtype=&quot;1&quot;&gt;&lt;QUERY reftype=&quot;ABS&quot; elmntsel=&quot;TABLE&quot; bbk=&quot;14752&quot; bbkdesc=&quot;2018 Annual Accounts/EU Annual Accounts/DC - Loans granted from borrowed funds LINKED TO EC&quot; datapro=&quot;LGFBFEC&quot; infos=&quot;&quot; iscomment=&quot;0&quot;&gt;&lt;SELECT&gt;/BBOOK/DATAPROVIDER[./META/PROPS/ID='LGFBFEC']/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koehlmn&lt;/DYNAMIZEDBY&gt;&lt;DYNAMIZEDON&gt;3/17/2017 4:06:16 PM&lt;/DYNAMIZEDON&gt;&lt;LASTUPDATEDBY&gt;milemar&lt;/LASTUPDATEDBY&gt;&lt;LASTUPDATEDON&gt;6/6/2019 5:18:58 PM&lt;/LASTUPDATEDON&gt;&lt;UTC&gt;1&lt;/UTC&gt;&lt;/UPDATE&gt;&lt;QUERIES bbk=&quot;14814&quot; bbkdesc=&quot;2018 Annual Accounts/EU Annual Accounts/DC - Financial Support Mechanisms&quot; datapro=&quot;BORR2EC&quot; tdatapro=&quot;BORR2EC&quot; author=&quot;&quot; modtime=&quot;3/16/2017 7:18:37 PM&quot; moduser=&quot;koehlmn&quot; rolluptime=&quot;&quot; syuser=&quot;koehlmn&quot; syuzeit=&quot;3/16/2017 7:18:37 PM&quot; root=&quot;/DATA&quot; colcount=&quot;3&quot; rowcount=&quot;5&quot; url=&quot;&quot; dynamizeds=&quot;SAP Disclosure Management - Production&quot; dynamizedstype=&quot;9&quot; refreshds=&quot;&quot; viewtype=&quot;1&quot;&gt;&lt;QUERY reftype=&quot;ABS&quot; elmntsel=&quot;TABLE&quot; bbk=&quot;14814&quot; bbkdesc=&quot;2018 Annual Accounts/EU Annual Accounts/DC - Financial Support Mechanisms&quot; datapro=&quot;BORR2EC&quot; infos=&quot;&quot; iscomment=&quot;0&quot;&gt;&lt;SELECT&gt;/BBOOK/DATAPROVIDER[./META/PROPS/ID='BORR2EC']/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servela&lt;/DYNAMIZEDBY&gt;&lt;DYNAMIZEDON&gt;10/3/2017 3:20:25 PM&lt;/DYNAMIZEDON&gt;&lt;LASTUPDATEDBY&gt;koehlmn&lt;/LASTUPDATEDBY&gt;&lt;LASTUPDATEDON&gt;6/11/2019 3:56:38 PM&lt;/LASTUPDATEDON&gt;&lt;UTC&gt;1&lt;/UTC&gt;&lt;/UPDATE&gt;&lt;QUERIES bbk=&quot;14020&quot; bbkdesc=&quot;2018 Annual Accounts/EC Annual Accounts/DC - Financial assets&quot; datapro=&quot;LOBUDG&quot; tdatapro=&quot;LOBUDG&quot; author=&quot;&quot; modtime=&quot;3/16/2017 1:07:36 PM&quot; moduser=&quot;servela&quot; rolluptime=&quot;&quot; syuser=&quot;servela&quot; syuzeit=&quot;3/16/2017 1:07:36 PM&quot; root=&quot;/DATA&quot; colcount=&quot;3&quot; rowcount=&quot;8&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LOBUDG&quot; infos=&quot;&quot; iscomment=&quot;0&quot;&gt;&lt;SELECT&gt;/BBOOK/DATAPROVIDER[./META/PROPS/ID='LOBUDG']/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06/02/2019 15:11:00&lt;/DYNAMIZEDON&gt;&lt;LASTUPDATEDBY&gt;milemar&lt;/LASTUPDATEDBY&gt;&lt;LASTUPDATEDON&gt;6/6/2019 5:18:58 PM&lt;/LASTUPDATEDON&gt;&lt;UTC&gt;1&lt;/UTC&gt;&lt;/UPDATE&gt;&lt;QUERIES bbk=&quot;14020&quot; bbkdesc=&quot;2018 Annual Accounts/EC Annual Accounts/DC - Financial assets&quot; datapro=&quot;IMP&quot; tdatapro=&quot;IMP&quot; author=&quot;&quot; modtime=&quot;6/6/2019 5:18:52 PM&quot; moduser=&quot;milemar&quot; rolluptime=&quot;&quot; syuser=&quot;milemar&quot; syuzeit=&quot;6/6/2019 5:18:52 PM&quot; root=&quot;/BBOOK/DATAPROVIDER[./META/PROPS/ID='IMP']/DATA&quot; colcount=&quot;7&quot; rowcount=&quot;6&quot; url=&quot;&quot; dynamizeds=&quot;SAP Disclosure Management - Production&quot; dynamizedstype=&quot;9&quot; refreshds=&quot;&quot; viewtype=&quot;1&quot;&gt;&lt;QUERY reftype=&quot;ABS&quot; elmntsel=&quot;TABLE&quot; bbk=&quot;14020&quot; bbkdesc=&quot;2018 Annual Accounts/EC Annual Accounts/DC - Financial assets&quot; datapro=&quot;IMP&quot; infos=&quot;&quot; iscomment=&quot;0&quot;&gt;&lt;SELECT&gt;/BBOOK/DATAPROVIDER[./META/PROPS/ID='IMP']/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6/03/2018 10:59:27&lt;/DYNAMIZEDON&gt;&lt;LASTUPDATEDBY&gt;milemar&lt;/LASTUPDATEDBY&gt;&lt;LASTUPDATEDON&gt;6/6/2019 5:19:16 PM&lt;/LASTUPDATEDON&gt;&lt;UTC&gt;1&lt;/UTC&gt;&lt;/UPDATE&gt;&lt;QUERIES bbk=&quot;14022&quot; bbkdesc=&quot;2018 Annual Accounts/EC Annual Accounts/DC - Pre-financing&quot; datapro=&quot;PF&quot; tdatapro=&quot;PF&quot; author=&quot;&quot; modtime=&quot;3/14/2016 2:48:20 PM&quot; moduser=&quot;boxellu&quot; rolluptime=&quot;&quot; syuser=&quot;boxellu&quot; syuzeit=&quot;3/14/2016 2:48:20 PM&quot; root=&quot;/BBOOK/DATAPROVIDER[./META/PROPS/ID='FAFVTSD']/DATA&quot; colcount=&quot;4&quot; rowcount=&quot;13&quot; url=&quot;&quot; dynamizeds=&quot;SAP Disclosure Management - Production&quot; dynamizedstype=&quot;9&quot; refreshds=&quot;&quot; viewtype=&quot;1&quot;&gt;&lt;QUERY reftype=&quot;ABS&quot; elmntsel=&quot;TABLE&quot; bbk=&quot;14022&quot; bbkdesc=&quot;2018 Annual Accounts/EC Annual Accounts/DC - Pre-financing&quot; datapro=&quot;PF&quot; infos=&quot;&quot; iscomment=&quot;0&quot;&gt;&lt;SELECT&gt;/BBOOK/DATAPROVIDER[./META/PROPS/ID='P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servela&lt;/DYNAMIZEDBY&gt;&lt;DYNAMIZEDON&gt;10/3/2017 3:45:00 PM&lt;/DYNAMIZEDON&gt;&lt;LASTUPDATEDBY&gt;milemar&lt;/LASTUPDATEDBY&gt;&lt;LASTUPDATEDON&gt;6/6/2019 5:19:16 PM&lt;/LASTUPDATEDON&gt;&lt;UTC&gt;1&lt;/UTC&gt;&lt;/UPDATE&gt;&lt;QUERIES bbk=&quot;14014&quot; bbkdesc=&quot;2018 Annual Accounts/EC Annual Accounts/DC - Pre-financing detailed&quot; datapro=&quot;PFD&quot; tdatapro=&quot;PFD&quot; author=&quot;&quot; modtime=&quot;11/12/2014 8:05:56 AM&quot; moduser=&quot;vignale&quot; rolluptime=&quot;&quot; syuser=&quot;vignale&quot; syuzeit=&quot;11/12/2014 8:05:56 AM&quot; root=&quot;/DATA&quot; colcount=&quot;7&quot; rowcount=&quot;21&quot; url=&quot;&quot; dynamizeds=&quot;SAP Disclosure Management - Production&quot; dynamizedstype=&quot;9&quot; refreshds=&quot;&quot; viewtype=&quot;1&quot;&gt;&lt;QUERY reftype=&quot;ABS&quot; elmntsel=&quot;TABLE&quot; bbk=&quot;14014&quot; bbkdesc=&quot;2018 Annual Accounts/EC Annual Accounts/DC - Pre-financing detailed&quot; datapro=&quot;PFD&quot; infos=&quot;&quot; iscomment=&quot;0&quot;&gt;&lt;SELECT&gt;/BBOOK/DATAPROVIDER[./META/PROPS/ID='PFD']/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porteca&lt;/DYNAMIZEDBY&gt;&lt;DYNAMIZEDON&gt;22/12/2016 14:08:11&lt;/DYNAMIZEDON&gt;&lt;LASTUPDATEDBY&gt;milemar&lt;/LASTUPDATEDBY&gt;&lt;LASTUPDATEDON&gt;6/6/2019 5:19:16 PM&lt;/LASTUPDATEDON&gt;&lt;UTC&gt;1&lt;/UTC&gt;&lt;/UPDATE&gt;&lt;QUERIES bbk=&quot;14022&quot; bbkdesc=&quot;2018 Annual Accounts/EC Annual Accounts/DC - Pre-financing&quot; datapro=&quot;FEIAS&quot; tdatapro=&quot;FEIAS&quot; author=&quot;&quot; modtime=&quot;11/17/2014 2:43:37 PM&quot; moduser=&quot;vignale&quot; rolluptime=&quot;&quot; syuser=&quot;vignale&quot; syuzeit=&quot;11/17/2014 2:43:37 PM&quot; root=&quot;/DATA&quot; colcount=&quot;3&quot; rowcount=&quot;7&quot; url=&quot;&quot; dynamizeds=&quot;SAP Disclosure Management - Production&quot; dynamizedstype=&quot;9&quot; refreshds=&quot;&quot; viewtype=&quot;1&quot;&gt;&lt;QUERY reftype=&quot;ABS&quot; elmntsel=&quot;TABLE&quot; bbk=&quot;14022&quot; bbkdesc=&quot;2018 Annual Accounts/EC Annual Accounts/DC - Pre-financing&quot; datapro=&quot;FEIAS&quot; infos=&quot;&quot; iscomment=&quot;0&quot;&gt;&lt;SELECT&gt;/BBOOK/DATAPROVIDER[./META/PROPS/ID='FEIAS']/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6/03/2018 11:06:35&lt;/DYNAMIZEDON&gt;&lt;LASTUPDATEDBY&gt;milemar&lt;/LASTUPDATEDBY&gt;&lt;LASTUPDATEDON&gt;6/6/2019 5:18:18 PM&lt;/LASTUPDATEDON&gt;&lt;UTC&gt;1&lt;/UTC&gt;&lt;/UPDATE&gt;&lt;QUERIES bbk=&quot;13997&quot; bbkdesc=&quot;2018 Annual Accounts/EC Annual Accounts/DC - Exchange receivables and Non-exchange recoverables&quot; datapro=&quot;ERNER&quot; tdatapro=&quot;ERNER&quot; author=&quot;&quot; modtime=&quot;3/16/2018 8:48:52 AM&quot; moduser=&quot;preutan&quot; rolluptime=&quot;&quot; syuser=&quot;preutan&quot; syuzeit=&quot;3/16/2018 8:48:52 AM&quot; root=&quot;/DATA&quot; colcount=&quot;4&quot; rowcount=&quot;12&quot; url=&quot;&quot; dynamizeds=&quot;SAP Disclosure Management - Production&quot; dynamizedstype=&quot;9&quot; refreshds=&quot;&quot; viewtype=&quot;1&quot;&gt;&lt;QUERY reftype=&quot;ABS&quot; elmntsel=&quot;TABLE&quot; bbk=&quot;13997&quot; bbkdesc=&quot;2018 Annual Accounts/EC Annual Accounts/DC - Exchange receivables and Non-exchange recoverables&quot; datapro=&quot;ERNER&quot; infos=&quot;&quot; iscomment=&quot;0&quot;&gt;&lt;SELECT&gt;/BBOOK/DATAPROVIDER[./META/PROPS/ID='ERNER']/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5-03-2019 09:18:55&lt;/DYNAMIZEDON&gt;&lt;LASTUPDATEDBY&gt;milemar&lt;/LASTUPDATEDBY&gt;&lt;LASTUPDATEDON&gt;6/6/2019 5:18:18 PM&lt;/LASTUPDATEDON&gt;&lt;UTC&gt;1&lt;/UTC&gt;&lt;/UPDATE&gt;&lt;QUERIES bbk=&quot;13997&quot; bbkdesc=&quot;2018 Annual Accounts/EC Annual Accounts/DC - Exchange receivables and Non-exchange recoverables&quot; datapro=&quot;RNET&quot; tdatapro=&quot;RNET&quot; author=&quot;&quot; modtime=&quot;3/14/2019 10:28:51 AM&quot; moduser=&quot;preutan&quot; rolluptime=&quot;&quot; syuser=&quot;preutan&quot; syuzeit=&quot;3/14/2019 10:28:51 AM&quot; root=&quot;/DATA&quot; colcount=&quot;4&quot; rowcount=&quot;15&quot; url=&quot;&quot; dynamizeds=&quot;SAP Disclosure Management - Production&quot; dynamizedstype=&quot;9&quot; refreshds=&quot;&quot; viewtype=&quot;1&quot;&gt;&lt;QUERY reftype=&quot;ABS&quot; elmntsel=&quot;TABLE&quot; bbk=&quot;13997&quot; bbkdesc=&quot;2018 Annual Accounts/EC Annual Accounts/DC - Exchange receivables and Non-exchange recoverables&quot; datapro=&quot;RNET&quot; infos=&quot;&quot; iscomment=&quot;0&quot;&gt;&lt;SELECT&gt;/BBOOK/DATAPROVIDER[./META/PROPS/ID='RNET']/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6.35&lt;/DATE&gt;&lt;DYNAMIZEDBY&gt;servela&lt;/DYNAMIZEDBY&gt;&lt;DYNAMIZEDON&gt;10/3/2017 4:03:29 PM&lt;/DYNAMIZEDON&gt;&lt;LASTUPDATEDBY&gt;milemar&lt;/LASTUPDATEDBY&gt;&lt;LASTUPDATEDON&gt;6/6/2019 5:18:18 PM&lt;/LASTUPDATEDON&gt;&lt;UTC&gt;1&lt;/UTC&gt;&lt;/UPDATE&gt;&lt;QUERIES bbk=&quot;13973&quot; bbkdesc=&quot;2018 Annual Accounts/EC Annual Accounts/DC - Recoverables from Member States&quot; datapro=&quot;RMS&quot; tdatapro=&quot;RMS&quot; author=&quot;&quot; modtime=&quot;11/7/2014 2:53:03 PM&quot; moduser=&quot;vignale&quot; rolluptime=&quot;&quot; syuser=&quot;vignale&quot; syuzeit=&quot;11/7/2014 2:53:03 PM&quot; root=&quot;/DATA&quot; colcount=&quot;3&quot; rowcount=&quot;22&quot; url=&quot;&quot; dynamizeds=&quot;SAP Disclosure Management - Production&quot; dynamizedstype=&quot;9&quot; refreshds=&quot;&quot; viewtype=&quot;1&quot;&gt;&lt;QUERY reftype=&quot;ABS&quot; elmntsel=&quot;TABLE&quot; bbk=&quot;13973&quot; bbkdesc=&quot;2018 Annual Accounts/EC Annual Accounts/DC - Recoverables from Member States&quot; datapro=&quot;RMS&quot; infos=&quot;&quot; iscomment=&quot;0&quot;&gt;&lt;SELECT&gt;/BBOOK/DATAPROVIDER[./META/PROPS/ID='RMS']/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20/03/2018 17:05:46&lt;/DYNAMIZEDON&gt;&lt;LASTUPDATEDBY&gt;milemar&lt;/LASTUPDATEDBY&gt;&lt;LASTUPDATEDON&gt;6/6/2019 5:18:18 PM&lt;/LASTUPDATEDON&gt;&lt;UTC&gt;1&lt;/UTC&gt;&lt;/UPDATE&gt;&lt;QUERIES bbk=&quot;13997&quot; bbkdesc=&quot;2018 Annual Accounts/EC Annual Accounts/DC - Exchange receivables and Non-exchange recoverables&quot; datapro=&quot;FINES&quot; tdatapro=&quot;FINES&quot; author=&quot;&quot; modtime=&quot;6/6/2019 5:18:05 PM&quot; moduser=&quot;milemar&quot; rolluptime=&quot;&quot; syuser=&quot;milemar&quot; syuzeit=&quot;6/6/2019 5:18:05 PM&quot; root=&quot;/BBOOK/DATAPROVIDER[./META/PROPS/ID='FINES']/DATA&quot; colcount=&quot;3&quot; rowcount=&quot;9&quot; url=&quot;&quot; dynamizeds=&quot;SAP Disclosure Management - Production&quot; dynamizedstype=&quot;9&quot; refreshds=&quot;&quot; viewtype=&quot;1&quot;&gt;&lt;QUERY reftype=&quot;ABS&quot; elmntsel=&quot;TABLE&quot; bbk=&quot;13997&quot; bbkdesc=&quot;2018 Annual Accounts/EC Annual Accounts/DC - Exchange receivables and Non-exchange recoverables&quot; datapro=&quot;FINES&quot; infos=&quot;&quot; iscomment=&quot;0&quot;&gt;&lt;SELECT&gt;/BBOOK/DATAPROVIDER[./META/PROPS/ID='FINES']/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koehlmn&lt;/DYNAMIZEDBY&gt;&lt;DYNAMIZEDON&gt;14-03-2019 15:17:16&lt;/DYNAMIZEDON&gt;&lt;LASTUPDATEDBY&gt;milemar&lt;/LASTUPDATEDBY&gt;&lt;LASTUPDATEDON&gt;6/6/2019 5:18:18 PM&lt;/LASTUPDATEDON&gt;&lt;UTC&gt;1&lt;/UTC&gt;&lt;/UPDATE&gt;&lt;QUERIES bbk=&quot;14001&quot; bbkdesc=&quot;2018 Annual Accounts/EC Annual Accounts/DC - Accrued income and Deferred charges&quot; datapro=&quot;AIDC&quot; tdatapro=&quot;AIDC&quot; author=&quot;&quot; modtime=&quot;3/14/2019 10:28:52 AM&quot; moduser=&quot;preutan&quot; rolluptime=&quot;&quot; syuser=&quot;preutan&quot; syuzeit=&quot;3/14/2019 10:28:52 AM&quot; root=&quot;/DATA&quot; colcount=&quot;3&quot; rowcount=&quot;10&quot; url=&quot;&quot; dynamizeds=&quot;SAP Disclosure Management - Production&quot; dynamizedstype=&quot;9&quot; refreshds=&quot;&quot; viewtype=&quot;1&quot;&gt;&lt;QUERY reftype=&quot;ABS&quot; elmntsel=&quot;TABLE&quot; bbk=&quot;14001&quot; bbkdesc=&quot;2018 Annual Accounts/EC Annual Accounts/DC - Accrued income and Deferred charges&quot; datapro=&quot;AIDC&quot; infos=&quot;&quot; iscomment=&quot;0&quot;&gt;&lt;SELECT&gt;/BBOOK/DATAPROVIDER[./META/PROPS/ID='AIDC']/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4/03/2018 17:42:44&lt;/DYNAMIZEDON&gt;&lt;LASTUPDATEDBY&gt;milemar&lt;/LASTUPDATEDBY&gt;&lt;LASTUPDATEDON&gt;6/6/2019 5:18:18 PM&lt;/LASTUPDATEDON&gt;&lt;UTC&gt;1&lt;/UTC&gt;&lt;/UPDATE&gt;&lt;QUERIES bbk=&quot;13997&quot; bbkdesc=&quot;2018 Annual Accounts/EC Annual Accounts/DC - Exchange receivables and Non-exchange recoverables&quot; datapro=&quot;RET&quot; tdatapro=&quot;RET&quot; author=&quot;&quot; modtime=&quot;6/6/2019 5:18:05 PM&quot; moduser=&quot;milemar&quot; rolluptime=&quot;&quot; syuser=&quot;milemar&quot; syuzeit=&quot;6/6/2019 5:18:05 PM&quot; root=&quot;/BBOOK/DATAPROVIDER[./META/PROPS/ID='RET']/DATA&quot; colcount=&quot;3&quot; rowcount=&quot;13&quot; url=&quot;&quot; dynamizeds=&quot;SAP Disclosure Management - Production&quot; dynamizedstype=&quot;9&quot; refreshds=&quot;&quot; viewtype=&quot;1&quot;&gt;&lt;QUERY reftype=&quot;ABS&quot; elmntsel=&quot;TABLE&quot; bbk=&quot;13997&quot; bbkdesc=&quot;2018 Annual Accounts/EC Annual Accounts/DC - Exchange receivables and Non-exchange recoverables&quot; datapro=&quot;RET&quot; infos=&quot;&quot; iscomment=&quot;0&quot;&gt;&lt;SELECT&gt;/BBOOK/DATAPROVIDER[./META/PROPS/ID='RET']/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SEM&lt;/STATUS&gt;&lt;SAFE&gt;&lt;/SAFE&gt;&lt;MARKCHANGES&gt;0&lt;/MARKCHANGES&gt;&lt;USESTYLES&gt;0&lt;/USESTYLES&gt;&lt;USETEMPLATES&gt;0&lt;/USETEMPLATES&gt;&lt;FXC&gt;0&lt;/FXC&gt;&lt;FXR&gt;0&lt;/FXR&gt;&lt;FORMAT&gt;&lt;/FORMAT&gt;&lt;FMODUS&gt;&lt;/FMODUS&gt;&lt;FLCID&gt;2057&lt;/FLCID&gt;&lt;RELATION&gt;&lt;/RELATION&gt;&lt;LINKED&gt;&lt;/LINKED&gt;&lt;SVALUE&gt;&lt;/SVALUE&gt;&lt;INFO&gt;&lt;/INFO&gt;&lt;/META&gt;&lt;UPDATE&gt;&lt;DATE&gt;10.1.4.9&lt;/DATE&gt;&lt;DYNAMIZEDBY&gt;porteca&lt;/DYNAMIZEDBY&gt;&lt;DYNAMIZEDON&gt;19/01/2016 11:08:46&lt;/DYNAMIZEDON&gt;&lt;LASTUPDATEDBY&gt;milemar&lt;/LASTUPDATEDBY&gt;&lt;LASTUPDATEDON&gt;6/6/2019 5:21:26 PM&lt;/LASTUPDATEDON&gt;&lt;UTC&gt;1&lt;/UTC&gt;&lt;/UPDATE&gt;&lt;QUERIES bbk=&quot;14021&quot; bbkdesc=&quot;2018 Annual Accounts/EC Annual Accounts/DC - Inventories&quot; datapro=&quot;INV&quot; tdatapro=&quot;INV&quot; author=&quot;&quot; modtime=&quot;10/27/2015 3:14:08 PM&quot; moduser=&quot;milemar&quot; rolluptime=&quot;&quot; syuser=&quot;milemar&quot; syuzeit=&quot;10/27/2015 3:14:08 PM&quot; root=&quot;/DATA&quot; colcount=&quot;3&quot; rowcount=&quot;5&quot; url=&quot;&quot; dynamizeds=&quot;SAP Disclosure Management - Production&quot; dynamizedstype=&quot;9&quot; refreshds=&quot;&quot; viewtype=&quot;1&quot;&gt;&lt;QUERY reftype=&quot;ABS&quot; elmntsel=&quot;TABLE&quot; bbk=&quot;14021&quot; bbkdesc=&quot;2018 Annual Accounts/EC Annual Accounts/DC - Inventories&quot; datapro=&quot;INV&quot; infos=&quot;&quot; iscomment=&quot;0&quot;&gt;&lt;SELECT&gt;/BBOOK/DATAPROVIDER[./META/PROPS/ID='INV']/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koehlmn&lt;/DYNAMIZEDBY&gt;&lt;DYNAMIZEDON&gt;3/16/2018 3:52:10 PM&lt;/DYNAMIZEDON&gt;&lt;LASTUPDATEDBY&gt;milemar&lt;/LASTUPDATEDBY&gt;&lt;LASTUPDATEDON&gt;6/6/2019 5:19:41 PM&lt;/LASTUPDATEDON&gt;&lt;UTC&gt;1&lt;/UTC&gt;&lt;/UPDATE&gt;&lt;QUERIES bbk=&quot;14023&quot; bbkdesc=&quot;2018 Annual Accounts/EC Annual Accounts/DC - Cash and cash equivalents&quot; datapro=&quot;CCE&quot; tdatapro=&quot;CCE&quot; author=&quot;&quot; modtime=&quot;3/9/2017 3:22:10 PM&quot; moduser=&quot;porteca&quot; rolluptime=&quot;&quot; syuser=&quot;porteca&quot; syuzeit=&quot;3/9/2017 3:22:10 PM&quot; root=&quot;/DATA&quot; colcount=&quot;3&quot; rowcount=&quot;12&quot; url=&quot;&quot; dynamizeds=&quot;SAP Disclosure Management - Production&quot; dynamizedstype=&quot;9&quot; refreshds=&quot;&quot; viewtype=&quot;1&quot;&gt;&lt;QUERY reftype=&quot;ABS&quot; elmntsel=&quot;TABLE&quot; bbk=&quot;14023&quot; bbkdesc=&quot;2018 Annual Accounts/EC Annual Accounts/DC - Cash and cash equivalents&quot; datapro=&quot;CCE&quot; infos=&quot;&quot; iscomment=&quot;0&quot;&gt;&lt;SELECT&gt;/BBOOK/DATAPROVIDER[./META/PROPS/ID='CCE']/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maclali&lt;/DYNAMIZEDBY&gt;&lt;DYNAMIZEDON&gt;15/03/2017 09:59:06&lt;/DYNAMIZEDON&gt;&lt;LASTUPDATEDBY&gt;milemar&lt;/LASTUPDATEDBY&gt;&lt;LASTUPDATEDON&gt;6/6/2019 5:21:06 PM&lt;/LASTUPDATEDON&gt;&lt;UTC&gt;1&lt;/UTC&gt;&lt;/UPDATE&gt;&lt;QUERIES bbk=&quot;14024&quot; bbkdesc=&quot;2018 Annual Accounts/EC Annual Accounts/DC - Pension and other employee benefits&quot; datapro=&quot;PENS1&quot; tdatapro=&quot;PENS1&quot; author=&quot;&quot; modtime=&quot;6/6/2019 5:21:01 PM&quot; moduser=&quot;milemar&quot; rolluptime=&quot;&quot; syuser=&quot;milemar&quot; syuzeit=&quot;6/6/2019 5:21:01 PM&quot; root=&quot;/BBOOK/DATAPROVIDER[./META/PROPS/ID='PENS1']/DATA&quot; colcount=&quot;6&quot; rowcount=&quot;5&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1&quot; infos=&quot;&quot; iscomment=&quot;0&quot;&gt;&lt;SELECT&gt;/BBOOK/DATAPROVIDER[./META/PROPS/ID='PENS1']/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ivanovy&lt;/DYNAMIZEDBY&gt;&lt;DYNAMIZEDON&gt;14-03-2019 09:17:35&lt;/DYNAMIZEDON&gt;&lt;LASTUPDATEDBY&gt;milemar&lt;/LASTUPDATEDBY&gt;&lt;LASTUPDATEDON&gt;6/6/2019 5:21:06 PM&lt;/LASTUPDATEDON&gt;&lt;UTC&gt;1&lt;/UTC&gt;&lt;/UPDATE&gt;&lt;QUERIES bbk=&quot;14024&quot; bbkdesc=&quot;2018 Annual Accounts/EC Annual Accounts/DC - Pension and other employee benefits&quot; datapro=&quot;SPL&quot; tdatapro=&quot;SPL&quot; author=&quot;&quot; modtime=&quot;1/25/2019 11:18:07 AM&quot; moduser=&quot;preutan&quot; rolluptime=&quot;&quot; syuser=&quot;preutan&quot; syuzeit=&quot;1/25/2019 11:18:07 AM&quot; root=&quot;/DATA&quot; colcount=&quot;3&quot; rowcount=&quot;15&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SPL&quot; infos=&quot;&quot; iscomment=&quot;0&quot;&gt;&lt;SELECT&gt;/BBOOK/DATAPROVIDER[./META/PROPS/ID='SPL']/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4:09:22&lt;/DYNAMIZEDON&gt;&lt;LASTUPDATEDBY&gt;milemar&lt;/LASTUPDATEDBY&gt;&lt;LASTUPDATEDON&gt;6/6/2019 5:21:06 PM&lt;/LASTUPDATEDON&gt;&lt;UTC&gt;1&lt;/UTC&gt;&lt;/UPDATE&gt;&lt;QUERIES bbk=&quot;14024&quot; bbkdesc=&quot;2018 Annual Accounts/EC Annual Accounts/DC - Pension and other employee benefits&quot; datapro=&quot;PENS2&quot; tdatapro=&quot;PENS2&quot; author=&quot;&quot; modtime=&quot;6/6/2019 5:21:01 PM&quot; moduser=&quot;milemar&quot; rolluptime=&quot;&quot; syuser=&quot;milemar&quot; syuzeit=&quot;6/6/2019 5:21:01 PM&quot; root=&quot;/BBOOK/DATAPROVIDER[./META/PROPS/ID='PENS2']/DATA&quot; colcount=&quot;5&quot; rowcount=&quot;1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2&quot; infos=&quot;&quot; iscomment=&quot;0&quot;&gt;&lt;SELECT&gt;/BBOOK/DATAPROVIDER[./META/PROPS/ID='PENS2']/DATA/ROW&lt;/SELECT&gt;&lt;FILTERS&gt;&lt;FILTER&gt;&lt;/FILTER&gt;&lt;/FILTERS&gt;&lt;/QUERY&gt;&lt;/QUERIES&gt;&lt;/OBJECT&gt;"/>
    <w:docVar w:name="BIP_META_DOC_TBL00037" w:val="&lt;OBJECT&gt;&lt;META&gt;&lt;ID&gt;&lt;/ID&gt;&lt;NAME&gt;DOC_TBL0003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30/01/2019 09:36:52&lt;/DYNAMIZEDON&gt;&lt;LASTUPDATEDBY&gt;milemar&lt;/LASTUPDATEDBY&gt;&lt;LASTUPDATEDON&gt;6/6/2019 5:21:06 PM&lt;/LASTUPDATEDON&gt;&lt;UTC&gt;1&lt;/UTC&gt;&lt;/UPDATE&gt;&lt;QUERIES bbk=&quot;14024&quot; bbkdesc=&quot;2018 Annual Accounts/EC Annual Accounts/DC - Pension and other employee benefits&quot; datapro=&quot;PENS3&quot; tdatapro=&quot;PENS3&quot; author=&quot;&quot; modtime=&quot;1/30/2019 9:34:47 AM&quot; moduser=&quot;milemar&quot; rolluptime=&quot;&quot; syuser=&quot;milemar&quot; syuzeit=&quot;1/30/2019 9:34:47 AM&quot; root=&quot;/BBOOK/DATAPROVIDER[./META/PROPS/ID='PENS4']/DATA&quot; colcount=&quot;2&quot; rowcount=&quot;5&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3&quot; infos=&quot;&quot; iscomment=&quot;0&quot;&gt;&lt;SELECT&gt;/BBOOK/DATAPROVIDER[./META/PROPS/ID='PENS3']/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ivanovy&lt;/DYNAMIZEDBY&gt;&lt;DYNAMIZEDON&gt;14-03-2019 09:21:49&lt;/DYNAMIZEDON&gt;&lt;LASTUPDATEDBY&gt;milemar&lt;/LASTUPDATEDBY&gt;&lt;LASTUPDATEDON&gt;6/6/2019 5:21:06 PM&lt;/LASTUPDATEDON&gt;&lt;UTC&gt;1&lt;/UTC&gt;&lt;/UPDATE&gt;&lt;QUERIES bbk=&quot;14024&quot; bbkdesc=&quot;2018 Annual Accounts/EC Annual Accounts/DC - Pension and other employee benefits&quot; datapro=&quot;PENS6&quot; tdatapro=&quot;PENS6&quot; author=&quot;&quot; modtime=&quot;3/13/2019 1:26:25 PM&quot; moduser=&quot;preutan&quot; rolluptime=&quot;&quot; syuser=&quot;preutan&quot; syuzeit=&quot;3/13/2019 1:26:25 PM&quot; root=&quot;/DATA&quot; colcount=&quot;5&quot; rowcount=&quot;5&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6&quot; infos=&quot;&quot; iscomment=&quot;0&quot;&gt;&lt;SELECT&gt;/BBOOK/DATAPROVIDER[./META/PROPS/ID='PENS6']/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25-01-2019 11:15:41&lt;/DYNAMIZEDON&gt;&lt;LASTUPDATEDBY&gt;milemar&lt;/LASTUPDATEDBY&gt;&lt;LASTUPDATEDON&gt;6/6/2019 5:21:06 PM&lt;/LASTUPDATEDON&gt;&lt;UTC&gt;1&lt;/UTC&gt;&lt;/UPDATE&gt;&lt;QUERIES bbk=&quot;14024&quot; bbkdesc=&quot;2018 Annual Accounts/EC Annual Accounts/DC - Pension and other employee benefits&quot; datapro=&quot;PENS7&quot; tdatapro=&quot;PENS7&quot; author=&quot;&quot; modtime=&quot;6/6/2019 5:21:01 PM&quot; moduser=&quot;milemar&quot; rolluptime=&quot;&quot; syuser=&quot;milemar&quot; syuzeit=&quot;6/6/2019 5:21:01 PM&quot; root=&quot;/BBOOK/DATAPROVIDER[./META/PROPS/ID='PENS7']/DATA&quot; colcount=&quot;5&quot; rowcount=&quot;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7&quot; infos=&quot;&quot; iscomment=&quot;0&quot;&gt;&lt;SELECT&gt;/BBOOK/DATAPROVIDER[./META/PROPS/ID='PENS7']/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25/01/2019 11:54:17&lt;/DYNAMIZEDON&gt;&lt;LASTUPDATEDBY&gt;milemar&lt;/LASTUPDATEDBY&gt;&lt;LASTUPDATEDON&gt;6/6/2019 5:21:06 PM&lt;/LASTUPDATEDON&gt;&lt;UTC&gt;1&lt;/UTC&gt;&lt;/UPDATE&gt;&lt;QUERIES bbk=&quot;14024&quot; bbkdesc=&quot;2018 Annual Accounts/EC Annual Accounts/DC - Pension and other employee benefits&quot; datapro=&quot;PENS8&quot; tdatapro=&quot;PENS8&quot; author=&quot;&quot; modtime=&quot;6/6/2019 5:21:01 PM&quot; moduser=&quot;milemar&quot; rolluptime=&quot;&quot; syuser=&quot;milemar&quot; syuzeit=&quot;6/6/2019 5:21:01 PM&quot; root=&quot;/BBOOK/DATAPROVIDER[./META/PROPS/ID='PENS8']/DATA&quot; colcount=&quot;5&quot; rowcount=&quot;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8&quot; infos=&quot;&quot; iscomment=&quot;0&quot;&gt;&lt;SELECT&gt;/BBOOK/DATAPROVIDER[./META/PROPS/ID='PENS8']/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25/01/2019 11:57:09&lt;/DYNAMIZEDON&gt;&lt;LASTUPDATEDBY&gt;milemar&lt;/LASTUPDATEDBY&gt;&lt;LASTUPDATEDON&gt;6/6/2019 5:21:06 PM&lt;/LASTUPDATEDON&gt;&lt;UTC&gt;1&lt;/UTC&gt;&lt;/UPDATE&gt;&lt;QUERIES bbk=&quot;14024&quot; bbkdesc=&quot;2018 Annual Accounts/EC Annual Accounts/DC - Pension and other employee benefits&quot; datapro=&quot;PENS9&quot; tdatapro=&quot;PENS9&quot; author=&quot;&quot; modtime=&quot;6/6/2019 5:21:01 PM&quot; moduser=&quot;milemar&quot; rolluptime=&quot;&quot; syuser=&quot;milemar&quot; syuzeit=&quot;6/6/2019 5:21:01 PM&quot; root=&quot;/BBOOK/DATAPROVIDER[./META/PROPS/ID='PENS9']/DATA&quot; colcount=&quot;5&quot; rowcount=&quot;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9&quot; infos=&quot;&quot; iscomment=&quot;0&quot;&gt;&lt;SELECT&gt;/BBOOK/DATAPROVIDER[./META/PROPS/ID='PENS9']/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25/01/2019 11:59:07&lt;/DYNAMIZEDON&gt;&lt;LASTUPDATEDBY&gt;milemar&lt;/LASTUPDATEDBY&gt;&lt;LASTUPDATEDON&gt;6/6/2019 5:21:06 PM&lt;/LASTUPDATEDON&gt;&lt;UTC&gt;1&lt;/UTC&gt;&lt;/UPDATE&gt;&lt;QUERIES bbk=&quot;14024&quot; bbkdesc=&quot;2018 Annual Accounts/EC Annual Accounts/DC - Pension and other employee benefits&quot; datapro=&quot;PENS10&quot; tdatapro=&quot;PENS10&quot; author=&quot;&quot; modtime=&quot;6/6/2019 5:21:01 PM&quot; moduser=&quot;milemar&quot; rolluptime=&quot;&quot; syuser=&quot;milemar&quot; syuzeit=&quot;6/6/2019 5:21:01 PM&quot; root=&quot;/BBOOK/DATAPROVIDER[./META/PROPS/ID='PENS10']/DATA&quot; colcount=&quot;5&quot; rowcount=&quot;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10&quot; infos=&quot;&quot; iscomment=&quot;0&quot;&gt;&lt;SELECT&gt;/BBOOK/DATAPROVIDER[./META/PROPS/ID='PENS10']/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25/01/2019 12:01:04&lt;/DYNAMIZEDON&gt;&lt;LASTUPDATEDBY&gt;milemar&lt;/LASTUPDATEDBY&gt;&lt;LASTUPDATEDON&gt;6/6/2019 5:21:06 PM&lt;/LASTUPDATEDON&gt;&lt;UTC&gt;1&lt;/UTC&gt;&lt;/UPDATE&gt;&lt;QUERIES bbk=&quot;14024&quot; bbkdesc=&quot;2018 Annual Accounts/EC Annual Accounts/DC - Pension and other employee benefits&quot; datapro=&quot;PENS11&quot; tdatapro=&quot;PENS11&quot; author=&quot;&quot; modtime=&quot;6/6/2019 5:21:01 PM&quot; moduser=&quot;milemar&quot; rolluptime=&quot;&quot; syuser=&quot;milemar&quot; syuzeit=&quot;6/6/2019 5:21:01 PM&quot; root=&quot;/BBOOK/DATAPROVIDER[./META/PROPS/ID='PENS11']/DATA&quot; colcount=&quot;5&quot; rowcount=&quot;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11&quot; infos=&quot;&quot; iscomment=&quot;0&quot;&gt;&lt;SELECT&gt;/BBOOK/DATAPROVIDER[./META/PROPS/ID='PENS11']/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25/01/2019 12:03:10&lt;/DYNAMIZEDON&gt;&lt;LASTUPDATEDBY&gt;milemar&lt;/LASTUPDATEDBY&gt;&lt;LASTUPDATEDON&gt;6/6/2019 5:21:06 PM&lt;/LASTUPDATEDON&gt;&lt;UTC&gt;1&lt;/UTC&gt;&lt;/UPDATE&gt;&lt;QUERIES bbk=&quot;14024&quot; bbkdesc=&quot;2018 Annual Accounts/EC Annual Accounts/DC - Pension and other employee benefits&quot; datapro=&quot;PENS12&quot; tdatapro=&quot;PENS12&quot; author=&quot;&quot; modtime=&quot;6/6/2019 5:21:01 PM&quot; moduser=&quot;milemar&quot; rolluptime=&quot;&quot; syuser=&quot;milemar&quot; syuzeit=&quot;6/6/2019 5:21:01 PM&quot; root=&quot;/BBOOK/DATAPROVIDER[./META/PROPS/ID='PENS12']/DATA&quot; colcount=&quot;5&quot; rowcount=&quot;4&quot; url=&quot;&quot; dynamizeds=&quot;SAP Disclosure Management - Production&quot; dynamizedstype=&quot;9&quot; refreshds=&quot;&quot; viewtype=&quot;1&quot;&gt;&lt;QUERY reftype=&quot;ABS&quot; elmntsel=&quot;TABLE&quot; bbk=&quot;14024&quot; bbkdesc=&quot;2018 Annual Accounts/EC Annual Accounts/DC - Pension and other employee benefits&quot; datapro=&quot;PENS12&quot; infos=&quot;&quot; iscomment=&quot;0&quot;&gt;&lt;SELECT&gt;/BBOOK/DATAPROVIDER[./META/PROPS/ID='PENS12']/DATA/ROW&lt;/SELECT&gt;&lt;FILTERS&gt;&lt;FILTER&gt;&lt;/FILTER&gt;&lt;/FILTERS&gt;&lt;/QUERY&gt;&lt;/QUERIES&gt;&lt;/OBJECT&gt;"/>
    <w:docVar w:name="BIP_META_DOC_TBL00045" w:val="&lt;OBJECT&gt;&lt;META&gt;&lt;ID&gt;&lt;/ID&gt;&lt;NAME&gt;DOC_TBL0004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2-06-2018 09:49:17&lt;/DYNAMIZEDON&gt;&lt;LASTUPDATEDBY&gt;milemar&lt;/LASTUPDATEDBY&gt;&lt;LASTUPDATEDON&gt;6/6/2019 5:17:13 PM&lt;/LASTUPDATEDON&gt;&lt;UTC&gt;1&lt;/UTC&gt;&lt;/UPDATE&gt;&lt;QUERIES bbk=&quot;14025&quot; bbkdesc=&quot;2018 Annual Accounts/EC Annual Accounts/DC - Provisions&quot; datapro=&quot;PROV&quot; tdatapro=&quot;PROV&quot; author=&quot;&quot; modtime=&quot;3/10/2016 8:21:37 PM&quot; moduser=&quot;koehlmn&quot; rolluptime=&quot;&quot; syuser=&quot;koehlmn&quot; syuzeit=&quot;3/10/2016 8:21:37 PM&quot; root=&quot;/DATA&quot; colcount=&quot;8&quot; rowcount=&quot;14&quot; url=&quot;&quot; dynamizeds=&quot;SAP Disclosure Management - Production&quot; dynamizedstype=&quot;9&quot; refreshds=&quot;&quot; viewtype=&quot;1&quot;&gt;&lt;QUERY reftype=&quot;ABS&quot; elmntsel=&quot;TABLE&quot; bbk=&quot;14025&quot; bbkdesc=&quot;2018 Annual Accounts/EC Annual Accounts/DC - Provisions&quot; datapro=&quot;PROV&quot; infos=&quot;&quot; iscomment=&quot;0&quot;&gt;&lt;SELECT&gt;/BBOOK/DATAPROVIDER[./META/PROPS/ID='PROV']/DATA/ROW&lt;/SELECT&gt;&lt;FILTERS&gt;&lt;FILTER&gt;&lt;/FILTER&gt;&lt;/FILTERS&gt;&lt;/QUERY&gt;&lt;/QUERIES&gt;&lt;/OBJECT&gt;"/>
    <w:docVar w:name="BIP_META_DOC_TBL00046" w:val="&lt;OBJECT&gt;&lt;META&gt;&lt;ID&gt;&lt;/ID&gt;&lt;NAME&gt;DOC_TBL0004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deckesy&lt;/DYNAMIZEDBY&gt;&lt;DYNAMIZEDON&gt;01/06/2018 08:01:58&lt;/DYNAMIZEDON&gt;&lt;LASTUPDATEDBY&gt;milemar&lt;/LASTUPDATEDBY&gt;&lt;LASTUPDATEDON&gt;6/6/2019 5:16:53 PM&lt;/LASTUPDATEDON&gt;&lt;UTC&gt;1&lt;/UTC&gt;&lt;/UPDATE&gt;&lt;QUERIES bbk=&quot;14027&quot; bbkdesc=&quot;2018 Annual Accounts/EC Annual Accounts/DC - Financial liabilities&quot; datapro=&quot;FinL&quot; tdatapro=&quot;FinL&quot; author=&quot;&quot; modtime=&quot;3/16/2018 8:53:44 AM&quot; moduser=&quot;preutan&quot; rolluptime=&quot;&quot; syuser=&quot;preutan&quot; syuzeit=&quot;3/16/2018 8:53:44 AM&quot; root=&quot;/DATA&quot; colcount=&quot;4&quot; rowcount=&quot;14&quot; url=&quot;&quot; dynamizeds=&quot;SAP Disclosure Management - Production&quot; dynamizedstype=&quot;9&quot; refreshds=&quot;&quot; viewtype=&quot;1&quot;&gt;&lt;QUERY reftype=&quot;ABS&quot; elmntsel=&quot;TABLE&quot; bbk=&quot;14027&quot; bbkdesc=&quot;2018 Annual Accounts/EC Annual Accounts/DC - Financial liabilities&quot; datapro=&quot;FinL&quot; infos=&quot;&quot; iscomment=&quot;0&quot;&gt;&lt;SELECT&gt;/BBOOK/DATAPROVIDER[./META/PROPS/ID='FinL']/DATA/ROW&lt;/SELECT&gt;&lt;FILTERS&gt;&lt;FILTER&gt;&lt;/FILTER&gt;&lt;/FILTERS&gt;&lt;/QUERY&gt;&lt;/QUERIES&gt;&lt;/OBJECT&gt;"/>
    <w:docVar w:name="BIP_META_DOC_TBL00047" w:val="&lt;OBJECT&gt;&lt;META&gt;&lt;ID&gt;&lt;/ID&gt;&lt;NAME&gt;DOC_TBL0004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servela&lt;/DYNAMIZEDBY&gt;&lt;DYNAMIZEDON&gt;20/11/2017 10:08:04&lt;/DYNAMIZEDON&gt;&lt;LASTUPDATEDBY&gt;milemar&lt;/LASTUPDATEDBY&gt;&lt;LASTUPDATEDON&gt;6/6/2019 5:16:53 PM&lt;/LASTUPDATEDON&gt;&lt;UTC&gt;1&lt;/UTC&gt;&lt;/UPDATE&gt;&lt;QUERIES bbk=&quot;14026&quot; bbkdesc=&quot;2018 Annual Accounts/EC Annual Accounts/DC - Financial liabilities at amortised cost&quot; datapro=&quot;BORR&quot; tdatapro=&quot;BORR&quot; author=&quot;&quot; modtime=&quot;3/13/2017 4:27:07 PM&quot; moduser=&quot;preutan&quot; rolluptime=&quot;&quot; syuser=&quot;preutan&quot; syuzeit=&quot;3/13/2017 4:27:07 PM&quot; root=&quot;/DATA&quot; colcount=&quot;4&quot; rowcount=&quot;7&quot; url=&quot;&quot; dynamizeds=&quot;SAP Disclosure Management - Production&quot; dynamizedstype=&quot;9&quot; refreshds=&quot;&quot; viewtype=&quot;1&quot;&gt;&lt;QUERY reftype=&quot;ABS&quot; elmntsel=&quot;TABLE&quot; bbk=&quot;14026&quot; bbkdesc=&quot;2018 Annual Accounts/EC Annual Accounts/DC - Financial liabilities at amortised cost&quot; datapro=&quot;BORR&quot; infos=&quot;&quot; iscomment=&quot;0&quot;&gt;&lt;SELECT&gt;/BBOOK/DATAPROVIDER[./META/PROPS/ID='BORR']/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21-11-2018 14:35:33&lt;/DYNAMIZEDON&gt;&lt;LASTUPDATEDBY&gt;milemar&lt;/LASTUPDATEDBY&gt;&lt;LASTUPDATEDON&gt;6/6/2019 5:16:53 PM&lt;/LASTUPDATEDON&gt;&lt;UTC&gt;1&lt;/UTC&gt;&lt;/UPDATE&gt;&lt;QUERIES bbk=&quot;14747&quot; bbkdesc=&quot;2018 Annual Accounts/EU Annual Accounts/DC - Borrowings by Financial instruments&quot; datapro=&quot;BFIEC&quot; tdatapro=&quot;BFIEC&quot; author=&quot;&quot; modtime=&quot;10/12/2018 1:26:32 PM&quot; moduser=&quot;preutan&quot; rolluptime=&quot;&quot; syuser=&quot;preutan&quot; syuzeit=&quot;10/12/2018 1:26:32 PM&quot; root=&quot;/DATA&quot; colcount=&quot;6&quot; rowcount=&quot;10&quot; url=&quot;&quot; dynamizeds=&quot;SAP Disclosure Management - Production&quot; dynamizedstype=&quot;9&quot; refreshds=&quot;&quot; viewtype=&quot;1&quot;&gt;&lt;QUERY reftype=&quot;ABS&quot; elmntsel=&quot;TABLE&quot; bbk=&quot;14747&quot; bbkdesc=&quot;2018 Annual Accounts/EU Annual Accounts/DC - Borrowings by Financial instruments&quot; datapro=&quot;BFIEC&quot; infos=&quot;&quot; iscomment=&quot;0&quot;&gt;&lt;SELECT&gt;/BBOOK/DATAPROVIDER[./META/PROPS/ID='BFIEC']/DATA/ROW&lt;/SELECT&gt;&lt;FILTERS&gt;&lt;FILTER&gt;&lt;/FILTER&gt;&lt;/FILTERS&gt;&lt;/QUERY&gt;&lt;/QUERIES&gt;&lt;/OBJECT&gt;"/>
    <w:docVar w:name="BIP_META_DOC_TBL00049" w:val="&lt;OBJECT&gt;&lt;META&gt;&lt;ID&gt;&lt;/ID&gt;&lt;NAME&gt;DOC_TBL0004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niyamar&lt;/DYNAMIZEDBY&gt;&lt;DYNAMIZEDON&gt;15/03/2016 15:31:11&lt;/DYNAMIZEDON&gt;&lt;LASTUPDATEDBY&gt;milemar&lt;/LASTUPDATEDBY&gt;&lt;LASTUPDATEDON&gt;6/6/2019 5:16:53 PM&lt;/LASTUPDATEDON&gt;&lt;UTC&gt;1&lt;/UTC&gt;&lt;/UPDATE&gt;&lt;QUERIES bbk=&quot;14814&quot; bbkdesc=&quot;2018 Annual Accounts/EU Annual Accounts/DC - Financial Support Mechanisms&quot; datapro=&quot;BORR3EC&quot; tdatapro=&quot;BORR3EC&quot; author=&quot;&quot; modtime=&quot;3/25/2019 12:55:50 PM&quot; moduser=&quot;milemar&quot; rolluptime=&quot;&quot; syuser=&quot;milemar&quot; syuzeit=&quot;3/25/2019 12:55:50 PM&quot; root=&quot;/BBOOK/DATAPROVIDER[./META/PROPS/ID='BORR3EC']/DATA&quot; colcount=&quot;3&quot; rowcount=&quot;5&quot; url=&quot;&quot; dynamizeds=&quot;SAP Disclosure Management - Production&quot; dynamizedstype=&quot;9&quot; refreshds=&quot;&quot; viewtype=&quot;1&quot;&gt;&lt;QUERY reftype=&quot;ABS&quot; elmntsel=&quot;TABLE&quot; bbk=&quot;14814&quot; bbkdesc=&quot;2018 Annual Accounts/EU Annual Accounts/DC - Financial Support Mechanisms&quot; datapro=&quot;BORR3EC&quot; infos=&quot;&quot; iscomment=&quot;0&quot;&gt;&lt;SELECT&gt;/BBOOK/DATAPROVIDER[./META/PROPS/ID='BORR3EC']/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servela&lt;/DYNAMIZEDBY&gt;&lt;DYNAMIZEDON&gt;20/11/2017 10:30:24&lt;/DYNAMIZEDON&gt;&lt;LASTUPDATEDBY&gt;milemar&lt;/LASTUPDATEDBY&gt;&lt;LASTUPDATEDON&gt;6/6/2019 5:16:53 PM&lt;/LASTUPDATEDON&gt;&lt;UTC&gt;1&lt;/UTC&gt;&lt;/UPDATE&gt;&lt;QUERIES bbk=&quot;14028&quot; bbkdesc=&quot;2018 Annual Accounts/EC Annual Accounts/DC - Other financial liabilities&quot; datapro=&quot;OthFinanL&quot; tdatapro=&quot;OthFinanL&quot; author=&quot;&quot; modtime=&quot;3/15/2017 5:32:42 PM&quot; moduser=&quot;preutan&quot; rolluptime=&quot;&quot; syuser=&quot;preutan&quot; syuzeit=&quot;3/15/2017 5:32:42 PM&quot; root=&quot;/DATA&quot; colcount=&quot;3&quot; rowcount=&quot;15&quot; url=&quot;&quot; dynamizeds=&quot;SAP Disclosure Management - Production&quot; dynamizedstype=&quot;9&quot; refreshds=&quot;&quot; viewtype=&quot;1&quot;&gt;&lt;QUERY reftype=&quot;ABS&quot; elmntsel=&quot;TABLE&quot; bbk=&quot;14028&quot; bbkdesc=&quot;2018 Annual Accounts/EC Annual Accounts/DC - Other financial liabilities&quot; datapro=&quot;OthFinanL&quot; infos=&quot;&quot; iscomment=&quot;0&quot;&gt;&lt;SELECT&gt;/BBOOK/DATAPROVIDER[./META/PROPS/ID='OthFinanL']/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0:42:10&lt;/DYNAMIZEDON&gt;&lt;LASTUPDATEDBY&gt;milemar&lt;/LASTUPDATEDBY&gt;&lt;LASTUPDATEDON&gt;6/6/2019 5:16:53 PM&lt;/LASTUPDATEDON&gt;&lt;UTC&gt;1&lt;/UTC&gt;&lt;/UPDATE&gt;&lt;QUERIES bbk=&quot;14044&quot; bbkdesc=&quot;2018 Annual Accounts/EC Annual Accounts/DC - Finance Lease liabilities&quot; datapro=&quot;FL&quot; tdatapro=&quot;FL&quot; author=&quot;&quot; modtime=&quot;3/14/2019 10:27:33 AM&quot; moduser=&quot;preutan&quot; rolluptime=&quot;&quot; syuser=&quot;preutan&quot; syuzeit=&quot;3/14/2019 10:27:33 AM&quot; root=&quot;/DATA&quot; colcount=&quot;5&quot; rowcount=&quot;9&quot; url=&quot;&quot; dynamizeds=&quot;SAP Disclosure Management - Production&quot; dynamizedstype=&quot;9&quot; refreshds=&quot;&quot; viewtype=&quot;1&quot;&gt;&lt;QUERY reftype=&quot;ABS&quot; elmntsel=&quot;TABLE&quot; bbk=&quot;14044&quot; bbkdesc=&quot;2018 Annual Accounts/EC Annual Accounts/DC - Finance Lease liabilities&quot; datapro=&quot;FL&quot; infos=&quot;&quot; iscomment=&quot;0&quot;&gt;&lt;SELECT&gt;/BBOOK/DATAPROVIDER[./META/PROPS/ID='FL']/DATA/ROW&lt;/SELECT&gt;&lt;FILTERS&gt;&lt;FILTER&gt;&lt;/FILTER&gt;&lt;/FILTERS&gt;&lt;/QUERY&gt;&lt;/QUERIES&gt;&lt;/OBJECT&gt;"/>
    <w:docVar w:name="BIP_META_DOC_TBL00052" w:val="&lt;OBJECT&gt;&lt;META&gt;&lt;ID&gt;&lt;/ID&gt;&lt;NAME&gt;DOC_TBL0005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6/03/2018 12:24:30&lt;/DYNAMIZEDON&gt;&lt;LASTUPDATEDBY&gt;milemar&lt;/LASTUPDATEDBY&gt;&lt;LASTUPDATEDON&gt;6/6/2019 5:16:53 PM&lt;/LASTUPDATEDON&gt;&lt;UTC&gt;1&lt;/UTC&gt;&lt;/UPDATE&gt;&lt;QUERIES bbk=&quot;14027&quot; bbkdesc=&quot;2018 Annual Accounts/EC Annual Accounts/DC - Financial liabilities&quot; datapro=&quot;NotionalFL&quot; tdatapro=&quot;NotionalFL&quot; author=&quot;&quot; modtime=&quot;3/15/2018 1:21:31 PM&quot; moduser=&quot;zogalmn&quot; rolluptime=&quot;&quot; syuser=&quot;zogalmn&quot; syuzeit=&quot;3/15/2018 1:21:31 PM&quot; root=&quot;/DATA&quot; colcount=&quot;5&quot; rowcount=&quot;9&quot; url=&quot;&quot; dynamizeds=&quot;SAP Disclosure Management - Production&quot; dynamizedstype=&quot;9&quot; refreshds=&quot;&quot; viewtype=&quot;1&quot;&gt;&lt;QUERY reftype=&quot;ABS&quot; elmntsel=&quot;TABLE&quot; bbk=&quot;14027&quot; bbkdesc=&quot;2018 Annual Accounts/EC Annual Accounts/DC - Financial liabilities&quot; datapro=&quot;NotionalFL&quot; infos=&quot;&quot; iscomment=&quot;0&quot;&gt;&lt;SELECT&gt;/BBOOK/DATAPROVIDER[./META/PROPS/ID='NotionalFL']/DATA/ROW&lt;/SELECT&gt;&lt;FILTERS&gt;&lt;FILTER&gt;&lt;/FILTER&gt;&lt;/FILTERS&gt;&lt;/QUERY&gt;&lt;/QUERIES&gt;&lt;/OBJECT&gt;"/>
    <w:docVar w:name="BIP_META_DOC_TBL00053" w:val="&lt;OBJECT&gt;&lt;META&gt;&lt;ID&gt;&lt;/ID&gt;&lt;NAME&gt;DOC_TBL0005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mileuma&lt;/DYNAMIZEDBY&gt;&lt;DYNAMIZEDON&gt;11/02/2019 15:22:25&lt;/DYNAMIZEDON&gt;&lt;LASTUPDATEDBY&gt;milemar&lt;/LASTUPDATEDBY&gt;&lt;LASTUPDATEDON&gt;6/6/2019 5:16:53 PM&lt;/LASTUPDATEDON&gt;&lt;UTC&gt;1&lt;/UTC&gt;&lt;/UPDATE&gt;&lt;QUERIES bbk=&quot;14027&quot; bbkdesc=&quot;2018 Annual Accounts/EC Annual Accounts/DC - Financial liabilities&quot; datapro=&quot;FVH&quot; tdatapro=&quot;FVH&quot; author=&quot;&quot; modtime=&quot;6/6/2019 5:16:37 PM&quot; moduser=&quot;milemar&quot; rolluptime=&quot;&quot; syuser=&quot;milemar&quot; syuzeit=&quot;6/6/2019 5:16:37 PM&quot; root=&quot;/BBOOK/DATAPROVIDER[./META/PROPS/ID='FVH']/DATA&quot; colcount=&quot;3&quot; rowcount=&quot;7&quot; url=&quot;&quot; dynamizeds=&quot;SAP Disclosure Management - Production&quot; dynamizedstype=&quot;9&quot; refreshds=&quot;&quot; viewtype=&quot;1&quot;&gt;&lt;QUERY reftype=&quot;ABS&quot; elmntsel=&quot;TABLE&quot; bbk=&quot;14027&quot; bbkdesc=&quot;2018 Annual Accounts/EC Annual Accounts/DC - Financial liabilities&quot; datapro=&quot;FVH&quot; infos=&quot;&quot; iscomment=&quot;0&quot;&gt;&lt;SELECT&gt;/BBOOK/DATAPROVIDER[./META/PROPS/ID='FVH']/DATA/ROW&lt;/SELECT&gt;&lt;FILTERS&gt;&lt;FILTER&gt;&lt;/FILTER&gt;&lt;/FILTERS&gt;&lt;/QUERY&gt;&lt;/QUERIES&gt;&lt;/OBJECT&gt;"/>
    <w:docVar w:name="BIP_META_DOC_TBL00054" w:val="&lt;OBJECT&gt;&lt;META&gt;&lt;ID&gt;&lt;/ID&gt;&lt;NAME&gt;DOC_TBL0005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1:14:44&lt;/DYNAMIZEDON&gt;&lt;LASTUPDATEDBY&gt;milemar&lt;/LASTUPDATEDBY&gt;&lt;LASTUPDATEDON&gt;6/6/2019 5:16:53 PM&lt;/LASTUPDATEDON&gt;&lt;UTC&gt;1&lt;/UTC&gt;&lt;/UPDATE&gt;&lt;QUERIES bbk=&quot;14027&quot; bbkdesc=&quot;2018 Annual Accounts/EC Annual Accounts/DC - Financial liabilities&quot; datapro=&quot;RECOFINA&quot; tdatapro=&quot;RECOFINA&quot; author=&quot;&quot; modtime=&quot;6/6/2019 5:16:37 PM&quot; moduser=&quot;milemar&quot; rolluptime=&quot;&quot; syuser=&quot;milemar&quot; syuzeit=&quot;6/6/2019 5:16:37 PM&quot; root=&quot;/BBOOK/DATAPROVIDER[./META/PROPS/ID='RECOFINA']/DATA&quot; colcount=&quot;2&quot; rowcount=&quot;9&quot; url=&quot;&quot; dynamizeds=&quot;SAP Disclosure Management - Production&quot; dynamizedstype=&quot;9&quot; refreshds=&quot;&quot; viewtype=&quot;1&quot;&gt;&lt;QUERY reftype=&quot;ABS&quot; elmntsel=&quot;TABLE&quot; bbk=&quot;14027&quot; bbkdesc=&quot;2018 Annual Accounts/EC Annual Accounts/DC - Financial liabilities&quot; datapro=&quot;RECOFINA&quot; infos=&quot;&quot; iscomment=&quot;0&quot;&gt;&lt;SELECT&gt;/BBOOK/DATAPROVIDER[./META/PROPS/ID='RECOFINA']/DATA/ROW&lt;/SELECT&gt;&lt;FILTERS&gt;&lt;FILTER&gt;&lt;/FILTER&gt;&lt;/FILTERS&gt;&lt;/QUERY&gt;&lt;/QUERIES&gt;&lt;/OBJECT&gt;"/>
    <w:docVar w:name="BIP_META_DOC_TBL00055" w:val="&lt;OBJECT&gt;&lt;META&gt;&lt;ID&gt;&lt;/ID&gt;&lt;NAME&gt;DOC_TBL0005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20/11/2017 11:00:12&lt;/DYNAMIZEDON&gt;&lt;LASTUPDATEDBY&gt;milemar&lt;/LASTUPDATEDBY&gt;&lt;LASTUPDATEDON&gt;6/6/2019 5:16:08 PM&lt;/LASTUPDATEDON&gt;&lt;UTC&gt;1&lt;/UTC&gt;&lt;/UPDATE&gt;&lt;QUERIES bbk=&quot;13963&quot; bbkdesc=&quot;2018 Annual Accounts/EC Annual Accounts/DC - Payables&quot; datapro=&quot;PAYAB&quot; tdatapro=&quot;PAYAB&quot; author=&quot;&quot; modtime=&quot;3/14/2016 12:08:49 PM&quot; moduser=&quot;boxellu&quot; rolluptime=&quot;&quot; syuser=&quot;boxellu&quot; syuzeit=&quot;3/14/2016 12:08:49 PM&quot; root=&quot;/DATA&quot; colcount=&quot;7&quot; rowcount=&quot;14&quot; url=&quot;&quot; dynamizeds=&quot;SAP Disclosure Management - Production&quot; dynamizedstype=&quot;9&quot; refreshds=&quot;&quot; viewtype=&quot;1&quot;&gt;&lt;QUERY reftype=&quot;ABS&quot; elmntsel=&quot;TABLE&quot; bbk=&quot;13963&quot; bbkdesc=&quot;2018 Annual Accounts/EC Annual Accounts/DC - Payables&quot; datapro=&quot;PAYAB&quot; infos=&quot;&quot; iscomment=&quot;0&quot;&gt;&lt;SELECT&gt;/BBOOK/DATAPROVIDER[./META/PROPS/ID='PAYAB']/DATA/ROW&lt;/SELECT&gt;&lt;FILTERS&gt;&lt;FILTER&gt;&lt;/FILTER&gt;&lt;/FILTERS&gt;&lt;/QUERY&gt;&lt;/QUERIES&gt;&lt;/OBJECT&gt;"/>
    <w:docVar w:name="BIP_META_DOC_TBL00056" w:val="&lt;OBJECT&gt;&lt;META&gt;&lt;ID&gt;&lt;/ID&gt;&lt;NAME&gt;DOC_TBL0005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0.36&lt;/DATE&gt;&lt;DYNAMIZEDBY&gt;vignoal&lt;/DYNAMIZEDBY&gt;&lt;DYNAMIZEDON&gt;06/03/2015 12:51:17&lt;/DYNAMIZEDON&gt;&lt;LASTUPDATEDBY&gt;milemar&lt;/LASTUPDATEDBY&gt;&lt;LASTUPDATEDON&gt;6/6/2019 5:17:02 PM&lt;/LASTUPDATEDON&gt;&lt;UTC&gt;1&lt;/UTC&gt;&lt;/UPDATE&gt;&lt;QUERIES bbk=&quot;14029&quot; bbkdesc=&quot;2018 Annual Accounts/EC Annual Accounts/DC - Accrued charges and Deferred income&quot; datapro=&quot;ACCDEF&quot; tdatapro=&quot;ACCDEF&quot; author=&quot;&quot; modtime=&quot;1/15/2015 8:37:42 AM&quot; moduser=&quot;vignale&quot; rolluptime=&quot;&quot; syuser=&quot;vignale&quot; syuzeit=&quot;1/15/2015 8:37:42 AM&quot; root=&quot;/DATA&quot; colcount=&quot;3&quot; rowcount=&quot;6&quot; url=&quot;&quot; dynamizeds=&quot;SAP Disclosure Management - Production&quot; dynamizedstype=&quot;9&quot; refreshds=&quot;&quot; viewtype=&quot;1&quot;&gt;&lt;QUERY reftype=&quot;ABS&quot; elmntsel=&quot;TABLE&quot; bbk=&quot;14029&quot; bbkdesc=&quot;2018 Annual Accounts/EC Annual Accounts/DC - Accrued charges and Deferred income&quot; datapro=&quot;ACCDEF&quot; infos=&quot;&quot; iscomment=&quot;0&quot;&gt;&lt;SELECT&gt;/BBOOK/DATAPROVIDER[./META/PROPS/ID='ACCDEF']/DATA/ROW&lt;/SELECT&gt;&lt;FILTERS&gt;&lt;FILTER&gt;&lt;/FILTER&gt;&lt;/FILTERS&gt;&lt;/QUERY&gt;&lt;/QUERIES&gt;&lt;/OBJECT&gt;"/>
    <w:docVar w:name="BIP_META_DOC_TBL00057" w:val="&lt;OBJECT&gt;&lt;META&gt;&lt;ID&gt;&lt;/ID&gt;&lt;NAME&gt;DOC_TBL0005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20/11/2017 13:17:33&lt;/DYNAMIZEDON&gt;&lt;LASTUPDATEDBY&gt;milemar&lt;/LASTUPDATEDBY&gt;&lt;LASTUPDATEDON&gt;6/6/2019 5:17:02 PM&lt;/LASTUPDATEDON&gt;&lt;UTC&gt;1&lt;/UTC&gt;&lt;/UPDATE&gt;&lt;QUERIES bbk=&quot;14029&quot; bbkdesc=&quot;2018 Annual Accounts/EC Annual Accounts/DC - Accrued charges and Deferred income&quot; datapro=&quot;SPLITACC&quot; tdatapro=&quot;SPLITACC&quot; author=&quot;&quot; modtime=&quot;6/6/2019 5:16:57 PM&quot; moduser=&quot;milemar&quot; rolluptime=&quot;&quot; syuser=&quot;milemar&quot; syuzeit=&quot;6/6/2019 5:16:57 PM&quot; root=&quot;/BBOOK/DATAPROVIDER[./META/PROPS/ID='SPLITACC']/DATA&quot; colcount=&quot;3&quot; rowcount=&quot;9&quot; url=&quot;&quot; dynamizeds=&quot;SAP Disclosure Management - Production&quot; dynamizedstype=&quot;9&quot; refreshds=&quot;&quot; viewtype=&quot;1&quot;&gt;&lt;QUERY reftype=&quot;ABS&quot; elmntsel=&quot;TABLE&quot; bbk=&quot;14029&quot; bbkdesc=&quot;2018 Annual Accounts/EC Annual Accounts/DC - Accrued charges and Deferred income&quot; datapro=&quot;SPLITACC&quot; infos=&quot;&quot; iscomment=&quot;0&quot;&gt;&lt;SELECT&gt;/BBOOK/DATAPROVIDER[./META/PROPS/ID='SPLITACC']/DATA/ROW&lt;/SELECT&gt;&lt;FILTERS&gt;&lt;FILTER&gt;&lt;/FILTER&gt;&lt;/FILTERS&gt;&lt;/QUERY&gt;&lt;/QUERIES&gt;&lt;/OBJECT&gt;"/>
    <w:docVar w:name="BIP_META_DOC_TBL00058" w:val="&lt;OBJECT&gt;&lt;META&gt;&lt;ID&gt;&lt;/ID&gt;&lt;NAME&gt;DOC_TBL0005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0.5.25&lt;/DATE&gt;&lt;DYNAMIZEDBY&gt;vignoal&lt;/DYNAMIZEDBY&gt;&lt;DYNAMIZEDON&gt;11/12/2014 12:23:30 PM&lt;/DYNAMIZEDON&gt;&lt;LASTUPDATEDBY&gt;koehlmn&lt;/LASTUPDATEDBY&gt;&lt;LASTUPDATEDON&gt;6/7/2019 2:56:09 PM&lt;/LASTUPDATEDON&gt;&lt;UTC&gt;1&lt;/UTC&gt;&lt;/UPDATE&gt;&lt;QUERIES bbk=&quot;14030&quot; bbkdesc=&quot;2018 Annual Accounts/EC Annual Accounts/DC - Reserves&quot; datapro=&quot;RES&quot; tdatapro=&quot;RES&quot; author=&quot;&quot; modtime=&quot;6/6/2019 5:22:10 PM&quot; moduser=&quot;milemar&quot; rolluptime=&quot;&quot; syuser=&quot;milemar&quot; syuzeit=&quot;6/6/2019 5:22:10 PM&quot; root=&quot;/BBOOK/DATAPROVIDER[./META/PROPS/ID='RES']/DATA&quot; colcount=&quot;4&quot; rowcount=&quot;7&quot; url=&quot;&quot; dynamizeds=&quot;SAP Disclosure Management - Production&quot; dynamizedstype=&quot;9&quot; refreshds=&quot;&quot; viewtype=&quot;1&quot;&gt;&lt;QUERY reftype=&quot;ABS&quot; elmntsel=&quot;TABLE&quot; bbk=&quot;14030&quot; bbkdesc=&quot;2018 Annual Accounts/EC Annual Accounts/DC - Reserves&quot; datapro=&quot;RES&quot; infos=&quot;&quot; iscomment=&quot;0&quot;&gt;&lt;SELECT&gt;/BBOOK/DATAPROVIDER[./META/PROPS/ID='RES']/DATA/ROW&lt;/SELECT&gt;&lt;FILTERS&gt;&lt;FILTER&gt;&lt;/FILTER&gt;&lt;/FILTERS&gt;&lt;/QUERY&gt;&lt;/QUERIES&gt;&lt;/OBJECT&gt;"/>
    <w:docVar w:name="BIP_META_DOC_TBL00059" w:val="&lt;OBJECT&gt;&lt;META&gt;&lt;ID&gt;&lt;/ID&gt;&lt;NAME&gt;DOC_TBL0005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3/20/2018 4:54:53 PM&lt;/DYNAMIZEDON&gt;&lt;LASTUPDATEDBY&gt;koehlmn&lt;/LASTUPDATEDBY&gt;&lt;LASTUPDATEDON&gt;6/7/2019 2:56:12 PM&lt;/LASTUPDATEDON&gt;&lt;UTC&gt;1&lt;/UTC&gt;&lt;/UPDATE&gt;&lt;QUERIES bbk=&quot;13935&quot; bbkdesc=&quot;2018 Annual Accounts/EC Annual Accounts/DC - Fair value movements of available for sale financial assets&quot; datapro=&quot;FVMAFS&quot; tdatapro=&quot;FVMAFS&quot; author=&quot;&quot; modtime=&quot;3/16/2018 8:49:58 AM&quot; moduser=&quot;preutan&quot; rolluptime=&quot;&quot; syuser=&quot;preutan&quot; syuzeit=&quot;3/16/2018 8:49:58 AM&quot; root=&quot;/DATA&quot; colcount=&quot;3&quot; rowcount=&quot;6&quot; url=&quot;&quot; dynamizeds=&quot;SAP Disclosure Management - Production&quot; dynamizedstype=&quot;9&quot; refreshds=&quot;&quot; viewtype=&quot;1&quot;&gt;&lt;QUERY reftype=&quot;ABS&quot; elmntsel=&quot;TABLE&quot; bbk=&quot;13935&quot; bbkdesc=&quot;2018 Annual Accounts/EC Annual Accounts/DC - Fair value movements of available for sale financial assets&quot; datapro=&quot;FVMAFS&quot; infos=&quot;&quot; iscomment=&quot;0&quot;&gt;&lt;SELECT&gt;/BBOOK/DATAPROVIDER[./META/PROPS/ID='FVMAFS']/DATA/ROW&lt;/SELECT&gt;&lt;FILTERS&gt;&lt;FILTER&gt;&lt;/FILTER&gt;&lt;/FILTERS&gt;&lt;/QUERY&gt;&lt;/QUERIES&gt;&lt;/OBJECT&gt;"/>
    <w:docVar w:name="BIP_META_DOC_TBL00060" w:val="&lt;OBJECT&gt;&lt;META&gt;&lt;ID&gt;&lt;/ID&gt;&lt;NAME&gt;DOC_TBL0006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3-03-2019 15:24:57&lt;/DYNAMIZEDON&gt;&lt;LASTUPDATEDBY&gt;koehlmn&lt;/LASTUPDATEDBY&gt;&lt;LASTUPDATEDON&gt;6/7/2019 2:56:05 PM&lt;/LASTUPDATEDON&gt;&lt;UTC&gt;1&lt;/UTC&gt;&lt;/UPDATE&gt;&lt;QUERIES bbk=&quot;14031&quot; bbkdesc=&quot;2018 Annual Accounts/EC Annual Accounts/DC - Amounts to be called from member states&quot; datapro=&quot;MEMST1&quot; tdatapro=&quot;MEMST1&quot; author=&quot;&quot; modtime=&quot;3/16/2018 8:49:59 AM&quot; moduser=&quot;preutan&quot; rolluptime=&quot;&quot; syuser=&quot;preutan&quot; syuzeit=&quot;3/16/2018 8:49:59 AM&quot; root=&quot;/DATA&quot; colcount=&quot;2&quot; rowcount=&quot;9&quot; url=&quot;&quot; dynamizeds=&quot;SAP Disclosure Management - Production&quot; dynamizedstype=&quot;9&quot; refreshds=&quot;&quot; viewtype=&quot;1&quot;&gt;&lt;QUERY reftype=&quot;ABS&quot; elmntsel=&quot;TABLE&quot; bbk=&quot;14031&quot; bbkdesc=&quot;2018 Annual Accounts/EC Annual Accounts/DC - Amounts to be called from member states&quot; datapro=&quot;MEMST1&quot; infos=&quot;&quot; iscomment=&quot;0&quot;&gt;&lt;SELECT&gt;/BBOOK/DATAPROVIDER[./META/PROPS/ID='MEMST1']/DATA/ROW&lt;/SELECT&gt;&lt;FILTERS&gt;&lt;FILTER&gt;&lt;/FILTER&gt;&lt;/FILTERS&gt;&lt;/QUERY&gt;&lt;/QUERIES&gt;&lt;/OBJECT&gt;"/>
    <w:docVar w:name="BIP_META_DOC_TBL00061" w:val="&lt;OBJECT&gt;&lt;META&gt;&lt;ID&gt;&lt;/ID&gt;&lt;NAME&gt;DOC_TBL0006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servela&lt;/DYNAMIZEDBY&gt;&lt;DYNAMIZEDON&gt;20/11/2017 13:32:18&lt;/DYNAMIZEDON&gt;&lt;LASTUPDATEDBY&gt;milemar&lt;/LASTUPDATEDBY&gt;&lt;LASTUPDATEDON&gt;6/6/2019 5:15:15 PM&lt;/LASTUPDATEDON&gt;&lt;UTC&gt;1&lt;/UTC&gt;&lt;/UPDATE&gt;&lt;QUERIES bbk=&quot;14037&quot; bbkdesc=&quot;2018 Annual Accounts/EC Annual Accounts/DC - Traditional own resources&quot; datapro=&quot;TOR&quot; tdatapro=&quot;TOR&quot; author=&quot;&quot; modtime=&quot;6/6/2019 5:15:04 PM&quot; moduser=&quot;milemar&quot; rolluptime=&quot;&quot; syuser=&quot;milemar&quot; syuzeit=&quot;6/6/2019 5:15:04 PM&quot; root=&quot;/BBOOK/DATAPROVIDER[./META/PROPS/ID='TOR']/DATA&quot; colcount=&quot;3&quot; rowcount=&quot;5&quot; url=&quot;&quot; dynamizeds=&quot;SAP Disclosure Management - Production&quot; dynamizedstype=&quot;9&quot; refreshds=&quot;&quot; viewtype=&quot;1&quot;&gt;&lt;QUERY reftype=&quot;ABS&quot; elmntsel=&quot;TABLE&quot; bbk=&quot;14037&quot; bbkdesc=&quot;2018 Annual Accounts/EC Annual Accounts/DC - Traditional own resources&quot; datapro=&quot;TOR&quot; infos=&quot;&quot; iscomment=&quot;0&quot;&gt;&lt;SELECT&gt;/BBOOK/DATAPROVIDER[./META/PROPS/ID='TOR']/DATA/ROW&lt;/SELECT&gt;&lt;FILTERS&gt;&lt;FILTER&gt;&lt;/FILTER&gt;&lt;/FILTERS&gt;&lt;/QUERY&gt;&lt;/QUERIES&gt;&lt;/OBJECT&gt;"/>
    <w:docVar w:name="BIP_META_DOC_TBL00062" w:val="&lt;OBJECT&gt;&lt;META&gt;&lt;ID&gt;&lt;/ID&gt;&lt;NAME&gt;DOC_TBL0006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koehlmn&lt;/DYNAMIZEDBY&gt;&lt;DYNAMIZEDON&gt;14/03/2016 14:00:56&lt;/DYNAMIZEDON&gt;&lt;LASTUPDATEDBY&gt;milemar&lt;/LASTUPDATEDBY&gt;&lt;LASTUPDATEDON&gt;6/6/2019 5:21:37 PM&lt;/LASTUPDATEDON&gt;&lt;UTC&gt;1&lt;/UTC&gt;&lt;/UPDATE&gt;&lt;QUERIES bbk=&quot;14038&quot; bbkdesc=&quot;2018 Annual Accounts/EC Annual Accounts/DC - Recovery of expenses&quot; datapro=&quot;RecovExp&quot; tdatapro=&quot;RecovExp&quot; author=&quot;&quot; modtime=&quot;10/27/2015 3:53:12 PM&quot; moduser=&quot;milemar&quot; rolluptime=&quot;&quot; syuser=&quot;milemar&quot; syuzeit=&quot;10/27/2015 3:53:12 PM&quot; root=&quot;/DATA&quot; colcount=&quot;4&quot; rowcount=&quot;6&quot; url=&quot;&quot; dynamizeds=&quot;SAP Disclosure Management - Production&quot; dynamizedstype=&quot;9&quot; refreshds=&quot;&quot; viewtype=&quot;1&quot;&gt;&lt;QUERY reftype=&quot;ABS&quot; elmntsel=&quot;TABLE&quot; bbk=&quot;14038&quot; bbkdesc=&quot;2018 Annual Accounts/EC Annual Accounts/DC - Recovery of expenses&quot; datapro=&quot;RecovExp&quot; infos=&quot;&quot; iscomment=&quot;0&quot;&gt;&lt;SELECT&gt;/BBOOK/DATAPROVIDER[./META/PROPS/ID='RecovExp']/DATA/ROW&lt;/SELECT&gt;&lt;FILTERS&gt;&lt;FILTER&gt;&lt;/FILTER&gt;&lt;/FILTERS&gt;&lt;/QUERY&gt;&lt;/QUERIES&gt;&lt;/OBJECT&gt;"/>
    <w:docVar w:name="BIP_META_DOC_TBL00063" w:val="&lt;OBJECT&gt;&lt;META&gt;&lt;ID&gt;&lt;/ID&gt;&lt;NAME&gt;DOC_TBL0006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koehlmn&lt;/DYNAMIZEDBY&gt;&lt;DYNAMIZEDON&gt;17/03/2017 13:11:03&lt;/DYNAMIZEDON&gt;&lt;LASTUPDATEDBY&gt;milemar&lt;/LASTUPDATEDBY&gt;&lt;LASTUPDATEDON&gt;6/6/2019 5:18:44 PM&lt;/LASTUPDATEDON&gt;&lt;UTC&gt;1&lt;/UTC&gt;&lt;/UPDATE&gt;&lt;QUERIES bbk=&quot;13992&quot; bbkdesc=&quot;2018 Annual Accounts/EC Annual Accounts/DC - Other non-exchange revenue&quot; datapro=&quot;ONER&quot; tdatapro=&quot;ONER&quot; author=&quot;&quot; modtime=&quot;6/21/2016 7:49:56 AM&quot; moduser=&quot;koehlmn&quot; rolluptime=&quot;&quot; syuser=&quot;koehlmn&quot; syuzeit=&quot;6/21/2016 7:49:56 AM&quot; root=&quot;/DATA&quot; colcount=&quot;3&quot; rowcount=&quot;12&quot; url=&quot;&quot; dynamizeds=&quot;SAP Disclosure Management - Production&quot; dynamizedstype=&quot;9&quot; refreshds=&quot;&quot; viewtype=&quot;1&quot;&gt;&lt;QUERY reftype=&quot;ABS&quot; elmntsel=&quot;TABLE&quot; bbk=&quot;13992&quot; bbkdesc=&quot;2018 Annual Accounts/EC Annual Accounts/DC - Other non-exchange revenue&quot; datapro=&quot;ONER&quot; infos=&quot;&quot; iscomment=&quot;0&quot;&gt;&lt;SELECT&gt;/BBOOK/DATAPROVIDER[./META/PROPS/ID='ONER']/DATA/ROW&lt;/SELECT&gt;&lt;FILTERS&gt;&lt;FILTER&gt;&lt;/FILTER&gt;&lt;/FILTERS&gt;&lt;/QUERY&gt;&lt;/QUERIES&gt;&lt;/OBJECT&gt;"/>
    <w:docVar w:name="BIP_META_DOC_TBL00064" w:val="&lt;OBJECT&gt;&lt;META&gt;&lt;ID&gt;&lt;/ID&gt;&lt;NAME&gt;DOC_TBL0006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koehlmn&lt;/DYNAMIZEDBY&gt;&lt;DYNAMIZEDON&gt;3/15/2018 4:18:20 PM&lt;/DYNAMIZEDON&gt;&lt;LASTUPDATEDBY&gt;milemar&lt;/LASTUPDATEDBY&gt;&lt;LASTUPDATEDON&gt;6/6/2019 5:20:08 PM&lt;/LASTUPDATEDON&gt;&lt;UTC&gt;1&lt;/UTC&gt;&lt;/UPDATE&gt;&lt;QUERIES bbk=&quot;14042&quot; bbkdesc=&quot;2018 Annual Accounts/EC Annual Accounts/DC - Financial income&quot; datapro=&quot;FINREV&quot; tdatapro=&quot;FINREV&quot; author=&quot;&quot; modtime=&quot;6/1/2017 5:50:16 PM&quot; moduser=&quot;preutan&quot; rolluptime=&quot;&quot; syuser=&quot;preutan&quot; syuzeit=&quot;6/1/2017 5:50:16 PM&quot; root=&quot;/DATA&quot; colcount=&quot;3&quot; rowcount=&quot;12&quot; url=&quot;&quot; dynamizeds=&quot;SAP Disclosure Management - Production&quot; dynamizedstype=&quot;9&quot; refreshds=&quot;&quot; viewtype=&quot;1&quot;&gt;&lt;QUERY reftype=&quot;ABS&quot; elmntsel=&quot;TABLE&quot; bbk=&quot;14042&quot; bbkdesc=&quot;2018 Annual Accounts/EC Annual Accounts/DC - Financial income&quot; datapro=&quot;FINREV&quot; infos=&quot;&quot; iscomment=&quot;0&quot;&gt;&lt;SELECT&gt;/BBOOK/DATAPROVIDER[./META/PROPS/ID='FINREV']/DATA/ROW&lt;/SELECT&gt;&lt;FILTERS&gt;&lt;FILTER&gt;&lt;/FILTER&gt;&lt;/FILTERS&gt;&lt;/QUERY&gt;&lt;/QUERIES&gt;&lt;/OBJECT&gt;"/>
    <w:docVar w:name="BIP_META_DOC_TBL00065" w:val="&lt;OBJECT&gt;&lt;META&gt;&lt;ID&gt;&lt;/ID&gt;&lt;NAME&gt;DOC_TBL0006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0.5.25&lt;/DATE&gt;&lt;DYNAMIZEDBY&gt;vignoal&lt;/DYNAMIZEDBY&gt;&lt;DYNAMIZEDON&gt;27/10/2014 15:41:39&lt;/DYNAMIZEDON&gt;&lt;LASTUPDATEDBY&gt;milemar&lt;/LASTUPDATEDBY&gt;&lt;LASTUPDATEDON&gt;6/6/2019 5:21:15 PM&lt;/LASTUPDATEDON&gt;&lt;UTC&gt;1&lt;/UTC&gt;&lt;/UPDATE&gt;&lt;QUERIES bbk=&quot;14039&quot; bbkdesc=&quot;2018 Annual Accounts/EC Annual Accounts/DC - Other exchange revenue&quot; datapro=&quot;OER&quot; tdatapro=&quot;OER&quot; author=&quot;&quot; modtime=&quot;6/6/2019 5:21:11 PM&quot; moduser=&quot;milemar&quot; rolluptime=&quot;&quot; syuser=&quot;milemar&quot; syuzeit=&quot;6/6/2019 5:21:11 PM&quot; root=&quot;/BBOOK/DATAPROVIDER[./META/PROPS/ID='OER']/DATA&quot; colcount=&quot;3&quot; rowcount=&quot;9&quot; url=&quot;&quot; dynamizeds=&quot;SAP Disclosure Management - Production&quot; dynamizedstype=&quot;9&quot; refreshds=&quot;&quot; viewtype=&quot;1&quot;&gt;&lt;QUERY reftype=&quot;ABS&quot; elmntsel=&quot;TABLE&quot; bbk=&quot;14039&quot; bbkdesc=&quot;2018 Annual Accounts/EC Annual Accounts/DC - Other exchange revenue&quot; datapro=&quot;OER&quot; infos=&quot;&quot; iscomment=&quot;0&quot;&gt;&lt;SELECT&gt;/BBOOK/DATAPROVIDER[./META/PROPS/ID='OER']/DATA/ROW&lt;/SELECT&gt;&lt;FILTERS&gt;&lt;FILTER&gt;&lt;/FILTER&gt;&lt;/FILTERS&gt;&lt;/QUERY&gt;&lt;/QUERIES&gt;&lt;/OBJECT&gt;"/>
    <w:docVar w:name="BIP_META_DOC_TBL00066" w:val="&lt;OBJECT&gt;&lt;META&gt;&lt;ID&gt;&lt;/ID&gt;&lt;NAME&gt;DOC_TBL0006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porteca&lt;/DYNAMIZEDBY&gt;&lt;DYNAMIZEDON&gt;15/03/2016 10:55:51&lt;/DYNAMIZEDON&gt;&lt;LASTUPDATEDBY&gt;milemar&lt;/LASTUPDATEDBY&gt;&lt;LASTUPDATEDON&gt;6/6/2019 5:15:32 PM&lt;/LASTUPDATEDON&gt;&lt;UTC&gt;1&lt;/UTC&gt;&lt;/UPDATE&gt;&lt;QUERIES bbk=&quot;13966&quot; bbkdesc=&quot;2018 Annual Accounts/EC Annual Accounts/DC - Shared Direct and Indirect Management&quot; datapro=&quot;SM&quot; tdatapro=&quot;SM&quot; author=&quot;&quot; modtime=&quot;3/15/2016 10:27:13 AM&quot; moduser=&quot;boxellu&quot; rolluptime=&quot;&quot; syuser=&quot;boxellu&quot; syuzeit=&quot;3/15/2016 10:27:13 AM&quot; root=&quot;/DATA&quot; colcount=&quot;3&quot; rowcount=&quot;8&quot; url=&quot;&quot; dynamizeds=&quot;SAP Disclosure Management - Production&quot; dynamizedstype=&quot;9&quot; refreshds=&quot;&quot; viewtype=&quot;1&quot;&gt;&lt;QUERY reftype=&quot;ABS&quot; elmntsel=&quot;TABLE&quot; bbk=&quot;13966&quot; bbkdesc=&quot;2018 Annual Accounts/EC Annual Accounts/DC - Shared Direct and Indirect Management&quot; datapro=&quot;SM&quot; infos=&quot;&quot; iscomment=&quot;0&quot;&gt;&lt;SELECT&gt;/BBOOK/DATAPROVIDER[./META/PROPS/ID='SM']/DATA/ROW&lt;/SELECT&gt;&lt;FILTERS&gt;&lt;FILTER&gt;&lt;/FILTER&gt;&lt;/FILTERS&gt;&lt;/QUERY&gt;&lt;/QUERIES&gt;&lt;/OBJECT&gt;"/>
    <w:docVar w:name="BIP_META_DOC_TBL00067" w:val="&lt;OBJECT&gt;&lt;META&gt;&lt;ID&gt;&lt;/ID&gt;&lt;NAME&gt;DOC_TBL0006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porteca&lt;/DYNAMIZEDBY&gt;&lt;DYNAMIZEDON&gt;05/02/2016 09:46:21&lt;/DYNAMIZEDON&gt;&lt;LASTUPDATEDBY&gt;milemar&lt;/LASTUPDATEDBY&gt;&lt;LASTUPDATEDON&gt;6/6/2019 5:15:32 PM&lt;/LASTUPDATEDON&gt;&lt;UTC&gt;1&lt;/UTC&gt;&lt;/UPDATE&gt;&lt;QUERIES bbk=&quot;13966&quot; bbkdesc=&quot;2018 Annual Accounts/EC Annual Accounts/DC - Shared Direct and Indirect Management&quot; datapro=&quot;DM&quot; tdatapro=&quot;DM&quot; author=&quot;&quot; modtime=&quot;10/27/2015 3:38:50 PM&quot; moduser=&quot;milemar&quot; rolluptime=&quot;&quot; syuser=&quot;milemar&quot; syuzeit=&quot;10/27/2015 3:38:50 PM&quot; root=&quot;/DATA&quot; colcount=&quot;3&quot; rowcount=&quot;6&quot; url=&quot;&quot; dynamizeds=&quot;SAP Disclosure Management - Production&quot; dynamizedstype=&quot;9&quot; refreshds=&quot;&quot; viewtype=&quot;1&quot;&gt;&lt;QUERY reftype=&quot;ABS&quot; elmntsel=&quot;TABLE&quot; bbk=&quot;13966&quot; bbkdesc=&quot;2018 Annual Accounts/EC Annual Accounts/DC - Shared Direct and Indirect Management&quot; datapro=&quot;DM&quot; infos=&quot;&quot; iscomment=&quot;0&quot;&gt;&lt;SELECT&gt;/BBOOK/DATAPROVIDER[./META/PROPS/ID='DM']/DATA/ROW&lt;/SELECT&gt;&lt;FILTERS&gt;&lt;FILTER&gt;&lt;/FILTER&gt;&lt;/FILTERS&gt;&lt;/QUERY&gt;&lt;/QUERIES&gt;&lt;/OBJECT&gt;"/>
    <w:docVar w:name="BIP_META_DOC_TBL00068" w:val="&lt;OBJECT&gt;&lt;META&gt;&lt;ID&gt;&lt;/ID&gt;&lt;NAME&gt;DOC_TBL0006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boxellu&lt;/DYNAMIZEDBY&gt;&lt;DYNAMIZEDON&gt;05/02/2016 10:01:23&lt;/DYNAMIZEDON&gt;&lt;LASTUPDATEDBY&gt;milemar&lt;/LASTUPDATEDBY&gt;&lt;LASTUPDATEDON&gt;6/6/2019 5:15:32 PM&lt;/LASTUPDATEDON&gt;&lt;UTC&gt;1&lt;/UTC&gt;&lt;/UPDATE&gt;&lt;QUERIES bbk=&quot;13966&quot; bbkdesc=&quot;2018 Annual Accounts/EC Annual Accounts/DC - Shared Direct and Indirect Management&quot; datapro=&quot;IM&quot; tdatapro=&quot;IM&quot; author=&quot;&quot; modtime=&quot;6/6/2019 5:15:28 PM&quot; moduser=&quot;milemar&quot; rolluptime=&quot;&quot; syuser=&quot;milemar&quot; syuzeit=&quot;6/6/2019 5:15:28 PM&quot; root=&quot;/BBOOK/DATAPROVIDER[./META/PROPS/ID='IM']/DATA&quot; colcount=&quot;3&quot; rowcount=&quot;7&quot; url=&quot;&quot; dynamizeds=&quot;SAP Disclosure Management - Production&quot; dynamizedstype=&quot;9&quot; refreshds=&quot;&quot; viewtype=&quot;1&quot;&gt;&lt;QUERY reftype=&quot;ABS&quot; elmntsel=&quot;TABLE&quot; bbk=&quot;13966&quot; bbkdesc=&quot;2018 Annual Accounts/EC Annual Accounts/DC - Shared Direct and Indirect Management&quot; datapro=&quot;IM&quot; infos=&quot;&quot; iscomment=&quot;0&quot;&gt;&lt;SELECT&gt;/BBOOK/DATAPROVIDER[./META/PROPS/ID='IM']/DATA/ROW&lt;/SELECT&gt;&lt;FILTERS&gt;&lt;FILTER&gt;&lt;/FILTER&gt;&lt;/FILTERS&gt;&lt;/QUERY&gt;&lt;/QUERIES&gt;&lt;/OBJECT&gt;"/>
    <w:docVar w:name="BIP_META_DOC_TBL00069" w:val="&lt;OBJECT&gt;&lt;META&gt;&lt;ID&gt;&lt;/ID&gt;&lt;NAME&gt;DOC_TBL0006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0.5.25&lt;/DATE&gt;&lt;DYNAMIZEDBY&gt;vignoal&lt;/DYNAMIZEDBY&gt;&lt;DYNAMIZEDON&gt;11/12/2014 3:51:45 PM&lt;/DYNAMIZEDON&gt;&lt;LASTUPDATEDBY&gt;milemar&lt;/LASTUPDATEDBY&gt;&lt;LASTUPDATEDON&gt;6/6/2019 5:20:32 PM&lt;/LASTUPDATEDON&gt;&lt;UTC&gt;1&lt;/UTC&gt;&lt;/UPDATE&gt;&lt;QUERIES bbk=&quot;14040&quot; bbkdesc=&quot;2018 Annual Accounts/EC Annual Accounts/DC - Staff and Pension costs&quot; datapro=&quot;SPC&quot; tdatapro=&quot;SPC&quot; author=&quot;&quot; modtime=&quot;6/6/2019 5:20:22 PM&quot; moduser=&quot;milemar&quot; rolluptime=&quot;&quot; syuser=&quot;milemar&quot; syuzeit=&quot;6/6/2019 5:20:22 PM&quot; root=&quot;/BBOOK/DATAPROVIDER[./META/PROPS/ID='SPC']/DATA&quot; colcount=&quot;3&quot; rowcount=&quot;5&quot; url=&quot;&quot; dynamizeds=&quot;SAP Disclosure Management - Production&quot; dynamizedstype=&quot;9&quot; refreshds=&quot;&quot; viewtype=&quot;1&quot;&gt;&lt;QUERY reftype=&quot;ABS&quot; elmntsel=&quot;TABLE&quot; bbk=&quot;14040&quot; bbkdesc=&quot;2018 Annual Accounts/EC Annual Accounts/DC - Staff and Pension costs&quot; datapro=&quot;SPC&quot; infos=&quot;&quot; iscomment=&quot;0&quot;&gt;&lt;SELECT&gt;/BBOOK/DATAPROVIDER[./META/PROPS/ID='SPC']/DATA/ROW&lt;/SELECT&gt;&lt;FILTERS&gt;&lt;FILTER&gt;&lt;/FILTER&gt;&lt;/FILTERS&gt;&lt;/QUERY&gt;&lt;/QUERIES&gt;&lt;/OBJECT&gt;"/>
    <w:docVar w:name="BIP_META_DOC_TBL00070" w:val="&lt;OBJECT&gt;&lt;META&gt;&lt;ID&gt;&lt;/ID&gt;&lt;NAME&gt;DOC_TBL0007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koehlmn&lt;/DYNAMIZEDBY&gt;&lt;DYNAMIZEDON&gt;20/12/2016 15:07:34&lt;/DYNAMIZEDON&gt;&lt;LASTUPDATEDBY&gt;milemar&lt;/LASTUPDATEDBY&gt;&lt;LASTUPDATEDON&gt;6/6/2019 5:20:17 PM&lt;/LASTUPDATEDON&gt;&lt;UTC&gt;1&lt;/UTC&gt;&lt;/UPDATE&gt;&lt;QUERIES bbk=&quot;14043&quot; bbkdesc=&quot;2018 Annual Accounts/EC Annual Accounts/DC - Finance costs&quot; datapro=&quot;FINEXP&quot; tdatapro=&quot;FINEXP&quot; author=&quot;&quot; modtime=&quot;6/6/2019 5:20:13 PM&quot; moduser=&quot;milemar&quot; rolluptime=&quot;&quot; syuser=&quot;milemar&quot; syuzeit=&quot;6/6/2019 5:20:13 PM&quot; root=&quot;/BBOOK/DATAPROVIDER[./META/PROPS/ID='FINEXP']/DATA&quot; colcount=&quot;3&quot; rowcount=&quot;12&quot; url=&quot;&quot; dynamizeds=&quot;SAP Disclosure Management - Production&quot; dynamizedstype=&quot;9&quot; refreshds=&quot;&quot; viewtype=&quot;1&quot;&gt;&lt;QUERY reftype=&quot;ABS&quot; elmntsel=&quot;TABLE&quot; bbk=&quot;14043&quot; bbkdesc=&quot;2018 Annual Accounts/EC Annual Accounts/DC - Finance costs&quot; datapro=&quot;FINEXP&quot; infos=&quot;&quot; iscomment=&quot;0&quot;&gt;&lt;SELECT&gt;/BBOOK/DATAPROVIDER[./META/PROPS/ID='FINEXP']/DATA/ROW&lt;/SELECT&gt;&lt;FILTERS&gt;&lt;FILTER&gt;&lt;/FILTER&gt;&lt;/FILTERS&gt;&lt;/QUERY&gt;&lt;/QUERIES&gt;&lt;/OBJECT&gt;"/>
    <w:docVar w:name="BIP_META_DOC_TBL00071" w:val="&lt;OBJECT&gt;&lt;META&gt;&lt;ID&gt;&lt;/ID&gt;&lt;NAME&gt;DOC_TBL0007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20/11/2017 13:51:47&lt;/DYNAMIZEDON&gt;&lt;LASTUPDATEDBY&gt;milemar&lt;/LASTUPDATEDBY&gt;&lt;LASTUPDATEDON&gt;6/6/2019 5:21:51 PM&lt;/LASTUPDATEDON&gt;&lt;UTC&gt;1&lt;/UTC&gt;&lt;/UPDATE&gt;&lt;QUERIES bbk=&quot;14016&quot; bbkdesc=&quot;2018 Annual Accounts/EC Annual Accounts/DC - Other expenses&quot; datapro=&quot;OE&quot; tdatapro=&quot;OE&quot; author=&quot;&quot; modtime=&quot;3/24/2015 9:26:46 AM&quot; moduser=&quot;servela&quot; rolluptime=&quot;&quot; syuser=&quot;servela&quot; syuzeit=&quot;3/24/2015 9:26:46 AM&quot; root=&quot;/DATA&quot; colcount=&quot;3&quot; rowcount=&quot;11&quot; url=&quot;&quot; dynamizeds=&quot;SAP Disclosure Management - Production&quot; dynamizedstype=&quot;9&quot; refreshds=&quot;&quot; viewtype=&quot;1&quot;&gt;&lt;QUERY reftype=&quot;ABS&quot; elmntsel=&quot;TABLE&quot; bbk=&quot;14016&quot; bbkdesc=&quot;2018 Annual Accounts/EC Annual Accounts/DC - Other expenses&quot; datapro=&quot;OE&quot; infos=&quot;&quot; iscomment=&quot;0&quot;&gt;&lt;SELECT&gt;/BBOOK/DATAPROVIDER[./META/PROPS/ID='OE']/DATA/ROW&lt;/SELECT&gt;&lt;FILTERS&gt;&lt;FILTER&gt;&lt;/FILTER&gt;&lt;/FILTERS&gt;&lt;/QUERY&gt;&lt;/QUERIES&gt;&lt;/OBJECT&gt;"/>
    <w:docVar w:name="BIP_META_DOC_TBL00072" w:val="&lt;OBJECT&gt;&lt;META&gt;&lt;ID&gt;&lt;/ID&gt;&lt;NAME&gt;DOC_TBL0007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6/03/2018 12:33:45&lt;/DYNAMIZEDON&gt;&lt;LASTUPDATEDBY&gt;milemar&lt;/LASTUPDATEDBY&gt;&lt;LASTUPDATEDON&gt;6/6/2019 5:21:51 PM&lt;/LASTUPDATEDON&gt;&lt;UTC&gt;1&lt;/UTC&gt;&lt;/UPDATE&gt;&lt;QUERIES bbk=&quot;14041&quot; bbkdesc=&quot;2018 Annual Accounts/EC Annual Accounts/DC - Research and Development costs&quot; datapro=&quot;RESCHDEV&quot; tdatapro=&quot;RESCHDEV&quot; author=&quot;&quot; modtime=&quot;10/27/2015 3:46:10 PM&quot; moduser=&quot;milemar&quot; rolluptime=&quot;&quot; syuser=&quot;milemar&quot; syuzeit=&quot;10/27/2015 3:46:10 PM&quot; root=&quot;/DATA&quot; colcount=&quot;3&quot; rowcount=&quot;6&quot; url=&quot;&quot; dynamizeds=&quot;SAP Disclosure Management - Production&quot; dynamizedstype=&quot;9&quot; refreshds=&quot;&quot; viewtype=&quot;1&quot;&gt;&lt;QUERY reftype=&quot;ABS&quot; elmntsel=&quot;TABLE&quot; bbk=&quot;14041&quot; bbkdesc=&quot;2018 Annual Accounts/EC Annual Accounts/DC - Research and Development costs&quot; datapro=&quot;RESCHDEV&quot; infos=&quot;&quot; iscomment=&quot;0&quot;&gt;&lt;SELECT&gt;/BBOOK/DATAPROVIDER[./META/PROPS/ID='RESCHDEV']/DATA/ROW&lt;/SELECT&gt;&lt;FILTERS&gt;&lt;FILTER&gt;&lt;/FILTER&gt;&lt;/FILTERS&gt;&lt;/QUERY&gt;&lt;/QUERIES&gt;&lt;/OBJECT&gt;"/>
    <w:docVar w:name="BIP_META_DOC_TBL00073" w:val="&lt;OBJECT&gt;&lt;META&gt;&lt;ID&gt;&lt;/ID&gt;&lt;NAME&gt;DOC_TBL0007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5:45:30&lt;/DYNAMIZEDON&gt;&lt;LASTUPDATEDBY&gt;bocacla&lt;/LASTUPDATEDBY&gt;&lt;LASTUPDATEDON&gt;6/13/2019 1:56:35 PM&lt;/LASTUPDATEDON&gt;&lt;UTC&gt;1&lt;/UTC&gt;&lt;/UPDATE&gt;&lt;QUERIES bbk=&quot;13936&quot; bbkdesc=&quot;2018 Annual Accounts/EC Annual Accounts/DC - Segment reporting by Multi Financial Framework Headings&quot; datapro=&quot;SRMFH&quot; tdatapro=&quot;SRMFH&quot; author=&quot;&quot; modtime=&quot;3/14/2019 2:50:36 PM&quot; moduser=&quot;koehlmn&quot; rolluptime=&quot;&quot; syuser=&quot;koehlmn&quot; syuzeit=&quot;3/14/2019 2:50:36 PM&quot; root=&quot;/DATA&quot; colcount=&quot;8&quot; rowcount=&quot;29&quot; url=&quot;&quot; dynamizeds=&quot;SAP Disclosure Management - Production&quot; dynamizedstype=&quot;9&quot; refreshds=&quot;&quot; viewtype=&quot;1&quot;&gt;&lt;QUERY reftype=&quot;ABS&quot; elmntsel=&quot;TABLE&quot; bbk=&quot;13936&quot; bbkdesc=&quot;2018 Annual Accounts/EC Annual Accounts/DC - Segment reporting by Multi Financial Framework Headings&quot; datapro=&quot;SRMFH&quot; infos=&quot;&quot; iscomment=&quot;0&quot;&gt;&lt;SELECT&gt;/BBOOK/DATAPROVIDER[./META/PROPS/ID='SRMFH']/DATA/ROW&lt;/SELECT&gt;&lt;FILTERS&gt;&lt;FILTER&gt;&lt;/FILTER&gt;&lt;/FILTERS&gt;&lt;/QUERY&gt;&lt;/QUERIES&gt;&lt;/OBJECT&gt;"/>
    <w:docVar w:name="BIP_META_DOC_TBL00074" w:val="&lt;OBJECT&gt;&lt;META&gt;&lt;ID&gt;&lt;/ID&gt;&lt;NAME&gt;DOC_TBL00074&lt;/NAME&gt;&lt;TYPE&gt;&lt;ID&gt;19&lt;/ID&gt;&lt;FRIENDLYNAME&gt;Table&lt;/FRIENDLYNAME&gt;&lt;LABEL&gt;&lt;/LABEL&gt;&lt;/TYPE&gt;&lt;STATUS&gt;DYN&lt;/STATUS&gt;&lt;SAFE&gt;&lt;/SAFE&gt;&lt;MARKCHANGES&gt;0&lt;/MARKCHANGES&gt;&lt;USESTYLES&gt;0&lt;/USESTYLES&gt;&lt;USETEMPLATES&gt;1&lt;/USETEMPLATES&gt;&lt;FXC&gt;1&lt;/FXC&gt;&lt;FXR&gt;0&lt;/FXR&gt;&lt;FORMAT&gt;&lt;/FORMAT&gt;&lt;FMODUS&gt;&lt;/FMODUS&gt;&lt;FLCID&gt;2060&lt;/FLCID&gt;&lt;RELATION&gt;&lt;/RELATION&gt;&lt;LINKED&gt;&lt;/LINKED&gt;&lt;SVALUE&gt;&lt;/SVALUE&gt;&lt;INFO&gt;&lt;/INFO&gt;&lt;/META&gt;&lt;UPDATE&gt;&lt;DATE&gt;10.1.10.2&lt;/DATE&gt;&lt;DYNAMIZEDBY&gt;preutan&lt;/DYNAMIZEDBY&gt;&lt;DYNAMIZEDON&gt;15-03-2019 14:30:16&lt;/DYNAMIZEDON&gt;&lt;LASTUPDATEDBY&gt;milemar&lt;/LASTUPDATEDBY&gt;&lt;LASTUPDATEDON&gt;6/6/2019 5:17:31 PM&lt;/LASTUPDATEDON&gt;&lt;UTC&gt;1&lt;/UTC&gt;&lt;/UPDATE&gt;&lt;QUERIES bbk=&quot;14034&quot; bbkdesc=&quot;2018 Annual Accounts/EC Annual Accounts/DC - Guarantees given&quot; datapro=&quot;GUAR&quot; tdatapro=&quot;GUAR&quot; author=&quot;&quot; modtime=&quot;3/14/2019 10:28:11 AM&quot; moduser=&quot;preutan&quot; rolluptime=&quot;&quot; syuser=&quot;preutan&quot; syuzeit=&quot;3/14/2019 10:28:11 AM&quot; root=&quot;/DATA&quot; colcount=&quot;7&quot; rowcount=&quot;7&quot; url=&quot;&quot; dynamizeds=&quot;SAP Disclosure Management - Production&quot; dynamizedstype=&quot;9&quot; refreshds=&quot;&quot; viewtype=&quot;1&quot;&gt;&lt;QUERY reftype=&quot;ABS&quot; elmntsel=&quot;TABLE&quot; bbk=&quot;14034&quot; bbkdesc=&quot;2018 Annual Accounts/EC Annual Accounts/DC - Guarantees given&quot; datapro=&quot;GUAR&quot; infos=&quot;&quot; iscomment=&quot;0&quot;&gt;&lt;SELECT&gt;/BBOOK/DATAPROVIDER[./META/PROPS/ID='GUAR']/DATA/ROW&lt;/SELECT&gt;&lt;FILTERS&gt;&lt;FILTER&gt;&lt;/FILTER&gt;&lt;/FILTERS&gt;&lt;/QUERY&gt;&lt;/QUERIES&gt;&lt;/OBJECT&gt;"/>
    <w:docVar w:name="BIP_META_DOC_TBL00075" w:val="&lt;OBJECT&gt;&lt;META&gt;&lt;ID&gt;&lt;/ID&gt;&lt;NAME&gt;DOC_TBL0007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koehlmn&lt;/DYNAMIZEDBY&gt;&lt;DYNAMIZEDON&gt;21/03/2017 09:58:37&lt;/DYNAMIZEDON&gt;&lt;LASTUPDATEDBY&gt;milemar&lt;/LASTUPDATEDBY&gt;&lt;LASTUPDATEDON&gt;6/6/2019 5:17:31 PM&lt;/LASTUPDATEDON&gt;&lt;UTC&gt;1&lt;/UTC&gt;&lt;/UPDATE&gt;&lt;QUERIES bbk=&quot;14033&quot; bbkdesc=&quot;2018 Annual Accounts/EC Annual Accounts/DC - Contingent liabilities&quot; datapro=&quot;GUARFA&quot; tdatapro=&quot;GUARFA&quot; author=&quot;&quot; modtime=&quot;6/6/2019 5:17:19 PM&quot; moduser=&quot;milemar&quot; rolluptime=&quot;&quot; syuser=&quot;milemar&quot; syuzeit=&quot;6/6/2019 5:17:19 PM&quot; root=&quot;/BBOOK/DATAPROVIDER[./META/PROPS/ID='GUARFA']/DATA&quot; colcount=&quot;7&quot; rowcount=&quot;9&quot; url=&quot;&quot; dynamizeds=&quot;SAP Disclosure Management - Production&quot; dynamizedstype=&quot;9&quot; refreshds=&quot;&quot; viewtype=&quot;1&quot;&gt;&lt;QUERY reftype=&quot;ABS&quot; elmntsel=&quot;TABLE&quot; bbk=&quot;14033&quot; bbkdesc=&quot;2018 Annual Accounts/EC Annual Accounts/DC - Contingent liabilities&quot; datapro=&quot;GUARFA&quot; infos=&quot;&quot; iscomment=&quot;0&quot;&gt;&lt;SELECT&gt;/BBOOK/DATAPROVIDER[./META/PROPS/ID='GUARFA']/DATA/ROW&lt;/SELECT&gt;&lt;FILTERS&gt;&lt;FILTER&gt;&lt;/FILTER&gt;&lt;/FILTERS&gt;&lt;/QUERY&gt;&lt;/QUERIES&gt;&lt;/OBJECT&gt;"/>
    <w:docVar w:name="BIP_META_DOC_TBL00076" w:val="&lt;OBJECT&gt;&lt;META&gt;&lt;ID&gt;&lt;/ID&gt;&lt;NAME&gt;DOC_TBL0007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koehlmn&lt;/DYNAMIZEDBY&gt;&lt;DYNAMIZEDON&gt;3/14/2017 7:17:55 PM&lt;/DYNAMIZEDON&gt;&lt;LASTUPDATEDBY&gt;koehlmn&lt;/LASTUPDATEDBY&gt;&lt;LASTUPDATEDON&gt;6/12/2019 1:13:40 PM&lt;/LASTUPDATEDON&gt;&lt;UTC&gt;1&lt;/UTC&gt;&lt;/UPDATE&gt;&lt;QUERIES bbk=&quot;14033&quot; bbkdesc=&quot;2018 Annual Accounts/EC Annual Accounts/DC - Contingent liabilities&quot; datapro=&quot;INSGUA&quot; tdatapro=&quot;INSGUA&quot; author=&quot;&quot; modtime=&quot;6/6/2019 5:22:11 PM&quot; moduser=&quot;milemar&quot; rolluptime=&quot;&quot; syuser=&quot;milemar&quot; syuzeit=&quot;6/6/2019 5:22:11 PM&quot; root=&quot;/BBOOK/DATAPROVIDER[./META/PROPS/ID='INSGUA']/DATA&quot; colcount=&quot;3&quot; rowcount=&quot;7&quot; url=&quot;&quot; dynamizeds=&quot;SAP Disclosure Management - Production&quot; dynamizedstype=&quot;9&quot; refreshds=&quot;&quot; viewtype=&quot;1&quot;&gt;&lt;QUERY reftype=&quot;ABS&quot; elmntsel=&quot;TABLE&quot; bbk=&quot;14033&quot; bbkdesc=&quot;2018 Annual Accounts/EC Annual Accounts/DC - Contingent liabilities&quot; datapro=&quot;INSGUA&quot; infos=&quot;&quot; iscomment=&quot;0&quot;&gt;&lt;SELECT&gt;/BBOOK/DATAPROVIDER[./META/PROPS/ID='INSGUA']/DATA/ROW&lt;/SELECT&gt;&lt;FILTERS&gt;&lt;FILTER&gt;&lt;/FILTER&gt;&lt;/FILTERS&gt;&lt;/QUERY&gt;&lt;/QUERIES&gt;&lt;/OBJECT&gt;"/>
    <w:docVar w:name="BIP_META_DOC_TBL00077" w:val="&lt;OBJECT&gt;&lt;META&gt;&lt;ID&gt;&lt;/ID&gt;&lt;NAME&gt;DOC_TBL0007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6/03/2018 12:43:07&lt;/DYNAMIZEDON&gt;&lt;LASTUPDATEDBY&gt;milemar&lt;/LASTUPDATEDBY&gt;&lt;LASTUPDATEDON&gt;6/6/2019 5:17:31 PM&lt;/LASTUPDATEDON&gt;&lt;UTC&gt;1&lt;/UTC&gt;&lt;/UPDATE&gt;&lt;QUERIES bbk=&quot;14033&quot; bbkdesc=&quot;2018 Annual Accounts/EC Annual Accounts/DC - Contingent liabilities&quot; datapro=&quot;CL&quot; tdatapro=&quot;CL&quot; author=&quot;&quot; modtime=&quot;3/16/2018 8:51:29 AM&quot; moduser=&quot;preutan&quot; rolluptime=&quot;&quot; syuser=&quot;preutan&quot; syuzeit=&quot;3/16/2018 8:51:29 AM&quot; root=&quot;/DATA&quot; colcount=&quot;4&quot; rowcount=&quot;7&quot; url=&quot;&quot; dynamizeds=&quot;SAP Disclosure Management - Production&quot; dynamizedstype=&quot;9&quot; refreshds=&quot;&quot; viewtype=&quot;1&quot;&gt;&lt;QUERY reftype=&quot;ABS&quot; elmntsel=&quot;TABLE&quot; bbk=&quot;14033&quot; bbkdesc=&quot;2018 Annual Accounts/EC Annual Accounts/DC - Contingent liabilities&quot; datapro=&quot;CL&quot; infos=&quot;&quot; iscomment=&quot;0&quot;&gt;&lt;SELECT&gt;/BBOOK/DATAPROVIDER[./META/PROPS/ID='CL']/DATA/ROW&lt;/SELECT&gt;&lt;FILTERS&gt;&lt;FILTER&gt;&lt;/FILTER&gt;&lt;/FILTERS&gt;&lt;/QUERY&gt;&lt;/QUERIES&gt;&lt;/OBJECT&gt;"/>
    <w:docVar w:name="BIP_META_DOC_TBL00078" w:val="&lt;OBJECT&gt;&lt;META&gt;&lt;ID&gt;&lt;/ID&gt;&lt;NAME&gt;DOC_TBL0007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0.36&lt;/DATE&gt;&lt;DYNAMIZEDBY&gt;vignoal&lt;/DYNAMIZEDBY&gt;&lt;DYNAMIZEDON&gt;09/02/2015 10:46:08&lt;/DYNAMIZEDON&gt;&lt;LASTUPDATEDBY&gt;milemar&lt;/LASTUPDATEDBY&gt;&lt;LASTUPDATEDON&gt;6/6/2019 5:15:40 PM&lt;/LASTUPDATEDON&gt;&lt;UTC&gt;1&lt;/UTC&gt;&lt;/UPDATE&gt;&lt;QUERIES bbk=&quot;14032&quot; bbkdesc=&quot;2018 Annual Accounts/EC Annual Accounts/DC - Contingent assets&quot; datapro=&quot;CA&quot; tdatapro=&quot;CA&quot; author=&quot;&quot; modtime=&quot;6/6/2019 5:15:35 PM&quot; moduser=&quot;milemar&quot; rolluptime=&quot;&quot; syuser=&quot;milemar&quot; syuzeit=&quot;6/6/2019 5:15:35 PM&quot; root=&quot;/BBOOK/DATAPROVIDER[./META/PROPS/ID='CA']/DATA&quot; colcount=&quot;3&quot; rowcount=&quot;7&quot; url=&quot;&quot; dynamizeds=&quot;SAP Disclosure Management - Production&quot; dynamizedstype=&quot;9&quot; refreshds=&quot;&quot; viewtype=&quot;1&quot;&gt;&lt;QUERY reftype=&quot;ABS&quot; elmntsel=&quot;TABLE&quot; bbk=&quot;14032&quot; bbkdesc=&quot;2018 Annual Accounts/EC Annual Accounts/DC - Contingent assets&quot; datapro=&quot;CA&quot; infos=&quot;&quot; iscomment=&quot;0&quot;&gt;&lt;SELECT&gt;/BBOOK/DATAPROVIDER[./META/PROPS/ID='CA']/DATA/ROW&lt;/SELECT&gt;&lt;FILTERS&gt;&lt;FILTER&gt;&lt;/FILTER&gt;&lt;/FILTERS&gt;&lt;/QUERY&gt;&lt;/QUERIES&gt;&lt;/OBJECT&gt;"/>
    <w:docVar w:name="BIP_META_DOC_TBL00079" w:val="&lt;OBJECT&gt;&lt;META&gt;&lt;ID&gt;&lt;/ID&gt;&lt;NAME&gt;DOC_TBL0007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6/03/2018 12:47:32&lt;/DYNAMIZEDON&gt;&lt;LASTUPDATEDBY&gt;milemar&lt;/LASTUPDATEDBY&gt;&lt;LASTUPDATEDON&gt;6/6/2019 5:20:55 PM&lt;/LASTUPDATEDON&gt;&lt;UTC&gt;1&lt;/UTC&gt;&lt;/UPDATE&gt;&lt;QUERIES bbk=&quot;14035&quot; bbkdesc=&quot;2018 Annual Accounts/EC Annual Accounts/DC - Outstanding commitments not yet expensed&quot; datapro=&quot;OBULEG&quot; tdatapro=&quot;OBULEG&quot; author=&quot;&quot; modtime=&quot;6/6/2019 5:20:43 PM&quot; moduser=&quot;milemar&quot; rolluptime=&quot;&quot; syuser=&quot;milemar&quot; syuzeit=&quot;6/6/2019 5:20:43 PM&quot; root=&quot;/BBOOK/DATAPROVIDER[./META/PROPS/ID='OBULEG']/DATA&quot; colcount=&quot;4&quot; rowcount=&quot;6&quot; url=&quot;&quot; dynamizeds=&quot;SAP Disclosure Management - Production&quot; dynamizedstype=&quot;9&quot; refreshds=&quot;&quot; viewtype=&quot;1&quot;&gt;&lt;QUERY reftype=&quot;ABS&quot; elmntsel=&quot;TABLE&quot; bbk=&quot;14035&quot; bbkdesc=&quot;2018 Annual Accounts/EC Annual Accounts/DC - Outstanding commitments not yet expensed&quot; datapro=&quot;OBULEG&quot; infos=&quot;&quot; iscomment=&quot;0&quot;&gt;&lt;SELECT&gt;/BBOOK/DATAPROVIDER[./META/PROPS/ID='OBULEG']/DATA/ROW&lt;/SELECT&gt;&lt;FILTERS&gt;&lt;FILTER&gt;&lt;/FILTER&gt;&lt;/FILTERS&gt;&lt;/QUERY&gt;&lt;/QUERIES&gt;&lt;/OBJECT&gt;"/>
    <w:docVar w:name="BIP_META_DOC_TBL00080" w:val="&lt;OBJECT&gt;&lt;META&gt;&lt;ID&gt;&lt;/ID&gt;&lt;NAME&gt;DOC_TBL0008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6.35&lt;/DATE&gt;&lt;DYNAMIZEDBY&gt;porteca&lt;/DYNAMIZEDBY&gt;&lt;DYNAMIZEDON&gt;14/03/2017 13:20:16&lt;/DYNAMIZEDON&gt;&lt;LASTUPDATEDBY&gt;milemar&lt;/LASTUPDATEDBY&gt;&lt;LASTUPDATEDON&gt;6/6/2019 5:20:55 PM&lt;/LASTUPDATEDON&gt;&lt;UTC&gt;1&lt;/UTC&gt;&lt;/UPDATE&gt;&lt;QUERIES bbk=&quot;14035&quot; bbkdesc=&quot;2018 Annual Accounts/EC Annual Accounts/DC - Outstanding commitments not yet expensed&quot; datapro=&quot;OCNYE&quot; tdatapro=&quot;OCNYE&quot; author=&quot;&quot; modtime=&quot;3/15/2016 12:49:18 PM&quot; moduser=&quot;bularmi&quot; rolluptime=&quot;&quot; syuser=&quot;bularmi&quot; syuzeit=&quot;3/15/2016 12:49:18 PM&quot; root=&quot;/DATA&quot; colcount=&quot;3&quot; rowcount=&quot;3&quot; url=&quot;&quot; dynamizeds=&quot;SAP Disclosure Management - Production&quot; dynamizedstype=&quot;9&quot; refreshds=&quot;&quot; viewtype=&quot;1&quot;&gt;&lt;QUERY reftype=&quot;ABS&quot; elmntsel=&quot;TABLE&quot; bbk=&quot;14035&quot; bbkdesc=&quot;2018 Annual Accounts/EC Annual Accounts/DC - Outstanding commitments not yet expensed&quot; datapro=&quot;OCNYE&quot; infos=&quot;&quot; iscomment=&quot;0&quot;&gt;&lt;SELECT&gt;/BBOOK/DATAPROVIDER[./META/PROPS/ID='OCNYE']/DATA/ROW&lt;/SELECT&gt;&lt;FILTERS&gt;&lt;FILTER&gt;&lt;/FILTER&gt;&lt;/FILTERS&gt;&lt;/QUERY&gt;&lt;/QUERIES&gt;&lt;/OBJECT&gt;"/>
    <w:docVar w:name="BIP_META_DOC_TBL00081" w:val="&lt;OBJECT&gt;&lt;META&gt;&lt;ID&gt;&lt;/ID&gt;&lt;NAME&gt;DOC_TBL0008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4-03-2019 13:42:15&lt;/DYNAMIZEDON&gt;&lt;LASTUPDATEDBY&gt;milemar&lt;/LASTUPDATEDBY&gt;&lt;LASTUPDATEDON&gt;6/6/2019 5:20:55 PM&lt;/LASTUPDATEDON&gt;&lt;UTC&gt;1&lt;/UTC&gt;&lt;/UPDATE&gt;&lt;QUERIES bbk=&quot;14036&quot; bbkdesc=&quot;2018 Annual Accounts/EC Annual Accounts/DC - Significant legal commitments&quot; datapro=&quot;STRUCAC&quot; tdatapro=&quot;STRUCAC&quot; author=&quot;&quot; modtime=&quot;2/9/2015 10:50:12 AM&quot; moduser=&quot;vignale&quot; rolluptime=&quot;&quot; syuser=&quot;vignale&quot; syuzeit=&quot;2/9/2015 10:50:12 AM&quot; root=&quot;/DATA&quot; colcount=&quot;5&quot; rowcount=&quot;15&quot; url=&quot;&quot; dynamizeds=&quot;SAP Disclosure Management - Production&quot; dynamizedstype=&quot;9&quot; refreshds=&quot;&quot; viewtype=&quot;1&quot;&gt;&lt;QUERY reftype=&quot;ABS&quot; elmntsel=&quot;TABLE&quot; bbk=&quot;14036&quot; bbkdesc=&quot;2018 Annual Accounts/EC Annual Accounts/DC - Significant legal commitments&quot; datapro=&quot;STRUCAC&quot; infos=&quot;&quot; iscomment=&quot;0&quot;&gt;&lt;SELECT&gt;/BBOOK/DATAPROVIDER[./META/PROPS/ID='STRUCAC']/DATA/ROW&lt;/SELECT&gt;&lt;FILTERS&gt;&lt;FILTER&gt;&lt;/FILTER&gt;&lt;/FILTERS&gt;&lt;/QUERY&gt;&lt;/QUERIES&gt;&lt;/OBJECT&gt;"/>
    <w:docVar w:name="BIP_META_DOC_TBL00082" w:val="&lt;OBJECT&gt;&lt;META&gt;&lt;ID&gt;&lt;/ID&gt;&lt;NAME&gt;DOC_TBL0008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6/03/2018 12:49:42&lt;/DYNAMIZEDON&gt;&lt;LASTUPDATEDBY&gt;milemar&lt;/LASTUPDATEDBY&gt;&lt;LASTUPDATEDON&gt;6/6/2019 5:20:55 PM&lt;/LASTUPDATEDON&gt;&lt;UTC&gt;1&lt;/UTC&gt;&lt;/UPDATE&gt;&lt;QUERIES bbk=&quot;14035&quot; bbkdesc=&quot;2018 Annual Accounts/EC Annual Accounts/DC - Outstanding commitments not yet expensed&quot; datapro=&quot;LEGCOM&quot; tdatapro=&quot;LEGCOM&quot; author=&quot;&quot; modtime=&quot;6/6/2019 5:20:43 PM&quot; moduser=&quot;milemar&quot; rolluptime=&quot;&quot; syuser=&quot;milemar&quot; syuzeit=&quot;6/6/2019 5:20:43 PM&quot; root=&quot;/BBOOK/DATAPROVIDER[./META/PROPS/ID='LEGCOM']/DATA&quot; colcount=&quot;4&quot; rowcount=&quot;9&quot; url=&quot;&quot; dynamizeds=&quot;SAP Disclosure Management - Production&quot; dynamizedstype=&quot;9&quot; refreshds=&quot;&quot; viewtype=&quot;1&quot;&gt;&lt;QUERY reftype=&quot;ABS&quot; elmntsel=&quot;TABLE&quot; bbk=&quot;14035&quot; bbkdesc=&quot;2018 Annual Accounts/EC Annual Accounts/DC - Outstanding commitments not yet expensed&quot; datapro=&quot;LEGCOM&quot; infos=&quot;&quot; iscomment=&quot;0&quot;&gt;&lt;SELECT&gt;/BBOOK/DATAPROVIDER[./META/PROPS/ID='LEGCOM']/DATA/ROW&lt;/SELECT&gt;&lt;FILTERS&gt;&lt;FILTER&gt;&lt;/FILTER&gt;&lt;/FILTERS&gt;&lt;/QUERY&gt;&lt;/QUERIES&gt;&lt;/OBJECT&gt;"/>
    <w:docVar w:name="BIP_META_DOC_TBL00083" w:val="&lt;OBJECT&gt;&lt;META&gt;&lt;ID&gt;&lt;/ID&gt;&lt;NAME&gt;DOC_TBL0008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20/11/2017 14:29:15&lt;/DYNAMIZEDON&gt;&lt;LASTUPDATEDBY&gt;milemar&lt;/LASTUPDATEDBY&gt;&lt;LASTUPDATEDON&gt;6/6/2019 5:20:55 PM&lt;/LASTUPDATEDON&gt;&lt;UTC&gt;1&lt;/UTC&gt;&lt;/UPDATE&gt;&lt;QUERIES bbk=&quot;14050&quot; bbkdesc=&quot;2018 Annual Accounts/EC Annual Accounts/DC -Operating lease commitments&quot; datapro=&quot;PPERE&quot; tdatapro=&quot;PPERE&quot; author=&quot;&quot; modtime=&quot;6/6/2019 5:20:45 PM&quot; moduser=&quot;milemar&quot; rolluptime=&quot;&quot; syuser=&quot;milemar&quot; syuzeit=&quot;6/6/2019 5:20:45 PM&quot; root=&quot;/BBOOK/DATAPROVIDER[./META/PROPS/ID='PPERE']/DATA&quot; colcount=&quot;5&quot; rowcount=&quot;6&quot; url=&quot;&quot; dynamizeds=&quot;SAP Disclosure Management - Production&quot; dynamizedstype=&quot;9&quot; refreshds=&quot;&quot; viewtype=&quot;1&quot;&gt;&lt;QUERY reftype=&quot;ABS&quot; elmntsel=&quot;TABLE&quot; bbk=&quot;14050&quot; bbkdesc=&quot;2018 Annual Accounts/EC Annual Accounts/DC -Operating lease commitments&quot; datapro=&quot;PPERE&quot; infos=&quot;&quot; iscomment=&quot;0&quot;&gt;&lt;SELECT&gt;/BBOOK/DATAPROVIDER[./META/PROPS/ID='PPERE']/DATA/ROW&lt;/SELECT&gt;&lt;FILTERS&gt;&lt;FILTER&gt;&lt;/FILTER&gt;&lt;/FILTERS&gt;&lt;/QUERY&gt;&lt;/QUERIES&gt;&lt;/OBJECT&gt;"/>
    <w:docVar w:name="BIP_META_DOC_TBL00084" w:val="&lt;OBJECT&gt;&lt;META&gt;&lt;ID&gt;&lt;/ID&gt;&lt;NAME&gt;DOC_TBL0008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servela&lt;/DYNAMIZEDBY&gt;&lt;DYNAMIZEDON&gt;20/11/2017 14:31:58&lt;/DYNAMIZEDON&gt;&lt;LASTUPDATEDBY&gt;mileuma&lt;/LASTUPDATEDBY&gt;&lt;LASTUPDATEDON&gt;6/11/2019 11:42:20 AM&lt;/LASTUPDATEDON&gt;&lt;UTC&gt;1&lt;/UTC&gt;&lt;/UPDATE&gt;&lt;QUERIES bbk=&quot;13999&quot; bbkdesc=&quot;2018 Annual Accounts/EC Annual Accounts/DC - Exposure of the EC to currency risk at year end&quot; datapro=&quot;CRCY&quot; tdatapro=&quot;CRCY&quot; author=&quot;&quot; modtime=&quot;6/11/2019 11:40:41 AM&quot; moduser=&quot;milemar&quot; rolluptime=&quot;&quot; syuser=&quot;milemar&quot; syuzeit=&quot;6/11/2019 11:40:41 AM&quot; root=&quot;/BBOOK/DATAPROVIDER[./META/PROPS/ID='CRCY']/DATA&quot; colcount=&quot;8&quot; rowcount=&quot;15&quot; url=&quot;&quot; dynamizeds=&quot;SAP Disclosure Management - Production&quot; dynamizedstype=&quot;9&quot; refreshds=&quot;&quot; viewtype=&quot;1&quot;&gt;&lt;QUERY reftype=&quot;ABS&quot; elmntsel=&quot;TABLE&quot; bbk=&quot;13999&quot; bbkdesc=&quot;2018 Annual Accounts/EC Annual Accounts/DC - Exposure of the EC to currency risk at year end&quot; datapro=&quot;CRCY&quot; infos=&quot;&quot; iscomment=&quot;0&quot;&gt;&lt;SELECT&gt;/BBOOK/DATAPROVIDER[./META/PROPS/ID='CRCY']/DATA/ROW&lt;/SELECT&gt;&lt;FILTERS&gt;&lt;FILTER&gt;&lt;/FILTER&gt;&lt;/FILTERS&gt;&lt;/QUERY&gt;&lt;/QUERIES&gt;&lt;/OBJECT&gt;"/>
    <w:docVar w:name="BIP_META_DOC_TBL00085" w:val="&lt;OBJECT&gt;&lt;META&gt;&lt;ID&gt;&lt;/ID&gt;&lt;NAME&gt;DOC_TBL0008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servela&lt;/DYNAMIZEDBY&gt;&lt;DYNAMIZEDON&gt;20/11/2017 14:40:16&lt;/DYNAMIZEDON&gt;&lt;LASTUPDATEDBY&gt;mileuma&lt;/LASTUPDATEDBY&gt;&lt;LASTUPDATEDON&gt;6/11/2019 11:42:23 AM&lt;/LASTUPDATEDON&gt;&lt;UTC&gt;1&lt;/UTC&gt;&lt;/UPDATE&gt;&lt;QUERIES bbk=&quot;13999&quot; bbkdesc=&quot;2018 Annual Accounts/EC Annual Accounts/DC - Exposure of the EC to currency risk at year end&quot; datapro=&quot;CRPY&quot; tdatapro=&quot;CRPY&quot; author=&quot;&quot; modtime=&quot;6/11/2019 11:40:41 AM&quot; moduser=&quot;milemar&quot; rolluptime=&quot;&quot; syuser=&quot;milemar&quot; syuzeit=&quot;6/11/2019 11:40:41 AM&quot; root=&quot;/BBOOK/DATAPROVIDER[./META/PROPS/ID='CRPY']/DATA&quot; colcount=&quot;8&quot; rowcount=&quot;15&quot; url=&quot;&quot; dynamizeds=&quot;SAP Disclosure Management - Production&quot; dynamizedstype=&quot;9&quot; refreshds=&quot;&quot; viewtype=&quot;1&quot;&gt;&lt;QUERY reftype=&quot;ABS&quot; elmntsel=&quot;TABLE&quot; bbk=&quot;13999&quot; bbkdesc=&quot;2018 Annual Accounts/EC Annual Accounts/DC - Exposure of the EC to currency risk at year end&quot; datapro=&quot;CRPY&quot; infos=&quot;&quot; iscomment=&quot;0&quot;&gt;&lt;SELECT&gt;/BBOOK/DATAPROVIDER[./META/PROPS/ID='CRPY']/DATA/ROW&lt;/SELECT&gt;&lt;FILTERS&gt;&lt;FILTER&gt;&lt;/FILTER&gt;&lt;/FILTERS&gt;&lt;/QUERY&gt;&lt;/QUERIES&gt;&lt;/OBJECT&gt;"/>
    <w:docVar w:name="BIP_META_DOC_TBL00086" w:val="&lt;OBJECT&gt;&lt;META&gt;&lt;ID&gt;&lt;/ID&gt;&lt;NAME&gt;DOC_TBL0008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servela&lt;/DYNAMIZEDBY&gt;&lt;DYNAMIZEDON&gt;20/11/2017 15:03:52&lt;/DYNAMIZEDON&gt;&lt;LASTUPDATEDBY&gt;milemar&lt;/LASTUPDATEDBY&gt;&lt;LASTUPDATEDON&gt;6/6/2019 5:18:45 PM&lt;/LASTUPDATEDON&gt;&lt;UTC&gt;1&lt;/UTC&gt;&lt;/UPDATE&gt;&lt;QUERIES bbk=&quot;13999&quot; bbkdesc=&quot;2018 Annual Accounts/EC Annual Accounts/DC - Exposure of the EC to currency risk at year end&quot; datapro=&quot;SDS&quot; tdatapro=&quot;SDS&quot; author=&quot;&quot; modtime=&quot;6/6/2019 5:18:23 PM&quot; moduser=&quot;milemar&quot; rolluptime=&quot;&quot; syuser=&quot;milemar&quot; syuzeit=&quot;6/6/2019 5:18:23 PM&quot; root=&quot;/BBOOK/DATAPROVIDER[./META/PROPS/ID='CRPY']/DATA&quot; colcount=&quot;5&quot; rowcount=&quot;5&quot; url=&quot;&quot; dynamizeds=&quot;SAP Disclosure Management - Production&quot; dynamizedstype=&quot;9&quot; refreshds=&quot;&quot; viewtype=&quot;1&quot;&gt;&lt;QUERY reftype=&quot;ABS&quot; elmntsel=&quot;TABLE&quot; bbk=&quot;13999&quot; bbkdesc=&quot;2018 Annual Accounts/EC Annual Accounts/DC - Exposure of the EC to currency risk at year end&quot; datapro=&quot;SDS&quot; infos=&quot;&quot; iscomment=&quot;0&quot;&gt;&lt;SELECT&gt;/BBOOK/DATAPROVIDER[./META/PROPS/ID='SDS']/DATA/ROW&lt;/SELECT&gt;&lt;FILTERS&gt;&lt;FILTER&gt;&lt;/FILTER&gt;&lt;/FILTERS&gt;&lt;/QUERY&gt;&lt;/QUERIES&gt;&lt;/OBJECT&gt;"/>
    <w:docVar w:name="BIP_META_DOC_TBL00087" w:val="&lt;OBJECT&gt;&lt;META&gt;&lt;ID&gt;&lt;/ID&gt;&lt;NAME&gt;DOC_TBL0008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porteca&lt;/DYNAMIZEDBY&gt;&lt;DYNAMIZEDON&gt;3/16/2016 12:54:29 PM&lt;/DYNAMIZEDON&gt;&lt;LASTUPDATEDBY&gt;milemar&lt;/LASTUPDATEDBY&gt;&lt;LASTUPDATEDON&gt;6/6/2019 5:18:45 PM&lt;/LASTUPDATEDON&gt;&lt;UTC&gt;1&lt;/UTC&gt;&lt;/UPDATE&gt;&lt;QUERIES bbk=&quot;13999&quot; bbkdesc=&quot;2018 Annual Accounts/EC Annual Accounts/DC - Exposure of the EC to currency risk at year end&quot; datapro=&quot;NAS&quot; tdatapro=&quot;NAS&quot; author=&quot;&quot; modtime=&quot;6/6/2019 5:18:23 PM&quot; moduser=&quot;milemar&quot; rolluptime=&quot;&quot; syuser=&quot;milemar&quot; syuzeit=&quot;6/6/2019 5:18:23 PM&quot; root=&quot;/BBOOK/DATAPROVIDER[./META/PROPS/ID='NAS']/DATA&quot; colcount=&quot;5&quot; rowcount=&quot;5&quot; url=&quot;&quot; dynamizeds=&quot;SAP Disclosure Management - Production&quot; dynamizedstype=&quot;9&quot; refreshds=&quot;&quot; viewtype=&quot;1&quot;&gt;&lt;QUERY reftype=&quot;ABS&quot; elmntsel=&quot;TABLE&quot; bbk=&quot;13999&quot; bbkdesc=&quot;2018 Annual Accounts/EC Annual Accounts/DC - Exposure of the EC to currency risk at year end&quot; datapro=&quot;NAS&quot; infos=&quot;&quot; iscomment=&quot;0&quot;&gt;&lt;SELECT&gt;/BBOOK/DATAPROVIDER[./META/PROPS/ID='NAS']/DATA/ROW&lt;/SELECT&gt;&lt;FILTERS&gt;&lt;FILTER&gt;&lt;/FILTER&gt;&lt;/FILTERS&gt;&lt;/QUERY&gt;&lt;/QUERIES&gt;&lt;/OBJECT&gt;"/>
    <w:docVar w:name="BIP_META_DOC_TBL00088" w:val="&lt;OBJECT&gt;&lt;META&gt;&lt;ID&gt;&lt;/ID&gt;&lt;NAME&gt;DOC_TBL0008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porteca&lt;/DYNAMIZEDBY&gt;&lt;DYNAMIZEDON&gt;3/16/2016 12:55:10 PM&lt;/DYNAMIZEDON&gt;&lt;LASTUPDATEDBY&gt;milemar&lt;/LASTUPDATEDBY&gt;&lt;LASTUPDATEDON&gt;6/6/2019 5:18:45 PM&lt;/LASTUPDATEDON&gt;&lt;UTC&gt;1&lt;/UTC&gt;&lt;/UPDATE&gt;&lt;QUERIES bbk=&quot;13999&quot; bbkdesc=&quot;2018 Annual Accounts/EC Annual Accounts/DC - Exposure of the EC to currency risk at year end&quot; datapro=&quot;SDW&quot; tdatapro=&quot;SDW&quot; author=&quot;&quot; modtime=&quot;6/6/2019 5:18:23 PM&quot; moduser=&quot;milemar&quot; rolluptime=&quot;&quot; syuser=&quot;milemar&quot; syuzeit=&quot;6/6/2019 5:18:23 PM&quot; root=&quot;/BBOOK/DATAPROVIDER[./META/PROPS/ID='SDW']/DATA&quot; colcount=&quot;5&quot; rowcount=&quot;5&quot; url=&quot;&quot; dynamizeds=&quot;SAP Disclosure Management - Production&quot; dynamizedstype=&quot;9&quot; refreshds=&quot;&quot; viewtype=&quot;1&quot;&gt;&lt;QUERY reftype=&quot;ABS&quot; elmntsel=&quot;TABLE&quot; bbk=&quot;13999&quot; bbkdesc=&quot;2018 Annual Accounts/EC Annual Accounts/DC - Exposure of the EC to currency risk at year end&quot; datapro=&quot;SDW&quot; infos=&quot;&quot; iscomment=&quot;0&quot;&gt;&lt;SELECT&gt;/BBOOK/DATAPROVIDER[./META/PROPS/ID='SDW']/DATA/ROW&lt;/SELECT&gt;&lt;FILTERS&gt;&lt;FILTER&gt;&lt;/FILTER&gt;&lt;/FILTERS&gt;&lt;/QUERY&gt;&lt;/QUERIES&gt;&lt;/OBJECT&gt;"/>
    <w:docVar w:name="BIP_META_DOC_TBL00089" w:val="&lt;OBJECT&gt;&lt;META&gt;&lt;ID&gt;&lt;/ID&gt;&lt;NAME&gt;DOC_TBL0008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preutan&lt;/DYNAMIZEDBY&gt;&lt;DYNAMIZEDON&gt;17/01/2018 10:26:35&lt;/DYNAMIZEDON&gt;&lt;LASTUPDATEDBY&gt;milemar&lt;/LASTUPDATEDBY&gt;&lt;LASTUPDATEDON&gt;6/6/2019 5:18:45 PM&lt;/LASTUPDATEDON&gt;&lt;UTC&gt;1&lt;/UTC&gt;&lt;/UPDATE&gt;&lt;QUERIES bbk=&quot;13999&quot; bbkdesc=&quot;2018 Annual Accounts/EC Annual Accounts/DC - Exposure of the EC to currency risk at year end&quot; datapro=&quot;NAW&quot; tdatapro=&quot;NAW&quot; author=&quot;&quot; modtime=&quot;6/6/2019 5:18:23 PM&quot; moduser=&quot;milemar&quot; rolluptime=&quot;&quot; syuser=&quot;milemar&quot; syuzeit=&quot;6/6/2019 5:18:23 PM&quot; root=&quot;/BBOOK/DATAPROVIDER[./META/PROPS/ID='NAW']/DATA&quot; colcount=&quot;5&quot; rowcount=&quot;5&quot; url=&quot;&quot; dynamizeds=&quot;SAP Disclosure Management - Production&quot; dynamizedstype=&quot;9&quot; refreshds=&quot;&quot; viewtype=&quot;1&quot;&gt;&lt;QUERY reftype=&quot;ABS&quot; elmntsel=&quot;TABLE&quot; bbk=&quot;13999&quot; bbkdesc=&quot;2018 Annual Accounts/EC Annual Accounts/DC - Exposure of the EC to currency risk at year end&quot; datapro=&quot;NAW&quot; infos=&quot;&quot; iscomment=&quot;0&quot;&gt;&lt;SELECT&gt;/BBOOK/DATAPROVIDER[./META/PROPS/ID='NAW']/DATA/ROW&lt;/SELECT&gt;&lt;FILTERS&gt;&lt;FILTER&gt;&lt;/FILTER&gt;&lt;/FILTERS&gt;&lt;/QUERY&gt;&lt;/QUERIES&gt;&lt;/OBJECT&gt;"/>
    <w:docVar w:name="BIP_META_DOC_TBL00090" w:val="&lt;OBJECT&gt;&lt;META&gt;&lt;ID&gt;&lt;/ID&gt;&lt;NAME&gt;DOC_TBL0009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4.9&lt;/DATE&gt;&lt;DYNAMIZEDBY&gt;deckesy&lt;/DYNAMIZEDBY&gt;&lt;DYNAMIZEDON&gt;15/03/2016 18:15:04&lt;/DYNAMIZEDON&gt;&lt;LASTUPDATEDBY&gt;zogalmn&lt;/LASTUPDATEDBY&gt;&lt;LASTUPDATEDON&gt;6/11/2019 3:21:27 PM&lt;/LASTUPDATEDON&gt;&lt;UTC&gt;1&lt;/UTC&gt;&lt;/UPDATE&gt;&lt;QUERIES bbk=&quot;13969&quot; bbkdesc=&quot;2018 Annual Accounts/EC Annual Accounts/DC - Interest rate risk&quot; datapro=&quot;IRR&quot; tdatapro=&quot;IRR&quot; author=&quot;&quot; modtime=&quot;6/11/2019 3:02:18 PM&quot; moduser=&quot;zogalmn&quot; rolluptime=&quot;&quot; syuser=&quot;zogalmn&quot; syuzeit=&quot;6/11/2019 3:02:18 PM&quot; root=&quot;/BBOOK/DATAPROVIDER[./META/PROPS/ID='IRR']/DATA&quot; colcount=&quot;3&quot; rowcount=&quot;6&quot; url=&quot;&quot; dynamizeds=&quot;SAP Disclosure Management - Production&quot; dynamizedstype=&quot;9&quot; refreshds=&quot;&quot; viewtype=&quot;1&quot;&gt;&lt;QUERY reftype=&quot;ABS&quot; elmntsel=&quot;TABLE&quot; bbk=&quot;13969&quot; bbkdesc=&quot;2018 Annual Accounts/EC Annual Accounts/DC - Interest rate risk&quot; datapro=&quot;IRR&quot; infos=&quot;&quot; iscomment=&quot;0&quot;&gt;&lt;SELECT&gt;/BBOOK/DATAPROVIDER[./META/PROPS/ID='IRR']/DATA/ROW&lt;/SELECT&gt;&lt;FILTERS&gt;&lt;FILTER&gt;&lt;/FILTER&gt;&lt;/FILTERS&gt;&lt;/QUERY&gt;&lt;/QUERIES&gt;&lt;/OBJECT&gt;"/>
    <w:docVar w:name="BIP_META_DOC_TBL00091" w:val="&lt;OBJECT&gt;&lt;META&gt;&lt;ID&gt;&lt;/ID&gt;&lt;NAME&gt;DOC_TBL00091&lt;/NAME&gt;&lt;TYPE&gt;&lt;ID&gt;19&lt;/ID&gt;&lt;FRIENDLYNAME&gt;Table&lt;/FRIENDLYNAME&gt;&lt;LABEL&gt;&lt;/LABEL&gt;&lt;/TYPE&gt;&lt;STATUS&gt;DYN&lt;/STATUS&gt;&lt;SAFE&gt;&lt;/SAFE&gt;&lt;MARKCHANGES&gt;0&lt;/MARKCHANGES&gt;&lt;USESTYLES&gt;0&lt;/USESTYLES&gt;&lt;USETEMPLATES&gt;1&lt;/USETEMPLATES&gt;&lt;FXC&gt;1&lt;/FXC&gt;&lt;FXR&gt;1&lt;/FXR&gt;&lt;FORMAT&gt;&lt;/FORMAT&gt;&lt;FMODUS&gt;&lt;/FMODUS&gt;&lt;FLCID&gt;2060&lt;/FLCID&gt;&lt;RELATION&gt;&lt;/RELATION&gt;&lt;LINKED&gt;&lt;/LINKED&gt;&lt;SVALUE&gt;&lt;/SVALUE&gt;&lt;INFO&gt;&lt;/INFO&gt;&lt;/META&gt;&lt;UPDATE&gt;&lt;DATE&gt;10.1.10.2&lt;/DATE&gt;&lt;DYNAMIZEDBY&gt;servela&lt;/DYNAMIZEDBY&gt;&lt;DYNAMIZEDON&gt;20/11/2017 15:22:34&lt;/DYNAMIZEDON&gt;&lt;LASTUPDATEDBY&gt;milemar&lt;/LASTUPDATEDBY&gt;&lt;LASTUPDATEDON&gt;6/6/2019 5:21:26 PM&lt;/LASTUPDATEDON&gt;&lt;UTC&gt;1&lt;/UTC&gt;&lt;/UPDATE&gt;&lt;QUERIES bbk=&quot;13953&quot; bbkdesc=&quot;2018 Annual Accounts/EC Annual Accounts/DC - Credit risk&quot; datapro=&quot;CDTR&quot; tdatapro=&quot;CDTR&quot; author=&quot;&quot; modtime=&quot;6/6/2019 5:17:38 PM&quot; moduser=&quot;milemar&quot; rolluptime=&quot;&quot; syuser=&quot;milemar&quot; syuzeit=&quot;6/6/2019 5:17:38 PM&quot; root=&quot;/BBOOK/DATAPROVIDER[./META/PROPS/ID='FARCPY']/DATA&quot; colcount=&quot;6&quot; rowcount=&quot;11&quot; url=&quot;&quot; dynamizeds=&quot;SAP Disclosure Management - Production&quot; dynamizedstype=&quot;9&quot; refreshds=&quot;&quot; viewtype=&quot;1&quot;&gt;&lt;QUERY reftype=&quot;ABS&quot; elmntsel=&quot;TABLE&quot; bbk=&quot;13953&quot; bbkdesc=&quot;2018 Annual Accounts/EC Annual Accounts/DC - Credit risk&quot; datapro=&quot;CDTR&quot; infos=&quot;&quot; iscomment=&quot;0&quot;&gt;&lt;SELECT&gt;/BBOOK/DATAPROVIDER[./META/PROPS/ID='CDTR']/DATA/ROW&lt;/SELECT&gt;&lt;FILTERS&gt;&lt;FILTER&gt;&lt;/FILTER&gt;&lt;/FILTERS&gt;&lt;/QUERY&gt;&lt;/QUERIES&gt;&lt;/OBJECT&gt;"/>
    <w:docVar w:name="BIP_META_DOC_TBL00092" w:val="&lt;OBJECT&gt;&lt;META&gt;&lt;ID&gt;&lt;/ID&gt;&lt;NAME&gt;DOC_TBL00092&lt;/NAME&gt;&lt;TYPE&gt;&lt;ID&gt;19&lt;/ID&gt;&lt;FRIENDLYNAME&gt;Table&lt;/FRIENDLYNAME&gt;&lt;LABEL&gt;&lt;/LABEL&gt;&lt;/TYPE&gt;&lt;STATUS&gt;DYN&lt;/STATUS&gt;&lt;SAFE&gt;&lt;/SAFE&gt;&lt;MARKCHANGES&gt;0&lt;/MARKCHANGES&gt;&lt;USESTYLES&gt;0&lt;/USESTYLES&gt;&lt;USETEMPLATES&gt;1&lt;/USETEMPLATES&gt;&lt;FXC&gt;1&lt;/FXC&gt;&lt;FXR&gt;1&lt;/FXR&gt;&lt;FORMAT&gt;&lt;/FORMAT&gt;&lt;FMODUS&gt;&lt;/FMODUS&gt;&lt;FLCID&gt;2057&lt;/FLCID&gt;&lt;RELATION&gt;&lt;/RELATION&gt;&lt;LINKED&gt;&lt;/LINKED&gt;&lt;SVALUE&gt;&lt;/SVALUE&gt;&lt;INFO&gt;&lt;/INFO&gt;&lt;/META&gt;&lt;UPDATE&gt;&lt;DATE&gt;10.1.10.2&lt;/DATE&gt;&lt;DYNAMIZEDBY&gt;kythrst&lt;/DYNAMIZEDBY&gt;&lt;DYNAMIZEDON&gt;12/03/2019 9:36:32 AM&lt;/DYNAMIZEDON&gt;&lt;LASTUPDATEDBY&gt;milemar&lt;/LASTUPDATEDBY&gt;&lt;LASTUPDATEDON&gt;6/6/2019 5:21:27 PM&lt;/LASTUPDATEDON&gt;&lt;UTC&gt;1&lt;/UTC&gt;&lt;/UPDATE&gt;&lt;QUERIES bbk=&quot;13953&quot; bbkdesc=&quot;2018 Annual Accounts/EC Annual Accounts/DC - Credit risk&quot; datapro=&quot;FARCCY&quot; tdatapro=&quot;FARCCY&quot; author=&quot;&quot; modtime=&quot;6/6/2019 5:17:38 PM&quot; moduser=&quot;milemar&quot; rolluptime=&quot;&quot; syuser=&quot;milemar&quot; syuzeit=&quot;6/6/2019 5:17:38 PM&quot; root=&quot;/BBOOK/DATAPROVIDER[./META/PROPS/ID='FARCPY']/DATA&quot; colcount=&quot;7&quot; rowcount=&quot;15&quot; url=&quot;&quot; dynamizeds=&quot;SAP Disclosure Management - Production&quot; dynamizedstype=&quot;9&quot; refreshds=&quot;&quot; viewtype=&quot;1&quot;&gt;&lt;QUERY reftype=&quot;ABS&quot; elmntsel=&quot;TABLE&quot; bbk=&quot;13953&quot; bbkdesc=&quot;2018 Annual Accounts/EC Annual Accounts/DC - Credit risk&quot; datapro=&quot;FARCCY&quot; infos=&quot;&quot; iscomment=&quot;0&quot;&gt;&lt;SELECT&gt;/BBOOK/DATAPROVIDER[./META/PROPS/ID='FARCCY']/DATA/ROW&lt;/SELECT&gt;&lt;FILTERS&gt;&lt;FILTER&gt;&lt;/FILTER&gt;&lt;/FILTERS&gt;&lt;/QUERY&gt;&lt;/QUERIES&gt;&lt;/OBJECT&gt;"/>
    <w:docVar w:name="BIP_META_DOC_TBL00093" w:val="&lt;OBJECT&gt;&lt;META&gt;&lt;ID&gt;&lt;/ID&gt;&lt;NAME&gt;DOC_TBL00093&lt;/NAME&gt;&lt;TYPE&gt;&lt;ID&gt;19&lt;/ID&gt;&lt;FRIENDLYNAME&gt;Table&lt;/FRIENDLYNAME&gt;&lt;LABEL&gt;&lt;/LABEL&gt;&lt;/TYPE&gt;&lt;STATUS&gt;DYN&lt;/STATUS&gt;&lt;SAFE&gt;&lt;/SAFE&gt;&lt;MARKCHANGES&gt;0&lt;/MARKCHANGES&gt;&lt;USESTYLES&gt;0&lt;/USESTYLES&gt;&lt;USETEMPLATES&gt;1&lt;/USETEMPLATES&gt;&lt;FXC&gt;1&lt;/FXC&gt;&lt;FXR&gt;1&lt;/FXR&gt;&lt;FORMAT&gt;&lt;/FORMAT&gt;&lt;FMODUS&gt;&lt;/FMODUS&gt;&lt;FLCID&gt;2057&lt;/FLCID&gt;&lt;RELATION&gt;&lt;/RELATION&gt;&lt;LINKED&gt;&lt;/LINKED&gt;&lt;SVALUE&gt;&lt;/SVALUE&gt;&lt;INFO&gt;&lt;/INFO&gt;&lt;/META&gt;&lt;UPDATE&gt;&lt;DATE&gt;10.1.10.2&lt;/DATE&gt;&lt;DYNAMIZEDBY&gt;kythrst&lt;/DYNAMIZEDBY&gt;&lt;DYNAMIZEDON&gt;12/03/2019 9:34:50 AM&lt;/DYNAMIZEDON&gt;&lt;LASTUPDATEDBY&gt;milemar&lt;/LASTUPDATEDBY&gt;&lt;LASTUPDATEDON&gt;6/6/2019 5:21:27 PM&lt;/LASTUPDATEDON&gt;&lt;UTC&gt;1&lt;/UTC&gt;&lt;/UPDATE&gt;&lt;QUERIES bbk=&quot;13953&quot; bbkdesc=&quot;2018 Annual Accounts/EC Annual Accounts/DC - Credit risk&quot; datapro=&quot;FARCPY&quot; tdatapro=&quot;FARCPY&quot; author=&quot;&quot; modtime=&quot;6/6/2019 5:17:38 PM&quot; moduser=&quot;milemar&quot; rolluptime=&quot;&quot; syuser=&quot;milemar&quot; syuzeit=&quot;6/6/2019 5:17:38 PM&quot; root=&quot;/BBOOK/DATAPROVIDER[./META/PROPS/ID='FARCPY']/DATA&quot; colcount=&quot;7&quot; rowcount=&quot;15&quot; url=&quot;&quot; dynamizeds=&quot;SAP Disclosure Management - Production&quot; dynamizedstype=&quot;9&quot; refreshds=&quot;&quot; viewtype=&quot;1&quot;&gt;&lt;QUERY reftype=&quot;ABS&quot; elmntsel=&quot;TABLE&quot; bbk=&quot;13953&quot; bbkdesc=&quot;2018 Annual Accounts/EC Annual Accounts/DC - Credit risk&quot; datapro=&quot;FARCPY&quot; infos=&quot;&quot; iscomment=&quot;0&quot;&gt;&lt;SELECT&gt;/BBOOK/DATAPROVIDER[./META/PROPS/ID='FARCPY']/DATA/ROW&lt;/SELECT&gt;&lt;FILTERS&gt;&lt;FILTER&gt;&lt;/FILTER&gt;&lt;/FILTERS&gt;&lt;/QUERY&gt;&lt;/QUERIES&gt;&lt;/OBJECT&gt;"/>
    <w:docVar w:name="BIP_META_DOC_TBL00094" w:val="&lt;OBJECT&gt;&lt;META&gt;&lt;ID&gt;&lt;/ID&gt;&lt;NAME&gt;DOC_TBL0009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3/20/2018 5:12:06 PM&lt;/DYNAMIZEDON&gt;&lt;LASTUPDATEDBY&gt;milemar&lt;/LASTUPDATEDBY&gt;&lt;LASTUPDATEDON&gt;6/6/2019 5:17:56 PM&lt;/LASTUPDATEDON&gt;&lt;UTC&gt;1&lt;/UTC&gt;&lt;/UPDATE&gt;&lt;QUERIES bbk=&quot;13960&quot; bbkdesc=&quot;2018 Annual Accounts/EC Annual Accounts/DC - Maturity analysis of financial liabilities&quot; datapro=&quot;LR&quot; tdatapro=&quot;LR&quot; author=&quot;&quot; modtime=&quot;6/6/2019 5:17:49 PM&quot; moduser=&quot;milemar&quot; rolluptime=&quot;&quot; syuser=&quot;milemar&quot; syuzeit=&quot;6/6/2019 5:17:49 PM&quot; root=&quot;/BBOOK/DATAPROVIDER[./META/PROPS/ID='FVtsD']/DATA&quot; colcount=&quot;5&quot; rowcount=&quot;11&quot; url=&quot;&quot; dynamizeds=&quot;SAP Disclosure Management - Production&quot; dynamizedstype=&quot;9&quot; refreshds=&quot;&quot; viewtype=&quot;1&quot;&gt;&lt;QUERY reftype=&quot;ABS&quot; elmntsel=&quot;TABLE&quot; bbk=&quot;13960&quot; bbkdesc=&quot;2018 Annual Accounts/EC Annual Accounts/DC - Maturity analysis of financial liabilities&quot; datapro=&quot;LR&quot; infos=&quot;&quot; iscomment=&quot;0&quot;&gt;&lt;SELECT&gt;/BBOOK/DATAPROVIDER[./META/PROPS/ID='LR']/DATA/ROW&lt;/SELECT&gt;&lt;FILTERS&gt;&lt;FILTER&gt;&lt;/FILTER&gt;&lt;/FILTERS&gt;&lt;/QUERY&gt;&lt;/QUERIES&gt;&lt;/OBJECT&gt;"/>
    <w:docVar w:name="BIP_META_DOC_TBL00095" w:val="&lt;OBJECT&gt;&lt;META&gt;&lt;ID&gt;&lt;/ID&gt;&lt;NAME&gt;DOC_TBL0009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servela&lt;/DYNAMIZEDBY&gt;&lt;DYNAMIZEDON&gt;3/20/2018 5:09:10 PM&lt;/DYNAMIZEDON&gt;&lt;LASTUPDATEDBY&gt;milemar&lt;/LASTUPDATEDBY&gt;&lt;LASTUPDATEDON&gt;6/6/2019 5:17:56 PM&lt;/LASTUPDATEDON&gt;&lt;UTC&gt;1&lt;/UTC&gt;&lt;/UPDATE&gt;&lt;QUERIES bbk=&quot;13960&quot; bbkdesc=&quot;2018 Annual Accounts/EC Annual Accounts/DC - Maturity analysis of financial liabilities&quot; datapro=&quot;FVtsD&quot; tdatapro=&quot;FVtsD&quot; author=&quot;&quot; modtime=&quot;6/6/2019 5:17:49 PM&quot; moduser=&quot;milemar&quot; rolluptime=&quot;&quot; syuser=&quot;milemar&quot; syuzeit=&quot;6/6/2019 5:17:49 PM&quot; root=&quot;/BBOOK/DATAPROVIDER[./META/PROPS/ID='FVtsD']/DATA&quot; colcount=&quot;5&quot; rowcount=&quot;9&quot; url=&quot;&quot; dynamizeds=&quot;SAP Disclosure Management - Production&quot; dynamizedstype=&quot;9&quot; refreshds=&quot;&quot; viewtype=&quot;1&quot;&gt;&lt;QUERY reftype=&quot;ABS&quot; elmntsel=&quot;TABLE&quot; bbk=&quot;13960&quot; bbkdesc=&quot;2018 Annual Accounts/EC Annual Accounts/DC - Maturity analysis of financial liabilities&quot; datapro=&quot;FVtsD&quot; infos=&quot;&quot; iscomment=&quot;0&quot;&gt;&lt;SELECT&gt;/BBOOK/DATAPROVIDER[./META/PROPS/ID='FVtsD']/DATA/ROW&lt;/SELECT&gt;&lt;FILTERS&gt;&lt;FILTER&gt;&lt;/FILTER&gt;&lt;/FILTERS&gt;&lt;/QUERY&gt;&lt;/QUERIES&gt;&lt;/OBJECT&gt;"/>
    <w:docVar w:name="BIP_META_DOC_TBL00096" w:val="&lt;OBJECT&gt;&lt;META&gt;&lt;ID&gt;&lt;/ID&gt;&lt;NAME&gt;DOC_TBL0009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1:02:26&lt;/DYNAMIZEDON&gt;&lt;LASTUPDATEDBY&gt;milemar&lt;/LASTUPDATEDBY&gt;&lt;LASTUPDATEDON&gt;6/6/2019 5:22:06 PM&lt;/LASTUPDATEDON&gt;&lt;UTC&gt;1&lt;/UTC&gt;&lt;/UPDATE&gt;&lt;QUERIES bbk=&quot;15798&quot; bbkdesc=&quot;2018 Annual Accounts/EC Annual Accounts/DC - EC&quot; datapro=&quot;BIP_01_Statement_of_comparison_of_budget_and_actual_amounts&quot; tdatapro=&quot;BIP_01_Statement_of_comparison_of_budget_and_actual_amounts&quot; author=&quot;&quot; modtime=&quot;6/6/2019 5:21:56 PM&quot; moduser=&quot;milemar&quot; rolluptime=&quot;&quot; syuser=&quot;milemar&quot; syuzeit=&quot;6/6/2019 5:21:56 PM&quot; root=&quot;/BBOOK/DATAPROVIDER[./META/PROPS/ID='BIP_01_Statement_of_comparison_of_budget_and_actual_amounts']/DATA&quot; colcount=&quot;6&quot; rowcount=&quot;17&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1_Statement_of_comparison_of_budget_and_actual_amounts&quot; infos=&quot;&quot; iscomment=&quot;0&quot;&gt;&lt;SELECT&gt;/BBOOK/DATAPROVIDER[./META/PROPS/ID='BIP_01_Statement_of_comparison_of_budget_and_actual_amounts']/DATA/ROW&lt;/SELECT&gt;&lt;FILTERS&gt;&lt;FILTER&gt;&lt;/FILTER&gt;&lt;/FILTERS&gt;&lt;/QUERY&gt;&lt;/QUERIES&gt;&lt;/OBJECT&gt;"/>
    <w:docVar w:name="BIP_META_DOC_TBL00097" w:val="&lt;OBJECT&gt;&lt;META&gt;&lt;ID&gt;&lt;/ID&gt;&lt;NAME&gt;DOC_TBL0009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1:04:25&lt;/DYNAMIZEDON&gt;&lt;LASTUPDATEDBY&gt;milemar&lt;/LASTUPDATEDBY&gt;&lt;LASTUPDATEDON&gt;6/6/2019 5:22:06 PM&lt;/LASTUPDATEDON&gt;&lt;UTC&gt;1&lt;/UTC&gt;&lt;/UPDATE&gt;&lt;QUERIES bbk=&quot;15798&quot; bbkdesc=&quot;2018 Annual Accounts/EC Annual Accounts/DC - EC&quot; datapro=&quot;BIP_02_Budget_expenditure_commitments_by_MFF&quot; tdatapro=&quot;BIP_02_Budget_expenditure_commitments_by_MFF&quot; author=&quot;&quot; modtime=&quot;6/6/2019 5:21:56 PM&quot; moduser=&quot;milemar&quot; rolluptime=&quot;&quot; syuser=&quot;milemar&quot; syuzeit=&quot;6/6/2019 5:21:56 PM&quot; root=&quot;/BBOOK/DATAPROVIDER[./META/PROPS/ID='BIP_02_Budget_expenditure_commitments_by_MFF']/DATA&quot; colcount=&quot;6&quot; rowcount=&quot;14&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2_Budget_expenditure_commitments_by_MFF&quot; infos=&quot;&quot; iscomment=&quot;0&quot;&gt;&lt;SELECT&gt;/BBOOK/DATAPROVIDER[./META/PROPS/ID='BIP_02_Budget_expenditure_commitments_by_MFF']/DATA/ROW&lt;/SELECT&gt;&lt;FILTERS&gt;&lt;FILTER&gt;&lt;/FILTER&gt;&lt;/FILTERS&gt;&lt;/QUERY&gt;&lt;/QUERIES&gt;&lt;/OBJECT&gt;"/>
    <w:docVar w:name="BIP_META_DOC_TBL00098" w:val="&lt;OBJECT&gt;&lt;META&gt;&lt;ID&gt;&lt;/ID&gt;&lt;NAME&gt;DOC_TBL0009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1:06:04&lt;/DYNAMIZEDON&gt;&lt;LASTUPDATEDBY&gt;milemar&lt;/LASTUPDATEDBY&gt;&lt;LASTUPDATEDON&gt;6/6/2019 5:22:06 PM&lt;/LASTUPDATEDON&gt;&lt;UTC&gt;1&lt;/UTC&gt;&lt;/UPDATE&gt;&lt;QUERIES bbk=&quot;15798&quot; bbkdesc=&quot;2018 Annual Accounts/EC Annual Accounts/DC - EC&quot; datapro=&quot;BIP_03_Budget_expenditure_Payments_by_MFF&quot; tdatapro=&quot;BIP_03_Budget_expenditure_Payments_by_MFF&quot; author=&quot;&quot; modtime=&quot;6/6/2019 5:21:56 PM&quot; moduser=&quot;milemar&quot; rolluptime=&quot;&quot; syuser=&quot;milemar&quot; syuzeit=&quot;6/6/2019 5:21:56 PM&quot; root=&quot;/BBOOK/DATAPROVIDER[./META/PROPS/ID='BIP_03_Budget_expenditure_Payments_by_MFF']/DATA&quot; colcount=&quot;6&quot; rowcount=&quot;14&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3_Budget_expenditure_Payments_by_MFF&quot; infos=&quot;&quot; iscomment=&quot;0&quot;&gt;&lt;SELECT&gt;/BBOOK/DATAPROVIDER[./META/PROPS/ID='BIP_03_Budget_expenditure_Payments_by_MFF']/DATA/ROW&lt;/SELECT&gt;&lt;FILTERS&gt;&lt;FILTER&gt;&lt;/FILTER&gt;&lt;/FILTERS&gt;&lt;/QUERY&gt;&lt;/QUERIES&gt;&lt;/OBJECT&gt;"/>
    <w:docVar w:name="BIP_META_DOC_TBL00099" w:val="&lt;OBJECT&gt;&lt;META&gt;&lt;ID&gt;&lt;/ID&gt;&lt;NAME&gt;DOC_TBL0009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1:09:20&lt;/DYNAMIZEDON&gt;&lt;LASTUPDATEDBY&gt;milemar&lt;/LASTUPDATEDBY&gt;&lt;LASTUPDATEDON&gt;6/6/2019 5:22:03 PM&lt;/LASTUPDATEDON&gt;&lt;UTC&gt;1&lt;/UTC&gt;&lt;/UPDATE&gt;&lt;QUERIES bbk=&quot;15798&quot; bbkdesc=&quot;2018 Annual Accounts/EC Annual Accounts/DC - EC&quot; datapro=&quot;BIP_04_Implementation_of_budget_revenue&quot; tdatapro=&quot;BIP_04_Implementation_of_budget_revenue&quot; author=&quot;&quot; modtime=&quot;6/6/2019 5:21:56 PM&quot; moduser=&quot;milemar&quot; rolluptime=&quot;&quot; syuser=&quot;milemar&quot; syuzeit=&quot;6/6/2019 5:21:56 PM&quot; root=&quot;/BBOOK/DATAPROVIDER[./META/PROPS/ID='BIP_04_Implementation_of_budget_revenue']/DATA&quot; colcount=&quot;12&quot; rowcount=&quot;12&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4_Implementation_of_budget_revenue&quot; infos=&quot;&quot; iscomment=&quot;0&quot;&gt;&lt;SELECT&gt;/BBOOK/DATAPROVIDER[./META/PROPS/ID='BIP_04_Implementation_of_budget_revenue']/DATA/ROW&lt;/SELECT&gt;&lt;FILTERS&gt;&lt;FILTER&gt;&lt;/FILTER&gt;&lt;/FILTERS&gt;&lt;/QUERY&gt;&lt;/QUERIES&gt;&lt;/OBJECT&gt;"/>
    <w:docVar w:name="BIP_META_DOC_TBL00100" w:val="&lt;OBJECT&gt;&lt;META&gt;&lt;ID&gt;&lt;/ID&gt;&lt;NAME&gt;DOC_TBL0010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3:19:12&lt;/DYNAMIZEDON&gt;&lt;LASTUPDATEDBY&gt;milemar&lt;/LASTUPDATEDBY&gt;&lt;LASTUPDATEDON&gt;6/6/2019 5:22:05 PM&lt;/LASTUPDATEDON&gt;&lt;UTC&gt;1&lt;/UTC&gt;&lt;/UPDATE&gt;&lt;QUERIES bbk=&quot;15798&quot; bbkdesc=&quot;2018 Annual Accounts/EC Annual Accounts/DC - EC&quot; datapro=&quot;BIP_05_MFF_Breakdown_in_commitm_and_payments&quot; tdatapro=&quot;BIP_05_MFF_Breakdown_in_commitm_and_payments&quot; author=&quot;&quot; modtime=&quot;6/6/2019 5:21:56 PM&quot; moduser=&quot;milemar&quot; rolluptime=&quot;&quot; syuser=&quot;milemar&quot; syuzeit=&quot;6/6/2019 5:21:56 PM&quot; root=&quot;/BBOOK/DATAPROVIDER[./META/PROPS/ID='BIP_05_MFF_Breakdown_in_commitm_and_payments']/DATA&quot; colcount=&quot;14&quot; rowcount=&quot;17&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5_MFF_Breakdown_in_commitm_and_payments&quot; infos=&quot;&quot; iscomment=&quot;0&quot;&gt;&lt;SELECT&gt;/BBOOK/DATAPROVIDER[./META/PROPS/ID='BIP_05_MFF_Breakdown_in_commitm_and_payments']/DATA/ROW&lt;/SELECT&gt;&lt;FILTERS&gt;&lt;FILTER&gt;&lt;/FILTER&gt;&lt;/FILTERS&gt;&lt;/QUERY&gt;&lt;/QUERIES&gt;&lt;/OBJECT&gt;"/>
    <w:docVar w:name="BIP_META_DOC_TBL00101" w:val="&lt;OBJECT&gt;&lt;META&gt;&lt;ID&gt;&lt;/ID&gt;&lt;NAME&gt;DOC_TBL001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3:21:07&lt;/DYNAMIZEDON&gt;&lt;LASTUPDATEDBY&gt;milemar&lt;/LASTUPDATEDBY&gt;&lt;LASTUPDATEDON&gt;6/6/2019 5:22:05 PM&lt;/LASTUPDATEDON&gt;&lt;UTC&gt;1&lt;/UTC&gt;&lt;/UPDATE&gt;&lt;QUERIES bbk=&quot;15798&quot; bbkdesc=&quot;2018 Annual Accounts/EC Annual Accounts/DC - EC&quot; datapro=&quot;BIP_06_MFF_Implem_Commitments&quot; tdatapro=&quot;BIP_06_MFF_Implem_Commitments&quot; author=&quot;&quot; modtime=&quot;6/6/2019 5:21:56 PM&quot; moduser=&quot;milemar&quot; rolluptime=&quot;&quot; syuser=&quot;milemar&quot; syuzeit=&quot;6/6/2019 5:21:56 PM&quot; root=&quot;/BBOOK/DATAPROVIDER[./META/PROPS/ID='BIP_06_MFF_Implem_Commitments']/DATA&quot; colcount=&quot;15&quot; rowcount=&quot;16&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6_MFF_Implem_Commitments&quot; infos=&quot;&quot; iscomment=&quot;0&quot;&gt;&lt;SELECT&gt;/BBOOK/DATAPROVIDER[./META/PROPS/ID='BIP_06_MFF_Implem_Commitments']/DATA/ROW&lt;/SELECT&gt;&lt;FILTERS&gt;&lt;FILTER&gt;&lt;/FILTER&gt;&lt;/FILTERS&gt;&lt;/QUERY&gt;&lt;/QUERIES&gt;&lt;/OBJECT&gt;"/>
    <w:docVar w:name="BIP_META_DOC_TBL00102" w:val="&lt;OBJECT&gt;&lt;META&gt;&lt;ID&gt;&lt;/ID&gt;&lt;NAME&gt;DOC_TBL001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5:16:11&lt;/DYNAMIZEDON&gt;&lt;LASTUPDATEDBY&gt;milemar&lt;/LASTUPDATEDBY&gt;&lt;LASTUPDATEDON&gt;6/6/2019 5:22:05 PM&lt;/LASTUPDATEDON&gt;&lt;UTC&gt;1&lt;/UTC&gt;&lt;/UPDATE&gt;&lt;QUERIES bbk=&quot;15798&quot; bbkdesc=&quot;2018 Annual Accounts/EC Annual Accounts/DC - EC&quot; datapro=&quot;BIP_07_MFF_Implem_Payments&quot; tdatapro=&quot;BIP_07_MFF_Implem_Payments&quot; author=&quot;&quot; modtime=&quot;6/6/2019 5:21:56 PM&quot; moduser=&quot;milemar&quot; rolluptime=&quot;&quot; syuser=&quot;milemar&quot; syuzeit=&quot;6/6/2019 5:21:56 PM&quot; root=&quot;/BBOOK/DATAPROVIDER[./META/PROPS/ID='BIP_07_MFF_Implem_Payments']/DATA&quot; colcount=&quot;16&quot; rowcount=&quot;16&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7_MFF_Implem_Payments&quot; infos=&quot;&quot; iscomment=&quot;0&quot;&gt;&lt;SELECT&gt;/BBOOK/DATAPROVIDER[./META/PROPS/ID='BIP_07_MFF_Implem_Payments']/DATA/ROW&lt;/SELECT&gt;&lt;FILTERS&gt;&lt;FILTER&gt;&lt;/FILTER&gt;&lt;/FILTERS&gt;&lt;/QUERY&gt;&lt;/QUERIES&gt;&lt;/OBJECT&gt;"/>
    <w:docVar w:name="BIP_META_DOC_TBL00103" w:val="&lt;OBJECT&gt;&lt;META&gt;&lt;ID&gt;&lt;/ID&gt;&lt;NAME&gt;DOC_TBL0010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6153&lt;/FLCID&gt;&lt;RELATION&gt;&lt;/RELATION&gt;&lt;LINKED&gt;&lt;/LINKED&gt;&lt;SVALUE&gt;&lt;/SVALUE&gt;&lt;INFO&gt;&lt;/INFO&gt;&lt;/META&gt;&lt;UPDATE&gt;&lt;DATE&gt;10.1.6.35&lt;/DATE&gt;&lt;DYNAMIZEDBY&gt;bedread&lt;/DYNAMIZEDBY&gt;&lt;DYNAMIZEDON&gt;07/03/2019 13:34:45&lt;/DYNAMIZEDON&gt;&lt;LASTUPDATEDBY&gt;milemar&lt;/LASTUPDATEDBY&gt;&lt;LASTUPDATEDON&gt;6/6/2019 5:22:05 PM&lt;/LASTUPDATEDON&gt;&lt;UTC&gt;1&lt;/UTC&gt;&lt;/UPDATE&gt;&lt;QUERIES bbk=&quot;15798&quot; bbkdesc=&quot;2018 Annual Accounts/EC Annual Accounts/DC - EC&quot; datapro=&quot;BIP_08_MFF_Movements_in_commitments_oustanding&quot; tdatapro=&quot;BIP_08_MFF_Movements_in_commitments_oustanding&quot; author=&quot;&quot; modtime=&quot;6/6/2019 5:21:56 PM&quot; moduser=&quot;milemar&quot; rolluptime=&quot;&quot; syuser=&quot;milemar&quot; syuzeit=&quot;6/6/2019 5:21:56 PM&quot; root=&quot;/BBOOK/DATAPROVIDER[./META/PROPS/ID='BIP_08_MFF_Movements_in_commitments_oustanding']/DATA&quot; colcount=&quot;11&quot; rowcount=&quot;16&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8_MFF_Movements_in_commitments_oustanding&quot; infos=&quot;&quot; iscomment=&quot;0&quot;&gt;&lt;SELECT&gt;/BBOOK/DATAPROVIDER[./META/PROPS/ID='BIP_08_MFF_Movements_in_commitments_oustanding']/DATA/ROW&lt;/SELECT&gt;&lt;FILTERS&gt;&lt;FILTER&gt;&lt;/FILTER&gt;&lt;/FILTERS&gt;&lt;/QUERY&gt;&lt;/QUERIES&gt;&lt;/OBJECT&gt;"/>
    <w:docVar w:name="BIP_META_DOC_TBL00104" w:val="&lt;OBJECT&gt;&lt;META&gt;&lt;ID&gt;&lt;/ID&gt;&lt;NAME&gt;DOC_TBL0010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3:43:25&lt;/DYNAMIZEDON&gt;&lt;LASTUPDATEDBY&gt;milemar&lt;/LASTUPDATEDBY&gt;&lt;LASTUPDATEDON&gt;6/6/2019 5:22:05 PM&lt;/LASTUPDATEDON&gt;&lt;UTC&gt;1&lt;/UTC&gt;&lt;/UPDATE&gt;&lt;QUERIES bbk=&quot;15798&quot; bbkdesc=&quot;2018 Annual Accounts/EC Annual Accounts/DC - EC&quot; datapro=&quot;BIP_09_MFF_Commitments_outstanding_year_of_origin&quot; tdatapro=&quot;BIP_09_MFF_Commitments_outstanding_year_of_origin&quot; author=&quot;&quot; modtime=&quot;6/6/2019 5:21:56 PM&quot; moduser=&quot;milemar&quot; rolluptime=&quot;&quot; syuser=&quot;milemar&quot; syuzeit=&quot;6/6/2019 5:21:56 PM&quot; root=&quot;/BBOOK/DATAPROVIDER[./META/PROPS/ID='BIP_09_MFF_Commitments_outstanding_year_of_origin']/DATA&quot; colcount=&quot;11&quot; rowcount=&quot;11&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09_MFF_Commitments_outstanding_year_of_origin&quot; infos=&quot;&quot; iscomment=&quot;0&quot;&gt;&lt;SELECT&gt;/BBOOK/DATAPROVIDER[./META/PROPS/ID='BIP_09_MFF_Commitments_outstanding_year_of_origin']/DATA/ROW&lt;/SELECT&gt;&lt;FILTERS&gt;&lt;FILTER&gt;&lt;/FILTER&gt;&lt;/FILTERS&gt;&lt;/QUERY&gt;&lt;/QUERIES&gt;&lt;/OBJECT&gt;"/>
    <w:docVar w:name="BIP_META_DOC_TBL00105" w:val="&lt;OBJECT&gt;&lt;META&gt;&lt;ID&gt;&lt;/ID&gt;&lt;NAME&gt;DOC_TBL0010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3:44:47&lt;/DYNAMIZEDON&gt;&lt;LASTUPDATEDBY&gt;milemar&lt;/LASTUPDATEDBY&gt;&lt;LASTUPDATEDON&gt;6/6/2019 5:22:04 PM&lt;/LASTUPDATEDON&gt;&lt;UTC&gt;1&lt;/UTC&gt;&lt;/UPDATE&gt;&lt;QUERIES bbk=&quot;15798&quot; bbkdesc=&quot;2018 Annual Accounts/EC Annual Accounts/DC - EC&quot; datapro=&quot;BIP_10_PolArea_Breakdown_Commitm_Paym&quot; tdatapro=&quot;BIP_10_PolArea_Breakdown_Commitm_Paym&quot; author=&quot;&quot; modtime=&quot;6/6/2019 5:21:56 PM&quot; moduser=&quot;milemar&quot; rolluptime=&quot;&quot; syuser=&quot;milemar&quot; syuzeit=&quot;6/6/2019 5:21:56 PM&quot; root=&quot;/BBOOK/DATAPROVIDER[./META/PROPS/ID='BIP_10_PolArea_Breakdown_Commitm_Paym']/DATA&quot; colcount=&quot;14&quot; rowcount=&quot;41&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10_PolArea_Breakdown_Commitm_Paym&quot; infos=&quot;&quot; iscomment=&quot;0&quot;&gt;&lt;SELECT&gt;/BBOOK/DATAPROVIDER[./META/PROPS/ID='BIP_10_PolArea_Breakdown_Commitm_Paym']/DATA/ROW&lt;/SELECT&gt;&lt;FILTERS&gt;&lt;FILTER&gt;&lt;/FILTER&gt;&lt;/FILTERS&gt;&lt;/QUERY&gt;&lt;/QUERIES&gt;&lt;/OBJECT&gt;"/>
    <w:docVar w:name="BIP_META_DOC_TBL00106" w:val="&lt;OBJECT&gt;&lt;META&gt;&lt;ID&gt;&lt;/ID&gt;&lt;NAME&gt;DOC_TBL001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3:47:03&lt;/DYNAMIZEDON&gt;&lt;LASTUPDATEDBY&gt;milemar&lt;/LASTUPDATEDBY&gt;&lt;LASTUPDATEDON&gt;6/6/2019 5:22:04 PM&lt;/LASTUPDATEDON&gt;&lt;UTC&gt;1&lt;/UTC&gt;&lt;/UPDATE&gt;&lt;QUERIES bbk=&quot;15798&quot; bbkdesc=&quot;2018 Annual Accounts/EC Annual Accounts/DC - EC&quot; datapro=&quot;BIP_11_PolArea_Implem_Commitments&quot; tdatapro=&quot;BIP_11_PolArea_Implem_Commitments&quot; author=&quot;&quot; modtime=&quot;6/6/2019 5:21:56 PM&quot; moduser=&quot;milemar&quot; rolluptime=&quot;&quot; syuser=&quot;milemar&quot; syuzeit=&quot;6/6/2019 5:21:56 PM&quot; root=&quot;/BBOOK/DATAPROVIDER[./META/PROPS/ID='BIP_11_PolArea_Implem_Commitments']/DATA&quot; colcount=&quot;15&quot; rowcount=&quot;40&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11_PolArea_Implem_Commitments&quot; infos=&quot;&quot; iscomment=&quot;0&quot;&gt;&lt;SELECT&gt;/BBOOK/DATAPROVIDER[./META/PROPS/ID='BIP_11_PolArea_Implem_Commitments']/DATA/ROW&lt;/SELECT&gt;&lt;FILTERS&gt;&lt;FILTER&gt;&lt;/FILTER&gt;&lt;/FILTERS&gt;&lt;/QUERY&gt;&lt;/QUERIES&gt;&lt;/OBJECT&gt;"/>
    <w:docVar w:name="BIP_META_DOC_TBL00107" w:val="&lt;OBJECT&gt;&lt;META&gt;&lt;ID&gt;&lt;/ID&gt;&lt;NAME&gt;DOC_TBL0010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3:49:44&lt;/DYNAMIZEDON&gt;&lt;LASTUPDATEDBY&gt;milemar&lt;/LASTUPDATEDBY&gt;&lt;LASTUPDATEDON&gt;6/6/2019 5:22:04 PM&lt;/LASTUPDATEDON&gt;&lt;UTC&gt;1&lt;/UTC&gt;&lt;/UPDATE&gt;&lt;QUERIES bbk=&quot;15798&quot; bbkdesc=&quot;2018 Annual Accounts/EC Annual Accounts/DC - EC&quot; datapro=&quot;BIP_12_PolArea_Implem_Payments&quot; tdatapro=&quot;BIP_12_PolArea_Implem_Payments&quot; author=&quot;&quot; modtime=&quot;6/6/2019 5:21:56 PM&quot; moduser=&quot;milemar&quot; rolluptime=&quot;&quot; syuser=&quot;milemar&quot; syuzeit=&quot;6/6/2019 5:21:56 PM&quot; root=&quot;/BBOOK/DATAPROVIDER[./META/PROPS/ID='BIP_12_PolArea_Implem_Payments']/DATA&quot; colcount=&quot;16&quot; rowcount=&quot;40&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12_PolArea_Implem_Payments&quot; infos=&quot;&quot; iscomment=&quot;0&quot;&gt;&lt;SELECT&gt;/BBOOK/DATAPROVIDER[./META/PROPS/ID='BIP_12_PolArea_Implem_Payments']/DATA/ROW&lt;/SELECT&gt;&lt;FILTERS&gt;&lt;FILTER&gt;&lt;/FILTER&gt;&lt;/FILTERS&gt;&lt;/QUERY&gt;&lt;/QUERIES&gt;&lt;/OBJECT&gt;"/>
    <w:docVar w:name="BIP_META_DOC_TBL00108" w:val="&lt;OBJECT&gt;&lt;META&gt;&lt;ID&gt;&lt;/ID&gt;&lt;NAME&gt;DOC_TBL0010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6153&lt;/FLCID&gt;&lt;RELATION&gt;&lt;/RELATION&gt;&lt;LINKED&gt;&lt;/LINKED&gt;&lt;SVALUE&gt;&lt;/SVALUE&gt;&lt;INFO&gt;&lt;/INFO&gt;&lt;/META&gt;&lt;UPDATE&gt;&lt;DATE&gt;10.1.6.35&lt;/DATE&gt;&lt;DYNAMIZEDBY&gt;bedread&lt;/DYNAMIZEDBY&gt;&lt;DYNAMIZEDON&gt;07/03/2019 15:04:45&lt;/DYNAMIZEDON&gt;&lt;LASTUPDATEDBY&gt;milemar&lt;/LASTUPDATEDBY&gt;&lt;LASTUPDATEDON&gt;6/6/2019 5:22:05 PM&lt;/LASTUPDATEDON&gt;&lt;UTC&gt;1&lt;/UTC&gt;&lt;/UPDATE&gt;&lt;QUERIES bbk=&quot;15798&quot; bbkdesc=&quot;2018 Annual Accounts/EC Annual Accounts/DC - EC&quot; datapro=&quot;BIP_13_PolArea_Movements_in_commitments_outstanding&quot; tdatapro=&quot;BIP_13_PolArea_Movements_in_commitments_outstanding&quot; author=&quot;&quot; modtime=&quot;6/6/2019 5:21:56 PM&quot; moduser=&quot;milemar&quot; rolluptime=&quot;&quot; syuser=&quot;milemar&quot; syuzeit=&quot;6/6/2019 5:21:56 PM&quot; root=&quot;/BBOOK/DATAPROVIDER[./META/PROPS/ID='BIP_13_PolArea_Movements_in_commitments_outstanding']/DATA&quot; colcount=&quot;11&quot; rowcount=&quot;40&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13_PolArea_Movements_in_commitments_outstanding&quot; infos=&quot;&quot; iscomment=&quot;0&quot;&gt;&lt;SELECT&gt;/BBOOK/DATAPROVIDER[./META/PROPS/ID='BIP_13_PolArea_Movements_in_commitments_outstanding']/DATA/ROW&lt;/SELECT&gt;&lt;FILTERS&gt;&lt;FILTER&gt;&lt;/FILTER&gt;&lt;/FILTERS&gt;&lt;/QUERY&gt;&lt;/QUERIES&gt;&lt;/OBJECT&gt;"/>
    <w:docVar w:name="BIP_META_DOC_TBL00109" w:val="&lt;OBJECT&gt;&lt;META&gt;&lt;ID&gt;&lt;/ID&gt;&lt;NAME&gt;DOC_TBL0010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60&lt;/FLCID&gt;&lt;RELATION&gt;&lt;/RELATION&gt;&lt;LINKED&gt;&lt;/LINKED&gt;&lt;SVALUE&gt;&lt;/SVALUE&gt;&lt;INFO&gt;&lt;/INFO&gt;&lt;/META&gt;&lt;UPDATE&gt;&lt;DATE&gt;10.1.6.35&lt;/DATE&gt;&lt;DYNAMIZEDBY&gt;bedread&lt;/DYNAMIZEDBY&gt;&lt;DYNAMIZEDON&gt;07/03/2019 15:10:18&lt;/DYNAMIZEDON&gt;&lt;LASTUPDATEDBY&gt;milemar&lt;/LASTUPDATEDBY&gt;&lt;LASTUPDATEDON&gt;6/6/2019 5:22:05 PM&lt;/LASTUPDATEDON&gt;&lt;UTC&gt;1&lt;/UTC&gt;&lt;/UPDATE&gt;&lt;QUERIES bbk=&quot;15798&quot; bbkdesc=&quot;2018 Annual Accounts/EC Annual Accounts/DC - EC&quot; datapro=&quot;BIP_14_PolArea_Commitments_outstanding_year_of_origin&quot; tdatapro=&quot;BIP_14_PolArea_Commitments_outstanding_year_of_origin&quot; author=&quot;&quot; modtime=&quot;6/6/2019 5:21:56 PM&quot; moduser=&quot;milemar&quot; rolluptime=&quot;&quot; syuser=&quot;milemar&quot; syuzeit=&quot;6/6/2019 5:21:56 PM&quot; root=&quot;/BBOOK/DATAPROVIDER[./META/PROPS/ID='BIP_14_PolArea_Commitments_outstanding_year_of_origin']/DATA&quot; colcount=&quot;11&quot; rowcount=&quot;38&quot; url=&quot;&quot; dynamizeds=&quot;SAP Disclosure Management - Production&quot; dynamizedstype=&quot;9&quot; refreshds=&quot;&quot; viewtype=&quot;1&quot;&gt;&lt;QUERY reftype=&quot;ABS&quot; elmntsel=&quot;TABLE&quot; bbk=&quot;15798&quot; bbkdesc=&quot;2018 Annual Accounts/EC Annual Accounts/DC - EC (xlsx)&quot; datapro=&quot;BIP_14_PolArea_Commitments_outstanding_year_of_origin&quot; infos=&quot;&quot; iscomment=&quot;0&quot;&gt;&lt;SELECT&gt;/BBOOK/DATAPROVIDER[./META/PROPS/ID='BIP_14_PolArea_Commitments_outstanding_year_of_origin']/DATA/ROW&lt;/SELECT&gt;&lt;FILTERS&gt;&lt;FILTER&gt;&lt;/FILTER&gt;&lt;/FILTERS&gt;&lt;/QUERY&gt;&lt;/QUERIES&gt;&lt;/OBJECT&gt;"/>
    <w:docVar w:name="BIP_META_DOC_TBL00110" w:val="&lt;OBJECT&gt;&lt;META&gt;&lt;ID&gt;&lt;/ID&gt;&lt;NAME&gt;DOC_TBL0011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60&lt;/FLCID&gt;&lt;RELATION&gt;&lt;/RELATION&gt;&lt;LINKED&gt;&lt;/LINKED&gt;&lt;SVALUE&gt;&lt;/SVALUE&gt;&lt;INFO&gt;&lt;/INFO&gt;&lt;/META&gt;&lt;UPDATE&gt;&lt;DATE&gt;10.1.10.2&lt;/DATE&gt;&lt;DYNAMIZEDBY&gt;preutan&lt;/DYNAMIZEDBY&gt;&lt;DYNAMIZEDON&gt;19-03-2019 08:57:27&lt;/DYNAMIZEDON&gt;&lt;LASTUPDATEDBY&gt;canarpa&lt;/LASTUPDATEDBY&gt;&lt;LASTUPDATEDON&gt;6/13/2019 12:52:13 PM&lt;/LASTUPDATEDON&gt;&lt;UTC&gt;1&lt;/UTC&gt;&lt;/UPDATE&gt;&lt;QUERIES bbk=&quot;14062&quot; bbkdesc=&quot;2018 Annual Accounts/EC Annual Accounts/DC - Reconciliation of economic result&quot; datapro=&quot;BIP_Reconciliation&quot; tdatapro=&quot;BIP_Reconciliation&quot; author=&quot;&quot; modtime=&quot;6/13/2019 12:51:12 PM&quot; moduser=&quot;canarpa&quot; rolluptime=&quot;&quot; syuser=&quot;canarpa&quot; syuzeit=&quot;6/13/2019 12:51:12 PM&quot; root=&quot;/BBOOK/DATAPROVIDER[./META/PROPS/ID='BIP_Reconciliation']/DATA&quot; colcount=&quot;3&quot; rowcount=&quot;25&quot; url=&quot;&quot; dynamizeds=&quot;SAP Disclosure Management - Production&quot; dynamizedstype=&quot;9&quot; refreshds=&quot;&quot; viewtype=&quot;1&quot;&gt;&lt;QUERY reftype=&quot;ABS&quot; elmntsel=&quot;TABLE&quot; bbk=&quot;14062&quot; bbkdesc=&quot;2018 Annual Accounts/EC Annual Accounts/DC - Reconciliation of economic result&quot; datapro=&quot;BIP_Reconciliation&quot; infos=&quot;&quot; iscomment=&quot;0&quot;&gt;&lt;SELECT&gt;/BBOOK/DATAPROVIDER[./META/PROPS/ID='BIP_Reconciliation']/DATA/ROW&lt;/SELECT&gt;&lt;FILTERS&gt;&lt;FILTER&gt;&lt;/FILTER&gt;&lt;/FILTERS&gt;&lt;/QUERY&gt;&lt;/QUERIES&gt;&lt;/OBJECT&gt;"/>
    <w:docVar w:name="BIP_VARIABLES" w:val="&lt;BBOOKS&gt;&lt;BBOOK bbname=&quot;DefaultVariables&quot;&gt;&lt;VARIABLES /&gt;&lt;/BBOOK&gt;&lt;BBOOK bbname=&quot;14046&quot; bbdesc=&quot;2018 Annual Accounts/EC Annual Accounts/DC - Balance Sheet&quot; dsname=&quot;SAP Disclosure Management - Production&quot;&gt;&lt;VARIABLES&gt;&lt;/VARIABLES&gt;&lt;/BBOOK&gt;&lt;BBOOK bbname=&quot;14047&quot; bbdesc=&quot;2018 Annual Accounts/EC Annual Accounts/DC - Statement of Financial Performance&quot; dsname=&quot;SAP Disclosure Management - Production&quot;&gt;&lt;VARIABLES /&gt;&lt;/BBOOK&gt;&lt;BBOOK bbname=&quot;14049&quot; bbdesc=&quot;2018 Annual Accounts/EC Annual Accounts/DC - Cashflow statement automated&quot; dsname=&quot;SAP Disclosure Management - Production&quot;&gt;&lt;VARIABLES /&gt;&lt;/BBOOK&gt;&lt;BBOOK bbname=&quot;14048&quot; bbdesc=&quot;2018 Annual Accounts/EC Annual Accounts/DC - Statement of changes in net assets&quot; dsname=&quot;SAP Disclosure Management - Production&quot;&gt;&lt;VARIABLES /&gt;&lt;/BBOOK&gt;&lt;BBOOK bbname=&quot;11039&quot; bbdesc=&quot;2017 Annual Accounts/EC Annual Accounts/DC - Accrued charges and Deferred income&quot; dsname=&quot;SAP Disclosure Management - Production&quot;&gt;&lt;VARIABLES /&gt;&lt;/BBOOK&gt;&lt;BBOOK bbname=&quot;2536&quot; bbdesc=&quot;2014 Annual Accounts/EC Annual Accounts/DC - Pre-financing (xlsx)&quot; dsname=&quot;SAP Disclosure Management - Production&quot;&gt;&lt;VARIABLES /&gt;&lt;/BBOOK&gt;&lt;BBOOK bbname=&quot;2438&quot; bbdesc=&quot;2014 Annual Accounts/EC Annual Accounts/DC - Pre-financing detailed (xlsx)&quot; dsname=&quot;SAP Disclosure Management - Production&quot;&gt;&lt;VARIABLES /&gt;&lt;/BBOOK&gt;&lt;BBOOK bbname=&quot;2695&quot; bbdesc=&quot;2014 Annual Accounts/EU Annual Accounts/DC - DeprecRates (xlsx)&quot; dsname=&quot;SAP Disclosure Management - Production&quot;&gt;&lt;VARIABLES /&gt;&lt;/BBOOK&gt;&lt;BBOOK bbname=&quot;2769&quot; bbdesc=&quot;2014 Annual Accounts/EU Annual Accounts/DC - Currency table (xlsx)&quot; dsname=&quot;SAP Disclosure Management - Production&quot;&gt;&lt;VARIABLES /&gt;&lt;/BBOOK&gt;&lt;BBOOK bbname=&quot;14785&quot; bbdesc=&quot;2018 Annual Accounts/EU Annual Accounts/DC - DeprecRates&quot; dsname=&quot;SAP Disclosure Management - Production&quot;&gt;&lt;VARIABLES /&gt;&lt;/BBOOK&gt;&lt;BBOOK bbname=&quot;11252&quot; bbdesc=&quot;2017 Annual Accounts/EU Annual Accounts/DC - DeprecRates&quot; dsname=&quot;SAP Disclosure Management - Production&quot;&gt;&lt;VARIABLES /&gt;&lt;/BBOOK&gt;&lt;BBOOK bbname=&quot;14767&quot; bbdesc=&quot;2017 Annual Accounts/EU Annual Accounts/DC - Currency table&quot; dsname=&quot;SAP Disclosure Management - Production&quot;&gt;&lt;VARIABLES /&gt;&lt;/BBOOK&gt;&lt;BBOOK bbname=&quot;8724&quot; bbdesc=&quot;2016 Annual Accounts/EC Annual Accounts/DC - Intangible assets (xlsx)&quot; dsname=&quot;SAP Disclosure Management - Production&quot;&gt;&lt;VARIABLES /&gt;&lt;/BBOOK&gt;&lt;BBOOK bbname=&quot;8708&quot; bbdesc=&quot;2016 Annual Accounts/EC Annual Accounts/DC - Accrued charges and Deferred income (xlsx)&quot; dsname=&quot;SAP Disclosure Management - Production&quot;&gt;&lt;VARIABLES /&gt;&lt;/BBOOK&gt;&lt;BBOOK bbname=&quot;13939&quot; bbdesc=&quot;2018 Annual Accounts/EC Annual Accounts/DC - Intangible assets new method&quot; dsname=&quot;SAP Disclosure Management - Production&quot;&gt;&lt;VARIABLES /&gt;&lt;/BBOOK&gt;&lt;BBOOK bbname=&quot;522&quot; bbdesc=&quot;2013 Annual Accounts/EC Annual Accounts/DC - Administrative expenses (xlsx)&quot; dsname=&quot;SAP Disclosure Management - Production&quot;&gt;&lt;VARIABLES /&gt;&lt;/BBOOK&gt;&lt;BBOOK bbname=&quot;8723&quot; bbdesc=&quot;2016 Annual Accounts/EC Annual Accounts/DC - Property plant and equipment (xlsx)&quot; dsname=&quot;SAP Disclosure Management - Production&quot;&gt;&lt;VARIABLES /&gt;&lt;/BBOOK&gt;&lt;BBOOK bbname=&quot;13991&quot; bbdesc=&quot;2018 Annual Accounts/EC Annual Accounts/DC - property plant and equipment - new method&quot; dsname=&quot;SAP Disclosure Management - Production&quot;&gt;&lt;VARIABLES /&gt;&lt;/BBOOK&gt;&lt;BBOOK bbname=&quot;14045&quot; bbdesc=&quot;2018 Annual Accounts/EC Annual Accounts/DC - Investments accounted for using the equity method new&quot; dsname=&quot;SAP Disclosure Management - Production&quot;&gt;&lt;VARIABLES /&gt;&lt;/BBOOK&gt;&lt;BBOOK bbname=&quot;2545&quot; bbdesc=&quot;2014 Annual Accounts/EC Annual Accounts/DC - Accrued charges and Deferred income (xlsx)&quot; dsname=&quot;SAP Disclosure Management - Production&quot;&gt;&lt;VARIABLES /&gt;&lt;/BBOOK&gt;&lt;BBOOK bbname=&quot;2537&quot; bbdesc=&quot;2014 Annual Accounts/EC Annual Accounts/DC - Inventories (xlsx)&quot; dsname=&quot;SAP Disclosure Management - Production&quot;&gt;&lt;VARIABLES /&gt;&lt;/BBOOK&gt;&lt;BBOOK bbname=&quot;14020&quot; bbdesc=&quot;2018 Annual Accounts/EC Annual Accounts/DC - Financial assets&quot; dsname=&quot;SAP Disclosure Management - Production&quot;&gt;&lt;VARIABLES /&gt;&lt;/BBOOK&gt;&lt;BBOOK bbname=&quot;2429&quot; bbdesc=&quot;2014 Annual Accounts/EC Annual Accounts/DC - Reconciliation by classes of the carrying amounts and fair value (xlsx)&quot; dsname=&quot;SAP Disclosure Management - Production&quot;&gt;&lt;VARIABLES /&gt;&lt;/BBOOK&gt;&lt;BBOOK bbname=&quot;2431&quot; bbdesc=&quot;2014 Annual Accounts/EC Annual Accounts/DC - Fair value hierarchy of available for sale financial assets (xlsx)&quot; dsname=&quot;SAP Disclosure Management - Production&quot;&gt;&lt;VARIABLES /&gt;&lt;/BBOOK&gt;&lt;BBOOK bbname=&quot;2702&quot; bbdesc=&quot;2014 Annual Accounts/EU Annual Accounts/DC - Loans granted from borrowed funds LINKED TO EC (without ECSC Column) (xlsx)&quot; dsname=&quot;SAP Disclosure Management - Production&quot;&gt;&lt;VARIABLES /&gt;&lt;/BBOOK&gt;&lt;BBOOK bbname=&quot;2703&quot; bbdesc=&quot;2014 Annual Accounts/EU Annual Accounts/DC - Loans Interest rates LINKED TO EC (xlsx)&quot; dsname=&quot;SAP Disclosure Management - Production&quot;&gt;&lt;VARIABLES /&gt;&lt;/BBOOK&gt;&lt;BBOOK bbname=&quot;2704&quot; bbdesc=&quot;2014 Annual Accounts/EU Annual Accounts/DC - BOP Nominal value LINKED TO EC (xlsx)&quot; dsname=&quot;SAP Disclosure Management - Production&quot;&gt;&lt;VARIABLES /&gt;&lt;/BBOOK&gt;&lt;BBOOK bbname=&quot;2764&quot; bbdesc=&quot;2014 Annual Accounts/EU Annual Accounts/DC - Financial Support Mechanisms (xlsx)&quot; dsname=&quot;SAP Disclosure Management - Production&quot;&gt;&lt;VARIABLES /&gt;&lt;/BBOOK&gt;&lt;BBOOK bbname=&quot;2771&quot; bbdesc=&quot;2014 Annual Accounts/EU Annual Accounts/DC - Loans granted from borrowed funds LINKED TO EC (xlsx)&quot; dsname=&quot;SAP Disclosure Management - Production&quot;&gt;&lt;VARIABLES /&gt;&lt;/BBOOK&gt;&lt;BBOOK bbname=&quot;14752&quot; bbdesc=&quot;2018 Annual Accounts/EU Annual Accounts/DC - Loans granted from borrowed funds LINKED TO EC&quot; dsname=&quot;SAP Disclosure Management - Production&quot;&gt;&lt;VARIABLES /&gt;&lt;/BBOOK&gt;&lt;BBOOK bbname=&quot;5217&quot; bbdesc=&quot;2015 Annual Accounts/EU Annual Accounts 2015/DC - Accrued charges and Deferred income (xlsx)&quot; dsname=&quot;SAP Disclosure Management - Production&quot;&gt;&lt;VARIABLES /&gt;&lt;/BBOOK&gt;&lt;BBOOK bbname=&quot;4168&quot; bbdesc=&quot;2015 Annual Accounts/EC Annual Accounts 2015/DC - Accrued charges and Deferred income (xlsx)&quot; dsname=&quot;SAP Disclosure Management - Production&quot;&gt;&lt;VARIABLES /&gt;&lt;/BBOOK&gt;&lt;BBOOK bbname=&quot;14814&quot; bbdesc=&quot;2018 Annual Accounts/EU Annual Accounts/DC - Financial Support Mechanisms&quot; dsname=&quot;SAP Disclosure Management - Production&quot;&gt;&lt;VARIABLES /&gt;&lt;/BBOOK&gt;&lt;BBOOK bbname=&quot;9076&quot; bbdesc=&quot;2016 Annual Accounts/EU Annual Accounts/DC - Accrued charges and Deferred income (xlsx)&quot; dsname=&quot;SAP Disclosure Management - Production&quot;&gt;&lt;VARIABLES /&gt;&lt;/BBOOK&gt;&lt;BBOOK bbname=&quot;14022&quot; bbdesc=&quot;2018 Annual Accounts/EC Annual Accounts/DC - Pre-financing&quot; dsname=&quot;SAP Disclosure Management - Production&quot;&gt;&lt;VARIABLES /&gt;&lt;/BBOOK&gt;&lt;BBOOK bbname=&quot;14014&quot; bbdesc=&quot;2018 Annual Accounts/EC Annual Accounts/DC - Pre-financing detailed&quot; dsname=&quot;SAP Disclosure Management - Production&quot;&gt;&lt;VARIABLES /&gt;&lt;/BBOOK&gt;&lt;BBOOK bbname=&quot;13997&quot; bbdesc=&quot;2018 Annual Accounts/EC Annual Accounts/DC - Exchange receivables and Non-exchange recoverables&quot; dsname=&quot;SAP Disclosure Management - Production&quot;&gt;&lt;VARIABLES /&gt;&lt;/BBOOK&gt;&lt;BBOOK bbname=&quot;13973&quot; bbdesc=&quot;2018 Annual Accounts/EC Annual Accounts/DC - Recoverables from Member States&quot; dsname=&quot;SAP Disclosure Management - Production&quot;&gt;&lt;VARIABLES /&gt;&lt;/BBOOK&gt;&lt;BBOOK bbname=&quot;2483&quot; bbdesc=&quot;2014 Annual Accounts/EC Annual Accounts/DC - Fines (xlsx)&quot; dsname=&quot;SAP Disclosure Management - Production&quot;&gt;&lt;VARIABLES /&gt;&lt;/BBOOK&gt;&lt;BBOOK bbname=&quot;14001&quot; bbdesc=&quot;2018 Annual Accounts/EC Annual Accounts/DC - Accrued income and Deferred charges&quot; dsname=&quot;SAP Disclosure Management - Production&quot;&gt;&lt;VARIABLES /&gt;&lt;/BBOOK&gt;&lt;BBOOK bbname=&quot;14021&quot; bbdesc=&quot;2016 Annual Accounts/EC Annual Accounts/DC - Inventories (xlsx)&quot; dsname=&quot;SAP Disclosure Management - Production&quot;&gt;&lt;VARIABLES /&gt;&lt;/BBOOK&gt;&lt;BBOOK bbname=&quot;14023&quot; bbdesc=&quot;2018 Annual Accounts/EC Annual Accounts/DC - Cash and cash equivalents&quot; dsname=&quot;SAP Disclosure Management - Production&quot;&gt;&lt;VARIABLES /&gt;&lt;/BBOOK&gt;&lt;BBOOK bbname=&quot;14024&quot; bbdesc=&quot;2018 Annual Accounts/EC Annual Accounts/DC - Pension and other employee benefits&quot; dsname=&quot;SAP Disclosure Management - Production&quot;&gt;&lt;VARIABLES /&gt;&lt;/BBOOK&gt;&lt;BBOOK bbname=&quot;14029&quot; bbdesc=&quot;2018 Annual Accounts/EC Annual Accounts/DC - Accrued charges and Deferred income&quot; dsname=&quot;SAP Disclosure Management - Production&quot;&gt;&lt;VARIABLES /&gt;&lt;/BBOOK&gt;&lt;BBOOK bbname=&quot;14025&quot; bbdesc=&quot;2017 Annual Accounts/EC Annual Accounts/DC - Provisions&quot; dsname=&quot;SAP Disclosure Management - Production&quot;&gt;&lt;VARIABLES /&gt;&lt;/BBOOK&gt;&lt;BBOOK bbname=&quot;14026&quot; bbdesc=&quot;2018 Annual Accounts/EC Annual Accounts/DC - Financial liabilities at amortised cost&quot; dsname=&quot;SAP Disclosure Management - Production&quot;&gt;&lt;VARIABLES /&gt;&lt;/BBOOK&gt;&lt;BBOOK bbname=&quot;14044&quot; bbdesc=&quot;2018 Annual Accounts/EC Annual Accounts/DC - Finance Lease liabilities&quot; dsname=&quot;SAP Disclosure Management - Production&quot;&gt;&lt;VARIABLES /&gt;&lt;/BBOOK&gt;&lt;BBOOK bbname=&quot;14747&quot; bbdesc=&quot;2018 Annual Accounts/EU Annual Accounts/DC - Borrowings by Financial instruments&quot; dsname=&quot;SAP Disclosure Management - Production&quot;&gt;&lt;VARIABLES /&gt;&lt;/BBOOK&gt;&lt;BBOOK bbname=&quot;14028&quot; bbdesc=&quot;2018 Annual Accounts/EC Annual Accounts/DC - Other financial liabilities&quot; dsname=&quot;SAP Disclosure Management - Production&quot;&gt;&lt;VARIABLES /&gt;&lt;/BBOOK&gt;&lt;BBOOK bbname=&quot;14027&quot; bbdesc=&quot;2018 Annual Accounts/EC Annual Accounts/DC - Financial liabilities&quot; dsname=&quot;SAP Disclosure Management - Production&quot;&gt;&lt;VARIABLES /&gt;&lt;/BBOOK&gt;&lt;BBOOK bbname=&quot;14856&quot; bbdesc=&quot;2018 Annual Accounts/EU Annual Accounts/DC - Accrued charges and Deferred income&quot; dsname=&quot;SAP Disclosure Management - Production&quot;&gt;&lt;VARIABLES /&gt;&lt;/BBOOK&gt;&lt;BBOOK bbname=&quot;14847&quot; bbdesc=&quot;2018 Annual Accounts/EU Annual Accounts/DC - Financial assets&quot; dsname=&quot;SAP Disclosure Management - Production&quot;&gt;&lt;VARIABLES /&gt;&lt;/BBOOK&gt;&lt;BBOOK bbname=&quot;11036&quot; bbdesc=&quot;2017 Annual Accounts/EC Annual Accounts/DC - Financial liabilities&quot; dsname=&quot;SAP Disclosure Management - Production&quot;&gt;&lt;VARIABLES /&gt;&lt;/BBOOK&gt;&lt;BBOOK bbname=&quot;13963&quot; bbdesc=&quot;2018 Annual Accounts/EC Annual Accounts/DC - Payables&quot; dsname=&quot;SAP Disclosure Management - Production&quot;&gt;&lt;VARIABLES /&gt;&lt;/BBOOK&gt;&lt;BBOOK bbname=&quot;14030&quot; bbdesc=&quot;2018 Annual Accounts/EC Annual Accounts/DC - Reserves&quot; dsname=&quot;SAP Disclosure Management - Production&quot;&gt;&lt;VARIABLES /&gt;&lt;/BBOOK&gt;&lt;BBOOK bbname=&quot;13935&quot; bbdesc=&quot;2018 Annual Accounts/EC Annual Accounts/DC - Fair value movements of available for sale financial assets&quot; dsname=&quot;SAP Disclosure Management - Production&quot;&gt;&lt;VARIABLES /&gt;&lt;/BBOOK&gt;&lt;BBOOK bbname=&quot;14031&quot; bbdesc=&quot;2018 Annual Accounts/EC Annual Accounts/DC - Amounts to be called from member states&quot; dsname=&quot;SAP Disclosure Management - Production&quot;&gt;&lt;VARIABLES /&gt;&lt;/BBOOK&gt;&lt;BBOOK bbname=&quot;14037&quot; bbdesc=&quot;2017 Annual Accounts/EC Annual Accounts/DC - Traditional own resources&quot; dsname=&quot;SAP Disclosure Management - Production&quot;&gt;&lt;VARIABLES /&gt;&lt;/BBOOK&gt;&lt;BBOOK bbname=&quot;14038&quot; bbdesc=&quot;2017 Annual Accounts/EC Annual Accounts/DC - Recovery of expenses&quot; dsname=&quot;SAP Disclosure Management - Production&quot;&gt;&lt;VARIABLES /&gt;&lt;/BBOOK&gt;&lt;BBOOK bbname=&quot;13992&quot; bbdesc=&quot;2018 Annual Accounts/EC Annual Accounts/DC - Other non-exchange revenue&quot; dsname=&quot;SAP Disclosure Management - Production&quot;&gt;&lt;VARIABLES /&gt;&lt;/BBOOK&gt;&lt;BBOOK bbname=&quot;14042&quot; bbdesc=&quot;2018 Annual Accounts/EC Annual Accounts/DC - Financial income&quot; dsname=&quot;SAP Disclosure Management - Production&quot;&gt;&lt;VARIABLES /&gt;&lt;/BBOOK&gt;&lt;BBOOK bbname=&quot;2735&quot; bbdesc=&quot;2014 Annual Accounts/EU Annual Accounts/DC - Financial income (xlsx)&quot; dsname=&quot;SAP Disclosure Management - Production&quot;&gt;&lt;VARIABLES /&gt;&lt;/BBOOK&gt;&lt;BBOOK bbname=&quot;14039&quot; bbdesc=&quot;2017 Annual Accounts/EC Annual Accounts/DC - Other exchange revenue&quot; dsname=&quot;SAP Disclosure Management - Production&quot;&gt;&lt;VARIABLES /&gt;&lt;/BBOOK&gt;&lt;BBOOK bbname=&quot;2534&quot; bbdesc=&quot;2014 Annual Accounts/EC Annual Accounts/DC - Investments accounted for using the equity method new (xlsx)&quot; dsname=&quot;SAP Disclosure Management - Production&quot;&gt;&lt;VARIABLES /&gt;&lt;/BBOOK&gt;&lt;BBOOK bbname=&quot;13966&quot; bbdesc=&quot;2017 Annual Accounts/EC Annual Accounts/DC - Shared Direct and Indirect Management&quot; dsname=&quot;SAP Disclosure Management - Production&quot;&gt;&lt;VARIABLES /&gt;&lt;/BBOOK&gt;&lt;BBOOK bbname=&quot;14040&quot; bbdesc=&quot;2017 Annual Accounts/EC Annual Accounts/DC - Staff and Pension costs&quot; dsname=&quot;SAP Disclosure Management - Production&quot;&gt;&lt;VARIABLES /&gt;&lt;/BBOOK&gt;&lt;BBOOK bbname=&quot;14043&quot; bbdesc=&quot;2018 Annual Accounts/EC Annual Accounts/DC - Finance costs&quot; dsname=&quot;SAP Disclosure Management - Production&quot;&gt;&lt;VARIABLES /&gt;&lt;/BBOOK&gt;&lt;BBOOK bbname=&quot;14041&quot; bbdesc=&quot;2017 Annual Accounts/EC Annual Accounts/DC - Research and Development costs&quot; dsname=&quot;SAP Disclosure Management - Production&quot;&gt;&lt;VARIABLES /&gt;&lt;/BBOOK&gt;&lt;BBOOK bbname=&quot;14016&quot; bbdesc=&quot;2018 Annual Accounts/EC Annual Accounts/DC - Other expenses&quot; dsname=&quot;SAP Disclosure Management - Production&quot;&gt;&lt;VARIABLES /&gt;&lt;/BBOOK&gt;&lt;BBOOK bbname=&quot;8731&quot; bbdesc=&quot;2016 Annual Accounts/EC Annual Accounts/DC - Property plant and equipment related expenses (xlsx)&quot; dsname=&quot;SAP Disclosure Management - Production&quot;&gt;&lt;VARIABLES /&gt;&lt;/BBOOK&gt;&lt;BBOOK bbname=&quot;13936&quot; bbdesc=&quot;2018 Annual Accounts/EC Annual Accounts/DC - Segment reporting by Multi Financial Framework Headings&quot; dsname=&quot;SAP Disclosure Management - Production&quot;&gt;&lt;VARIABLES /&gt;&lt;/BBOOK&gt;&lt;BBOOK bbname=&quot;14033&quot; bbdesc=&quot;2018 Annual Accounts/EC Annual Accounts/DC - Contingent liabilities&quot; dsname=&quot;SAP Disclosure Management - Production&quot;&gt;&lt;VARIABLES /&gt;&lt;/BBOOK&gt;&lt;BBOOK bbname=&quot;14034&quot; bbdesc=&quot;2018 Annual Accounts/EC Annual Accounts/DC - Guarantees given&quot; dsname=&quot;SAP Disclosure Management - Production&quot;&gt;&lt;VARIABLES /&gt;&lt;/BBOOK&gt;&lt;BBOOK bbname=&quot;8715&quot; bbdesc=&quot;2016 Annual Accounts/EC Annual Accounts/DC - Significant legal commitments (xlsx)&quot; dsname=&quot;SAP Disclosure Management - Production&quot;&gt;&lt;VARIABLES /&gt;&lt;/BBOOK&gt;&lt;BBOOK bbname=&quot;515&quot; bbdesc=&quot;2013 Annual Accounts/EC Annual Accounts/DC - Contingent liabilities (xlsx)&quot; dsname=&quot;SAP Disclosure Management - Production&quot;&gt;&lt;VARIABLES /&gt;&lt;/BBOOK&gt;&lt;BBOOK bbname=&quot;514&quot; bbdesc=&quot;2013 Annual Accounts/EC Annual Accounts/DC - Contingent assets (xlsx)&quot; dsname=&quot;SAP Disclosure Management - Production&quot;&gt;&lt;VARIABLES /&gt;&lt;/BBOOK&gt;&lt;BBOOK bbname=&quot;14032&quot; bbdesc=&quot;2017 Annual Accounts/EC Annual Accounts/DC - Contingent assets&quot; dsname=&quot;SAP Disclosure Management - Production&quot;&gt;&lt;VARIABLES /&gt;&lt;/BBOOK&gt;&lt;BBOOK bbname=&quot;14050&quot; bbdesc=&quot;2017 Annual Accounts/EC Annual Accounts/DC -Operating lease commitments&quot; dsname=&quot;SAP Disclosure Management - Production&quot;&gt;&lt;VARIABLES /&gt;&lt;/BBOOK&gt;&lt;BBOOK bbname=&quot;14035&quot; bbdesc=&quot;2017 Annual Accounts/EC Annual Accounts/DC - Outstanding commitments not yet expensed&quot; dsname=&quot;SAP Disclosure Management - Production&quot;&gt;&lt;VARIABLES /&gt;&lt;/BBOOK&gt;&lt;BBOOK bbname=&quot;10602&quot; bbdesc=&quot;2016 Annual Accounts/AFRICA EU Annual Accounts/DC - Accrued charges and Deferred income (xlsx)&quot; dsname=&quot;Disclosure Management - Production&quot;&gt;&lt;VARIABLES /&gt;&lt;/BBOOK&gt;&lt;BBOOK bbname=&quot;14036&quot; bbdesc=&quot;2018 Annual Accounts/EC Annual Accounts/DC - Significant legal commitments&quot; dsname=&quot;SAP Disclosure Management - Production&quot;&gt;&lt;VARIABLES /&gt;&lt;/BBOOK&gt;&lt;BBOOK bbname=&quot;2765&quot; bbdesc=&quot;2014 Annual Accounts/EU Annual Accounts/DC - Exposure of the EC to currency risk at year end (xlsx)&quot; dsname=&quot;SAP Disclosure Management - Production&quot;&gt;&lt;VARIABLES /&gt;&lt;/BBOOK&gt;&lt;BBOOK bbname=&quot;13999&quot; bbdesc=&quot;2018 Annual Accounts/EC Annual Accounts/DC - Exposure of the EC to currency risk at year end&quot; dsname=&quot;SAP Disclosure Management - Production&quot;&gt;&lt;VARIABLES /&gt;&lt;/BBOOK&gt;&lt;BBOOK bbname=&quot;8650&quot; bbdesc=&quot;2016 Annual Accounts/EC Annual Accounts/DC - Credit risk (xlsx)&quot; dsname=&quot;SAP Disclosure Management - Production&quot;&gt;&lt;VARIABLES /&gt;&lt;/BBOOK&gt;&lt;BBOOK bbname=&quot;13969&quot; bbdesc=&quot;2018 Annual Accounts/EC Annual Accounts/DC - Interest rate risk&quot; dsname=&quot;SAP Disclosure Management - Production&quot;&gt;&lt;VARIABLES /&gt;&lt;/BBOOK&gt;&lt;BBOOK bbname=&quot;13953&quot; bbdesc=&quot;2018 Annual Accounts/EC Annual Accounts/DC - Credit risk&quot; dsname=&quot;SAP Disclosure Management - Production&quot;&gt;&lt;VARIABLES /&gt;&lt;/BBOOK&gt;&lt;BBOOK bbname=&quot;13960&quot; bbdesc=&quot;2018 Annual Accounts/EC Annual Accounts/DC - Maturity analysis of financial liabilities&quot; dsname=&quot;SAP Disclosure Management - Production&quot;&gt;&lt;VARIABLES /&gt;&lt;/BBOOK&gt;&lt;BBOOK bbname=&quot;2535&quot; bbdesc=&quot;2014 Annual Accounts/EC Annual Accounts/DC - Financial assets (xlsx)&quot; dsname=&quot;SAP Disclosure Management - Production&quot;&gt;&lt;VARIABLES /&gt;&lt;/BBOOK&gt;&lt;BBOOK bbname=&quot;8674&quot; bbdesc=&quot;2016 Annual Accounts/EC Annual Accounts/DC - Carrying amounts and fair value (xlsx)&quot; dsname=&quot;SAP Disclosure Management - Production&quot;&gt;&lt;VARIABLES /&gt;&lt;/BBOOK&gt;&lt;BBOOK bbname=&quot;11&quot; bbdesc=&quot;2013 Annual Accounts/EU Annual Accounts/Trial Balance ECCS (xlsx)&quot; dsname=&quot;SAP Disclosure Management - Production&quot;&gt;&lt;VARIABLES /&gt;&lt;/BBOOK&gt;&lt;BBOOK bbname=&quot;21&quot; bbdesc=&quot;2013 Annual Accounts/EU Annual Accounts/Cashflow statement calculation (xlsx)&quot; dsname=&quot;SAP Disclosure Management - Production&quot;&gt;&lt;VARIABLES /&gt;&lt;/BBOOK&gt;&lt;BBOOK bbname=&quot;25&quot; bbdesc=&quot;2013 Annual Accounts/EU Annual Accounts/Statement of changes (xlsx)&quot; dsname=&quot;SAP Disclosure Management - Production&quot;&gt;&lt;VARIABLES /&gt;&lt;/BBOOK&gt;&lt;BBOOK bbname=&quot;14&quot; bbdesc=&quot;2013 Annual Accounts/EU Annual Accounts/Currency (xlsx)&quot; dsname=&quot;SAP Disclosre Management - Production&quot;&gt;&lt;VARIABLES /&gt;&lt;/BBOOK&gt;&lt;BBOOK bbname=&quot;17&quot; bbdesc=&quot;2013 Annual Accounts/EU Annual Accounts/Upload DeprecRates (xlsx)&quot; dsname=&quot;SAP Disclosre Management - Production&quot;&gt;&lt;VARIABLES /&gt;&lt;/BBOOK&gt;&lt;BBOOK bbname=&quot;20&quot; bbdesc=&quot;2013 Annual Accounts/EU Annual Accounts/Manual Table (xlsx)&quot; dsname=&quot;SAP Disclosre Management - Production&quot;&gt;&lt;VARIABLES /&gt;&lt;/BBOOK&gt;&lt;BBOOK bbname=&quot;18&quot; bbdesc=&quot;2013 Annual Accounts/EU Annual Accounts/DeprecRates upload (xlsx)&quot; dsname=&quot;SAP Disclosre Management - Production&quot;&gt;&lt;VARIABLES /&gt;&lt;/BBOOK&gt;&lt;BBOOK bbname=&quot;27&quot; bbdesc=&quot;2013 Annual Accounts/EU Annual Accounts/Upload Intangible FA 2012 (xlsx)&quot; dsname=&quot;SAP Disclosre Management - Production&quot;&gt;&lt;VARIABLES /&gt;&lt;/BBOOK&gt;&lt;BBOOK bbname=&quot;16&quot; bbdesc=&quot;2013 Annual Accounts/EU Annual Accounts/Assets (xlsx)&quot; dsname=&quot;SAP Disclosure Management - Production&quot;&gt;&lt;VARIABLES /&gt;&lt;/BBOOK&gt;&lt;BBOOK bbname=&quot;30&quot; bbdesc=&quot;2013 Annual Accounts/EU Annual Accounts/PPE 2012 (xlsx)&quot; dsname=&quot;SAP Disclosre Management - Production&quot;&gt;&lt;VARIABLES /&gt;&lt;/BBOOK&gt;&lt;BBOOK bbname=&quot;31&quot; bbdesc=&quot;2013 Annual Accounts/EU Annual Accounts/Finance Lease (xlsx)&quot; dsname=&quot;SAP Disclosre Management - Production&quot;&gt;&lt;VARIABLES /&gt;&lt;/BBOOK&gt;&lt;BBOOK bbname=&quot;64&quot; bbdesc=&quot;2013 Annual Accounts/EU Annual Accounts/MT_Silvie Deckers (xlsx)&quot; dsname=&quot;SAP Disclosre Management - Production&quot;&gt;&lt;VARIABLES /&gt;&lt;/BBOOK&gt;&lt;BBOOK bbname=&quot;69&quot; bbdesc=&quot;2013 Annual Accounts/EU Annual Accounts/Participations in joint ventures (xlsx)&quot; dsname=&quot;SAP Disclosure Management - Production&quot;&gt;&lt;VARIABLES /&gt;&lt;/BBOOK&gt;&lt;BBOOK bbname=&quot;197&quot; bbdesc=&quot;2013 Annual Accounts/EU Annual Accounts/Non current AFS financial assets (xlsx)&quot; dsname=&quot;SAP Disclosure Management - Production&quot;&gt;&lt;VARIABLES /&gt;&lt;/BBOOK&gt;&lt;BBOOK bbname=&quot;68&quot; bbdesc=&quot;2013 Annual Accounts/EU Annual Accounts/Non current financial assets (xlsx)&quot; dsname=&quot;SAP Disclosure Management - Production&quot;&gt;&lt;VARIABLES /&gt;&lt;/BBOOK&gt;&lt;BBOOK bbname=&quot;163&quot; bbdesc=&quot;2013 Annual Accounts/EU Annual Accounts/Receivables from Member States (xlsx)&quot; dsname=&quot;SAP Disclosure Management - Production&quot;&gt;&lt;VARIABLES /&gt;&lt;/BBOOK&gt;&lt;BBOOK bbname=&quot;200&quot; bbdesc=&quot;2013 Annual Accounts/EU Annual Accounts/MT_Valentina (xlsx)&quot; dsname=&quot;SAP Disclosure Management - Production&quot;&gt;&lt;VARIABLES /&gt;&lt;/BBOOK&gt;&lt;BBOOK bbname=&quot;133&quot; bbdesc=&quot;2013 Annual Accounts/EU Annual Accounts/MT_Annika Oerbom (xlsx)&quot; dsname=&quot;SAP Disclosure Management - Production&quot;&gt;&lt;VARIABLES /&gt;&lt;/BBOOK&gt;&lt;BBOOK bbname=&quot;155&quot; bbdesc=&quot;2013 Annual Accounts/EU Annual Accounts/Notes to financial performance (xlsx)&quot; dsname=&quot;SAP Disclosure Management - Production&quot;&gt;&lt;VARIABLES /&gt;&lt;/BBOOK&gt;&lt;BBOOK bbname=&quot;33&quot; bbdesc=&quot;2013 Annual Accounts/EU Annual Accounts/Upload Fin Lease 2nd part PY (xlsx)&quot; dsname=&quot;SAP Disclosure Management - Production&quot;&gt;&lt;VARIABLES /&gt;&lt;/BBOOK&gt;&lt;BBOOK bbname=&quot;156&quot; bbdesc=&quot;2013 Annual Accounts/EU Annual Accounts/Segment reporting calculation (xlsx)&quot; dsname=&quot;SAP Disclosure Management - Production&quot;&gt;&lt;VARIABLES /&gt;&lt;/BBOOK&gt;&lt;BBOOK bbname=&quot;202&quot; bbdesc=&quot;2013 Annual Accounts/EU Annual Accounts/CONTINGENT ASSETS AND LIABILITIES AND OTHER SIGN DISCL (xlsx)&quot; dsname=&quot;SAP Disclosure Management - Production&quot;&gt;&lt;VARIABLES /&gt;&lt;/BBOOK&gt;&lt;BBOOK bbname=&quot;203&quot; bbdesc=&quot;2013 Annual Accounts/EU Annual Accounts/PROTECTION OF THE EU BUDGET_NOTE 6 (xlsx)&quot; dsname=&quot;SAP Disclosure Management - Production&quot;&gt;&lt;VARIABLES /&gt;&lt;/BBOOK&gt;&lt;BBOOK bbname=&quot;204&quot; bbdesc=&quot;2013 Annual Accounts/EU Annual Accounts/FIN SUPPORT MECHANISMS (xlsx)&quot; dsname=&quot;SAP Disclosure Management - Production&quot;&gt;&lt;VARIABLES /&gt;&lt;/BBOOK&gt;&lt;BBOOK bbname=&quot;205&quot; bbdesc=&quot;2013 Annual Accounts/EU Annual Accounts/REL PARTY DISCLOSURES (xlsx)&quot; dsname=&quot;SAP Disclosure Management - Production&quot;&gt;&lt;VARIABLES /&gt;&lt;/BBOOK&gt;&lt;BBOOK bbname=&quot;173&quot; bbdesc=&quot;2013 Annual Accounts/EU Annual Accounts/Upload BO reports 2 (xlsx)&quot; dsname=&quot;SAP Disclosure Management - Production&quot;&gt;&lt;VARIABLES /&gt;&lt;/BBOOK&gt;&lt;BBOOK bbname=&quot;162&quot; bbdesc=&quot;2013 Annual Accounts/EU Annual Accounts/Upload BO reports (xlsx)&quot; dsname=&quot;SAP Disclosure Management - Production&quot;&gt;&lt;VARIABLES /&gt;&lt;/BBOOK&gt;&lt;BBOOK bbname=&quot;381&quot; bbdesc=&quot;2013 Annual Accounts/EC Annual Accounts/Trial Balance ECCS (xlsx)&quot; dsname=&quot;SAP Disclosure Management - Production&quot;&gt;&lt;VARIABLES /&gt;&lt;/BBOOK&gt;&lt;BBOOK bbname=&quot;408&quot; bbdesc=&quot;2013 Annual Accounts/EC Annual Accounts/DC - Balance Sheet (xlsx)&quot; dsname=&quot;SAP Disclosure Management - Production&quot;&gt;&lt;VARIABLES /&gt;&lt;/BBOOK&gt;&lt;BBOOK bbname=&quot;429&quot; bbdesc=&quot;2013 Annual Accounts/EC Annual Accounts/DC - Balance Sheet (xls)&quot; dsname=&quot;SAP Disclosure Management - Production&quot;&gt;&lt;VARIABLES /&gt;&lt;/BBOOK&gt;&lt;BBOOK bbname=&quot;550&quot; bbdesc=&quot;2013 Annual Accounts/EC Annual Accounts/DC - Balance Sheet (xlsx)&quot; dsname=&quot;SAP Disclosure Management - Production&quot;&gt;&lt;VARIABLES /&gt;&lt;/BBOOK&gt;&lt;BBOOK bbname=&quot;411&quot; bbdesc=&quot;2013 Annual Accounts/EC Annual Accounts/DC - Statement of Financial Performance (xlsx)&quot; dsname=&quot;SAP Disclosure Management - Production&quot;&gt;&lt;VARIABLES /&gt;&lt;/BBOOK&gt;&lt;BBOOK bbname=&quot;432&quot; bbdesc=&quot;2013 Annual Accounts/EC Annual Accounts/DC - Statement of Fin. Performance (xls)&quot; dsname=&quot;SAP Disclosure Management - Production&quot;&gt;&lt;VARIABLES /&gt;&lt;/BBOOK&gt;&lt;BBOOK bbname=&quot;552&quot; bbdesc=&quot;2013 Annual Accounts/EC Annual Accounts/DC - Statement of Financial Performance (xlsx)&quot; dsname=&quot;SAP Disclosure Management - Production&quot;&gt;&lt;VARIABLES /&gt;&lt;/BBOOK&gt;&lt;BBOOK bbname=&quot;236&quot; bbdesc=&quot;2013 Annual Accounts/EC Annual Accounts/Cashflow statement calculation (xlsx)&quot; dsname=&quot;SAP Disclosure Management - Production&quot;&gt;&lt;VARIABLES /&gt;&lt;/BBOOK&gt;&lt;BBOOK bbname=&quot;215&quot; bbdesc=&quot;2013 Annual Accounts/EC Annual Accounts/Assets (xlsx)&quot; dsname=&quot;SAP Disclosure Management - Production&quot;&gt;&lt;VARIABLES /&gt;&lt;/BBOOK&gt;&lt;BBOOK bbname=&quot;412&quot; bbdesc=&quot;2013 Annual Accounts/EC Annual Accounts/DC - Cashflow Statement (xlsx)&quot; dsname=&quot;SAP Disclosure Management - Production&quot;&gt;&lt;VARIABLES /&gt;&lt;/BBOOK&gt;&lt;BBOOK bbname=&quot;433&quot; bbdesc=&quot;2013 Annual Accounts/EC Annual Accounts/DC - Cashflow (xls)&quot; dsname=&quot;SAP Disclosure Management - Production&quot;&gt;&lt;VARIABLES /&gt;&lt;/BBOOK&gt;&lt;BBOOK bbname=&quot;551&quot; bbdesc=&quot;2013 Annual Accounts/EC Annual Accounts/DC CF calculation (xlsx)&quot; dsname=&quot;SAP Disclosure Management - Production&quot;&gt;&lt;VARIABLES /&gt;&lt;/BBOOK&gt;&lt;BBOOK bbname=&quot;606&quot; bbdesc=&quot;2013 Annual Accounts/EC Annual Accounts/DC - Cashflow statement automated (xlsx)&quot; dsname=&quot;SAP Disclosure Management - Production&quot;&gt;&lt;VARIABLES /&gt;&lt;/BBOOK&gt;&lt;BBOOK bbname=&quot;371&quot; bbdesc=&quot;2013 Annual Accounts/EU Annual Accounts/Statement of changes (xlsx)&quot; dsname=&quot;SAP Disclosure Management - Production&quot;&gt;&lt;VARIABLES /&gt;&lt;/BBOOK&gt;&lt;BBOOK bbname=&quot;428&quot; bbdesc=&quot;2013 Annual Accounts/EC Annual Accounts/DC - Statement of changes in net assets (xls)&quot; dsname=&quot;SAP Disclosure Management - Production&quot;&gt;&lt;VARIABLES /&gt;&lt;/BBOOK&gt;&lt;BBOOK bbname=&quot;553&quot; bbdesc=&quot;2013 Annual Accounts/EC Annual Accounts/DC - Statement of changes in net assets (xlsx)&quot; dsname=&quot;SAP Disclosure Management - Production&quot;&gt;&lt;VARIABLES /&gt;&lt;/BBOOK&gt;&lt;BBOOK bbname=&quot;251&quot; bbdesc=&quot;2013 Annual Accounts/EU Annual Accounts/Currency (xlsx)&quot; dsname=&quot;SAP Disclosre Management - Production&quot;&gt;&lt;VARIABLES /&gt;&lt;/BBOOK&gt;&lt;BBOOK bbname=&quot;388&quot; bbdesc=&quot;2013 Annual Accounts/EU Annual Accounts/Upload DeprecRates (xlsx)&quot; dsname=&quot;SAP Disclosre Management - Production&quot;&gt;&lt;VARIABLES /&gt;&lt;/BBOOK&gt;&lt;BBOOK bbname=&quot;309&quot; bbdesc=&quot;2013 Annual Accounts/EU Annual Accounts/Manual Table (xlsx)&quot; dsname=&quot;SAP Disclosre Management - Production&quot;&gt;&lt;VARIABLES /&gt;&lt;/BBOOK&gt;&lt;BBOOK bbname=&quot;440&quot; bbdesc=&quot;2013 Annual Accounts/EC Annual Accounts/DC - Significant Accounting Policies (xls)&quot; dsname=&quot;SAP Disclosure Management - Production&quot;&gt;&lt;VARIABLES /&gt;&lt;/BBOOK&gt;&lt;BBOOK bbname=&quot;557&quot; bbdesc=&quot;2013 Annual Accounts/EC Annual Accounts/DC - Significant accounting pol. - currency  table (xlsx)&quot; dsname=&quot;SAP Disclosure Management - Production&quot;&gt;&lt;VARIABLES /&gt;&lt;/BBOOK&gt;&lt;BBOOK bbname=&quot;267&quot; bbdesc=&quot;2013 Annual Accounts/EU Annual Accounts/DeprecRates upload (xlsx)&quot; dsname=&quot;SAP Disclosre Management - Production&quot;&gt;&lt;VARIABLES /&gt;&lt;/BBOOK&gt;&lt;BBOOK bbname=&quot;533&quot; bbdesc=&quot;2013 Annual Accounts/EC Annual Accounts/DC - Intangible fixed assets and PPE 2013 (xlsx)&quot; dsname=&quot;SAP Disclosure Management - Production&quot;&gt;&lt;VARIABLES /&gt;&lt;/BBOOK&gt;&lt;BBOOK bbname=&quot;342&quot; bbdesc=&quot;2013 Annual Accounts/EU Annual Accounts/PPE 2012 (xlsx)&quot; dsname=&quot;SAP Disclosre Management - Production&quot;&gt;&lt;VARIABLES /&gt;&lt;/BBOOK&gt;&lt;BBOOK bbname=&quot;279&quot; bbdesc=&quot;2013 Annual Accounts/EU Annual Accounts/Finance Lease (xlsx)&quot; dsname=&quot;SAP Disclosre Management - Production&quot;&gt;&lt;VARIABLES /&gt;&lt;/BBOOK&gt;&lt;BBOOK bbname=&quot;314&quot; bbdesc=&quot;2013 Annual Accounts/EU Annual Accounts/MT_Silvie Deckers (xlsx)&quot; dsname=&quot;SAP Disclosre Management - Production&quot;&gt;&lt;VARIABLES /&gt;&lt;/BBOOK&gt;&lt;BBOOK bbname=&quot;338&quot; bbdesc=&quot;2013 Annual Accounts/EU Annual Accounts/Participations in joint ventures (xlsx)&quot; dsname=&quot;SAP Disclosure Management - Production&quot;&gt;&lt;VARIABLES /&gt;&lt;/BBOOK&gt;&lt;BBOOK bbname=&quot;535&quot; bbdesc=&quot;2013 Annual Accounts/EC Annual Accounts/DC - Investments accounted for using the equity method new (xlsx)&quot; dsname=&quot;SAP Disclosure Management - Production&quot;&gt;&lt;VARIABLES /&gt;&lt;/BBOOK&gt;&lt;BBOOK bbname=&quot;316&quot; bbdesc=&quot;2013 Annual Accounts/EU Annual Accounts/Non current AFS financial assets (xlsx)&quot; dsname=&quot;SAP Disclosure Management - Production&quot;&gt;&lt;VARIABLES /&gt;&lt;/BBOOK&gt;&lt;BBOOK bbname=&quot;457&quot; bbdesc=&quot;2013 Annual Accounts/EC Annual Accounts/DC - Non current financial assets (xlsx)&quot; dsname=&quot;SAP Disclosure Management - Production&quot;&gt;&lt;VARIABLES /&gt;&lt;/BBOOK&gt;&lt;BBOOK bbname=&quot;458&quot; bbdesc=&quot;2013 Annual Accounts/EC Annual Accounts/DC - Non current receivables and recoverables (xlsx)&quot; dsname=&quot;SAP Disclosure Management - Production&quot;&gt;&lt;VARIABLES /&gt;&lt;/BBOOK&gt;&lt;BBOOK bbname=&quot;459&quot; bbdesc=&quot;2013 Annual Accounts/EC Annual Accounts/DC - Non current prefinancing (xlsx)&quot; dsname=&quot;SAP Disclosure Management - Production&quot;&gt;&lt;VARIABLES /&gt;&lt;/BBOOK&gt;&lt;BBOOK bbname=&quot;491&quot; bbdesc=&quot;2013 Annual Accounts/EC Annual Accounts/DC - Inventories (xlsx)&quot; dsname=&quot;SAP Disclosure Management - Production&quot;&gt;&lt;VARIABLES /&gt;&lt;/BBOOK&gt;&lt;BBOOK bbname=&quot;492&quot; bbdesc=&quot;2013 Annual Accounts/EC Annual Accounts/DC - Current financial assets (xlsx)&quot; dsname=&quot;SAP Disclosure Management - Production&quot;&gt;&lt;VARIABLES /&gt;&lt;/BBOOK&gt;&lt;BBOOK bbname=&quot;352&quot; bbdesc=&quot;2013 Annual Accounts/EC Annual Accounts/Receivables from Member States (xlsx)&quot; dsname=&quot;SAP Disclosure Management - Production&quot;&gt;&lt;VARIABLES /&gt;&lt;/BBOOK&gt;&lt;BBOOK bbname=&quot;315&quot; bbdesc=&quot;2013 Annual Accounts/EU Annual Accounts/MT_Valentina (xlsx)&quot; dsname=&quot;SAP Disclosure Management - Production&quot;&gt;&lt;VARIABLES /&gt;&lt;/BBOOK&gt;&lt;BBOOK bbname=&quot;493&quot; bbdesc=&quot;2013 Annual Accounts/EC Annual Accounts/DC - Current receivables and recoverables (xlsx)&quot; dsname=&quot;SAP Disclosure Management - Production&quot;&gt;&lt;VARIABLES /&gt;&lt;/BBOOK&gt;&lt;BBOOK bbname=&quot;494&quot; bbdesc=&quot;2013 Annual Accounts/EC Annual Accounts/DC - Current pre-financing (xlsx)&quot; dsname=&quot;SAP Disclosure Management - Production&quot;&gt;&lt;VARIABLES /&gt;&lt;/BBOOK&gt;&lt;BBOOK bbname=&quot;495&quot; bbdesc=&quot;2013 Annual Accounts/EC Annual Accounts/DC - Cash and cash equivalents (xlsx)&quot; dsname=&quot;SAP Disclosure Management - Production&quot;&gt;&lt;VARIABLES /&gt;&lt;/BBOOK&gt;&lt;BBOOK bbname=&quot;313&quot; bbdesc=&quot;2013 Annual Accounts/EU Annual Accounts/MT_Annika Oerbom (xlsx)&quot; dsname=&quot;SAP Disclosure Management - Production&quot;&gt;&lt;VARIABLES /&gt;&lt;/BBOOK&gt;&lt;BBOOK bbname=&quot;497&quot; bbdesc=&quot;2013 Annual Accounts/EC Annual Accounts/DC - Pension and other employee benefits (xlsx)&quot; dsname=&quot;SAP Disclosure Management - Production&quot;&gt;&lt;VARIABLES /&gt;&lt;/BBOOK&gt;&lt;BBOOK bbname=&quot;498&quot; bbdesc=&quot;2013 Annual Accounts/EC Annual Accounts/DC - Non-current provisions (xlsx)&quot; dsname=&quot;SAP Disclosure Management - Production&quot;&gt;&lt;VARIABLES /&gt;&lt;/BBOOK&gt;&lt;BBOOK bbname=&quot;503&quot; bbdesc=&quot;2013 Annual Accounts/EC Annual Accounts/DC - Current provisions (xlsx)&quot; dsname=&quot;SAP Disclosure Management - Production&quot;&gt;&lt;VARIABLES /&gt;&lt;/BBOOK&gt;&lt;BBOOK bbname=&quot;499&quot; bbdesc=&quot;2013 Annual Accounts/EC Annual Accounts/DC - Non-current financial liabilities (xlsx)&quot; dsname=&quot;SAP Disclosure Management - Production&quot;&gt;&lt;VARIABLES /&gt;&lt;/BBOOK&gt;&lt;BBOOK bbname=&quot;500&quot; bbdesc=&quot;2013 Annual Accounts/EC Annual Accounts/DC - Other non-current liabilities (xlsx)&quot; dsname=&quot;SAP Disclosure Management - Production&quot;&gt;&lt;VARIABLES /&gt;&lt;/BBOOK&gt;&lt;BBOOK bbname=&quot;505&quot; bbdesc=&quot;2013 Annual Accounts/EC Annual Accounts/DC - Payables (xlsx)&quot; dsname=&quot;SAP Disclosure Management - Production&quot;&gt;&lt;VARIABLES /&gt;&lt;/BBOOK&gt;&lt;BBOOK bbname=&quot;507&quot; bbdesc=&quot;2013 Annual Accounts/EC Annual Accounts/DC - Reserves (xlsx)&quot; dsname=&quot;SAP Disclosure Management - Production&quot;&gt;&lt;VARIABLES /&gt;&lt;/BBOOK&gt;&lt;BBOOK bbname=&quot;508&quot; bbdesc=&quot;2013 Annual Accounts/EC Annual Accounts/DC - Amounts to be called from member states (xlsx)&quot; dsname=&quot;SAP Disclosure Management - Production&quot;&gt;&lt;VARIABLES /&gt;&lt;/BBOOK&gt;&lt;BBOOK bbname=&quot;326&quot; bbdesc=&quot;2013 Annual Accounts/EC Annual Accounts/Notes to financial performance (xlsx)&quot; dsname=&quot;SAP Disclosure Management - Production&quot;&gt;&lt;VARIABLES /&gt;&lt;/BBOOK&gt;&lt;BBOOK bbname=&quot;424&quot; bbdesc=&quot;2013 Annual Accounts/EC Annual Accounts/DC - Financial revenue (xlsx)&quot; dsname=&quot;SAP Disclosure Management - Production&quot;&gt;&lt;VARIABLES /&gt;&lt;/BBOOK&gt;&lt;BBOOK bbname=&quot;445&quot; bbdesc=&quot;2013 Annual Accounts/EC Annual Accounts/DC - Financial revenue (xls)&quot; dsname=&quot;SAP Disclosure Management - Production&quot;&gt;&lt;VARIABLES /&gt;&lt;/BBOOK&gt;&lt;BBOOK bbname=&quot;524&quot; bbdesc=&quot;2013 Annual Accounts/EC Annual Accounts/DC - Financial revenue (xlsx)&quot; dsname=&quot;SAP Disclosure Management - Production&quot;&gt;&lt;VARIABLES /&gt;&lt;/BBOOK&gt;&lt;BBOOK bbname=&quot;419&quot; bbdesc=&quot;2013 Annual Accounts/EC Annual Accounts/DC - Own resource and contributions revenue (xlsx)&quot; dsname=&quot;SAP Disclosure Management - Production&quot;&gt;&lt;VARIABLES /&gt;&lt;/BBOOK&gt;&lt;BBOOK bbname=&quot;436&quot; bbdesc=&quot;2013 Annual Accounts/EC Annual Accounts/DC - Own resource and contributions revenue (xls)&quot; dsname=&quot;SAP Disclosure Management - Production&quot;&gt;&lt;VARIABLES /&gt;&lt;/BBOOK&gt;&lt;BBOOK bbname=&quot;520&quot; bbdesc=&quot;2013 Annual Accounts/EC Annual Accounts/DC - Own resource and contributions revenue (xlsx)&quot; dsname=&quot;SAP Disclosure Management - Production&quot;&gt;&lt;VARIABLES /&gt;&lt;/BBOOK&gt;&lt;BBOOK bbname=&quot;415&quot; bbdesc=&quot;2013 Annual Accounts/EC Annual Accounts/DC - Other operating revenue (xlsx)&quot; dsname=&quot;SAP Disclosure Management - Production&quot;&gt;&lt;VARIABLES /&gt;&lt;/BBOOK&gt;&lt;BBOOK bbname=&quot;439&quot; bbdesc=&quot;2013 Annual Accounts/EC Annual Accounts/DC - Other operating revenue (xls)&quot; dsname=&quot;SAP Disclosure Management - Production&quot;&gt;&lt;VARIABLES /&gt;&lt;/BBOOK&gt;&lt;BBOOK bbname=&quot;521&quot; bbdesc=&quot;2013 Annual Accounts/EC Annual Accounts/DC - Other operating revenue (xlsx)&quot; dsname=&quot;SAP Disclosure Management - Production&quot;&gt;&lt;VARIABLES /&gt;&lt;/BBOOK&gt;&lt;BBOOK bbname=&quot;420&quot; bbdesc=&quot;2013 Annual Accounts/EC Annual Accounts/DC - Administrative expenses (xlsx)&quot; dsname=&quot;SAP Disclosure Management - Production&quot;&gt;&lt;VARIABLES /&gt;&lt;/BBOOK&gt;&lt;BBOOK bbname=&quot;442&quot; bbdesc=&quot;2013 Annual Accounts/EC Annual Accounts/DC - Administrative expenses (xls)&quot; dsname=&quot;SAP Disclosure Management - Production&quot;&gt;&lt;VARIABLES /&gt;&lt;/BBOOK&gt;&lt;BBOOK bbname=&quot;423&quot; bbdesc=&quot;2013 Annual Accounts/EC Annual Accounts/DC - Operating expenses (xlsx)&quot; dsname=&quot;SAP Disclosure Management - Production&quot;&gt;&lt;VARIABLES /&gt;&lt;/BBOOK&gt;&lt;BBOOK bbname=&quot;443&quot; bbdesc=&quot;2013 Annual Accounts/EC Annual Accounts/DC - Operating expenses (xls)&quot; dsname=&quot;SAP Disclosure Management - Production&quot;&gt;&lt;VARIABLES /&gt;&lt;/BBOOK&gt;&lt;BBOOK bbname=&quot;523&quot; bbdesc=&quot;2013 Annual Accounts/EC Annual Accounts/DC - Operating expenses (xlsx)&quot; dsname=&quot;SAP Disclosure Management - Production&quot;&gt;&lt;VARIABLES /&gt;&lt;/BBOOK&gt;&lt;BBOOK bbname=&quot;425&quot; bbdesc=&quot;2013 Annual Accounts/EC Annual Accounts/DC - Financial expenses (xlsx)&quot; dsname=&quot;SAP Disclosure Management - Production&quot;&gt;&lt;VARIABLES /&gt;&lt;/BBOOK&gt;&lt;BBOOK bbname=&quot;447&quot; bbdesc=&quot;2013 Annual Accounts/EC Annual Accounts/DC - Financial expenses (xls)&quot; dsname=&quot;SAP Disclosure Management - Production&quot;&gt;&lt;VARIABLES /&gt;&lt;/BBOOK&gt;&lt;BBOOK bbname=&quot;525&quot; bbdesc=&quot;2013 Annual Accounts/EC Annual Accounts/DC - Financial expenses (xlsx)&quot; dsname=&quot;SAP Disclosure Management - Production&quot;&gt;&lt;VARIABLES /&gt;&lt;/BBOOK&gt;&lt;BBOOK bbname=&quot;366&quot; bbdesc=&quot;2013 Annual Accounts/EU Annual Accounts/Segment reporting calculation (xlsx)&quot; dsname=&quot;SAP Disclosure Management - Production&quot;&gt;&lt;VARIABLES /&gt;&lt;/BBOOK&gt;&lt;BBOOK bbname=&quot;594&quot; bbdesc=&quot;2013 Annual Accounts/EC Annual Accounts/DC - Segment reporting (xlsx)&quot; dsname=&quot;SAP Disclosure Management - Production&quot;&gt;&lt;VARIABLES /&gt;&lt;/BBOOK&gt;&lt;BBOOK bbname=&quot;245&quot; bbdesc=&quot;2013 Annual Accounts/EU Annual Accounts/CONTINGENT ASSETS AND LIABILITIES AND OTHER SIGN DISCL (xlsx)&quot; dsname=&quot;SAP Disclosure Management - Production&quot;&gt;&lt;VARIABLES /&gt;&lt;/BBOOK&gt;&lt;BBOOK bbname=&quot;516&quot; bbdesc=&quot;2013 Annual Accounts/EC Annual Accounts/DC - Guarantees given (xlsx)&quot; dsname=&quot;SAP Disclosure Management - Production&quot;&gt;&lt;VARIABLES /&gt;&lt;/BBOOK&gt;&lt;BBOOK bbname=&quot;517&quot; bbdesc=&quot;2013 Annual Accounts/EC Annual Accounts/DC - Other significant disclosures (xlsx)&quot; dsname=&quot;SAP Disclosure Management - Production&quot;&gt;&lt;VARIABLES /&gt;&lt;/BBOOK&gt;&lt;BBOOK bbname=&quot;518&quot; bbdesc=&quot;2013 Annual Accounts/EC Annual Accounts/DC - Significant legal commitments (xlsx)&quot; dsname=&quot;SAP Disclosure Management - Production&quot;&gt;&lt;VARIABLES /&gt;&lt;/BBOOK&gt;&lt;BBOOK bbname=&quot;657&quot; bbdesc=&quot;2013 Annual Accounts/EU Annual Accounts/DC - Result of implementation of the EU budget (xlsx)&quot; dsname=&quot;SAP Disclosure Management - Production&quot;&gt;&lt;VARIABLES /&gt;&lt;/BBOOK&gt;&lt;BBOOK bbname=&quot;207&quot; bbdesc=&quot;2013 Annual Accounts/EU Annual Accounts/SCOPE OF CONSO_NOTE 11 (xlsx)&quot; dsname=&quot;SAP Disclosure Management - Production&quot;&gt;&lt;VARIABLES /&gt;&lt;/BBOOK&gt;&lt;BBOOK bbname=&quot;664&quot; bbdesc=&quot;2013 Annual Accounts/EU Annual Accounts/DC - Implementation of EU budget revenue (xlsx)&quot; dsname=&quot;SAP Disclosure Management - Production&quot;&gt;&lt;VARIABLES /&gt;&lt;/BBOOK&gt;&lt;BBOOK bbname=&quot;8727&quot; bbdesc=&quot;2016 Annual Accounts/EC Annual Accounts/DC - Balance Sheet (xlsx)&quot; dsname=&quot;SAP Disclosure Management - Production&quot;&gt;&lt;VARIABLES /&gt;&lt;/BBOOK&gt;&lt;BBOOK bbname=&quot;14063&quot; bbdesc=&quot;2017 Annual Accounts/EC Annual Accounts/DC - Result and comparison tables&quot; dsname=&quot;SAP Disclosure Management - Production&quot;&gt;&lt;VARIABLES /&gt;&lt;/BBOOK&gt;&lt;BBOOK bbname=&quot;15798&quot; bbdesc=&quot;2018 Annual Accounts/EC Annual Accounts/DC - EC&quot; dsname=&quot;SAP Disclosure Management - Production&quot;&gt;&lt;VARIABLES /&gt;&lt;/BBOOK&gt;&lt;BBOOK bbname=&quot;883&quot; bbdesc=&quot;2013 Annual Accounts/EU Annual Accounts/DC - Balance Sheet (xlsx)&quot; dsname=&quot;SAP Disclosure Management - Production&quot;&gt;&lt;VARIABLES /&gt;&lt;/BBOOK&gt;&lt;BBOOK bbname=&quot;862&quot; bbdesc=&quot;2013 Annual Accounts/EC Annual Accounts/DC - Result of implentation of the EU budget (xlsx)&quot; dsname=&quot;SAP Disclosure Management - Production&quot;&gt;&lt;VARIABLES /&gt;&lt;/BBOOK&gt;&lt;BBOOK bbname=&quot;869&quot; bbdesc=&quot;2013 Annual Accounts/EC Annual Accounts/DC - Implementation of EU budget revenue (xlsx)&quot; dsname=&quot;SAP Disclosure Management - Production&quot;&gt;&lt;VARIABLES /&gt;&lt;/BBOOK&gt;&lt;BBOOK bbname=&quot;871&quot; bbdesc=&quot;2013 Annual Accounts/EC Annual Accounts/DC - Implementation of EU budget expenditure (xlsx)&quot; dsname=&quot;SAP Disclosure Management - Production&quot;&gt;&lt;VARIABLES /&gt;&lt;/BBOOK&gt;&lt;BBOOK bbname=&quot;666&quot; bbdesc=&quot;2013 Annual Accounts/EU Annual Accounts/DC - Implementation of EU budget expenditure (xlsx)&quot; dsname=&quot;SAP Disclosure Management - Production&quot;&gt;&lt;VARIABLES /&gt;&lt;/BBOOK&gt;&lt;BBOOK bbname=&quot;534&quot; bbdesc=&quot;2013 Annual Accounts/EC Annual Accounts/DC - Finance Lease PPE (xlsx)&quot; dsname=&quot;SAP Disclosure Management - Production&quot;&gt;&lt;VARIABLES /&gt;&lt;/BBOOK&gt;&lt;BBOOK bbname=&quot;910&quot; bbdesc=&quot;2013 Annual Accounts/EC Annual Accounts/DC - Operating lease (xlsx)&quot; dsname=&quot;SAP Disclosure Management - Production&quot;&gt;&lt;VARIABLES /&gt;&lt;/BBOOK&gt;&lt;BBOOK bbname=&quot;1218&quot; bbdesc=&quot;2013 Annual Accounts/EU Annual Accounts/DC - Non current financial liabilities (xlsx)&quot; dsname=&quot;SAP Disclosure Management - Production&quot;&gt;&lt;VARIABLES /&gt;&lt;/BBOOK&gt;&lt;BBOOK bbname=&quot;886&quot; bbdesc=&quot;2013 Annual Accounts/EU Annual Accounts/Upload Trial Balance ECCS 2013 (xlsx)&quot; dsname=&quot;SAP Disclosure Management - Production&quot;&gt;&lt;VARIABLES /&gt;&lt;/BBOOK&gt;&lt;BBOOK bbname=&quot;1247&quot; bbdesc=&quot;2013 Annual Accounts/EU Annual Accounts/DC - Member states receivables EU (xlsx)&quot; dsname=&quot;SAP Disclosure Management - Production&quot;&gt;&lt;VARIABLES /&gt;&lt;/BBOOK&gt;&lt;BBOOK bbname=&quot;1011&quot; bbdesc=&quot;2013 Annual Accounts/EEAS Annual Accounts/DC - Payables (xlsx)&quot; dsname=&quot;SAP Disclosure Management - Production&quot;&gt;&lt;VARIABLES /&gt;&lt;/BBOOK&gt;&lt;BBOOK bbname=&quot;884&quot; bbdesc=&quot;2013 Annual Accounts/EU Annual Accounts/DC - Statement of financial performance (xlsx)&quot; dsname=&quot;SAP Disclosure Management - Production&quot;&gt;&lt;VARIABLES /&gt;&lt;/BBOOK&gt;&lt;BBOOK bbname=&quot;1252&quot; bbdesc=&quot;2013 Annual Accounts/EU Annual Accounts/DC - Institutions and agencies (xlsx)&quot; dsname=&quot;SAP Disclosure Management - Production&quot;&gt;&lt;VARIABLES /&gt;&lt;/BBOOK&gt;&lt;BBOOK bbname=&quot;14064&quot; bbdesc=&quot;2017 Annual Accounts/EC Annual Accounts/DC - EC_Revenue&quot; dsname=&quot;SAP Disclosure Management - Production&quot;&gt;&lt;VARIABLES /&gt;&lt;/BBOOK&gt;&lt;BBOOK bbname=&quot;10560&quot; bbdesc=&quot;2016 Annual Accounts/EC Annual Accounts/DC - property plant and equipment - new method (xlsx)&quot; dsname=&quot;SAP Disclosure Management - Production&quot;&gt;&lt;VARIABLES /&gt;&lt;/BBOOK&gt;&lt;BBOOK bbname=&quot;14065&quot; bbdesc=&quot;2017 Annual Accounts/EC Annual Accounts/DC - EC_Expenditure&quot; dsname=&quot;SAP Disclosure Management - Production&quot;&gt;&lt;VARIABLES /&gt;&lt;/BBOOK&gt;&lt;BBOOK bbname=&quot;3466&quot; bbdesc=&quot;2014 Annual Accounts/EU Annual Accounts/DC - Result of implementation of the EU budget (xlsx)&quot; dsname=&quot;SAP Disclosure Management - Production&quot;&gt;&lt;VARIABLES /&gt;&lt;/BBOOK&gt;&lt;BBOOK bbname=&quot;4216&quot; bbdesc=&quot;2015 Annual Accounts/EC Annual Accounts 2015/DC - Result of implementation of the EC budget (xlsx)&quot; dsname=&quot;SAP Disclosure Management - Production&quot;&gt;&lt;VARIABLES /&gt;&lt;/BBOOK&gt;&lt;BBOOK bbname=&quot;11100&quot; bbdesc=&quot;2016 Annual Accounts/EC Annual Accounts/DC - EC Reconciliation of economic result (xlsx)&quot; dsname=&quot;Disclosure Management - Production&quot;&gt;&lt;VARIABLES /&gt;&lt;/BBOOK&gt;&lt;BBOOK bbname=&quot;8752&quot; bbdesc=&quot;2016 Annual Accounts/EC Annual Accounts/DC - Result of implementation of the EC budget (xlsx)&quot; dsname=&quot;Disclosure Management - Production&quot;&gt;&lt;VARIABLES /&gt;&lt;/BBOOK&gt;&lt;BBOOK bbname=&quot;14062&quot; bbdesc=&quot;2018 Annual Accounts/EC Annual Accounts/DC - Reconciliation of economic result&quot; dsname=&quot;SAP Disclosure Management - Production&quot;&gt;&lt;VARIABLES /&gt;&lt;/BBOOK&gt;&lt;/BBOOKS&gt;"/>
    <w:docVar w:name="DM_WB_C13934_METADATA" w:val="&lt;ChapterMetadata&gt;&lt;ChapterId&gt;13934&lt;/ChapterId&gt;&lt;ChapterName&gt;Traditional own resources&lt;/ChapterName&gt;&lt;ChapterNoOfPages&gt;-1&lt;/ChapterNoOfPages&gt;&lt;ChapterVersion&gt;25&lt;/ChapterVersion&gt;&lt;/ChapterMetadata&gt;"/>
    <w:docVar w:name="DM_WB_C13937_METADATA" w:val="&lt;ChapterMetadata&gt;&lt;ChapterId&gt;13937&lt;/ChapterId&gt;&lt;ChapterName&gt;Financial Statements and Explanatory notes&lt;/ChapterName&gt;&lt;ChapterNoOfPages&gt;-1&lt;/ChapterNoOfPages&gt;&lt;ChapterVersion&gt;2&lt;/ChapterVersion&gt;&lt;/ChapterMetadata&gt;"/>
    <w:docVar w:name="DM_WB_C13940_METADATA" w:val="&lt;ChapterMetadata&gt;&lt;ChapterId&gt;13940&lt;/ChapterId&gt;&lt;ChapterName&gt;Transfer payments and subisidies by management mode&lt;/ChapterName&gt;&lt;ChapterNoOfPages&gt;-1&lt;/ChapterNoOfPages&gt;&lt;ChapterVersion&gt;27&lt;/ChapterVersion&gt;&lt;/ChapterMetadata&gt;"/>
    <w:docVar w:name="DM_WB_C13941_METADATA" w:val="&lt;ChapterMetadata&gt;&lt;ChapterId&gt;13941&lt;/ChapterId&gt;&lt;ChapterName&gt;Contingent assets&lt;/ChapterName&gt;&lt;ChapterNoOfPages&gt;-1&lt;/ChapterNoOfPages&gt;&lt;ChapterVersion&gt;24&lt;/ChapterVersion&gt;&lt;/ChapterMetadata&gt;"/>
    <w:docVar w:name="DM_WB_C13942_METADATA" w:val="&lt;ChapterMetadata&gt;&lt;ChapterId&gt;13942&lt;/ChapterId&gt;&lt;ChapterName&gt;Cashflow statement&lt;/ChapterName&gt;&lt;ChapterNoOfPages&gt;-1&lt;/ChapterNoOfPages&gt;&lt;ChapterVersion&gt;32&lt;/ChapterVersion&gt;&lt;/ChapterMetadata&gt;"/>
    <w:docVar w:name="DM_WB_C13943_METADATA" w:val="&lt;ChapterMetadata&gt;&lt;ChapterId&gt;13943&lt;/ChapterId&gt;&lt;ChapterName&gt;Payables&lt;/ChapterName&gt;&lt;ChapterNoOfPages&gt;-1&lt;/ChapterNoOfPages&gt;&lt;ChapterVersion&gt;31&lt;/ChapterVersion&gt;&lt;/ChapterMetadata&gt;"/>
    <w:docVar w:name="DM_WB_C13944_METADATA" w:val="&lt;ChapterMetadata&gt;&lt;ChapterId&gt;13944&lt;/ChapterId&gt;&lt;ChapterName&gt;Net assets&lt;/ChapterName&gt;&lt;ChapterNoOfPages&gt;-1&lt;/ChapterNoOfPages&gt;&lt;ChapterVersion&gt;37&lt;/ChapterVersion&gt;&lt;/ChapterMetadata&gt;"/>
    <w:docVar w:name="DM_WB_C13946_METADATA" w:val="&lt;ChapterMetadata&gt;&lt;ChapterId&gt;13946&lt;/ChapterId&gt;&lt;ChapterName&gt;Assets&lt;/ChapterName&gt;&lt;ChapterNoOfPages&gt;-1&lt;/ChapterNoOfPages&gt;&lt;ChapterVersion&gt;1&lt;/ChapterVersion&gt;&lt;/ChapterMetadata&gt;"/>
    <w:docVar w:name="DM_WB_C13947_METADATA" w:val="&lt;ChapterMetadata&gt;&lt;ChapterId&gt;13947&lt;/ChapterId&gt;&lt;ChapterName&gt;Contingent assets and liabilities&lt;/ChapterName&gt;&lt;ChapterNoOfPages&gt;-1&lt;/ChapterNoOfPages&gt;&lt;ChapterVersion&gt;1&lt;/ChapterVersion&gt;&lt;/ChapterMetadata&gt;"/>
    <w:docVar w:name="DM_WB_C13948_METADATA" w:val="&lt;ChapterMetadata&gt;&lt;ChapterId&gt;13948&lt;/ChapterId&gt;&lt;ChapterName&gt;Financial liabilities&lt;/ChapterName&gt;&lt;ChapterNoOfPages&gt;-1&lt;/ChapterNoOfPages&gt;&lt;ChapterVersion&gt;51&lt;/ChapterVersion&gt;&lt;/ChapterMetadata&gt;"/>
    <w:docVar w:name="DM_WB_C13950_METADATA" w:val="&lt;ChapterMetadata&gt;&lt;ChapterId&gt;13950&lt;/ChapterId&gt;&lt;ChapterName&gt;Accrued charges and Deferred income&lt;/ChapterName&gt;&lt;ChapterNoOfPages&gt;-1&lt;/ChapterNoOfPages&gt;&lt;ChapterVersion&gt;29&lt;/ChapterVersion&gt;&lt;/ChapterMetadata&gt;"/>
    <w:docVar w:name="DM_WB_C13951_METADATA" w:val="&lt;ChapterMetadata&gt;&lt;ChapterId&gt;13951&lt;/ChapterId&gt;&lt;ChapterName&gt;Provisions&lt;/ChapterName&gt;&lt;ChapterNoOfPages&gt;-1&lt;/ChapterNoOfPages&gt;&lt;ChapterVersion&gt;29&lt;/ChapterVersion&gt;&lt;/ChapterMetadata&gt;"/>
    <w:docVar w:name="DM_WB_C13952_METADATA" w:val="&lt;ChapterMetadata&gt;&lt;ChapterId&gt;13952&lt;/ChapterId&gt;&lt;ChapterName&gt;Contingent liabilities&lt;/ChapterName&gt;&lt;ChapterNoOfPages&gt;-1&lt;/ChapterNoOfPages&gt;&lt;ChapterVersion&gt;36&lt;/ChapterVersion&gt;&lt;/ChapterMetadata&gt;"/>
    <w:docVar w:name="DM_WB_C13954_METADATA" w:val="&lt;ChapterMetadata&gt;&lt;ChapterId&gt;13954&lt;/ChapterId&gt;&lt;ChapterName&gt;Statement of changes in net assets&lt;/ChapterName&gt;&lt;ChapterNoOfPages&gt;-1&lt;/ChapterNoOfPages&gt;&lt;ChapterVersion&gt;35&lt;/ChapterVersion&gt;&lt;/ChapterMetadata&gt;"/>
    <w:docVar w:name="DM_WB_C13955_METADATA" w:val="&lt;ChapterMetadata&gt;&lt;ChapterId&gt;13955&lt;/ChapterId&gt;&lt;ChapterName&gt;Liquidity risk&lt;/ChapterName&gt;&lt;ChapterNoOfPages&gt;-1&lt;/ChapterNoOfPages&gt;&lt;ChapterVersion&gt;29&lt;/ChapterVersion&gt;&lt;/ChapterMetadata&gt;"/>
    <w:docVar w:name="DM_WB_C13956_METADATA" w:val="&lt;ChapterMetadata&gt;&lt;ChapterId&gt;13956&lt;/ChapterId&gt;&lt;ChapterName&gt;Notes to the balance sheet&lt;/ChapterName&gt;&lt;ChapterNoOfPages&gt;-1&lt;/ChapterNoOfPages&gt;&lt;ChapterVersion&gt;1&lt;/ChapterVersion&gt;&lt;/ChapterMetadata&gt;"/>
    <w:docVar w:name="DM_WB_C13957_METADATA" w:val="&lt;ChapterMetadata&gt;&lt;ChapterId&gt;13957&lt;/ChapterId&gt;&lt;ChapterName&gt;Exchange receivables and Non-exchange recoverables&lt;/ChapterName&gt;&lt;ChapterNoOfPages&gt;-1&lt;/ChapterNoOfPages&gt;&lt;ChapterVersion&gt;33&lt;/ChapterVersion&gt;&lt;/ChapterMetadata&gt;"/>
    <w:docVar w:name="DM_WB_C13958_METADATA" w:val="&lt;ChapterMetadata&gt;&lt;ChapterId&gt;13958&lt;/ChapterId&gt;&lt;ChapterName&gt;Non-exchange revenue TRANSFERS&lt;/ChapterName&gt;&lt;ChapterNoOfPages&gt;-1&lt;/ChapterNoOfPages&gt;&lt;ChapterVersion&gt;1&lt;/ChapterVersion&gt;&lt;/ChapterMetadata&gt;"/>
    <w:docVar w:name="DM_WB_C13959_METADATA" w:val="&lt;ChapterMetadata&gt;&lt;ChapterId&gt;13959&lt;/ChapterId&gt;&lt;ChapterName&gt;Liabilities&lt;/ChapterName&gt;&lt;ChapterNoOfPages&gt;-1&lt;/ChapterNoOfPages&gt;&lt;ChapterVersion&gt;1&lt;/ChapterVersion&gt;&lt;/ChapterMetadata&gt;"/>
    <w:docVar w:name="DM_WB_C13964_METADATA" w:val="&lt;ChapterMetadata&gt;&lt;ChapterId&gt;13964&lt;/ChapterId&gt;&lt;ChapterName&gt;Certification of the accounts&lt;/ChapterName&gt;&lt;ChapterNoOfPages&gt;-1&lt;/ChapterNoOfPages&gt;&lt;ChapterVersion&gt;2&lt;/ChapterVersion&gt;&lt;/ChapterMetadata&gt;"/>
    <w:docVar w:name="DM_WB_C13965_METADATA" w:val="&lt;ChapterMetadata&gt;&lt;ChapterId&gt;13965&lt;/ChapterId&gt;&lt;ChapterName&gt;Notes to the financial statements&lt;/ChapterName&gt;&lt;ChapterNoOfPages&gt;-1&lt;/ChapterNoOfPages&gt;&lt;ChapterVersion&gt;3&lt;/ChapterVersion&gt;&lt;/ChapterMetadata&gt;"/>
    <w:docVar w:name="DM_WB_C13967_METADATA" w:val="&lt;ChapterMetadata&gt;&lt;ChapterId&gt;13967&lt;/ChapterId&gt;&lt;ChapterName&gt;Segment Report&lt;/ChapterName&gt;&lt;ChapterNoOfPages&gt;-1&lt;/ChapterNoOfPages&gt;&lt;ChapterVersion&gt;35&lt;/ChapterVersion&gt;&lt;/ChapterMetadata&gt;"/>
    <w:docVar w:name="DM_WB_C13968_METADATA" w:val="&lt;ChapterMetadata&gt;&lt;ChapterId&gt;13968&lt;/ChapterId&gt;&lt;ChapterName&gt;Currency risks - balance sheet figures&lt;/ChapterName&gt;&lt;ChapterNoOfPages&gt;-1&lt;/ChapterNoOfPages&gt;&lt;ChapterVersion&gt;33&lt;/ChapterVersion&gt;&lt;/ChapterMetadata&gt;"/>
    <w:docVar w:name="DM_WB_C13970_METADATA" w:val="&lt;ChapterMetadata&gt;&lt;ChapterId&gt;13970&lt;/ChapterId&gt;&lt;ChapterName&gt;Expenses&lt;/ChapterName&gt;&lt;ChapterNoOfPages&gt;-1&lt;/ChapterNoOfPages&gt;&lt;ChapterVersion&gt;1&lt;/ChapterVersion&gt;&lt;/ChapterMetadata&gt;"/>
    <w:docVar w:name="DM_WB_C13971_METADATA" w:val="&lt;ChapterMetadata&gt;&lt;ChapterId&gt;13971&lt;/ChapterId&gt;&lt;ChapterName&gt;Other non-exchange revenue&lt;/ChapterName&gt;&lt;ChapterNoOfPages&gt;-1&lt;/ChapterNoOfPages&gt;&lt;ChapterVersion&gt;30&lt;/ChapterVersion&gt;&lt;/ChapterMetadata&gt;"/>
    <w:docVar w:name="DM_WB_C13974_METADATA" w:val="&lt;ChapterMetadata&gt;&lt;ChapterId&gt;13974&lt;/ChapterId&gt;&lt;ChapterName&gt;Intangible assets&lt;/ChapterName&gt;&lt;ChapterNoOfPages&gt;-1&lt;/ChapterNoOfPages&gt;&lt;ChapterVersion&gt;31&lt;/ChapterVersion&gt;&lt;/ChapterMetadata&gt;"/>
    <w:docVar w:name="DM_WB_C13975_METADATA" w:val="&lt;ChapterMetadata&gt;&lt;ChapterId&gt;13975&lt;/ChapterId&gt;&lt;ChapterName&gt;Currency risks - sensitivity&lt;/ChapterName&gt;&lt;ChapterNoOfPages&gt;-1&lt;/ChapterNoOfPages&gt;&lt;ChapterVersion&gt;27&lt;/ChapterVersion&gt;&lt;/ChapterMetadata&gt;"/>
    <w:docVar w:name="DM_WB_C13976_METADATA" w:val="&lt;ChapterMetadata&gt;&lt;ChapterId&gt;13976&lt;/ChapterId&gt;&lt;ChapterName&gt;Financial assets&lt;/ChapterName&gt;&lt;ChapterNoOfPages&gt;-1&lt;/ChapterNoOfPages&gt;&lt;ChapterVersion&gt;51&lt;/ChapterVersion&gt;&lt;/ChapterMetadata&gt;"/>
    <w:docVar w:name="DM_WB_C13977_METADATA" w:val="&lt;ChapterMetadata&gt;&lt;ChapterId&gt;13977&lt;/ChapterId&gt;&lt;ChapterName&gt;Pre-financing&lt;/ChapterName&gt;&lt;ChapterNoOfPages&gt;-1&lt;/ChapterNoOfPages&gt;&lt;ChapterVersion&gt;32&lt;/ChapterVersion&gt;&lt;/ChapterMetadata&gt;"/>
    <w:docVar w:name="DM_WB_C13978_METADATA" w:val="&lt;ChapterMetadata&gt;&lt;ChapterId&gt;13978&lt;/ChapterId&gt;&lt;ChapterName&gt;Table of contents 1&lt;/ChapterName&gt;&lt;ChapterNoOfPages&gt;-1&lt;/ChapterNoOfPages&gt;&lt;ChapterVersion&gt;1&lt;/ChapterVersion&gt;&lt;/ChapterMetadata&gt;"/>
    <w:docVar w:name="DM_WB_C13979_METADATA" w:val="&lt;ChapterMetadata&gt;&lt;ChapterId&gt;13979&lt;/ChapterId&gt;&lt;ChapterName&gt;Investments accounted for using the equity method&lt;/ChapterName&gt;&lt;ChapterNoOfPages&gt;-1&lt;/ChapterNoOfPages&gt;&lt;ChapterVersion&gt;32&lt;/ChapterVersion&gt;&lt;/ChapterMetadata&gt;"/>
    <w:docVar w:name="DM_WB_C13980_METADATA" w:val="&lt;ChapterMetadata&gt;&lt;ChapterId&gt;13980&lt;/ChapterId&gt;&lt;ChapterName&gt;Cover and first page&lt;/ChapterName&gt;&lt;ChapterNoOfPages&gt;-1&lt;/ChapterNoOfPages&gt;&lt;ChapterVersion&gt;4&lt;/ChapterVersion&gt;&lt;/ChapterMetadata&gt;"/>
    <w:docVar w:name="DM_WB_C13985_METADATA" w:val="&lt;ChapterMetadata&gt;&lt;ChapterId&gt;13985&lt;/ChapterId&gt;&lt;ChapterName&gt;Cash and cash equivalents&lt;/ChapterName&gt;&lt;ChapterNoOfPages&gt;-1&lt;/ChapterNoOfPages&gt;&lt;ChapterVersion&gt;29&lt;/ChapterVersion&gt;&lt;/ChapterMetadata&gt;"/>
    <w:docVar w:name="DM_WB_C13986_METADATA" w:val="&lt;ChapterMetadata&gt;&lt;ChapterId&gt;13986&lt;/ChapterId&gt;&lt;ChapterName&gt;Non-exchange revenue OWN RESOURCES&lt;/ChapterName&gt;&lt;ChapterNoOfPages&gt;-1&lt;/ChapterNoOfPages&gt;&lt;ChapterVersion&gt;1&lt;/ChapterVersion&gt;&lt;/ChapterMetadata&gt;"/>
    <w:docVar w:name="DM_WB_C13987_METADATA" w:val="&lt;ChapterMetadata&gt;&lt;ChapterId&gt;13987&lt;/ChapterId&gt;&lt;ChapterName&gt;Statement of financial performance&lt;/ChapterName&gt;&lt;ChapterNoOfPages&gt;-1&lt;/ChapterNoOfPages&gt;&lt;ChapterVersion&gt;30&lt;/ChapterVersion&gt;&lt;/ChapterMetadata&gt;"/>
    <w:docVar w:name="DM_WB_C13989_METADATA" w:val="&lt;ChapterMetadata&gt;&lt;ChapterId&gt;13989&lt;/ChapterId&gt;&lt;ChapterName&gt;Property plant and equipment&lt;/ChapterName&gt;&lt;ChapterNoOfPages&gt;-1&lt;/ChapterNoOfPages&gt;&lt;ChapterVersion&gt;31&lt;/ChapterVersion&gt;&lt;/ChapterMetadata&gt;"/>
    <w:docVar w:name="DM_WB_C13990_METADATA" w:val="&lt;ChapterMetadata&gt;&lt;ChapterId&gt;13990&lt;/ChapterId&gt;&lt;ChapterName&gt;Financial revenue&lt;/ChapterName&gt;&lt;ChapterNoOfPages&gt;-1&lt;/ChapterNoOfPages&gt;&lt;ChapterVersion&gt;30&lt;/ChapterVersion&gt;&lt;/ChapterMetadata&gt;"/>
    <w:docVar w:name="DM_WB_C13993_METADATA" w:val="&lt;ChapterMetadata&gt;&lt;ChapterId&gt;13993&lt;/ChapterId&gt;&lt;ChapterName&gt;Finance costs&lt;/ChapterName&gt;&lt;ChapterNoOfPages&gt;-1&lt;/ChapterNoOfPages&gt;&lt;ChapterVersion&gt;29&lt;/ChapterVersion&gt;&lt;/ChapterMetadata&gt;"/>
    <w:docVar w:name="DM_WB_C13994_METADATA" w:val="&lt;ChapterMetadata&gt;&lt;ChapterId&gt;13994&lt;/ChapterId&gt;&lt;ChapterName&gt;Staff and pension costs&lt;/ChapterName&gt;&lt;ChapterNoOfPages&gt;-1&lt;/ChapterNoOfPages&gt;&lt;ChapterVersion&gt;28&lt;/ChapterVersion&gt;&lt;/ChapterMetadata&gt;"/>
    <w:docVar w:name="DM_WB_C13995_METADATA" w:val="&lt;ChapterMetadata&gt;&lt;ChapterId&gt;13995&lt;/ChapterId&gt;&lt;ChapterName&gt;Financial Instruments Disclosures&lt;/ChapterName&gt;&lt;ChapterNoOfPages&gt;-1&lt;/ChapterNoOfPages&gt;&lt;ChapterVersion&gt;1&lt;/ChapterVersion&gt;&lt;/ChapterMetadata&gt;"/>
    <w:docVar w:name="DM_WB_C13996_METADATA" w:val="&lt;ChapterMetadata&gt;&lt;ChapterId&gt;13996&lt;/ChapterId&gt;&lt;ChapterName&gt;Balance sheet&lt;/ChapterName&gt;&lt;ChapterNoOfPages&gt;-1&lt;/ChapterNoOfPages&gt;&lt;ChapterVersion&gt;41&lt;/ChapterVersion&gt;&lt;/ChapterMetadata&gt;"/>
    <w:docVar w:name="DM_WB_C13998_METADATA" w:val="&lt;ChapterMetadata&gt;&lt;ChapterId&gt;13998&lt;/ChapterId&gt;&lt;ChapterName&gt;Report on the implementation of the budget&lt;/ChapterName&gt;&lt;ChapterNoOfPages&gt;-1&lt;/ChapterNoOfPages&gt;&lt;ChapterVersion&gt;2&lt;/ChapterVersion&gt;&lt;/ChapterMetadata&gt;"/>
    <w:docVar w:name="DM_WB_C14000_METADATA" w:val="&lt;ChapterMetadata&gt;&lt;ChapterId&gt;14000&lt;/ChapterId&gt;&lt;ChapterName&gt;Interest rate risk&lt;/ChapterName&gt;&lt;ChapterNoOfPages&gt;-1&lt;/ChapterNoOfPages&gt;&lt;ChapterVersion&gt;32&lt;/ChapterVersion&gt;&lt;/ChapterMetadata&gt;"/>
    <w:docVar w:name="DM_WB_C14002_METADATA" w:val="&lt;ChapterMetadata&gt;&lt;ChapterId&gt;14002&lt;/ChapterId&gt;&lt;ChapterName&gt;Budgetary and legal commitments&lt;/ChapterName&gt;&lt;ChapterNoOfPages&gt;-1&lt;/ChapterNoOfPages&gt;&lt;ChapterVersion&gt;30&lt;/ChapterVersion&gt;&lt;/ChapterMetadata&gt;"/>
    <w:docVar w:name="DM_WB_C14003_METADATA" w:val="&lt;ChapterMetadata&gt;&lt;ChapterId&gt;14003&lt;/ChapterId&gt;&lt;ChapterName&gt;Exchange revenue&lt;/ChapterName&gt;&lt;ChapterNoOfPages&gt;-1&lt;/ChapterNoOfPages&gt;&lt;ChapterVersion&gt;1&lt;/ChapterVersion&gt;&lt;/ChapterMetadata&gt;"/>
    <w:docVar w:name="DM_WB_C14005_METADATA" w:val="&lt;ChapterMetadata&gt;&lt;ChapterId&gt;14005&lt;/ChapterId&gt;&lt;ChapterName&gt;Pension and other employee benefits&lt;/ChapterName&gt;&lt;ChapterNoOfPages&gt;-1&lt;/ChapterNoOfPages&gt;&lt;ChapterVersion&gt;71&lt;/ChapterVersion&gt;&lt;/ChapterMetadata&gt;"/>
    <w:docVar w:name="DM_WB_C14006_METADATA" w:val="&lt;ChapterMetadata&gt;&lt;ChapterId&gt;14006&lt;/ChapterId&gt;&lt;ChapterName&gt;Other exchange revenue&lt;/ChapterName&gt;&lt;ChapterNoOfPages&gt;-1&lt;/ChapterNoOfPages&gt;&lt;ChapterVersion&gt;29&lt;/ChapterVersion&gt;&lt;/ChapterMetadata&gt;"/>
    <w:docVar w:name="DM_WB_C14007_METADATA" w:val="&lt;ChapterMetadata&gt;&lt;ChapterId&gt;14007&lt;/ChapterId&gt;&lt;ChapterName&gt;Inventories&lt;/ChapterName&gt;&lt;ChapterNoOfPages&gt;-1&lt;/ChapterNoOfPages&gt;&lt;ChapterVersion&gt;27&lt;/ChapterVersion&gt;&lt;/ChapterMetadata&gt;"/>
    <w:docVar w:name="DM_WB_C14009_METADATA" w:val="&lt;ChapterMetadata&gt;&lt;ChapterId&gt;14009&lt;/ChapterId&gt;&lt;ChapterName&gt;Credit risk&lt;/ChapterName&gt;&lt;ChapterNoOfPages&gt;-1&lt;/ChapterNoOfPages&gt;&lt;ChapterVersion&gt;47&lt;/ChapterVersion&gt;&lt;/ChapterMetadata&gt;"/>
    <w:docVar w:name="DM_WB_C14012_METADATA" w:val="&lt;ChapterMetadata&gt;&lt;ChapterId&gt;14012&lt;/ChapterId&gt;&lt;ChapterName&gt;Recovery of expenses&lt;/ChapterName&gt;&lt;ChapterNoOfPages&gt;-1&lt;/ChapterNoOfPages&gt;&lt;ChapterVersion&gt;29&lt;/ChapterVersion&gt;&lt;/ChapterMetadata&gt;"/>
    <w:docVar w:name="DM_WB_C14013_METADATA" w:val="&lt;ChapterMetadata&gt;&lt;ChapterId&gt;14013&lt;/ChapterId&gt;&lt;ChapterName&gt;Other expenses&lt;/ChapterName&gt;&lt;ChapterNoOfPages&gt;-1&lt;/ChapterNoOfPages&gt;&lt;ChapterVersion&gt;31&lt;/ChapterVersion&gt;&lt;/ChapterMetadata&gt;"/>
    <w:docVar w:name="DM_WB_C14017_METADATA" w:val="&lt;ChapterMetadata&gt;&lt;ChapterId&gt;14017&lt;/ChapterId&gt;&lt;ChapterName&gt;Notes to the Statement of financial performance&lt;/ChapterName&gt;&lt;ChapterNoOfPages&gt;-1&lt;/ChapterNoOfPages&gt;&lt;ChapterVersion&gt;1&lt;/ChapterVersion&gt;&lt;/ChapterMetadata&gt;"/>
    <w:docVar w:name="DM_WB_C14019_METADATA" w:val="&lt;ChapterMetadata&gt;&lt;ChapterId&gt;14019&lt;/ChapterId&gt;&lt;ChapterName&gt;Table of contents 2&lt;/ChapterName&gt;&lt;ChapterNoOfPages&gt;-1&lt;/ChapterNoOfPages&gt;&lt;ChapterVersion&gt;1&lt;/ChapterVersion&gt;&lt;/ChapterMetadata&gt;"/>
    <w:docVar w:name="DM_WB_C14051_METADATA" w:val="&lt;ChapterMetadata&gt;&lt;ChapterId&gt;14051&lt;/ChapterId&gt;&lt;ChapterName&gt;Table of content 3&lt;/ChapterName&gt;&lt;ChapterNoOfPages&gt;-1&lt;/ChapterNoOfPages&gt;&lt;ChapterVersion&gt;1&lt;/ChapterVersion&gt;&lt;/ChapterMetadata&gt;"/>
    <w:docVar w:name="DM_WB_C14052_METADATA" w:val="&lt;ChapterMetadata&gt;&lt;ChapterId&gt;14052&lt;/ChapterId&gt;&lt;ChapterName&gt;Reconciliation of economic result with Budget result&lt;/ChapterName&gt;&lt;ChapterNoOfPages&gt;-1&lt;/ChapterNoOfPages&gt;&lt;ChapterVersion&gt;41&lt;/ChapterVersion&gt;&lt;/ChapterMetadata&gt;"/>
    <w:docVar w:name="DM_WB_C14053_METADATA" w:val="&lt;ChapterMetadata&gt;&lt;ChapterId&gt;14053&lt;/ChapterId&gt;&lt;ChapterName&gt;Revenue&lt;/ChapterName&gt;&lt;ChapterNoOfPages&gt;-1&lt;/ChapterNoOfPages&gt;&lt;ChapterVersion&gt;37&lt;/ChapterVersion&gt;&lt;/ChapterMetadata&gt;"/>
    <w:docVar w:name="DM_WB_C14054_METADATA" w:val="&lt;ChapterMetadata&gt;&lt;ChapterId&gt;14054&lt;/ChapterId&gt;&lt;ChapterName&gt;Related Party EC&lt;/ChapterName&gt;&lt;ChapterNoOfPages&gt;-1&lt;/ChapterNoOfPages&gt;&lt;ChapterVersion&gt;1&lt;/ChapterVersion&gt;&lt;/ChapterMetadata&gt;"/>
    <w:docVar w:name="DM_WB_C14055_METADATA" w:val="&lt;ChapterMetadata&gt;&lt;ChapterId&gt;14055&lt;/ChapterId&gt;&lt;ChapterName&gt;Expenditure tables&lt;/ChapterName&gt;&lt;ChapterNoOfPages&gt;-1&lt;/ChapterNoOfPages&gt;&lt;ChapterVersion&gt;66&lt;/ChapterVersion&gt;&lt;/ChapterMetadata&gt;"/>
    <w:docVar w:name="DM_WB_C14056_METADATA" w:val="&lt;ChapterMetadata&gt;&lt;ChapterId&gt;14056&lt;/ChapterId&gt;&lt;ChapterName&gt;Significant accounting policies-ec text&lt;/ChapterName&gt;&lt;ChapterNoOfPages&gt;-1&lt;/ChapterNoOfPages&gt;&lt;ChapterVersion&gt;1&lt;/ChapterVersion&gt;&lt;/ChapterMetadata&gt;"/>
    <w:docVar w:name="DM_WB_C14057_METADATA" w:val="&lt;ChapterMetadata&gt;&lt;ChapterId&gt;14057&lt;/ChapterId&gt;&lt;ChapterName&gt;Result and comparison tables EC&lt;/ChapterName&gt;&lt;ChapterNoOfPages&gt;-1&lt;/ChapterNoOfPages&gt;&lt;ChapterVersion&gt;46&lt;/ChapterVersion&gt;&lt;/ChapterMetadata&gt;"/>
    <w:docVar w:name="DM_WB_C14058_METADATA" w:val="&lt;ChapterMetadata&gt;&lt;ChapterId&gt;14058&lt;/ChapterId&gt;&lt;ChapterName&gt;Carying amount and fair value of financial instruments&lt;/ChapterName&gt;&lt;ChapterNoOfPages&gt;-1&lt;/ChapterNoOfPages&gt;&lt;ChapterVersion&gt;1&lt;/ChapterVersion&gt;&lt;/ChapterMetadata&gt;"/>
    <w:docVar w:name="DM_WB_C14059_METADATA" w:val="&lt;ChapterMetadata&gt;&lt;ChapterId&gt;14059&lt;/ChapterId&gt;&lt;ChapterName&gt;Events after the BS date&lt;/ChapterName&gt;&lt;ChapterNoOfPages&gt;-1&lt;/ChapterNoOfPages&gt;&lt;ChapterVersion&gt;3&lt;/ChapterVersion&gt;&lt;/ChapterMetadata&gt;"/>
    <w:docVar w:name="DM_WB_C14760_METADATA" w:val="&lt;ChapterMetadata&gt;&lt;ChapterId&gt;14760&lt;/ChapterId&gt;&lt;ChapterName&gt;Significant accounting policies&lt;/ChapterName&gt;&lt;ChapterNoOfPages&gt;-1&lt;/ChapterNoOfPages&gt;&lt;ChapterVersion&gt;38&lt;/ChapterVersion&gt;&lt;/ChapterMetadata&gt;"/>
    <w:docVar w:name="DOC_TBL00001_1_1" w:val="|@|1|2057"/>
    <w:docVar w:name="doc_tbl00003_1_1" w:val="|@|1|2057"/>
    <w:docVar w:name="doc_tbl00006_1_1" w:val="Type of asset|@|1|2057"/>
    <w:docVar w:name="doc_tbl00007_1_1" w:val="|@|1|2057"/>
    <w:docVar w:name="doc_tbl00008_1_1" w:val="|@|1|2057"/>
    <w:docVar w:name="doc_tbl00013_1_1" w:val="|@|1|2057"/>
    <w:docVar w:name="doc_tbl00019_1_1" w:val="|@|1|2057"/>
    <w:docVar w:name="doc_tbl00020_1_1" w:val="Loans|@|1|2057"/>
    <w:docVar w:name="doc_tbl00023_1_1" w:val="|@|1|2057"/>
    <w:docVar w:name="doc_tbl00028_1_1" w:val="|@|1|2057"/>
    <w:docVar w:name="doc_tbl00031_1_1" w:val="|@|1|2057"/>
    <w:docVar w:name="doc_tbl00032_1_1" w:val="|@|1|2057"/>
    <w:docVar w:name="doc_tbl00032_1_2" w:val="|@|1|2057"/>
    <w:docVar w:name="doc_tbl00032_1_3" w:val="EUR million|@|1|2057"/>
    <w:docVar w:name="doc_tbl00032_2_1" w:val="|@|1|2057"/>
    <w:docVar w:name="doc_tbl00032_2_2" w:val="31.12.2018|@|1|2057"/>
    <w:docVar w:name="doc_tbl00032_2_3" w:val="31.12.2017|@|1|2057"/>
    <w:docVar w:name="doc_tbl00032_3_1" w:val="Scientific materials|@|1|2057"/>
    <w:docVar w:name="doc_tbl00032_3_2" w:val="51.51589301|#\ ##0;\(#\ ##0\);\-|1|2057"/>
    <w:docVar w:name="doc_tbl00032_3_3" w:val="44.68322601|#\ ##0;\(#\ ##0\);\-|1|2057"/>
    <w:docVar w:name="doc_tbl00032_4_1" w:val="Other|@|1|2057"/>
    <w:docVar w:name="doc_tbl00032_4_2" w:val="15.59614858|#\ ##0;\(#\ ##0\);\-|1|2057"/>
    <w:docVar w:name="doc_tbl00032_4_3" w:val="17.55829328|#\ ##0;\(#\ ##0\);\-|1|2057"/>
    <w:docVar w:name="doc_tbl00032_5_1" w:val="Total|@|1|2057"/>
    <w:docVar w:name="doc_tbl00032_5_2" w:val="67.11204159|#\ ##0;\(#\ ##0\);\-|1|2057"/>
    <w:docVar w:name="doc_tbl00032_5_3" w:val="62.24151929|#\ ##0;\(#\ ##0\);\-|1|2057"/>
    <w:docVar w:name="doc_tbl00039_1_1" w:val="|@|1|2057"/>
    <w:docVar w:name="doc_tbl00045_1_1" w:val="|@|1|2057"/>
    <w:docVar w:name="doc_tbl00055_1_1" w:val="|@|1|2057"/>
    <w:docVar w:name="doc_tbl00063_1_1" w:val="|@|1|2057"/>
    <w:docVar w:name="doc_tbl00064_1_1" w:val="|@|1|2057"/>
    <w:docVar w:name="doc_tbl00070_1_1" w:val="|@|1|2057"/>
    <w:docVar w:name="doc_tbl00074_1_1" w:val="|@|1|2057"/>
    <w:docVar w:name="doc_tbl00091_1_1" w:val="|@|1|2057"/>
    <w:docVar w:name="doc_tbl00094_1_1" w:val="|@|1|2057"/>
    <w:docVar w:name="doc_tbl00110_1_1" w:val="|@|1|2057"/>
    <w:docVar w:name="DocStatus" w:val="Green"/>
    <w:docVar w:name="LW_COVERPAGE_EXISTS" w:val="True"/>
    <w:docVar w:name="LW_COVERPAGE_GUID" w:val="B0AA377F-7C11-49BC-87AB-1E2F08511EF7"/>
    <w:docVar w:name="LW_COVERPAGE_TYPE" w:val="1"/>
    <w:docVar w:name="LW_CROSSREFERENCE" w:val="&lt;UNUSED&gt;"/>
    <w:docVar w:name="LW_DocType" w:val="TEMPLATE_BEKOU_2014"/>
    <w:docVar w:name="LW_EMISSION" w:val="26.6.2019"/>
    <w:docVar w:name="LW_EMISSION_ISODATE" w:val="2019-06-26"/>
    <w:docVar w:name="LW_EMISSION_LOCATION" w:val="BRX"/>
    <w:docVar w:name="LW_EMISSION_PREFIX" w:val="Brussels, "/>
    <w:docVar w:name="LW_EMISSION_SUFFIX" w:val=" "/>
    <w:docVar w:name="LW_ID_DOCTYPE_NONLW" w:val="CP-040"/>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3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NNUAL ACCOUNTS OF THE EUROPEAN COMMISSION FOR THE FINANCIAL YEAR 2018"/>
    <w:docVar w:name="LW_TYPE.DOC.CP" w:val="COMMUNICATION FROM THE COMMISSION TO THE EUROPEAN PARLIAMENT, THE COUNCIL AND THE COURT OF AUDITOR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
    <w:name w:val="CoverPage"/>
    <w:basedOn w:val="Normal"/>
    <w:link w:val="CoverPageChar"/>
    <w:qFormat/>
    <w:pPr>
      <w:spacing w:before="240" w:after="720" w:line="360" w:lineRule="auto"/>
      <w:ind w:left="2268"/>
    </w:pPr>
    <w:rPr>
      <w:rFonts w:ascii="Verdana" w:hAnsi="Verdana"/>
      <w:color w:val="016794"/>
      <w:sz w:val="52"/>
      <w:szCs w:val="52"/>
    </w:rPr>
  </w:style>
  <w:style w:type="paragraph" w:customStyle="1" w:styleId="FIRSTCHAPTERPAGE">
    <w:name w:val="FIRST_CHAPTER_PAGE"/>
    <w:basedOn w:val="Normal"/>
    <w:qFormat/>
    <w:pPr>
      <w:spacing w:before="240" w:after="720"/>
    </w:pPr>
    <w:rPr>
      <w:rFonts w:ascii="Verdana" w:hAnsi="Verdana"/>
      <w:b/>
      <w:color w:val="016794"/>
      <w:sz w:val="40"/>
      <w:szCs w:val="4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lang w:eastAsia="en-GB"/>
    </w:rPr>
  </w:style>
  <w:style w:type="paragraph" w:customStyle="1" w:styleId="FinancialYear">
    <w:name w:val="Financial_Year"/>
    <w:basedOn w:val="Normal"/>
    <w:qFormat/>
    <w:pPr>
      <w:jc w:val="right"/>
    </w:pPr>
    <w:rPr>
      <w:rFonts w:ascii="Verdana" w:hAnsi="Verdana"/>
      <w:color w:val="016794"/>
      <w:sz w:val="22"/>
      <w:szCs w:val="22"/>
    </w:rPr>
  </w:style>
  <w:style w:type="paragraph" w:customStyle="1" w:styleId="TOPHEADERNOTE">
    <w:name w:val="TOPHEADER_NOTE"/>
    <w:basedOn w:val="Normal"/>
    <w:qFormat/>
    <w:rPr>
      <w:rFonts w:ascii="Verdana" w:hAnsi="Verdana"/>
      <w:i/>
      <w:color w:val="016794"/>
      <w:sz w:val="18"/>
    </w:rPr>
  </w:style>
  <w:style w:type="paragraph" w:customStyle="1" w:styleId="HEADERTABLE">
    <w:name w:val="HEADER_TABLE"/>
    <w:basedOn w:val="Normal"/>
    <w:qFormat/>
    <w:pPr>
      <w:spacing w:after="240"/>
    </w:pPr>
    <w:rPr>
      <w:rFonts w:ascii="Verdana" w:hAnsi="Verdana"/>
      <w:b/>
      <w:color w:val="016794"/>
      <w:sz w:val="28"/>
      <w:szCs w:val="28"/>
    </w:rPr>
  </w:style>
  <w:style w:type="paragraph" w:customStyle="1" w:styleId="Textstand-alonenumberingLetters">
    <w:name w:val="Text_stand-alone_(numbering Letters)"/>
    <w:basedOn w:val="Normal"/>
    <w:qFormat/>
    <w:pPr>
      <w:numPr>
        <w:numId w:val="2"/>
      </w:numPr>
      <w:spacing w:after="240"/>
      <w:ind w:hanging="720"/>
    </w:pPr>
    <w:rPr>
      <w:rFonts w:ascii="Verdana" w:hAnsi="Verdana"/>
      <w:sz w:val="18"/>
      <w:szCs w:val="18"/>
    </w:rPr>
  </w:style>
  <w:style w:type="paragraph" w:customStyle="1" w:styleId="SignatureRightItalic">
    <w:name w:val="Signature_Right + Italic"/>
    <w:basedOn w:val="Normal"/>
    <w:qFormat/>
    <w:pPr>
      <w:spacing w:before="240"/>
      <w:ind w:left="4394" w:right="1128"/>
      <w:jc w:val="center"/>
    </w:pPr>
    <w:rPr>
      <w:rFonts w:ascii="Verdana" w:hAnsi="Verdana"/>
      <w:i/>
      <w:sz w:val="18"/>
      <w:szCs w:val="18"/>
    </w:rPr>
  </w:style>
  <w:style w:type="paragraph" w:customStyle="1" w:styleId="HEADER3Part1">
    <w:name w:val="HEADER 3_Part 1"/>
    <w:basedOn w:val="Normal"/>
    <w:qFormat/>
    <w:pPr>
      <w:numPr>
        <w:ilvl w:val="2"/>
        <w:numId w:val="4"/>
      </w:numPr>
      <w:tabs>
        <w:tab w:val="left" w:pos="907"/>
      </w:tabs>
      <w:spacing w:before="360" w:after="360"/>
    </w:pPr>
    <w:rPr>
      <w:rFonts w:ascii="Verdana" w:hAnsi="Verdana"/>
      <w:color w:val="016794"/>
      <w:sz w:val="20"/>
      <w:szCs w:val="20"/>
    </w:rPr>
  </w:style>
  <w:style w:type="paragraph" w:customStyle="1" w:styleId="HEADER4Part1">
    <w:name w:val="HEADER 4_Part 1"/>
    <w:basedOn w:val="HEADER3Part1"/>
    <w:qFormat/>
    <w:pPr>
      <w:numPr>
        <w:ilvl w:val="3"/>
        <w:numId w:val="25"/>
      </w:numPr>
    </w:pPr>
    <w:rPr>
      <w:sz w:val="18"/>
      <w:szCs w:val="18"/>
    </w:rPr>
  </w:style>
  <w:style w:type="paragraph" w:customStyle="1" w:styleId="HEADER2Part1">
    <w:name w:val="HEADER 2 _Part 1"/>
    <w:basedOn w:val="Normal"/>
    <w:qFormat/>
    <w:pPr>
      <w:numPr>
        <w:ilvl w:val="1"/>
        <w:numId w:val="4"/>
      </w:numPr>
      <w:tabs>
        <w:tab w:val="left" w:pos="907"/>
      </w:tabs>
      <w:spacing w:before="360" w:after="360"/>
    </w:pPr>
    <w:rPr>
      <w:rFonts w:ascii="Verdana" w:hAnsi="Verdana"/>
      <w:b/>
      <w:color w:val="016794"/>
      <w:sz w:val="28"/>
    </w:rPr>
  </w:style>
  <w:style w:type="paragraph" w:customStyle="1" w:styleId="Textstand-alonenumberingRCIndentJustified">
    <w:name w:val="Text_stand-alone_numbering RC Indent + Justified"/>
    <w:basedOn w:val="Normal"/>
    <w:qFormat/>
    <w:pPr>
      <w:numPr>
        <w:numId w:val="12"/>
      </w:numPr>
      <w:ind w:left="992" w:hanging="635"/>
    </w:pPr>
    <w:rPr>
      <w:rFonts w:ascii="Verdana" w:hAnsi="Verdana"/>
      <w:sz w:val="18"/>
      <w:szCs w:val="18"/>
    </w:rPr>
  </w:style>
  <w:style w:type="paragraph" w:customStyle="1" w:styleId="HEADER1Part2">
    <w:name w:val="HEADER 1_Part 2"/>
    <w:basedOn w:val="Normal"/>
    <w:qFormat/>
    <w:pPr>
      <w:numPr>
        <w:numId w:val="11"/>
      </w:numPr>
      <w:tabs>
        <w:tab w:val="left" w:pos="907"/>
      </w:tabs>
      <w:spacing w:after="240"/>
      <w:jc w:val="both"/>
    </w:pPr>
    <w:rPr>
      <w:rFonts w:ascii="Verdana" w:hAnsi="Verdana"/>
      <w:b/>
      <w:color w:val="016794"/>
      <w:sz w:val="32"/>
      <w:szCs w:val="32"/>
    </w:rPr>
  </w:style>
  <w:style w:type="paragraph" w:customStyle="1" w:styleId="HEADER2Part2">
    <w:name w:val="HEADER 2_Part 2"/>
    <w:basedOn w:val="Normal"/>
    <w:qFormat/>
    <w:pPr>
      <w:numPr>
        <w:ilvl w:val="1"/>
        <w:numId w:val="11"/>
      </w:numPr>
      <w:tabs>
        <w:tab w:val="left" w:pos="907"/>
      </w:tabs>
      <w:spacing w:before="360" w:after="360"/>
    </w:pPr>
    <w:rPr>
      <w:rFonts w:ascii="Verdana" w:hAnsi="Verdana"/>
      <w:b/>
      <w:color w:val="016794"/>
      <w:sz w:val="28"/>
      <w:szCs w:val="28"/>
    </w:rPr>
  </w:style>
  <w:style w:type="paragraph" w:customStyle="1" w:styleId="HEADER3Part2">
    <w:name w:val="HEADER 3_Part 2"/>
    <w:basedOn w:val="HEADER3Part1"/>
    <w:qFormat/>
    <w:pPr>
      <w:numPr>
        <w:numId w:val="11"/>
      </w:numPr>
    </w:pPr>
  </w:style>
  <w:style w:type="paragraph" w:customStyle="1" w:styleId="HEADER4Part2">
    <w:name w:val="HEADER 4_Part 2"/>
    <w:basedOn w:val="HEADER4Part1"/>
    <w:qFormat/>
    <w:pPr>
      <w:numPr>
        <w:numId w:val="11"/>
      </w:numPr>
    </w:pPr>
  </w:style>
  <w:style w:type="paragraph" w:customStyle="1" w:styleId="HEADER5">
    <w:name w:val="HEADER 5"/>
    <w:basedOn w:val="Normal"/>
    <w:qFormat/>
    <w:rPr>
      <w:rFonts w:ascii="Verdana" w:hAnsi="Verdana"/>
      <w:color w:val="016794"/>
      <w:sz w:val="18"/>
      <w:szCs w:val="18"/>
    </w:rPr>
  </w:style>
  <w:style w:type="paragraph" w:customStyle="1" w:styleId="TOCTitle">
    <w:name w:val="TOC_Title"/>
    <w:basedOn w:val="Normal"/>
    <w:qFormat/>
    <w:pPr>
      <w:spacing w:before="360" w:after="120"/>
    </w:pPr>
    <w:rPr>
      <w:rFonts w:ascii="Verdana" w:hAnsi="Verdana"/>
      <w:b/>
      <w:color w:val="016794"/>
      <w:sz w:val="40"/>
      <w:szCs w:val="40"/>
    </w:rPr>
  </w:style>
  <w:style w:type="paragraph" w:customStyle="1" w:styleId="HEADER1Part3">
    <w:name w:val="HEADER 1_Part 3"/>
    <w:basedOn w:val="Normal"/>
    <w:qFormat/>
    <w:pPr>
      <w:numPr>
        <w:numId w:val="5"/>
      </w:numPr>
      <w:tabs>
        <w:tab w:val="left" w:pos="907"/>
      </w:tabs>
      <w:spacing w:after="240"/>
    </w:pPr>
    <w:rPr>
      <w:rFonts w:ascii="Verdana" w:hAnsi="Verdana"/>
      <w:b/>
      <w:color w:val="016794"/>
      <w:sz w:val="32"/>
      <w:szCs w:val="32"/>
    </w:rPr>
  </w:style>
  <w:style w:type="paragraph" w:customStyle="1" w:styleId="HEADER2Part3">
    <w:name w:val="HEADER 2_Part 3"/>
    <w:basedOn w:val="Normal"/>
    <w:qFormat/>
    <w:pPr>
      <w:numPr>
        <w:ilvl w:val="1"/>
        <w:numId w:val="5"/>
      </w:numPr>
      <w:tabs>
        <w:tab w:val="left" w:pos="907"/>
      </w:tabs>
      <w:spacing w:before="360" w:after="360"/>
    </w:pPr>
    <w:rPr>
      <w:rFonts w:ascii="Verdana" w:hAnsi="Verdana"/>
      <w:b/>
      <w:noProof/>
      <w:color w:val="016794"/>
      <w:sz w:val="28"/>
      <w:szCs w:val="30"/>
      <w:lang w:eastAsia="en-US"/>
    </w:rPr>
  </w:style>
  <w:style w:type="paragraph" w:customStyle="1" w:styleId="HEADER3Part3">
    <w:name w:val="HEADER 3_Part 3"/>
    <w:basedOn w:val="HEADER3Part1"/>
    <w:qFormat/>
    <w:pPr>
      <w:numPr>
        <w:numId w:val="5"/>
      </w:numPr>
    </w:pPr>
  </w:style>
  <w:style w:type="paragraph" w:customStyle="1" w:styleId="HEADER4Part3">
    <w:name w:val="HEADER 4_Part 3"/>
    <w:basedOn w:val="HEADER4Part1"/>
    <w:qFormat/>
    <w:pPr>
      <w:numPr>
        <w:ilvl w:val="0"/>
        <w:numId w:val="14"/>
      </w:numPr>
      <w:spacing w:before="0" w:after="0"/>
      <w:ind w:left="907" w:hanging="907"/>
    </w:pPr>
  </w:style>
  <w:style w:type="paragraph" w:customStyle="1" w:styleId="SignatureRight">
    <w:name w:val="Signature_Right"/>
    <w:basedOn w:val="SignatureRightItalic"/>
    <w:qFormat/>
    <w:rPr>
      <w:i w:val="0"/>
    </w:rPr>
  </w:style>
  <w:style w:type="paragraph" w:customStyle="1" w:styleId="SignatureRightBold">
    <w:name w:val="Signature_Right Bold"/>
    <w:basedOn w:val="SignatureRight"/>
    <w:qFormat/>
    <w:pPr>
      <w:spacing w:before="120" w:after="120"/>
    </w:pPr>
    <w:rPr>
      <w:b/>
    </w:rPr>
  </w:style>
  <w:style w:type="paragraph" w:customStyle="1" w:styleId="Textstand-alone">
    <w:name w:val="Text_stand-alone"/>
    <w:basedOn w:val="Normal"/>
    <w:qFormat/>
    <w:pPr>
      <w:spacing w:before="240" w:after="240"/>
      <w:jc w:val="both"/>
    </w:pPr>
    <w:rPr>
      <w:rFonts w:ascii="Verdana" w:hAnsi="Verdana"/>
      <w:noProof/>
      <w:sz w:val="18"/>
      <w:szCs w:val="18"/>
      <w:lang w:eastAsia="en-US"/>
    </w:rPr>
  </w:style>
  <w:style w:type="paragraph" w:customStyle="1" w:styleId="SignatureRightItalic0">
    <w:name w:val="Signature_Right Italic"/>
    <w:basedOn w:val="SignatureRightBold"/>
    <w:qFormat/>
    <w:rPr>
      <w:b w:val="0"/>
      <w:i/>
    </w:rPr>
  </w:style>
  <w:style w:type="paragraph" w:customStyle="1" w:styleId="SubTextIndentJustified">
    <w:name w:val="SubText_Indent_Justified"/>
    <w:basedOn w:val="Normal"/>
    <w:qFormat/>
    <w:pPr>
      <w:spacing w:after="240"/>
      <w:ind w:left="720"/>
    </w:pPr>
    <w:rPr>
      <w:rFonts w:ascii="Verdana" w:hAnsi="Verdana"/>
      <w:sz w:val="18"/>
      <w:szCs w:val="18"/>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rFonts w:ascii="Times New Roman" w:eastAsia="Times New Roman" w:hAnsi="Times New Roman" w:cs="Times New Roman"/>
      <w:sz w:val="24"/>
      <w:szCs w:val="24"/>
      <w:lang w:eastAsia="en-GB"/>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rPr>
      <w:rFonts w:ascii="Times New Roman" w:eastAsia="Times New Roman" w:hAnsi="Times New Roman" w:cs="Times New Roman"/>
      <w:sz w:val="24"/>
      <w:szCs w:val="24"/>
      <w:lang w:eastAsia="en-GB"/>
    </w:rPr>
  </w:style>
  <w:style w:type="character" w:customStyle="1" w:styleId="Heading1Char">
    <w:name w:val="Heading 1 Char"/>
    <w:link w:val="Heading1"/>
    <w:rPr>
      <w:rFonts w:ascii="Cambria" w:eastAsia="Times New Roman" w:hAnsi="Cambria" w:cs="Times New Roman"/>
      <w:b/>
      <w:bCs/>
      <w:color w:val="365F91"/>
      <w:sz w:val="28"/>
      <w:szCs w:val="28"/>
      <w:lang w:eastAsia="en-GB"/>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HEADER1Part1">
    <w:name w:val="HEADER 1_Part 1"/>
    <w:basedOn w:val="HEADER1Part3"/>
    <w:qFormat/>
    <w:pPr>
      <w:numPr>
        <w:numId w:val="4"/>
      </w:numPr>
      <w:jc w:val="both"/>
    </w:pPr>
  </w:style>
  <w:style w:type="paragraph" w:customStyle="1" w:styleId="Textstand-alonebulletpointJustified">
    <w:name w:val="Text_stand-alone_bullet point + Justified"/>
    <w:basedOn w:val="Normal"/>
    <w:qFormat/>
    <w:pPr>
      <w:numPr>
        <w:numId w:val="7"/>
      </w:numPr>
      <w:spacing w:after="240"/>
      <w:contextualSpacing/>
      <w:jc w:val="both"/>
    </w:pPr>
    <w:rPr>
      <w:rFonts w:ascii="Verdana" w:hAnsi="Verdana"/>
      <w:sz w:val="18"/>
    </w:rPr>
  </w:style>
  <w:style w:type="paragraph" w:customStyle="1" w:styleId="TextSubtitlenumberingRCItalic">
    <w:name w:val="Text_Subtitle_(numbering RC Italic)"/>
    <w:basedOn w:val="Normal"/>
    <w:qFormat/>
    <w:pPr>
      <w:numPr>
        <w:numId w:val="1"/>
      </w:numPr>
    </w:pPr>
    <w:rPr>
      <w:rFonts w:ascii="Verdana" w:hAnsi="Verdana"/>
      <w:i/>
      <w:sz w:val="18"/>
      <w:szCs w:val="18"/>
    </w:rPr>
  </w:style>
  <w:style w:type="paragraph" w:customStyle="1" w:styleId="TextstandalonenumberingRCJustified">
    <w:name w:val="Text_stand alone_(numbering RC + Justified)"/>
    <w:qFormat/>
    <w:pPr>
      <w:numPr>
        <w:numId w:val="9"/>
      </w:numPr>
      <w:pBdr>
        <w:top w:val="nil"/>
        <w:left w:val="nil"/>
        <w:bottom w:val="nil"/>
        <w:right w:val="nil"/>
        <w:between w:val="nil"/>
        <w:bar w:val="nil"/>
      </w:pBdr>
      <w:spacing w:before="240"/>
      <w:ind w:left="567" w:hanging="567"/>
      <w:jc w:val="both"/>
    </w:pPr>
    <w:rPr>
      <w:rFonts w:ascii="Verdana" w:eastAsia="Calibri" w:hAnsi="Verdana"/>
      <w:noProof/>
      <w:sz w:val="18"/>
      <w:szCs w:val="18"/>
      <w:bdr w:val="nil"/>
      <w:lang w:eastAsia="en-US"/>
    </w:rPr>
  </w:style>
  <w:style w:type="paragraph" w:customStyle="1" w:styleId="Textstand-alonenumberingJustified">
    <w:name w:val="Text_stand-alone_(numbering) + Justified"/>
    <w:basedOn w:val="Normal"/>
    <w:qFormat/>
    <w:pPr>
      <w:numPr>
        <w:numId w:val="6"/>
      </w:numPr>
      <w:spacing w:after="240"/>
      <w:ind w:hanging="720"/>
      <w:jc w:val="both"/>
    </w:pPr>
    <w:rPr>
      <w:rFonts w:ascii="Verdana" w:hAnsi="Verdana"/>
      <w:sz w:val="18"/>
      <w:szCs w:val="18"/>
    </w:rPr>
  </w:style>
  <w:style w:type="paragraph" w:customStyle="1" w:styleId="Textstand-aloneBulletpoint">
    <w:name w:val="Text_stand-alone Bullet point"/>
    <w:basedOn w:val="Normal"/>
    <w:qFormat/>
    <w:pPr>
      <w:numPr>
        <w:numId w:val="10"/>
      </w:numPr>
      <w:spacing w:after="240"/>
      <w:ind w:left="357" w:hanging="357"/>
      <w:contextualSpacing/>
    </w:pPr>
    <w:rPr>
      <w:rFonts w:ascii="Verdana" w:hAnsi="Verdana"/>
      <w:sz w:val="18"/>
      <w:szCs w:val="18"/>
    </w:rPr>
  </w:style>
  <w:style w:type="paragraph" w:customStyle="1" w:styleId="TextSubtitleItalicnumberinglettera">
    <w:name w:val="Text_Subtitle Italic numbering letter (a)"/>
    <w:basedOn w:val="Normal"/>
    <w:qFormat/>
    <w:pPr>
      <w:numPr>
        <w:numId w:val="3"/>
      </w:numPr>
      <w:ind w:left="357" w:hanging="357"/>
    </w:pPr>
    <w:rPr>
      <w:rFonts w:ascii="Verdana" w:hAnsi="Verdana"/>
      <w: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paragraph" w:customStyle="1" w:styleId="DGTextstand-alonenumbering">
    <w:name w:val="DG_Text_stand-alone_(numbering)"/>
    <w:qFormat/>
    <w:pPr>
      <w:numPr>
        <w:numId w:val="13"/>
      </w:numPr>
      <w:spacing w:after="240"/>
      <w:ind w:hanging="720"/>
    </w:pPr>
    <w:rPr>
      <w:rFonts w:ascii="Verdana" w:hAnsi="Verdana"/>
      <w:noProof/>
      <w:sz w:val="18"/>
      <w:szCs w:val="18"/>
      <w:lang w:eastAsia="en-US"/>
    </w:rPr>
  </w:style>
  <w:style w:type="paragraph" w:customStyle="1" w:styleId="HEADERTITLE">
    <w:name w:val="HEADER_TITLE"/>
    <w:basedOn w:val="Textstand-alone"/>
    <w:qFormat/>
    <w:pPr>
      <w:tabs>
        <w:tab w:val="left" w:pos="907"/>
      </w:tabs>
      <w:spacing w:before="0"/>
      <w:jc w:val="left"/>
    </w:pPr>
    <w:rPr>
      <w:b/>
      <w:color w:val="016794"/>
      <w:sz w:val="28"/>
    </w:rPr>
  </w:style>
  <w:style w:type="paragraph" w:customStyle="1" w:styleId="FIRSTCHAPTERPAGE1">
    <w:name w:val="FIRST CHAPTER_PAGE_1"/>
    <w:basedOn w:val="Textstand-alone"/>
    <w:qFormat/>
    <w:pPr>
      <w:tabs>
        <w:tab w:val="left" w:pos="907"/>
      </w:tabs>
      <w:spacing w:after="720"/>
      <w:jc w:val="left"/>
    </w:pPr>
    <w:rPr>
      <w:b/>
      <w:color w:val="016794"/>
      <w:sz w:val="40"/>
    </w:rPr>
  </w:style>
  <w:style w:type="paragraph" w:customStyle="1" w:styleId="FIRSTCHAPTERPAGE2">
    <w:name w:val="FIRST CHAPTER_PAGE_2"/>
    <w:basedOn w:val="Textstand-alone"/>
    <w:qFormat/>
    <w:pPr>
      <w:tabs>
        <w:tab w:val="left" w:pos="907"/>
      </w:tabs>
      <w:spacing w:after="720"/>
    </w:pPr>
    <w:rPr>
      <w:b/>
      <w:color w:val="016794"/>
      <w:sz w:val="40"/>
    </w:rPr>
  </w:style>
  <w:style w:type="paragraph" w:customStyle="1" w:styleId="HEADERTITLE1">
    <w:name w:val="HEADER_TITLE_1"/>
    <w:basedOn w:val="Textstand-alone"/>
    <w:qFormat/>
    <w:pPr>
      <w:tabs>
        <w:tab w:val="left" w:pos="907"/>
      </w:tabs>
      <w:spacing w:before="0"/>
      <w:jc w:val="left"/>
    </w:pPr>
    <w:rPr>
      <w:b/>
      <w:color w:val="016794"/>
      <w:sz w:val="28"/>
    </w:rPr>
  </w:style>
  <w:style w:type="paragraph" w:styleId="TOCHeading">
    <w:name w:val="TOC Heading"/>
    <w:basedOn w:val="Heading1"/>
    <w:next w:val="Normal"/>
    <w:uiPriority w:val="39"/>
    <w:unhideWhenUsed/>
    <w:qFormat/>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pPr>
      <w:spacing w:after="100"/>
    </w:pPr>
    <w:rPr>
      <w:rFonts w:ascii="Verdana" w:hAnsi="Verdana"/>
      <w:color w:val="365F91" w:themeColor="accent1" w:themeShade="BF"/>
      <w:sz w:val="22"/>
    </w:rPr>
  </w:style>
  <w:style w:type="paragraph" w:styleId="TOC2">
    <w:name w:val="toc 2"/>
    <w:basedOn w:val="Normal"/>
    <w:next w:val="Normal"/>
    <w:autoRedefine/>
    <w:uiPriority w:val="39"/>
    <w:unhideWhenUsed/>
    <w:qFormat/>
    <w:pPr>
      <w:tabs>
        <w:tab w:val="left" w:pos="1100"/>
        <w:tab w:val="right" w:leader="dot" w:pos="9629"/>
      </w:tabs>
      <w:spacing w:after="100"/>
      <w:ind w:left="1134" w:hanging="894"/>
    </w:pPr>
    <w:rPr>
      <w:rFonts w:ascii="Verdana" w:hAnsi="Verdana"/>
      <w:color w:val="808080" w:themeColor="background1" w:themeShade="80"/>
      <w:sz w:val="22"/>
    </w:rPr>
  </w:style>
  <w:style w:type="paragraph" w:customStyle="1" w:styleId="HEADERTITLE2">
    <w:name w:val="HEADER_TITLE_2"/>
    <w:basedOn w:val="HEADERTITLE1"/>
    <w:qFormat/>
  </w:style>
  <w:style w:type="paragraph" w:customStyle="1" w:styleId="HEADER1Part4">
    <w:name w:val="HEADER 1_Part 4"/>
    <w:basedOn w:val="HEADER1Part3"/>
    <w:qFormat/>
    <w:pPr>
      <w:numPr>
        <w:numId w:val="18"/>
      </w:numPr>
      <w:ind w:left="851" w:hanging="851"/>
    </w:pPr>
  </w:style>
  <w:style w:type="paragraph" w:customStyle="1" w:styleId="Header2Part4">
    <w:name w:val="Header 2_Part 4"/>
    <w:basedOn w:val="HEADER2Part3"/>
    <w:qFormat/>
  </w:style>
  <w:style w:type="paragraph" w:customStyle="1" w:styleId="HEADER1PartBUDG">
    <w:name w:val="HEADER 1_Part BUDG"/>
    <w:basedOn w:val="Normal"/>
    <w:qFormat/>
    <w:pPr>
      <w:numPr>
        <w:numId w:val="26"/>
      </w:numPr>
      <w:tabs>
        <w:tab w:val="left" w:pos="907"/>
      </w:tabs>
      <w:spacing w:after="240"/>
      <w:jc w:val="both"/>
    </w:pPr>
    <w:rPr>
      <w:rFonts w:ascii="Verdana" w:hAnsi="Verdana"/>
      <w:b/>
      <w:color w:val="016794"/>
      <w:sz w:val="32"/>
      <w:szCs w:val="32"/>
      <w:lang w:val="fr-BE"/>
    </w:rPr>
  </w:style>
  <w:style w:type="paragraph" w:customStyle="1" w:styleId="HEADER2PartBUDG">
    <w:name w:val="HEADER 2_Part BUDG"/>
    <w:basedOn w:val="Normal"/>
    <w:qFormat/>
    <w:pPr>
      <w:numPr>
        <w:ilvl w:val="1"/>
        <w:numId w:val="26"/>
      </w:numPr>
      <w:tabs>
        <w:tab w:val="left" w:pos="709"/>
      </w:tabs>
      <w:spacing w:before="360" w:after="360"/>
    </w:pPr>
    <w:rPr>
      <w:rFonts w:ascii="Verdana" w:eastAsia="Calibri" w:hAnsi="Verdana"/>
      <w:b/>
      <w:color w:val="016794"/>
      <w:sz w:val="28"/>
      <w:lang w:val="fr-BE"/>
    </w:rPr>
  </w:style>
  <w:style w:type="paragraph" w:customStyle="1" w:styleId="HEADER3PartBUGD">
    <w:name w:val="HEADER 3_Part BUGD"/>
    <w:basedOn w:val="Normal"/>
    <w:qFormat/>
    <w:pPr>
      <w:numPr>
        <w:ilvl w:val="2"/>
        <w:numId w:val="26"/>
      </w:numPr>
      <w:tabs>
        <w:tab w:val="left" w:pos="0"/>
      </w:tabs>
      <w:spacing w:before="360" w:after="360"/>
      <w:ind w:firstLine="387"/>
    </w:pPr>
    <w:rPr>
      <w:rFonts w:ascii="Verdana" w:hAnsi="Verdana"/>
      <w:color w:val="016794"/>
      <w:sz w:val="20"/>
      <w:szCs w:val="20"/>
      <w:lang w:val="fr-BE"/>
    </w:rPr>
  </w:style>
  <w:style w:type="paragraph" w:customStyle="1" w:styleId="HEADER4PartBUDG">
    <w:name w:val="HEADER 4_Part BUDG"/>
    <w:basedOn w:val="Normal"/>
    <w:qFormat/>
    <w:pPr>
      <w:numPr>
        <w:ilvl w:val="3"/>
        <w:numId w:val="26"/>
      </w:numPr>
      <w:tabs>
        <w:tab w:val="left" w:pos="907"/>
      </w:tabs>
      <w:spacing w:before="360" w:after="360"/>
      <w:ind w:left="567" w:hanging="567"/>
    </w:pPr>
    <w:rPr>
      <w:rFonts w:ascii="Verdana" w:hAnsi="Verdana"/>
      <w:color w:val="016794"/>
      <w:sz w:val="18"/>
      <w:szCs w:val="18"/>
      <w:lang w:val="fr-BE"/>
    </w:rPr>
  </w:style>
  <w:style w:type="paragraph" w:customStyle="1" w:styleId="HEADER1NOTES">
    <w:name w:val="HEADER 1_NOTES"/>
    <w:basedOn w:val="HEADER1Part2"/>
    <w:qFormat/>
    <w:pPr>
      <w:numPr>
        <w:numId w:val="25"/>
      </w:numPr>
    </w:pPr>
  </w:style>
  <w:style w:type="paragraph" w:customStyle="1" w:styleId="HEADER2NOTES">
    <w:name w:val="HEADER 2_NOTES"/>
    <w:basedOn w:val="HEADER2Part2"/>
    <w:qFormat/>
    <w:pPr>
      <w:numPr>
        <w:numId w:val="25"/>
      </w:numPr>
    </w:pPr>
  </w:style>
  <w:style w:type="paragraph" w:customStyle="1" w:styleId="HEADER3NOTES">
    <w:name w:val="HEADER 3_NOTES"/>
    <w:basedOn w:val="HEADER3Part2"/>
    <w:qFormat/>
    <w:pPr>
      <w:numPr>
        <w:numId w:val="25"/>
      </w:numPr>
    </w:pPr>
  </w:style>
  <w:style w:type="paragraph" w:customStyle="1" w:styleId="HEADER4NOTES">
    <w:name w:val="HEADER 4_NOTES"/>
    <w:basedOn w:val="HEADER4Part2"/>
    <w:qFormat/>
    <w:pPr>
      <w:numPr>
        <w:ilvl w:val="0"/>
        <w:numId w:val="0"/>
      </w:numPr>
    </w:pPr>
  </w:style>
  <w:style w:type="paragraph" w:customStyle="1" w:styleId="DGTextstand-alone">
    <w:name w:val="DG_Text_stand-alone"/>
    <w:link w:val="DGTextstand-aloneChar"/>
    <w:pPr>
      <w:pBdr>
        <w:top w:val="nil"/>
        <w:left w:val="nil"/>
        <w:bottom w:val="nil"/>
        <w:right w:val="nil"/>
        <w:between w:val="nil"/>
        <w:bar w:val="nil"/>
      </w:pBdr>
      <w:spacing w:before="240" w:after="240"/>
      <w:jc w:val="both"/>
    </w:pPr>
    <w:rPr>
      <w:rFonts w:ascii="Verdana" w:eastAsia="Calibri" w:hAnsi="Verdana"/>
      <w:noProof/>
      <w:sz w:val="18"/>
      <w:szCs w:val="18"/>
      <w:bdr w:val="nil"/>
      <w:lang w:eastAsia="en-US"/>
    </w:rPr>
  </w:style>
  <w:style w:type="character" w:customStyle="1" w:styleId="DGTextstand-aloneChar">
    <w:name w:val="DG_Text_stand-alone Char"/>
    <w:link w:val="DGTextstand-alone"/>
    <w:rPr>
      <w:rFonts w:ascii="Verdana" w:eastAsia="Calibri" w:hAnsi="Verdana"/>
      <w:noProof/>
      <w:sz w:val="18"/>
      <w:szCs w:val="18"/>
      <w:bdr w:val="nil"/>
      <w:lang w:eastAsia="en-US"/>
    </w:rPr>
  </w:style>
  <w:style w:type="paragraph" w:customStyle="1" w:styleId="Text8pItalicLeft">
    <w:name w:val="Text_8p_Italic_Left"/>
    <w:qFormat/>
    <w:rPr>
      <w:rFonts w:ascii="Verdana" w:eastAsia="Calibri" w:hAnsi="Verdana"/>
      <w:bCs/>
      <w:i/>
      <w:noProof/>
      <w:sz w:val="16"/>
      <w:lang w:eastAsia="en-US"/>
    </w:rPr>
  </w:style>
  <w:style w:type="paragraph" w:customStyle="1" w:styleId="Text8pItalicRight025EUR">
    <w:name w:val="Text_8p_Italic_Right_0.25_EUR"/>
    <w:qFormat/>
    <w:pPr>
      <w:ind w:right="142"/>
      <w:jc w:val="right"/>
    </w:pPr>
    <w:rPr>
      <w:rFonts w:ascii="Verdana" w:eastAsia="Calibri" w:hAnsi="Verdana"/>
      <w:i/>
      <w:noProof/>
      <w:sz w:val="16"/>
      <w:szCs w:val="18"/>
      <w:lang w:eastAsia="en-US"/>
    </w:rPr>
  </w:style>
  <w:style w:type="paragraph" w:customStyle="1" w:styleId="Heading10pNormalLeft">
    <w:name w:val="Heading_10p_Normal_Left"/>
    <w:qFormat/>
    <w:rPr>
      <w:rFonts w:ascii="Verdana" w:eastAsia="Calibri" w:hAnsi="Verdana"/>
      <w:noProof/>
      <w:color w:val="FFFFFF"/>
      <w:szCs w:val="30"/>
      <w:lang w:eastAsia="en-US"/>
    </w:rPr>
  </w:style>
  <w:style w:type="paragraph" w:customStyle="1" w:styleId="Heading10pNormalRight025">
    <w:name w:val="Heading_10p_Normal_Right_0.25"/>
    <w:qFormat/>
    <w:pPr>
      <w:ind w:right="142"/>
      <w:jc w:val="right"/>
    </w:pPr>
    <w:rPr>
      <w:rFonts w:ascii="Verdana" w:eastAsia="Calibri" w:hAnsi="Verdana"/>
      <w:noProof/>
      <w:color w:val="FFFFFF"/>
      <w:szCs w:val="30"/>
      <w:lang w:eastAsia="en-US"/>
    </w:rPr>
  </w:style>
  <w:style w:type="paragraph" w:customStyle="1" w:styleId="Text9pBoldLeft">
    <w:name w:val="Text_9p_Bold_Left"/>
    <w:qFormat/>
    <w:rPr>
      <w:rFonts w:ascii="Verdana" w:eastAsia="Calibri" w:hAnsi="Verdana"/>
      <w:b/>
      <w:noProof/>
      <w:sz w:val="18"/>
      <w:szCs w:val="18"/>
      <w:lang w:eastAsia="en-US"/>
    </w:rPr>
  </w:style>
  <w:style w:type="paragraph" w:customStyle="1" w:styleId="Figures9pItalicRight025">
    <w:name w:val="Figures_9p_Italic_Right_0.25"/>
    <w:qFormat/>
    <w:pPr>
      <w:ind w:right="142"/>
      <w:jc w:val="right"/>
    </w:pPr>
    <w:rPr>
      <w:rFonts w:ascii="Verdana" w:eastAsia="Calibri" w:hAnsi="Verdana"/>
      <w:i/>
      <w:noProof/>
      <w:sz w:val="18"/>
      <w:szCs w:val="18"/>
      <w:lang w:eastAsia="en-US"/>
    </w:rPr>
  </w:style>
  <w:style w:type="paragraph" w:customStyle="1" w:styleId="Text9pItalicLeft">
    <w:name w:val="Text_9p_Italic_Left"/>
    <w:qFormat/>
    <w:rPr>
      <w:rFonts w:ascii="Verdana" w:eastAsia="Calibri" w:hAnsi="Verdana"/>
      <w:i/>
      <w:noProof/>
      <w:sz w:val="18"/>
      <w:szCs w:val="18"/>
      <w:lang w:eastAsia="en-US"/>
    </w:rPr>
  </w:style>
  <w:style w:type="paragraph" w:customStyle="1" w:styleId="Text9pItalicCentered">
    <w:name w:val="Text_9p_Italic_Centered"/>
    <w:qFormat/>
    <w:pPr>
      <w:jc w:val="center"/>
    </w:pPr>
    <w:rPr>
      <w:rFonts w:ascii="Verdana" w:eastAsia="Calibri" w:hAnsi="Verdana"/>
      <w:i/>
      <w:noProof/>
      <w:sz w:val="18"/>
      <w:szCs w:val="18"/>
      <w:lang w:eastAsia="en-US"/>
    </w:rPr>
  </w:style>
  <w:style w:type="paragraph" w:customStyle="1" w:styleId="Figures9pBoldRight025">
    <w:name w:val="Figures_9p_Bold_Right_0.25"/>
    <w:qFormat/>
    <w:pPr>
      <w:ind w:right="142"/>
      <w:jc w:val="right"/>
    </w:pPr>
    <w:rPr>
      <w:rFonts w:ascii="Verdana" w:eastAsia="Calibri" w:hAnsi="Verdana"/>
      <w:b/>
      <w:noProof/>
      <w:sz w:val="18"/>
      <w:szCs w:val="18"/>
      <w:lang w:eastAsia="en-US"/>
    </w:rPr>
  </w:style>
  <w:style w:type="paragraph" w:customStyle="1" w:styleId="Text9pItalicBoldLeft">
    <w:name w:val="Text_9p_ItalicBold_Left"/>
    <w:qFormat/>
    <w:pPr>
      <w:pBdr>
        <w:top w:val="nil"/>
        <w:left w:val="nil"/>
        <w:bottom w:val="nil"/>
        <w:right w:val="nil"/>
        <w:between w:val="nil"/>
        <w:bar w:val="nil"/>
      </w:pBdr>
    </w:pPr>
    <w:rPr>
      <w:rFonts w:ascii="Verdana" w:eastAsia="Calibri" w:hAnsi="Verdana"/>
      <w:b/>
      <w:i/>
      <w:noProof/>
      <w:sz w:val="18"/>
      <w:szCs w:val="18"/>
      <w:bdr w:val="nil"/>
      <w:lang w:eastAsia="en-US"/>
    </w:rPr>
  </w:style>
  <w:style w:type="paragraph" w:customStyle="1" w:styleId="Heading9pNormalCentered">
    <w:name w:val="Heading_9p_Normal_Centered"/>
    <w:qFormat/>
    <w:pPr>
      <w:pBdr>
        <w:top w:val="nil"/>
        <w:left w:val="nil"/>
        <w:bottom w:val="nil"/>
        <w:right w:val="nil"/>
        <w:between w:val="nil"/>
        <w:bar w:val="nil"/>
      </w:pBdr>
      <w:jc w:val="center"/>
    </w:pPr>
    <w:rPr>
      <w:rFonts w:ascii="Verdana" w:hAnsi="Verdana" w:cs="Calibri"/>
      <w:bCs/>
      <w:color w:val="FFFFFF"/>
      <w:sz w:val="18"/>
      <w:szCs w:val="22"/>
      <w:bdr w:val="nil"/>
    </w:rPr>
  </w:style>
  <w:style w:type="paragraph" w:customStyle="1" w:styleId="Text9pBoldLeft025">
    <w:name w:val="Text_9p_Bold_Left_0.25"/>
    <w:qFormat/>
    <w:pPr>
      <w:pBdr>
        <w:top w:val="nil"/>
        <w:left w:val="nil"/>
        <w:bottom w:val="nil"/>
        <w:right w:val="nil"/>
        <w:between w:val="nil"/>
        <w:bar w:val="nil"/>
      </w:pBdr>
      <w:ind w:left="142"/>
    </w:pPr>
    <w:rPr>
      <w:rFonts w:ascii="Verdana" w:eastAsia="Calibri" w:hAnsi="Verdana"/>
      <w:b/>
      <w:noProof/>
      <w:sz w:val="18"/>
      <w:szCs w:val="18"/>
      <w:bdr w:val="nil"/>
      <w:lang w:eastAsia="en-US"/>
    </w:rPr>
  </w:style>
  <w:style w:type="paragraph" w:customStyle="1" w:styleId="Figures9pItalicCentered">
    <w:name w:val="Figures_9p_Italic_Centered"/>
    <w:qFormat/>
    <w:pPr>
      <w:pBdr>
        <w:top w:val="nil"/>
        <w:left w:val="nil"/>
        <w:bottom w:val="nil"/>
        <w:right w:val="nil"/>
        <w:between w:val="nil"/>
        <w:bar w:val="nil"/>
      </w:pBdr>
      <w:jc w:val="center"/>
    </w:pPr>
    <w:rPr>
      <w:rFonts w:ascii="Verdana" w:eastAsia="Calibri" w:hAnsi="Verdana"/>
      <w:i/>
      <w:noProof/>
      <w:sz w:val="18"/>
      <w:szCs w:val="18"/>
      <w:bdr w:val="nil"/>
      <w:lang w:eastAsia="en-US"/>
    </w:rPr>
  </w:style>
  <w:style w:type="character" w:styleId="FootnoteReference">
    <w:name w:val="footnote reference"/>
    <w:uiPriority w:val="99"/>
    <w:semiHidden/>
    <w:unhideWhenUsed/>
    <w:rPr>
      <w:vertAlign w:val="superscript"/>
    </w:rPr>
  </w:style>
  <w:style w:type="paragraph" w:customStyle="1" w:styleId="Text6pNormalLeft">
    <w:name w:val="Text_6p_Normal_Left"/>
    <w:qFormat/>
    <w:pPr>
      <w:pBdr>
        <w:top w:val="nil"/>
        <w:left w:val="nil"/>
        <w:bottom w:val="nil"/>
        <w:right w:val="nil"/>
        <w:between w:val="nil"/>
        <w:bar w:val="nil"/>
      </w:pBdr>
    </w:pPr>
    <w:rPr>
      <w:rFonts w:ascii="Verdana" w:eastAsia="Calibri" w:hAnsi="Verdana"/>
      <w:bCs/>
      <w:noProof/>
      <w:sz w:val="12"/>
      <w:bdr w:val="nil"/>
      <w:lang w:eastAsia="en-US"/>
    </w:rPr>
  </w:style>
  <w:style w:type="paragraph" w:customStyle="1" w:styleId="Heading8pNormalLeft">
    <w:name w:val="Heading_8p_Normal_Left"/>
    <w:qFormat/>
    <w:pPr>
      <w:pBdr>
        <w:top w:val="nil"/>
        <w:left w:val="nil"/>
        <w:bottom w:val="nil"/>
        <w:right w:val="nil"/>
        <w:between w:val="nil"/>
        <w:bar w:val="nil"/>
      </w:pBdr>
    </w:pPr>
    <w:rPr>
      <w:rFonts w:ascii="Verdana" w:hAnsi="Verdana" w:cs="Calibri"/>
      <w:bCs/>
      <w:color w:val="FFFFFF"/>
      <w:sz w:val="16"/>
      <w:szCs w:val="22"/>
      <w:bdr w:val="nil"/>
    </w:rPr>
  </w:style>
  <w:style w:type="paragraph" w:customStyle="1" w:styleId="Heading8pNormalCentered">
    <w:name w:val="Heading_8p_Normal_Centered"/>
    <w:qFormat/>
    <w:pPr>
      <w:pBdr>
        <w:top w:val="nil"/>
        <w:left w:val="nil"/>
        <w:bottom w:val="nil"/>
        <w:right w:val="nil"/>
        <w:between w:val="nil"/>
        <w:bar w:val="nil"/>
      </w:pBdr>
      <w:jc w:val="center"/>
    </w:pPr>
    <w:rPr>
      <w:rFonts w:ascii="Verdana" w:eastAsia="Calibri" w:hAnsi="Verdana"/>
      <w:noProof/>
      <w:color w:val="FFFFFF"/>
      <w:sz w:val="16"/>
      <w:szCs w:val="30"/>
      <w:bdr w:val="nil"/>
      <w:lang w:eastAsia="en-US"/>
    </w:rPr>
  </w:style>
  <w:style w:type="paragraph" w:customStyle="1" w:styleId="Figures8pItalicRight025">
    <w:name w:val="Figures_8p_Italic_Right_0.25"/>
    <w:qFormat/>
    <w:pPr>
      <w:pBdr>
        <w:top w:val="nil"/>
        <w:left w:val="nil"/>
        <w:bottom w:val="nil"/>
        <w:right w:val="nil"/>
        <w:between w:val="nil"/>
        <w:bar w:val="nil"/>
      </w:pBdr>
      <w:ind w:right="142"/>
      <w:jc w:val="right"/>
    </w:pPr>
    <w:rPr>
      <w:rFonts w:ascii="Verdana" w:eastAsia="Calibri" w:hAnsi="Verdana"/>
      <w:i/>
      <w:noProof/>
      <w:sz w:val="16"/>
      <w:szCs w:val="18"/>
      <w:bdr w:val="nil"/>
      <w:lang w:eastAsia="en-US"/>
    </w:rPr>
  </w:style>
  <w:style w:type="paragraph" w:customStyle="1" w:styleId="Text8pBoldLeft">
    <w:name w:val="Text_8p_Bold_Left"/>
    <w:qFormat/>
    <w:pPr>
      <w:pBdr>
        <w:top w:val="nil"/>
        <w:left w:val="nil"/>
        <w:bottom w:val="nil"/>
        <w:right w:val="nil"/>
        <w:between w:val="nil"/>
        <w:bar w:val="nil"/>
      </w:pBdr>
    </w:pPr>
    <w:rPr>
      <w:rFonts w:ascii="Verdana" w:eastAsia="Calibri" w:hAnsi="Verdana"/>
      <w:b/>
      <w:bCs/>
      <w:noProof/>
      <w:sz w:val="16"/>
      <w:bdr w:val="nil"/>
      <w:lang w:eastAsia="en-US"/>
    </w:rPr>
  </w:style>
  <w:style w:type="paragraph" w:customStyle="1" w:styleId="Figures8pBoldRight025">
    <w:name w:val="Figures_8p_Bold_Right_0.25"/>
    <w:qFormat/>
    <w:pPr>
      <w:pBdr>
        <w:top w:val="nil"/>
        <w:left w:val="nil"/>
        <w:bottom w:val="nil"/>
        <w:right w:val="nil"/>
        <w:between w:val="nil"/>
        <w:bar w:val="nil"/>
      </w:pBdr>
      <w:ind w:right="142"/>
      <w:jc w:val="right"/>
    </w:pPr>
    <w:rPr>
      <w:rFonts w:ascii="Verdana" w:eastAsia="Calibri" w:hAnsi="Verdana"/>
      <w:b/>
      <w:bCs/>
      <w:noProof/>
      <w:sz w:val="16"/>
      <w:bdr w:val="nil"/>
      <w:lang w:eastAsia="en-US"/>
    </w:rPr>
  </w:style>
  <w:style w:type="paragraph" w:customStyle="1" w:styleId="Heading10pNormalCentered">
    <w:name w:val="Heading_10p_Normal_Centered"/>
    <w:qFormat/>
    <w:pPr>
      <w:pBdr>
        <w:top w:val="nil"/>
        <w:left w:val="nil"/>
        <w:bottom w:val="nil"/>
        <w:right w:val="nil"/>
        <w:between w:val="nil"/>
        <w:bar w:val="nil"/>
      </w:pBdr>
      <w:jc w:val="center"/>
    </w:pPr>
    <w:rPr>
      <w:rFonts w:ascii="Verdana" w:eastAsia="Calibri" w:hAnsi="Verdana"/>
      <w:noProof/>
      <w:color w:val="FFFFFF"/>
      <w:szCs w:val="30"/>
      <w:bdr w:val="nil"/>
      <w:lang w:eastAsia="en-US"/>
    </w:rPr>
  </w:style>
  <w:style w:type="paragraph" w:customStyle="1" w:styleId="Figures9pItalicBoldRight025">
    <w:name w:val="Figures_9p_ItalicBold_Right_0.25"/>
    <w:qFormat/>
    <w:pPr>
      <w:ind w:right="142"/>
      <w:jc w:val="right"/>
    </w:pPr>
    <w:rPr>
      <w:rFonts w:ascii="Verdana" w:eastAsia="Calibri" w:hAnsi="Verdana"/>
      <w:b/>
      <w:i/>
      <w:noProof/>
      <w:sz w:val="18"/>
      <w:szCs w:val="18"/>
      <w:lang w:eastAsia="en-US"/>
    </w:rPr>
  </w:style>
  <w:style w:type="paragraph" w:customStyle="1" w:styleId="Text9pItalicleftBlue">
    <w:name w:val="Text_9p_Italic_left_Blue"/>
    <w:qFormat/>
    <w:rPr>
      <w:rFonts w:ascii="Verdana" w:eastAsia="Calibri" w:hAnsi="Verdana"/>
      <w:i/>
      <w:noProof/>
      <w:color w:val="016794"/>
      <w:sz w:val="18"/>
      <w:szCs w:val="18"/>
      <w:lang w:eastAsia="en-US"/>
    </w:rPr>
  </w:style>
  <w:style w:type="paragraph" w:customStyle="1" w:styleId="Figures9pItalicBlueRight">
    <w:name w:val="Figures_9p_Italic_Blue_Right"/>
    <w:basedOn w:val="Figures9pItalicBoldRight025"/>
    <w:qFormat/>
    <w:rPr>
      <w:b w:val="0"/>
      <w:color w:val="016794"/>
    </w:rPr>
  </w:style>
  <w:style w:type="paragraph" w:customStyle="1" w:styleId="Text9pNormalLeft">
    <w:name w:val="Text_9p_Normal_Left"/>
    <w:basedOn w:val="Text9pItalicLeft"/>
    <w:qFormat/>
    <w:rPr>
      <w:i w:val="0"/>
    </w:rPr>
  </w:style>
  <w:style w:type="paragraph" w:customStyle="1" w:styleId="Figures9pNormalRight025">
    <w:name w:val="Figures_9p_Normal_Right_0.25"/>
    <w:basedOn w:val="Figures9pItalicRight025"/>
    <w:qFormat/>
    <w:rPr>
      <w:i w:val="0"/>
    </w:rPr>
  </w:style>
  <w:style w:type="paragraph" w:customStyle="1" w:styleId="Text7pItalicRight025">
    <w:name w:val="Text_7p_Italic_Right_0.25"/>
    <w:basedOn w:val="Text8pItalicRight025EUR"/>
    <w:qFormat/>
    <w:rPr>
      <w:sz w:val="14"/>
    </w:rPr>
  </w:style>
  <w:style w:type="paragraph" w:customStyle="1" w:styleId="Figures8pItalicBlueRight">
    <w:name w:val="Figures_8p_Italic_Blue_Right"/>
    <w:basedOn w:val="Figures9pItalicBlueRight"/>
    <w:qFormat/>
    <w:rPr>
      <w:sz w:val="16"/>
    </w:rPr>
  </w:style>
  <w:style w:type="paragraph" w:customStyle="1" w:styleId="Heading9pNormalLeft">
    <w:name w:val="Heading_9p_Normal_Left"/>
    <w:basedOn w:val="Heading9pNormalCentered"/>
    <w:qFormat/>
    <w:pPr>
      <w:pBdr>
        <w:top w:val="none" w:sz="0" w:space="0" w:color="auto"/>
        <w:left w:val="none" w:sz="0" w:space="0" w:color="auto"/>
        <w:bottom w:val="none" w:sz="0" w:space="0" w:color="auto"/>
        <w:right w:val="none" w:sz="0" w:space="0" w:color="auto"/>
        <w:between w:val="none" w:sz="0" w:space="0" w:color="auto"/>
        <w:bar w:val="none" w:sz="0" w:color="auto"/>
      </w:pBdr>
      <w:jc w:val="left"/>
    </w:pPr>
    <w:rPr>
      <w:bdr w:val="none" w:sz="0" w:space="0" w:color="auto"/>
    </w:rPr>
  </w:style>
  <w:style w:type="paragraph" w:customStyle="1" w:styleId="Text8pItalicleftBlue">
    <w:name w:val="Text_8p_Italic_left_Blue"/>
    <w:qFormat/>
    <w:pPr>
      <w:pBdr>
        <w:top w:val="nil"/>
        <w:left w:val="nil"/>
        <w:bottom w:val="nil"/>
        <w:right w:val="nil"/>
        <w:between w:val="nil"/>
        <w:bar w:val="nil"/>
      </w:pBdr>
    </w:pPr>
    <w:rPr>
      <w:rFonts w:ascii="Verdana" w:eastAsia="Calibri" w:hAnsi="Verdana"/>
      <w:i/>
      <w:noProof/>
      <w:color w:val="016794"/>
      <w:sz w:val="16"/>
      <w:szCs w:val="18"/>
      <w:bdr w:val="nil"/>
      <w:lang w:eastAsia="en-US"/>
    </w:rPr>
  </w:style>
  <w:style w:type="paragraph" w:customStyle="1" w:styleId="Heading9pNormalRight025">
    <w:name w:val="Heading_9p_Normal_Right_0.25"/>
    <w:basedOn w:val="Heading9pNormalCentered"/>
    <w:qFormat/>
    <w:pPr>
      <w:ind w:right="142"/>
      <w:jc w:val="right"/>
    </w:pPr>
  </w:style>
  <w:style w:type="paragraph" w:customStyle="1" w:styleId="Heading-9pNormalCentered">
    <w:name w:val="Heading-9p_Normal_Centered"/>
    <w:basedOn w:val="Heading10pNormalCentered"/>
    <w:qFormat/>
    <w:rPr>
      <w:sz w:val="18"/>
    </w:rPr>
  </w:style>
  <w:style w:type="paragraph" w:customStyle="1" w:styleId="Heading9pNormalRight01">
    <w:name w:val="Heading_9p_Normal_Right_0.1"/>
    <w:basedOn w:val="Heading9pNormalRight025"/>
    <w:qFormat/>
    <w:pPr>
      <w:ind w:right="57"/>
    </w:pPr>
  </w:style>
  <w:style w:type="paragraph" w:styleId="NoSpacing">
    <w:name w:val="No Spacing"/>
    <w:uiPriority w:val="1"/>
    <w:qFormat/>
    <w:pPr>
      <w:pBdr>
        <w:top w:val="nil"/>
        <w:left w:val="nil"/>
        <w:bottom w:val="nil"/>
        <w:right w:val="nil"/>
        <w:between w:val="nil"/>
        <w:bar w:val="nil"/>
      </w:pBdr>
    </w:pPr>
    <w:rPr>
      <w:rFonts w:ascii="Times New Roman" w:eastAsia="Calibri" w:hAnsi="Times New Roman"/>
      <w:bdr w:val="nil"/>
    </w:rPr>
  </w:style>
  <w:style w:type="paragraph" w:customStyle="1" w:styleId="Heading8pNormalRight025">
    <w:name w:val="Heading_8p_Normal_Right_0.25"/>
    <w:basedOn w:val="Heading10pNormalRight025"/>
    <w:qFormat/>
    <w:pPr>
      <w:pBdr>
        <w:top w:val="nil"/>
        <w:left w:val="nil"/>
        <w:bottom w:val="nil"/>
        <w:right w:val="nil"/>
        <w:between w:val="nil"/>
        <w:bar w:val="nil"/>
      </w:pBdr>
    </w:pPr>
    <w:rPr>
      <w:sz w:val="16"/>
      <w:bdr w:val="nil"/>
    </w:rPr>
  </w:style>
  <w:style w:type="paragraph" w:customStyle="1" w:styleId="Figures7pItalicRight025">
    <w:name w:val="Figures_7p_Italic_Right_0.25"/>
    <w:basedOn w:val="Figures8pItalicRight025"/>
    <w:qFormat/>
    <w:pPr>
      <w:pBdr>
        <w:top w:val="none" w:sz="0" w:space="0" w:color="auto"/>
        <w:left w:val="none" w:sz="0" w:space="0" w:color="auto"/>
        <w:bottom w:val="none" w:sz="0" w:space="0" w:color="auto"/>
        <w:right w:val="none" w:sz="0" w:space="0" w:color="auto"/>
        <w:between w:val="none" w:sz="0" w:space="0" w:color="auto"/>
        <w:bar w:val="none" w:sz="0" w:color="auto"/>
      </w:pBdr>
    </w:pPr>
    <w:rPr>
      <w:sz w:val="14"/>
      <w:bdr w:val="none" w:sz="0" w:space="0" w:color="auto"/>
    </w:rPr>
  </w:style>
  <w:style w:type="paragraph" w:customStyle="1" w:styleId="Figures7pBoldRight025">
    <w:name w:val="Figures_7p_Bold_Right_0.25"/>
    <w:qFormat/>
    <w:pPr>
      <w:ind w:right="142"/>
      <w:jc w:val="right"/>
    </w:pPr>
    <w:rPr>
      <w:rFonts w:ascii="Verdana" w:eastAsia="Calibri" w:hAnsi="Verdana"/>
      <w:b/>
      <w:noProof/>
      <w:sz w:val="14"/>
      <w:szCs w:val="18"/>
      <w:lang w:eastAsia="en-US"/>
    </w:rPr>
  </w:style>
  <w:style w:type="paragraph" w:customStyle="1" w:styleId="Figures55pBoldRight01">
    <w:name w:val="Figures_5.5p_Bold_Right_0.1"/>
    <w:basedOn w:val="Figures6pBoldRight01"/>
    <w:qFormat/>
    <w:rPr>
      <w:sz w:val="11"/>
      <w:szCs w:val="11"/>
    </w:rPr>
  </w:style>
  <w:style w:type="paragraph" w:customStyle="1" w:styleId="Figures6pBoldRight01">
    <w:name w:val="Figures_6p_Bold_Right_0.1"/>
    <w:basedOn w:val="Figures7pBoldRight025"/>
    <w:qFormat/>
    <w:pPr>
      <w:pBdr>
        <w:top w:val="nil"/>
        <w:left w:val="nil"/>
        <w:bottom w:val="nil"/>
        <w:right w:val="nil"/>
        <w:between w:val="nil"/>
        <w:bar w:val="nil"/>
      </w:pBdr>
      <w:ind w:right="57"/>
    </w:pPr>
    <w:rPr>
      <w:sz w:val="12"/>
      <w:szCs w:val="12"/>
      <w:bdr w:val="nil"/>
    </w:rPr>
  </w:style>
  <w:style w:type="paragraph" w:customStyle="1" w:styleId="DMETW15798BIP01Statementofcomparisonofbudgetandactualamounts">
    <w:name w:val="DM_ETW_15798_BIP_01_Statement_of_comparison_of_budget_and_actual_amounts"/>
    <w:rPr>
      <w:rFonts w:eastAsia="Calibri"/>
    </w:rPr>
  </w:style>
  <w:style w:type="paragraph" w:customStyle="1" w:styleId="DMETW15798BIP02BudgetexpenditurecommitmentsbyMFF">
    <w:name w:val="DM_ETW_15798_BIP_02_Budget_expenditure_commitments_by_MFF"/>
    <w:rPr>
      <w:rFonts w:eastAsia="Calibri"/>
    </w:rPr>
  </w:style>
  <w:style w:type="paragraph" w:customStyle="1" w:styleId="DMETW15798BIP03BudgetexpenditurePaymentsbyMFF">
    <w:name w:val="DM_ETW_15798_BIP_03_Budget_expenditure_Payments_by_MFF"/>
    <w:rPr>
      <w:rFonts w:eastAsia="Calibri"/>
    </w:rPr>
  </w:style>
  <w:style w:type="paragraph" w:customStyle="1" w:styleId="DMETW15798BIP04Implementationofbudgetrevenue">
    <w:name w:val="DM_ETW_15798_BIP_04_Implementation_of_budget_revenue"/>
    <w:rPr>
      <w:rFonts w:eastAsia="Calibri"/>
    </w:rPr>
  </w:style>
  <w:style w:type="paragraph" w:customStyle="1" w:styleId="DMETW15798BIP05MFFBreakdownincommitmandpayments">
    <w:name w:val="DM_ETW_15798_BIP_05_MFF_Breakdown_in_commitm_and_payments"/>
    <w:rPr>
      <w:rFonts w:eastAsia="Calibri"/>
    </w:rPr>
  </w:style>
  <w:style w:type="paragraph" w:customStyle="1" w:styleId="DMETW15798BIP06MFFImplemCommitments">
    <w:name w:val="DM_ETW_15798_BIP_06_MFF_Implem_Commitments"/>
    <w:rPr>
      <w:rFonts w:eastAsia="Calibri"/>
    </w:rPr>
  </w:style>
  <w:style w:type="paragraph" w:customStyle="1" w:styleId="DMETW15798BIP07MFFImplemPayments">
    <w:name w:val="DM_ETW_15798_BIP_07_MFF_Implem_Payments"/>
    <w:rPr>
      <w:rFonts w:eastAsia="Calibri"/>
    </w:rPr>
  </w:style>
  <w:style w:type="paragraph" w:customStyle="1" w:styleId="DMETW15798BIP08MFFMovementsincommitmentsoustanding">
    <w:name w:val="DM_ETW_15798_BIP_08_MFF_Movements_in_commitments_oustanding"/>
    <w:rPr>
      <w:rFonts w:eastAsia="Calibri"/>
    </w:rPr>
  </w:style>
  <w:style w:type="paragraph" w:customStyle="1" w:styleId="DMETW15798BIP09MFFCommitmentsoutstandingyearoforigin">
    <w:name w:val="DM_ETW_15798_BIP_09_MFF_Commitments_outstanding_year_of_origin"/>
    <w:rPr>
      <w:rFonts w:eastAsia="Calibri"/>
    </w:rPr>
  </w:style>
  <w:style w:type="paragraph" w:customStyle="1" w:styleId="DMETW15798BIP10PolAreaBreakdownCommitmPaym">
    <w:name w:val="DM_ETW_15798_BIP_10_PolArea_Breakdown_Commitm_Paym"/>
    <w:rPr>
      <w:rFonts w:eastAsia="Calibri"/>
    </w:rPr>
  </w:style>
  <w:style w:type="paragraph" w:customStyle="1" w:styleId="DMETW15798BIP11PolAreaImplemCommitments">
    <w:name w:val="DM_ETW_15798_BIP_11_PolArea_Implem_Commitments"/>
    <w:rPr>
      <w:rFonts w:eastAsia="Calibri"/>
    </w:rPr>
  </w:style>
  <w:style w:type="paragraph" w:customStyle="1" w:styleId="DMETW15798BIP12PolAreaImplemPayments">
    <w:name w:val="DM_ETW_15798_BIP_12_PolArea_Implem_Payments"/>
    <w:rPr>
      <w:rFonts w:eastAsia="Calibri"/>
    </w:rPr>
  </w:style>
  <w:style w:type="paragraph" w:customStyle="1" w:styleId="DMETW15798BIP13PolAreaMovementsincommitmentsoutstanding">
    <w:name w:val="DM_ETW_15798_BIP_13_PolArea_Movements_in_commitments_outstanding"/>
    <w:rPr>
      <w:rFonts w:eastAsia="Calibri"/>
    </w:rPr>
  </w:style>
  <w:style w:type="paragraph" w:customStyle="1" w:styleId="DMETW15798BIP14PolAreaCommitmentsoutstandingyearoforigin">
    <w:name w:val="DM_ETW_15798_BIP_14_PolArea_Commitments_outstanding_year_of_origin"/>
    <w:rPr>
      <w:rFonts w:eastAsia="Calibri"/>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CoverPageChar">
    <w:name w:val="CoverPage Char"/>
    <w:basedOn w:val="DefaultParagraphFont"/>
    <w:link w:val="CoverPage"/>
    <w:rPr>
      <w:rFonts w:ascii="Verdana" w:hAnsi="Verdana"/>
      <w:color w:val="016794"/>
      <w:sz w:val="52"/>
      <w:szCs w:val="52"/>
    </w:rPr>
  </w:style>
  <w:style w:type="character" w:customStyle="1" w:styleId="FooterCoverPageChar">
    <w:name w:val="Footer Cover Page Char"/>
    <w:basedOn w:val="CoverPageChar"/>
    <w:link w:val="FooterCoverPage"/>
    <w:rPr>
      <w:rFonts w:ascii="Times New Roman" w:hAnsi="Times New Roman"/>
      <w:color w:val="016794"/>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CoverPageChar"/>
    <w:link w:val="FooterSensitivity"/>
    <w:rPr>
      <w:rFonts w:ascii="Times New Roman" w:hAnsi="Times New Roman"/>
      <w:b/>
      <w:color w:val="016794"/>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overPageChar"/>
    <w:link w:val="HeaderCoverPage"/>
    <w:rPr>
      <w:rFonts w:ascii="Times New Roman" w:hAnsi="Times New Roman"/>
      <w:color w:val="016794"/>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overPageChar"/>
    <w:link w:val="HeaderSensitivity"/>
    <w:rPr>
      <w:rFonts w:ascii="Times New Roman" w:hAnsi="Times New Roman"/>
      <w:b/>
      <w:color w:val="016794"/>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
    <w:name w:val="CoverPage"/>
    <w:basedOn w:val="Normal"/>
    <w:link w:val="CoverPageChar"/>
    <w:qFormat/>
    <w:pPr>
      <w:spacing w:before="240" w:after="720" w:line="360" w:lineRule="auto"/>
      <w:ind w:left="2268"/>
    </w:pPr>
    <w:rPr>
      <w:rFonts w:ascii="Verdana" w:hAnsi="Verdana"/>
      <w:color w:val="016794"/>
      <w:sz w:val="52"/>
      <w:szCs w:val="52"/>
    </w:rPr>
  </w:style>
  <w:style w:type="paragraph" w:customStyle="1" w:styleId="FIRSTCHAPTERPAGE">
    <w:name w:val="FIRST_CHAPTER_PAGE"/>
    <w:basedOn w:val="Normal"/>
    <w:qFormat/>
    <w:pPr>
      <w:spacing w:before="240" w:after="720"/>
    </w:pPr>
    <w:rPr>
      <w:rFonts w:ascii="Verdana" w:hAnsi="Verdana"/>
      <w:b/>
      <w:color w:val="016794"/>
      <w:sz w:val="40"/>
      <w:szCs w:val="4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lang w:eastAsia="en-GB"/>
    </w:rPr>
  </w:style>
  <w:style w:type="paragraph" w:customStyle="1" w:styleId="FinancialYear">
    <w:name w:val="Financial_Year"/>
    <w:basedOn w:val="Normal"/>
    <w:qFormat/>
    <w:pPr>
      <w:jc w:val="right"/>
    </w:pPr>
    <w:rPr>
      <w:rFonts w:ascii="Verdana" w:hAnsi="Verdana"/>
      <w:color w:val="016794"/>
      <w:sz w:val="22"/>
      <w:szCs w:val="22"/>
    </w:rPr>
  </w:style>
  <w:style w:type="paragraph" w:customStyle="1" w:styleId="TOPHEADERNOTE">
    <w:name w:val="TOPHEADER_NOTE"/>
    <w:basedOn w:val="Normal"/>
    <w:qFormat/>
    <w:rPr>
      <w:rFonts w:ascii="Verdana" w:hAnsi="Verdana"/>
      <w:i/>
      <w:color w:val="016794"/>
      <w:sz w:val="18"/>
    </w:rPr>
  </w:style>
  <w:style w:type="paragraph" w:customStyle="1" w:styleId="HEADERTABLE">
    <w:name w:val="HEADER_TABLE"/>
    <w:basedOn w:val="Normal"/>
    <w:qFormat/>
    <w:pPr>
      <w:spacing w:after="240"/>
    </w:pPr>
    <w:rPr>
      <w:rFonts w:ascii="Verdana" w:hAnsi="Verdana"/>
      <w:b/>
      <w:color w:val="016794"/>
      <w:sz w:val="28"/>
      <w:szCs w:val="28"/>
    </w:rPr>
  </w:style>
  <w:style w:type="paragraph" w:customStyle="1" w:styleId="Textstand-alonenumberingLetters">
    <w:name w:val="Text_stand-alone_(numbering Letters)"/>
    <w:basedOn w:val="Normal"/>
    <w:qFormat/>
    <w:pPr>
      <w:numPr>
        <w:numId w:val="2"/>
      </w:numPr>
      <w:spacing w:after="240"/>
      <w:ind w:hanging="720"/>
    </w:pPr>
    <w:rPr>
      <w:rFonts w:ascii="Verdana" w:hAnsi="Verdana"/>
      <w:sz w:val="18"/>
      <w:szCs w:val="18"/>
    </w:rPr>
  </w:style>
  <w:style w:type="paragraph" w:customStyle="1" w:styleId="SignatureRightItalic">
    <w:name w:val="Signature_Right + Italic"/>
    <w:basedOn w:val="Normal"/>
    <w:qFormat/>
    <w:pPr>
      <w:spacing w:before="240"/>
      <w:ind w:left="4394" w:right="1128"/>
      <w:jc w:val="center"/>
    </w:pPr>
    <w:rPr>
      <w:rFonts w:ascii="Verdana" w:hAnsi="Verdana"/>
      <w:i/>
      <w:sz w:val="18"/>
      <w:szCs w:val="18"/>
    </w:rPr>
  </w:style>
  <w:style w:type="paragraph" w:customStyle="1" w:styleId="HEADER3Part1">
    <w:name w:val="HEADER 3_Part 1"/>
    <w:basedOn w:val="Normal"/>
    <w:qFormat/>
    <w:pPr>
      <w:numPr>
        <w:ilvl w:val="2"/>
        <w:numId w:val="4"/>
      </w:numPr>
      <w:tabs>
        <w:tab w:val="left" w:pos="907"/>
      </w:tabs>
      <w:spacing w:before="360" w:after="360"/>
    </w:pPr>
    <w:rPr>
      <w:rFonts w:ascii="Verdana" w:hAnsi="Verdana"/>
      <w:color w:val="016794"/>
      <w:sz w:val="20"/>
      <w:szCs w:val="20"/>
    </w:rPr>
  </w:style>
  <w:style w:type="paragraph" w:customStyle="1" w:styleId="HEADER4Part1">
    <w:name w:val="HEADER 4_Part 1"/>
    <w:basedOn w:val="HEADER3Part1"/>
    <w:qFormat/>
    <w:pPr>
      <w:numPr>
        <w:ilvl w:val="3"/>
        <w:numId w:val="25"/>
      </w:numPr>
    </w:pPr>
    <w:rPr>
      <w:sz w:val="18"/>
      <w:szCs w:val="18"/>
    </w:rPr>
  </w:style>
  <w:style w:type="paragraph" w:customStyle="1" w:styleId="HEADER2Part1">
    <w:name w:val="HEADER 2 _Part 1"/>
    <w:basedOn w:val="Normal"/>
    <w:qFormat/>
    <w:pPr>
      <w:numPr>
        <w:ilvl w:val="1"/>
        <w:numId w:val="4"/>
      </w:numPr>
      <w:tabs>
        <w:tab w:val="left" w:pos="907"/>
      </w:tabs>
      <w:spacing w:before="360" w:after="360"/>
    </w:pPr>
    <w:rPr>
      <w:rFonts w:ascii="Verdana" w:hAnsi="Verdana"/>
      <w:b/>
      <w:color w:val="016794"/>
      <w:sz w:val="28"/>
    </w:rPr>
  </w:style>
  <w:style w:type="paragraph" w:customStyle="1" w:styleId="Textstand-alonenumberingRCIndentJustified">
    <w:name w:val="Text_stand-alone_numbering RC Indent + Justified"/>
    <w:basedOn w:val="Normal"/>
    <w:qFormat/>
    <w:pPr>
      <w:numPr>
        <w:numId w:val="12"/>
      </w:numPr>
      <w:ind w:left="992" w:hanging="635"/>
    </w:pPr>
    <w:rPr>
      <w:rFonts w:ascii="Verdana" w:hAnsi="Verdana"/>
      <w:sz w:val="18"/>
      <w:szCs w:val="18"/>
    </w:rPr>
  </w:style>
  <w:style w:type="paragraph" w:customStyle="1" w:styleId="HEADER1Part2">
    <w:name w:val="HEADER 1_Part 2"/>
    <w:basedOn w:val="Normal"/>
    <w:qFormat/>
    <w:pPr>
      <w:numPr>
        <w:numId w:val="11"/>
      </w:numPr>
      <w:tabs>
        <w:tab w:val="left" w:pos="907"/>
      </w:tabs>
      <w:spacing w:after="240"/>
      <w:jc w:val="both"/>
    </w:pPr>
    <w:rPr>
      <w:rFonts w:ascii="Verdana" w:hAnsi="Verdana"/>
      <w:b/>
      <w:color w:val="016794"/>
      <w:sz w:val="32"/>
      <w:szCs w:val="32"/>
    </w:rPr>
  </w:style>
  <w:style w:type="paragraph" w:customStyle="1" w:styleId="HEADER2Part2">
    <w:name w:val="HEADER 2_Part 2"/>
    <w:basedOn w:val="Normal"/>
    <w:qFormat/>
    <w:pPr>
      <w:numPr>
        <w:ilvl w:val="1"/>
        <w:numId w:val="11"/>
      </w:numPr>
      <w:tabs>
        <w:tab w:val="left" w:pos="907"/>
      </w:tabs>
      <w:spacing w:before="360" w:after="360"/>
    </w:pPr>
    <w:rPr>
      <w:rFonts w:ascii="Verdana" w:hAnsi="Verdana"/>
      <w:b/>
      <w:color w:val="016794"/>
      <w:sz w:val="28"/>
      <w:szCs w:val="28"/>
    </w:rPr>
  </w:style>
  <w:style w:type="paragraph" w:customStyle="1" w:styleId="HEADER3Part2">
    <w:name w:val="HEADER 3_Part 2"/>
    <w:basedOn w:val="HEADER3Part1"/>
    <w:qFormat/>
    <w:pPr>
      <w:numPr>
        <w:numId w:val="11"/>
      </w:numPr>
    </w:pPr>
  </w:style>
  <w:style w:type="paragraph" w:customStyle="1" w:styleId="HEADER4Part2">
    <w:name w:val="HEADER 4_Part 2"/>
    <w:basedOn w:val="HEADER4Part1"/>
    <w:qFormat/>
    <w:pPr>
      <w:numPr>
        <w:numId w:val="11"/>
      </w:numPr>
    </w:pPr>
  </w:style>
  <w:style w:type="paragraph" w:customStyle="1" w:styleId="HEADER5">
    <w:name w:val="HEADER 5"/>
    <w:basedOn w:val="Normal"/>
    <w:qFormat/>
    <w:rPr>
      <w:rFonts w:ascii="Verdana" w:hAnsi="Verdana"/>
      <w:color w:val="016794"/>
      <w:sz w:val="18"/>
      <w:szCs w:val="18"/>
    </w:rPr>
  </w:style>
  <w:style w:type="paragraph" w:customStyle="1" w:styleId="TOCTitle">
    <w:name w:val="TOC_Title"/>
    <w:basedOn w:val="Normal"/>
    <w:qFormat/>
    <w:pPr>
      <w:spacing w:before="360" w:after="120"/>
    </w:pPr>
    <w:rPr>
      <w:rFonts w:ascii="Verdana" w:hAnsi="Verdana"/>
      <w:b/>
      <w:color w:val="016794"/>
      <w:sz w:val="40"/>
      <w:szCs w:val="40"/>
    </w:rPr>
  </w:style>
  <w:style w:type="paragraph" w:customStyle="1" w:styleId="HEADER1Part3">
    <w:name w:val="HEADER 1_Part 3"/>
    <w:basedOn w:val="Normal"/>
    <w:qFormat/>
    <w:pPr>
      <w:numPr>
        <w:numId w:val="5"/>
      </w:numPr>
      <w:tabs>
        <w:tab w:val="left" w:pos="907"/>
      </w:tabs>
      <w:spacing w:after="240"/>
    </w:pPr>
    <w:rPr>
      <w:rFonts w:ascii="Verdana" w:hAnsi="Verdana"/>
      <w:b/>
      <w:color w:val="016794"/>
      <w:sz w:val="32"/>
      <w:szCs w:val="32"/>
    </w:rPr>
  </w:style>
  <w:style w:type="paragraph" w:customStyle="1" w:styleId="HEADER2Part3">
    <w:name w:val="HEADER 2_Part 3"/>
    <w:basedOn w:val="Normal"/>
    <w:qFormat/>
    <w:pPr>
      <w:numPr>
        <w:ilvl w:val="1"/>
        <w:numId w:val="5"/>
      </w:numPr>
      <w:tabs>
        <w:tab w:val="left" w:pos="907"/>
      </w:tabs>
      <w:spacing w:before="360" w:after="360"/>
    </w:pPr>
    <w:rPr>
      <w:rFonts w:ascii="Verdana" w:hAnsi="Verdana"/>
      <w:b/>
      <w:noProof/>
      <w:color w:val="016794"/>
      <w:sz w:val="28"/>
      <w:szCs w:val="30"/>
      <w:lang w:eastAsia="en-US"/>
    </w:rPr>
  </w:style>
  <w:style w:type="paragraph" w:customStyle="1" w:styleId="HEADER3Part3">
    <w:name w:val="HEADER 3_Part 3"/>
    <w:basedOn w:val="HEADER3Part1"/>
    <w:qFormat/>
    <w:pPr>
      <w:numPr>
        <w:numId w:val="5"/>
      </w:numPr>
    </w:pPr>
  </w:style>
  <w:style w:type="paragraph" w:customStyle="1" w:styleId="HEADER4Part3">
    <w:name w:val="HEADER 4_Part 3"/>
    <w:basedOn w:val="HEADER4Part1"/>
    <w:qFormat/>
    <w:pPr>
      <w:numPr>
        <w:ilvl w:val="0"/>
        <w:numId w:val="14"/>
      </w:numPr>
      <w:spacing w:before="0" w:after="0"/>
      <w:ind w:left="907" w:hanging="907"/>
    </w:pPr>
  </w:style>
  <w:style w:type="paragraph" w:customStyle="1" w:styleId="SignatureRight">
    <w:name w:val="Signature_Right"/>
    <w:basedOn w:val="SignatureRightItalic"/>
    <w:qFormat/>
    <w:rPr>
      <w:i w:val="0"/>
    </w:rPr>
  </w:style>
  <w:style w:type="paragraph" w:customStyle="1" w:styleId="SignatureRightBold">
    <w:name w:val="Signature_Right Bold"/>
    <w:basedOn w:val="SignatureRight"/>
    <w:qFormat/>
    <w:pPr>
      <w:spacing w:before="120" w:after="120"/>
    </w:pPr>
    <w:rPr>
      <w:b/>
    </w:rPr>
  </w:style>
  <w:style w:type="paragraph" w:customStyle="1" w:styleId="Textstand-alone">
    <w:name w:val="Text_stand-alone"/>
    <w:basedOn w:val="Normal"/>
    <w:qFormat/>
    <w:pPr>
      <w:spacing w:before="240" w:after="240"/>
      <w:jc w:val="both"/>
    </w:pPr>
    <w:rPr>
      <w:rFonts w:ascii="Verdana" w:hAnsi="Verdana"/>
      <w:noProof/>
      <w:sz w:val="18"/>
      <w:szCs w:val="18"/>
      <w:lang w:eastAsia="en-US"/>
    </w:rPr>
  </w:style>
  <w:style w:type="paragraph" w:customStyle="1" w:styleId="SignatureRightItalic0">
    <w:name w:val="Signature_Right Italic"/>
    <w:basedOn w:val="SignatureRightBold"/>
    <w:qFormat/>
    <w:rPr>
      <w:b w:val="0"/>
      <w:i/>
    </w:rPr>
  </w:style>
  <w:style w:type="paragraph" w:customStyle="1" w:styleId="SubTextIndentJustified">
    <w:name w:val="SubText_Indent_Justified"/>
    <w:basedOn w:val="Normal"/>
    <w:qFormat/>
    <w:pPr>
      <w:spacing w:after="240"/>
      <w:ind w:left="720"/>
    </w:pPr>
    <w:rPr>
      <w:rFonts w:ascii="Verdana" w:hAnsi="Verdana"/>
      <w:sz w:val="18"/>
      <w:szCs w:val="18"/>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rFonts w:ascii="Times New Roman" w:eastAsia="Times New Roman" w:hAnsi="Times New Roman" w:cs="Times New Roman"/>
      <w:sz w:val="24"/>
      <w:szCs w:val="24"/>
      <w:lang w:eastAsia="en-GB"/>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rPr>
      <w:rFonts w:ascii="Times New Roman" w:eastAsia="Times New Roman" w:hAnsi="Times New Roman" w:cs="Times New Roman"/>
      <w:sz w:val="24"/>
      <w:szCs w:val="24"/>
      <w:lang w:eastAsia="en-GB"/>
    </w:rPr>
  </w:style>
  <w:style w:type="character" w:customStyle="1" w:styleId="Heading1Char">
    <w:name w:val="Heading 1 Char"/>
    <w:link w:val="Heading1"/>
    <w:rPr>
      <w:rFonts w:ascii="Cambria" w:eastAsia="Times New Roman" w:hAnsi="Cambria" w:cs="Times New Roman"/>
      <w:b/>
      <w:bCs/>
      <w:color w:val="365F91"/>
      <w:sz w:val="28"/>
      <w:szCs w:val="28"/>
      <w:lang w:eastAsia="en-GB"/>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HEADER1Part1">
    <w:name w:val="HEADER 1_Part 1"/>
    <w:basedOn w:val="HEADER1Part3"/>
    <w:qFormat/>
    <w:pPr>
      <w:numPr>
        <w:numId w:val="4"/>
      </w:numPr>
      <w:jc w:val="both"/>
    </w:pPr>
  </w:style>
  <w:style w:type="paragraph" w:customStyle="1" w:styleId="Textstand-alonebulletpointJustified">
    <w:name w:val="Text_stand-alone_bullet point + Justified"/>
    <w:basedOn w:val="Normal"/>
    <w:qFormat/>
    <w:pPr>
      <w:numPr>
        <w:numId w:val="7"/>
      </w:numPr>
      <w:spacing w:after="240"/>
      <w:contextualSpacing/>
      <w:jc w:val="both"/>
    </w:pPr>
    <w:rPr>
      <w:rFonts w:ascii="Verdana" w:hAnsi="Verdana"/>
      <w:sz w:val="18"/>
    </w:rPr>
  </w:style>
  <w:style w:type="paragraph" w:customStyle="1" w:styleId="TextSubtitlenumberingRCItalic">
    <w:name w:val="Text_Subtitle_(numbering RC Italic)"/>
    <w:basedOn w:val="Normal"/>
    <w:qFormat/>
    <w:pPr>
      <w:numPr>
        <w:numId w:val="1"/>
      </w:numPr>
    </w:pPr>
    <w:rPr>
      <w:rFonts w:ascii="Verdana" w:hAnsi="Verdana"/>
      <w:i/>
      <w:sz w:val="18"/>
      <w:szCs w:val="18"/>
    </w:rPr>
  </w:style>
  <w:style w:type="paragraph" w:customStyle="1" w:styleId="TextstandalonenumberingRCJustified">
    <w:name w:val="Text_stand alone_(numbering RC + Justified)"/>
    <w:qFormat/>
    <w:pPr>
      <w:numPr>
        <w:numId w:val="9"/>
      </w:numPr>
      <w:pBdr>
        <w:top w:val="nil"/>
        <w:left w:val="nil"/>
        <w:bottom w:val="nil"/>
        <w:right w:val="nil"/>
        <w:between w:val="nil"/>
        <w:bar w:val="nil"/>
      </w:pBdr>
      <w:spacing w:before="240"/>
      <w:ind w:left="567" w:hanging="567"/>
      <w:jc w:val="both"/>
    </w:pPr>
    <w:rPr>
      <w:rFonts w:ascii="Verdana" w:eastAsia="Calibri" w:hAnsi="Verdana"/>
      <w:noProof/>
      <w:sz w:val="18"/>
      <w:szCs w:val="18"/>
      <w:bdr w:val="nil"/>
      <w:lang w:eastAsia="en-US"/>
    </w:rPr>
  </w:style>
  <w:style w:type="paragraph" w:customStyle="1" w:styleId="Textstand-alonenumberingJustified">
    <w:name w:val="Text_stand-alone_(numbering) + Justified"/>
    <w:basedOn w:val="Normal"/>
    <w:qFormat/>
    <w:pPr>
      <w:numPr>
        <w:numId w:val="6"/>
      </w:numPr>
      <w:spacing w:after="240"/>
      <w:ind w:hanging="720"/>
      <w:jc w:val="both"/>
    </w:pPr>
    <w:rPr>
      <w:rFonts w:ascii="Verdana" w:hAnsi="Verdana"/>
      <w:sz w:val="18"/>
      <w:szCs w:val="18"/>
    </w:rPr>
  </w:style>
  <w:style w:type="paragraph" w:customStyle="1" w:styleId="Textstand-aloneBulletpoint">
    <w:name w:val="Text_stand-alone Bullet point"/>
    <w:basedOn w:val="Normal"/>
    <w:qFormat/>
    <w:pPr>
      <w:numPr>
        <w:numId w:val="10"/>
      </w:numPr>
      <w:spacing w:after="240"/>
      <w:ind w:left="357" w:hanging="357"/>
      <w:contextualSpacing/>
    </w:pPr>
    <w:rPr>
      <w:rFonts w:ascii="Verdana" w:hAnsi="Verdana"/>
      <w:sz w:val="18"/>
      <w:szCs w:val="18"/>
    </w:rPr>
  </w:style>
  <w:style w:type="paragraph" w:customStyle="1" w:styleId="TextSubtitleItalicnumberinglettera">
    <w:name w:val="Text_Subtitle Italic numbering letter (a)"/>
    <w:basedOn w:val="Normal"/>
    <w:qFormat/>
    <w:pPr>
      <w:numPr>
        <w:numId w:val="3"/>
      </w:numPr>
      <w:ind w:left="357" w:hanging="357"/>
    </w:pPr>
    <w:rPr>
      <w:rFonts w:ascii="Verdana" w:hAnsi="Verdana"/>
      <w: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paragraph" w:customStyle="1" w:styleId="DGTextstand-alonenumbering">
    <w:name w:val="DG_Text_stand-alone_(numbering)"/>
    <w:qFormat/>
    <w:pPr>
      <w:numPr>
        <w:numId w:val="13"/>
      </w:numPr>
      <w:spacing w:after="240"/>
      <w:ind w:hanging="720"/>
    </w:pPr>
    <w:rPr>
      <w:rFonts w:ascii="Verdana" w:hAnsi="Verdana"/>
      <w:noProof/>
      <w:sz w:val="18"/>
      <w:szCs w:val="18"/>
      <w:lang w:eastAsia="en-US"/>
    </w:rPr>
  </w:style>
  <w:style w:type="paragraph" w:customStyle="1" w:styleId="HEADERTITLE">
    <w:name w:val="HEADER_TITLE"/>
    <w:basedOn w:val="Textstand-alone"/>
    <w:qFormat/>
    <w:pPr>
      <w:tabs>
        <w:tab w:val="left" w:pos="907"/>
      </w:tabs>
      <w:spacing w:before="0"/>
      <w:jc w:val="left"/>
    </w:pPr>
    <w:rPr>
      <w:b/>
      <w:color w:val="016794"/>
      <w:sz w:val="28"/>
    </w:rPr>
  </w:style>
  <w:style w:type="paragraph" w:customStyle="1" w:styleId="FIRSTCHAPTERPAGE1">
    <w:name w:val="FIRST CHAPTER_PAGE_1"/>
    <w:basedOn w:val="Textstand-alone"/>
    <w:qFormat/>
    <w:pPr>
      <w:tabs>
        <w:tab w:val="left" w:pos="907"/>
      </w:tabs>
      <w:spacing w:after="720"/>
      <w:jc w:val="left"/>
    </w:pPr>
    <w:rPr>
      <w:b/>
      <w:color w:val="016794"/>
      <w:sz w:val="40"/>
    </w:rPr>
  </w:style>
  <w:style w:type="paragraph" w:customStyle="1" w:styleId="FIRSTCHAPTERPAGE2">
    <w:name w:val="FIRST CHAPTER_PAGE_2"/>
    <w:basedOn w:val="Textstand-alone"/>
    <w:qFormat/>
    <w:pPr>
      <w:tabs>
        <w:tab w:val="left" w:pos="907"/>
      </w:tabs>
      <w:spacing w:after="720"/>
    </w:pPr>
    <w:rPr>
      <w:b/>
      <w:color w:val="016794"/>
      <w:sz w:val="40"/>
    </w:rPr>
  </w:style>
  <w:style w:type="paragraph" w:customStyle="1" w:styleId="HEADERTITLE1">
    <w:name w:val="HEADER_TITLE_1"/>
    <w:basedOn w:val="Textstand-alone"/>
    <w:qFormat/>
    <w:pPr>
      <w:tabs>
        <w:tab w:val="left" w:pos="907"/>
      </w:tabs>
      <w:spacing w:before="0"/>
      <w:jc w:val="left"/>
    </w:pPr>
    <w:rPr>
      <w:b/>
      <w:color w:val="016794"/>
      <w:sz w:val="28"/>
    </w:rPr>
  </w:style>
  <w:style w:type="paragraph" w:styleId="TOCHeading">
    <w:name w:val="TOC Heading"/>
    <w:basedOn w:val="Heading1"/>
    <w:next w:val="Normal"/>
    <w:uiPriority w:val="39"/>
    <w:unhideWhenUsed/>
    <w:qFormat/>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pPr>
      <w:spacing w:after="100"/>
    </w:pPr>
    <w:rPr>
      <w:rFonts w:ascii="Verdana" w:hAnsi="Verdana"/>
      <w:color w:val="365F91" w:themeColor="accent1" w:themeShade="BF"/>
      <w:sz w:val="22"/>
    </w:rPr>
  </w:style>
  <w:style w:type="paragraph" w:styleId="TOC2">
    <w:name w:val="toc 2"/>
    <w:basedOn w:val="Normal"/>
    <w:next w:val="Normal"/>
    <w:autoRedefine/>
    <w:uiPriority w:val="39"/>
    <w:unhideWhenUsed/>
    <w:qFormat/>
    <w:pPr>
      <w:tabs>
        <w:tab w:val="left" w:pos="1100"/>
        <w:tab w:val="right" w:leader="dot" w:pos="9629"/>
      </w:tabs>
      <w:spacing w:after="100"/>
      <w:ind w:left="1134" w:hanging="894"/>
    </w:pPr>
    <w:rPr>
      <w:rFonts w:ascii="Verdana" w:hAnsi="Verdana"/>
      <w:color w:val="808080" w:themeColor="background1" w:themeShade="80"/>
      <w:sz w:val="22"/>
    </w:rPr>
  </w:style>
  <w:style w:type="paragraph" w:customStyle="1" w:styleId="HEADERTITLE2">
    <w:name w:val="HEADER_TITLE_2"/>
    <w:basedOn w:val="HEADERTITLE1"/>
    <w:qFormat/>
  </w:style>
  <w:style w:type="paragraph" w:customStyle="1" w:styleId="HEADER1Part4">
    <w:name w:val="HEADER 1_Part 4"/>
    <w:basedOn w:val="HEADER1Part3"/>
    <w:qFormat/>
    <w:pPr>
      <w:numPr>
        <w:numId w:val="18"/>
      </w:numPr>
      <w:ind w:left="851" w:hanging="851"/>
    </w:pPr>
  </w:style>
  <w:style w:type="paragraph" w:customStyle="1" w:styleId="Header2Part4">
    <w:name w:val="Header 2_Part 4"/>
    <w:basedOn w:val="HEADER2Part3"/>
    <w:qFormat/>
  </w:style>
  <w:style w:type="paragraph" w:customStyle="1" w:styleId="HEADER1PartBUDG">
    <w:name w:val="HEADER 1_Part BUDG"/>
    <w:basedOn w:val="Normal"/>
    <w:qFormat/>
    <w:pPr>
      <w:numPr>
        <w:numId w:val="26"/>
      </w:numPr>
      <w:tabs>
        <w:tab w:val="left" w:pos="907"/>
      </w:tabs>
      <w:spacing w:after="240"/>
      <w:jc w:val="both"/>
    </w:pPr>
    <w:rPr>
      <w:rFonts w:ascii="Verdana" w:hAnsi="Verdana"/>
      <w:b/>
      <w:color w:val="016794"/>
      <w:sz w:val="32"/>
      <w:szCs w:val="32"/>
      <w:lang w:val="fr-BE"/>
    </w:rPr>
  </w:style>
  <w:style w:type="paragraph" w:customStyle="1" w:styleId="HEADER2PartBUDG">
    <w:name w:val="HEADER 2_Part BUDG"/>
    <w:basedOn w:val="Normal"/>
    <w:qFormat/>
    <w:pPr>
      <w:numPr>
        <w:ilvl w:val="1"/>
        <w:numId w:val="26"/>
      </w:numPr>
      <w:tabs>
        <w:tab w:val="left" w:pos="709"/>
      </w:tabs>
      <w:spacing w:before="360" w:after="360"/>
    </w:pPr>
    <w:rPr>
      <w:rFonts w:ascii="Verdana" w:eastAsia="Calibri" w:hAnsi="Verdana"/>
      <w:b/>
      <w:color w:val="016794"/>
      <w:sz w:val="28"/>
      <w:lang w:val="fr-BE"/>
    </w:rPr>
  </w:style>
  <w:style w:type="paragraph" w:customStyle="1" w:styleId="HEADER3PartBUGD">
    <w:name w:val="HEADER 3_Part BUGD"/>
    <w:basedOn w:val="Normal"/>
    <w:qFormat/>
    <w:pPr>
      <w:numPr>
        <w:ilvl w:val="2"/>
        <w:numId w:val="26"/>
      </w:numPr>
      <w:tabs>
        <w:tab w:val="left" w:pos="0"/>
      </w:tabs>
      <w:spacing w:before="360" w:after="360"/>
      <w:ind w:firstLine="387"/>
    </w:pPr>
    <w:rPr>
      <w:rFonts w:ascii="Verdana" w:hAnsi="Verdana"/>
      <w:color w:val="016794"/>
      <w:sz w:val="20"/>
      <w:szCs w:val="20"/>
      <w:lang w:val="fr-BE"/>
    </w:rPr>
  </w:style>
  <w:style w:type="paragraph" w:customStyle="1" w:styleId="HEADER4PartBUDG">
    <w:name w:val="HEADER 4_Part BUDG"/>
    <w:basedOn w:val="Normal"/>
    <w:qFormat/>
    <w:pPr>
      <w:numPr>
        <w:ilvl w:val="3"/>
        <w:numId w:val="26"/>
      </w:numPr>
      <w:tabs>
        <w:tab w:val="left" w:pos="907"/>
      </w:tabs>
      <w:spacing w:before="360" w:after="360"/>
      <w:ind w:left="567" w:hanging="567"/>
    </w:pPr>
    <w:rPr>
      <w:rFonts w:ascii="Verdana" w:hAnsi="Verdana"/>
      <w:color w:val="016794"/>
      <w:sz w:val="18"/>
      <w:szCs w:val="18"/>
      <w:lang w:val="fr-BE"/>
    </w:rPr>
  </w:style>
  <w:style w:type="paragraph" w:customStyle="1" w:styleId="HEADER1NOTES">
    <w:name w:val="HEADER 1_NOTES"/>
    <w:basedOn w:val="HEADER1Part2"/>
    <w:qFormat/>
    <w:pPr>
      <w:numPr>
        <w:numId w:val="25"/>
      </w:numPr>
    </w:pPr>
  </w:style>
  <w:style w:type="paragraph" w:customStyle="1" w:styleId="HEADER2NOTES">
    <w:name w:val="HEADER 2_NOTES"/>
    <w:basedOn w:val="HEADER2Part2"/>
    <w:qFormat/>
    <w:pPr>
      <w:numPr>
        <w:numId w:val="25"/>
      </w:numPr>
    </w:pPr>
  </w:style>
  <w:style w:type="paragraph" w:customStyle="1" w:styleId="HEADER3NOTES">
    <w:name w:val="HEADER 3_NOTES"/>
    <w:basedOn w:val="HEADER3Part2"/>
    <w:qFormat/>
    <w:pPr>
      <w:numPr>
        <w:numId w:val="25"/>
      </w:numPr>
    </w:pPr>
  </w:style>
  <w:style w:type="paragraph" w:customStyle="1" w:styleId="HEADER4NOTES">
    <w:name w:val="HEADER 4_NOTES"/>
    <w:basedOn w:val="HEADER4Part2"/>
    <w:qFormat/>
    <w:pPr>
      <w:numPr>
        <w:ilvl w:val="0"/>
        <w:numId w:val="0"/>
      </w:numPr>
    </w:pPr>
  </w:style>
  <w:style w:type="paragraph" w:customStyle="1" w:styleId="DGTextstand-alone">
    <w:name w:val="DG_Text_stand-alone"/>
    <w:link w:val="DGTextstand-aloneChar"/>
    <w:pPr>
      <w:pBdr>
        <w:top w:val="nil"/>
        <w:left w:val="nil"/>
        <w:bottom w:val="nil"/>
        <w:right w:val="nil"/>
        <w:between w:val="nil"/>
        <w:bar w:val="nil"/>
      </w:pBdr>
      <w:spacing w:before="240" w:after="240"/>
      <w:jc w:val="both"/>
    </w:pPr>
    <w:rPr>
      <w:rFonts w:ascii="Verdana" w:eastAsia="Calibri" w:hAnsi="Verdana"/>
      <w:noProof/>
      <w:sz w:val="18"/>
      <w:szCs w:val="18"/>
      <w:bdr w:val="nil"/>
      <w:lang w:eastAsia="en-US"/>
    </w:rPr>
  </w:style>
  <w:style w:type="character" w:customStyle="1" w:styleId="DGTextstand-aloneChar">
    <w:name w:val="DG_Text_stand-alone Char"/>
    <w:link w:val="DGTextstand-alone"/>
    <w:rPr>
      <w:rFonts w:ascii="Verdana" w:eastAsia="Calibri" w:hAnsi="Verdana"/>
      <w:noProof/>
      <w:sz w:val="18"/>
      <w:szCs w:val="18"/>
      <w:bdr w:val="nil"/>
      <w:lang w:eastAsia="en-US"/>
    </w:rPr>
  </w:style>
  <w:style w:type="paragraph" w:customStyle="1" w:styleId="Text8pItalicLeft">
    <w:name w:val="Text_8p_Italic_Left"/>
    <w:qFormat/>
    <w:rPr>
      <w:rFonts w:ascii="Verdana" w:eastAsia="Calibri" w:hAnsi="Verdana"/>
      <w:bCs/>
      <w:i/>
      <w:noProof/>
      <w:sz w:val="16"/>
      <w:lang w:eastAsia="en-US"/>
    </w:rPr>
  </w:style>
  <w:style w:type="paragraph" w:customStyle="1" w:styleId="Text8pItalicRight025EUR">
    <w:name w:val="Text_8p_Italic_Right_0.25_EUR"/>
    <w:qFormat/>
    <w:pPr>
      <w:ind w:right="142"/>
      <w:jc w:val="right"/>
    </w:pPr>
    <w:rPr>
      <w:rFonts w:ascii="Verdana" w:eastAsia="Calibri" w:hAnsi="Verdana"/>
      <w:i/>
      <w:noProof/>
      <w:sz w:val="16"/>
      <w:szCs w:val="18"/>
      <w:lang w:eastAsia="en-US"/>
    </w:rPr>
  </w:style>
  <w:style w:type="paragraph" w:customStyle="1" w:styleId="Heading10pNormalLeft">
    <w:name w:val="Heading_10p_Normal_Left"/>
    <w:qFormat/>
    <w:rPr>
      <w:rFonts w:ascii="Verdana" w:eastAsia="Calibri" w:hAnsi="Verdana"/>
      <w:noProof/>
      <w:color w:val="FFFFFF"/>
      <w:szCs w:val="30"/>
      <w:lang w:eastAsia="en-US"/>
    </w:rPr>
  </w:style>
  <w:style w:type="paragraph" w:customStyle="1" w:styleId="Heading10pNormalRight025">
    <w:name w:val="Heading_10p_Normal_Right_0.25"/>
    <w:qFormat/>
    <w:pPr>
      <w:ind w:right="142"/>
      <w:jc w:val="right"/>
    </w:pPr>
    <w:rPr>
      <w:rFonts w:ascii="Verdana" w:eastAsia="Calibri" w:hAnsi="Verdana"/>
      <w:noProof/>
      <w:color w:val="FFFFFF"/>
      <w:szCs w:val="30"/>
      <w:lang w:eastAsia="en-US"/>
    </w:rPr>
  </w:style>
  <w:style w:type="paragraph" w:customStyle="1" w:styleId="Text9pBoldLeft">
    <w:name w:val="Text_9p_Bold_Left"/>
    <w:qFormat/>
    <w:rPr>
      <w:rFonts w:ascii="Verdana" w:eastAsia="Calibri" w:hAnsi="Verdana"/>
      <w:b/>
      <w:noProof/>
      <w:sz w:val="18"/>
      <w:szCs w:val="18"/>
      <w:lang w:eastAsia="en-US"/>
    </w:rPr>
  </w:style>
  <w:style w:type="paragraph" w:customStyle="1" w:styleId="Figures9pItalicRight025">
    <w:name w:val="Figures_9p_Italic_Right_0.25"/>
    <w:qFormat/>
    <w:pPr>
      <w:ind w:right="142"/>
      <w:jc w:val="right"/>
    </w:pPr>
    <w:rPr>
      <w:rFonts w:ascii="Verdana" w:eastAsia="Calibri" w:hAnsi="Verdana"/>
      <w:i/>
      <w:noProof/>
      <w:sz w:val="18"/>
      <w:szCs w:val="18"/>
      <w:lang w:eastAsia="en-US"/>
    </w:rPr>
  </w:style>
  <w:style w:type="paragraph" w:customStyle="1" w:styleId="Text9pItalicLeft">
    <w:name w:val="Text_9p_Italic_Left"/>
    <w:qFormat/>
    <w:rPr>
      <w:rFonts w:ascii="Verdana" w:eastAsia="Calibri" w:hAnsi="Verdana"/>
      <w:i/>
      <w:noProof/>
      <w:sz w:val="18"/>
      <w:szCs w:val="18"/>
      <w:lang w:eastAsia="en-US"/>
    </w:rPr>
  </w:style>
  <w:style w:type="paragraph" w:customStyle="1" w:styleId="Text9pItalicCentered">
    <w:name w:val="Text_9p_Italic_Centered"/>
    <w:qFormat/>
    <w:pPr>
      <w:jc w:val="center"/>
    </w:pPr>
    <w:rPr>
      <w:rFonts w:ascii="Verdana" w:eastAsia="Calibri" w:hAnsi="Verdana"/>
      <w:i/>
      <w:noProof/>
      <w:sz w:val="18"/>
      <w:szCs w:val="18"/>
      <w:lang w:eastAsia="en-US"/>
    </w:rPr>
  </w:style>
  <w:style w:type="paragraph" w:customStyle="1" w:styleId="Figures9pBoldRight025">
    <w:name w:val="Figures_9p_Bold_Right_0.25"/>
    <w:qFormat/>
    <w:pPr>
      <w:ind w:right="142"/>
      <w:jc w:val="right"/>
    </w:pPr>
    <w:rPr>
      <w:rFonts w:ascii="Verdana" w:eastAsia="Calibri" w:hAnsi="Verdana"/>
      <w:b/>
      <w:noProof/>
      <w:sz w:val="18"/>
      <w:szCs w:val="18"/>
      <w:lang w:eastAsia="en-US"/>
    </w:rPr>
  </w:style>
  <w:style w:type="paragraph" w:customStyle="1" w:styleId="Text9pItalicBoldLeft">
    <w:name w:val="Text_9p_ItalicBold_Left"/>
    <w:qFormat/>
    <w:pPr>
      <w:pBdr>
        <w:top w:val="nil"/>
        <w:left w:val="nil"/>
        <w:bottom w:val="nil"/>
        <w:right w:val="nil"/>
        <w:between w:val="nil"/>
        <w:bar w:val="nil"/>
      </w:pBdr>
    </w:pPr>
    <w:rPr>
      <w:rFonts w:ascii="Verdana" w:eastAsia="Calibri" w:hAnsi="Verdana"/>
      <w:b/>
      <w:i/>
      <w:noProof/>
      <w:sz w:val="18"/>
      <w:szCs w:val="18"/>
      <w:bdr w:val="nil"/>
      <w:lang w:eastAsia="en-US"/>
    </w:rPr>
  </w:style>
  <w:style w:type="paragraph" w:customStyle="1" w:styleId="Heading9pNormalCentered">
    <w:name w:val="Heading_9p_Normal_Centered"/>
    <w:qFormat/>
    <w:pPr>
      <w:pBdr>
        <w:top w:val="nil"/>
        <w:left w:val="nil"/>
        <w:bottom w:val="nil"/>
        <w:right w:val="nil"/>
        <w:between w:val="nil"/>
        <w:bar w:val="nil"/>
      </w:pBdr>
      <w:jc w:val="center"/>
    </w:pPr>
    <w:rPr>
      <w:rFonts w:ascii="Verdana" w:hAnsi="Verdana" w:cs="Calibri"/>
      <w:bCs/>
      <w:color w:val="FFFFFF"/>
      <w:sz w:val="18"/>
      <w:szCs w:val="22"/>
      <w:bdr w:val="nil"/>
    </w:rPr>
  </w:style>
  <w:style w:type="paragraph" w:customStyle="1" w:styleId="Text9pBoldLeft025">
    <w:name w:val="Text_9p_Bold_Left_0.25"/>
    <w:qFormat/>
    <w:pPr>
      <w:pBdr>
        <w:top w:val="nil"/>
        <w:left w:val="nil"/>
        <w:bottom w:val="nil"/>
        <w:right w:val="nil"/>
        <w:between w:val="nil"/>
        <w:bar w:val="nil"/>
      </w:pBdr>
      <w:ind w:left="142"/>
    </w:pPr>
    <w:rPr>
      <w:rFonts w:ascii="Verdana" w:eastAsia="Calibri" w:hAnsi="Verdana"/>
      <w:b/>
      <w:noProof/>
      <w:sz w:val="18"/>
      <w:szCs w:val="18"/>
      <w:bdr w:val="nil"/>
      <w:lang w:eastAsia="en-US"/>
    </w:rPr>
  </w:style>
  <w:style w:type="paragraph" w:customStyle="1" w:styleId="Figures9pItalicCentered">
    <w:name w:val="Figures_9p_Italic_Centered"/>
    <w:qFormat/>
    <w:pPr>
      <w:pBdr>
        <w:top w:val="nil"/>
        <w:left w:val="nil"/>
        <w:bottom w:val="nil"/>
        <w:right w:val="nil"/>
        <w:between w:val="nil"/>
        <w:bar w:val="nil"/>
      </w:pBdr>
      <w:jc w:val="center"/>
    </w:pPr>
    <w:rPr>
      <w:rFonts w:ascii="Verdana" w:eastAsia="Calibri" w:hAnsi="Verdana"/>
      <w:i/>
      <w:noProof/>
      <w:sz w:val="18"/>
      <w:szCs w:val="18"/>
      <w:bdr w:val="nil"/>
      <w:lang w:eastAsia="en-US"/>
    </w:rPr>
  </w:style>
  <w:style w:type="character" w:styleId="FootnoteReference">
    <w:name w:val="footnote reference"/>
    <w:uiPriority w:val="99"/>
    <w:semiHidden/>
    <w:unhideWhenUsed/>
    <w:rPr>
      <w:vertAlign w:val="superscript"/>
    </w:rPr>
  </w:style>
  <w:style w:type="paragraph" w:customStyle="1" w:styleId="Text6pNormalLeft">
    <w:name w:val="Text_6p_Normal_Left"/>
    <w:qFormat/>
    <w:pPr>
      <w:pBdr>
        <w:top w:val="nil"/>
        <w:left w:val="nil"/>
        <w:bottom w:val="nil"/>
        <w:right w:val="nil"/>
        <w:between w:val="nil"/>
        <w:bar w:val="nil"/>
      </w:pBdr>
    </w:pPr>
    <w:rPr>
      <w:rFonts w:ascii="Verdana" w:eastAsia="Calibri" w:hAnsi="Verdana"/>
      <w:bCs/>
      <w:noProof/>
      <w:sz w:val="12"/>
      <w:bdr w:val="nil"/>
      <w:lang w:eastAsia="en-US"/>
    </w:rPr>
  </w:style>
  <w:style w:type="paragraph" w:customStyle="1" w:styleId="Heading8pNormalLeft">
    <w:name w:val="Heading_8p_Normal_Left"/>
    <w:qFormat/>
    <w:pPr>
      <w:pBdr>
        <w:top w:val="nil"/>
        <w:left w:val="nil"/>
        <w:bottom w:val="nil"/>
        <w:right w:val="nil"/>
        <w:between w:val="nil"/>
        <w:bar w:val="nil"/>
      </w:pBdr>
    </w:pPr>
    <w:rPr>
      <w:rFonts w:ascii="Verdana" w:hAnsi="Verdana" w:cs="Calibri"/>
      <w:bCs/>
      <w:color w:val="FFFFFF"/>
      <w:sz w:val="16"/>
      <w:szCs w:val="22"/>
      <w:bdr w:val="nil"/>
    </w:rPr>
  </w:style>
  <w:style w:type="paragraph" w:customStyle="1" w:styleId="Heading8pNormalCentered">
    <w:name w:val="Heading_8p_Normal_Centered"/>
    <w:qFormat/>
    <w:pPr>
      <w:pBdr>
        <w:top w:val="nil"/>
        <w:left w:val="nil"/>
        <w:bottom w:val="nil"/>
        <w:right w:val="nil"/>
        <w:between w:val="nil"/>
        <w:bar w:val="nil"/>
      </w:pBdr>
      <w:jc w:val="center"/>
    </w:pPr>
    <w:rPr>
      <w:rFonts w:ascii="Verdana" w:eastAsia="Calibri" w:hAnsi="Verdana"/>
      <w:noProof/>
      <w:color w:val="FFFFFF"/>
      <w:sz w:val="16"/>
      <w:szCs w:val="30"/>
      <w:bdr w:val="nil"/>
      <w:lang w:eastAsia="en-US"/>
    </w:rPr>
  </w:style>
  <w:style w:type="paragraph" w:customStyle="1" w:styleId="Figures8pItalicRight025">
    <w:name w:val="Figures_8p_Italic_Right_0.25"/>
    <w:qFormat/>
    <w:pPr>
      <w:pBdr>
        <w:top w:val="nil"/>
        <w:left w:val="nil"/>
        <w:bottom w:val="nil"/>
        <w:right w:val="nil"/>
        <w:between w:val="nil"/>
        <w:bar w:val="nil"/>
      </w:pBdr>
      <w:ind w:right="142"/>
      <w:jc w:val="right"/>
    </w:pPr>
    <w:rPr>
      <w:rFonts w:ascii="Verdana" w:eastAsia="Calibri" w:hAnsi="Verdana"/>
      <w:i/>
      <w:noProof/>
      <w:sz w:val="16"/>
      <w:szCs w:val="18"/>
      <w:bdr w:val="nil"/>
      <w:lang w:eastAsia="en-US"/>
    </w:rPr>
  </w:style>
  <w:style w:type="paragraph" w:customStyle="1" w:styleId="Text8pBoldLeft">
    <w:name w:val="Text_8p_Bold_Left"/>
    <w:qFormat/>
    <w:pPr>
      <w:pBdr>
        <w:top w:val="nil"/>
        <w:left w:val="nil"/>
        <w:bottom w:val="nil"/>
        <w:right w:val="nil"/>
        <w:between w:val="nil"/>
        <w:bar w:val="nil"/>
      </w:pBdr>
    </w:pPr>
    <w:rPr>
      <w:rFonts w:ascii="Verdana" w:eastAsia="Calibri" w:hAnsi="Verdana"/>
      <w:b/>
      <w:bCs/>
      <w:noProof/>
      <w:sz w:val="16"/>
      <w:bdr w:val="nil"/>
      <w:lang w:eastAsia="en-US"/>
    </w:rPr>
  </w:style>
  <w:style w:type="paragraph" w:customStyle="1" w:styleId="Figures8pBoldRight025">
    <w:name w:val="Figures_8p_Bold_Right_0.25"/>
    <w:qFormat/>
    <w:pPr>
      <w:pBdr>
        <w:top w:val="nil"/>
        <w:left w:val="nil"/>
        <w:bottom w:val="nil"/>
        <w:right w:val="nil"/>
        <w:between w:val="nil"/>
        <w:bar w:val="nil"/>
      </w:pBdr>
      <w:ind w:right="142"/>
      <w:jc w:val="right"/>
    </w:pPr>
    <w:rPr>
      <w:rFonts w:ascii="Verdana" w:eastAsia="Calibri" w:hAnsi="Verdana"/>
      <w:b/>
      <w:bCs/>
      <w:noProof/>
      <w:sz w:val="16"/>
      <w:bdr w:val="nil"/>
      <w:lang w:eastAsia="en-US"/>
    </w:rPr>
  </w:style>
  <w:style w:type="paragraph" w:customStyle="1" w:styleId="Heading10pNormalCentered">
    <w:name w:val="Heading_10p_Normal_Centered"/>
    <w:qFormat/>
    <w:pPr>
      <w:pBdr>
        <w:top w:val="nil"/>
        <w:left w:val="nil"/>
        <w:bottom w:val="nil"/>
        <w:right w:val="nil"/>
        <w:between w:val="nil"/>
        <w:bar w:val="nil"/>
      </w:pBdr>
      <w:jc w:val="center"/>
    </w:pPr>
    <w:rPr>
      <w:rFonts w:ascii="Verdana" w:eastAsia="Calibri" w:hAnsi="Verdana"/>
      <w:noProof/>
      <w:color w:val="FFFFFF"/>
      <w:szCs w:val="30"/>
      <w:bdr w:val="nil"/>
      <w:lang w:eastAsia="en-US"/>
    </w:rPr>
  </w:style>
  <w:style w:type="paragraph" w:customStyle="1" w:styleId="Figures9pItalicBoldRight025">
    <w:name w:val="Figures_9p_ItalicBold_Right_0.25"/>
    <w:qFormat/>
    <w:pPr>
      <w:ind w:right="142"/>
      <w:jc w:val="right"/>
    </w:pPr>
    <w:rPr>
      <w:rFonts w:ascii="Verdana" w:eastAsia="Calibri" w:hAnsi="Verdana"/>
      <w:b/>
      <w:i/>
      <w:noProof/>
      <w:sz w:val="18"/>
      <w:szCs w:val="18"/>
      <w:lang w:eastAsia="en-US"/>
    </w:rPr>
  </w:style>
  <w:style w:type="paragraph" w:customStyle="1" w:styleId="Text9pItalicleftBlue">
    <w:name w:val="Text_9p_Italic_left_Blue"/>
    <w:qFormat/>
    <w:rPr>
      <w:rFonts w:ascii="Verdana" w:eastAsia="Calibri" w:hAnsi="Verdana"/>
      <w:i/>
      <w:noProof/>
      <w:color w:val="016794"/>
      <w:sz w:val="18"/>
      <w:szCs w:val="18"/>
      <w:lang w:eastAsia="en-US"/>
    </w:rPr>
  </w:style>
  <w:style w:type="paragraph" w:customStyle="1" w:styleId="Figures9pItalicBlueRight">
    <w:name w:val="Figures_9p_Italic_Blue_Right"/>
    <w:basedOn w:val="Figures9pItalicBoldRight025"/>
    <w:qFormat/>
    <w:rPr>
      <w:b w:val="0"/>
      <w:color w:val="016794"/>
    </w:rPr>
  </w:style>
  <w:style w:type="paragraph" w:customStyle="1" w:styleId="Text9pNormalLeft">
    <w:name w:val="Text_9p_Normal_Left"/>
    <w:basedOn w:val="Text9pItalicLeft"/>
    <w:qFormat/>
    <w:rPr>
      <w:i w:val="0"/>
    </w:rPr>
  </w:style>
  <w:style w:type="paragraph" w:customStyle="1" w:styleId="Figures9pNormalRight025">
    <w:name w:val="Figures_9p_Normal_Right_0.25"/>
    <w:basedOn w:val="Figures9pItalicRight025"/>
    <w:qFormat/>
    <w:rPr>
      <w:i w:val="0"/>
    </w:rPr>
  </w:style>
  <w:style w:type="paragraph" w:customStyle="1" w:styleId="Text7pItalicRight025">
    <w:name w:val="Text_7p_Italic_Right_0.25"/>
    <w:basedOn w:val="Text8pItalicRight025EUR"/>
    <w:qFormat/>
    <w:rPr>
      <w:sz w:val="14"/>
    </w:rPr>
  </w:style>
  <w:style w:type="paragraph" w:customStyle="1" w:styleId="Figures8pItalicBlueRight">
    <w:name w:val="Figures_8p_Italic_Blue_Right"/>
    <w:basedOn w:val="Figures9pItalicBlueRight"/>
    <w:qFormat/>
    <w:rPr>
      <w:sz w:val="16"/>
    </w:rPr>
  </w:style>
  <w:style w:type="paragraph" w:customStyle="1" w:styleId="Heading9pNormalLeft">
    <w:name w:val="Heading_9p_Normal_Left"/>
    <w:basedOn w:val="Heading9pNormalCentered"/>
    <w:qFormat/>
    <w:pPr>
      <w:pBdr>
        <w:top w:val="none" w:sz="0" w:space="0" w:color="auto"/>
        <w:left w:val="none" w:sz="0" w:space="0" w:color="auto"/>
        <w:bottom w:val="none" w:sz="0" w:space="0" w:color="auto"/>
        <w:right w:val="none" w:sz="0" w:space="0" w:color="auto"/>
        <w:between w:val="none" w:sz="0" w:space="0" w:color="auto"/>
        <w:bar w:val="none" w:sz="0" w:color="auto"/>
      </w:pBdr>
      <w:jc w:val="left"/>
    </w:pPr>
    <w:rPr>
      <w:bdr w:val="none" w:sz="0" w:space="0" w:color="auto"/>
    </w:rPr>
  </w:style>
  <w:style w:type="paragraph" w:customStyle="1" w:styleId="Text8pItalicleftBlue">
    <w:name w:val="Text_8p_Italic_left_Blue"/>
    <w:qFormat/>
    <w:pPr>
      <w:pBdr>
        <w:top w:val="nil"/>
        <w:left w:val="nil"/>
        <w:bottom w:val="nil"/>
        <w:right w:val="nil"/>
        <w:between w:val="nil"/>
        <w:bar w:val="nil"/>
      </w:pBdr>
    </w:pPr>
    <w:rPr>
      <w:rFonts w:ascii="Verdana" w:eastAsia="Calibri" w:hAnsi="Verdana"/>
      <w:i/>
      <w:noProof/>
      <w:color w:val="016794"/>
      <w:sz w:val="16"/>
      <w:szCs w:val="18"/>
      <w:bdr w:val="nil"/>
      <w:lang w:eastAsia="en-US"/>
    </w:rPr>
  </w:style>
  <w:style w:type="paragraph" w:customStyle="1" w:styleId="Heading9pNormalRight025">
    <w:name w:val="Heading_9p_Normal_Right_0.25"/>
    <w:basedOn w:val="Heading9pNormalCentered"/>
    <w:qFormat/>
    <w:pPr>
      <w:ind w:right="142"/>
      <w:jc w:val="right"/>
    </w:pPr>
  </w:style>
  <w:style w:type="paragraph" w:customStyle="1" w:styleId="Heading-9pNormalCentered">
    <w:name w:val="Heading-9p_Normal_Centered"/>
    <w:basedOn w:val="Heading10pNormalCentered"/>
    <w:qFormat/>
    <w:rPr>
      <w:sz w:val="18"/>
    </w:rPr>
  </w:style>
  <w:style w:type="paragraph" w:customStyle="1" w:styleId="Heading9pNormalRight01">
    <w:name w:val="Heading_9p_Normal_Right_0.1"/>
    <w:basedOn w:val="Heading9pNormalRight025"/>
    <w:qFormat/>
    <w:pPr>
      <w:ind w:right="57"/>
    </w:pPr>
  </w:style>
  <w:style w:type="paragraph" w:styleId="NoSpacing">
    <w:name w:val="No Spacing"/>
    <w:uiPriority w:val="1"/>
    <w:qFormat/>
    <w:pPr>
      <w:pBdr>
        <w:top w:val="nil"/>
        <w:left w:val="nil"/>
        <w:bottom w:val="nil"/>
        <w:right w:val="nil"/>
        <w:between w:val="nil"/>
        <w:bar w:val="nil"/>
      </w:pBdr>
    </w:pPr>
    <w:rPr>
      <w:rFonts w:ascii="Times New Roman" w:eastAsia="Calibri" w:hAnsi="Times New Roman"/>
      <w:bdr w:val="nil"/>
    </w:rPr>
  </w:style>
  <w:style w:type="paragraph" w:customStyle="1" w:styleId="Heading8pNormalRight025">
    <w:name w:val="Heading_8p_Normal_Right_0.25"/>
    <w:basedOn w:val="Heading10pNormalRight025"/>
    <w:qFormat/>
    <w:pPr>
      <w:pBdr>
        <w:top w:val="nil"/>
        <w:left w:val="nil"/>
        <w:bottom w:val="nil"/>
        <w:right w:val="nil"/>
        <w:between w:val="nil"/>
        <w:bar w:val="nil"/>
      </w:pBdr>
    </w:pPr>
    <w:rPr>
      <w:sz w:val="16"/>
      <w:bdr w:val="nil"/>
    </w:rPr>
  </w:style>
  <w:style w:type="paragraph" w:customStyle="1" w:styleId="Figures7pItalicRight025">
    <w:name w:val="Figures_7p_Italic_Right_0.25"/>
    <w:basedOn w:val="Figures8pItalicRight025"/>
    <w:qFormat/>
    <w:pPr>
      <w:pBdr>
        <w:top w:val="none" w:sz="0" w:space="0" w:color="auto"/>
        <w:left w:val="none" w:sz="0" w:space="0" w:color="auto"/>
        <w:bottom w:val="none" w:sz="0" w:space="0" w:color="auto"/>
        <w:right w:val="none" w:sz="0" w:space="0" w:color="auto"/>
        <w:between w:val="none" w:sz="0" w:space="0" w:color="auto"/>
        <w:bar w:val="none" w:sz="0" w:color="auto"/>
      </w:pBdr>
    </w:pPr>
    <w:rPr>
      <w:sz w:val="14"/>
      <w:bdr w:val="none" w:sz="0" w:space="0" w:color="auto"/>
    </w:rPr>
  </w:style>
  <w:style w:type="paragraph" w:customStyle="1" w:styleId="Figures7pBoldRight025">
    <w:name w:val="Figures_7p_Bold_Right_0.25"/>
    <w:qFormat/>
    <w:pPr>
      <w:ind w:right="142"/>
      <w:jc w:val="right"/>
    </w:pPr>
    <w:rPr>
      <w:rFonts w:ascii="Verdana" w:eastAsia="Calibri" w:hAnsi="Verdana"/>
      <w:b/>
      <w:noProof/>
      <w:sz w:val="14"/>
      <w:szCs w:val="18"/>
      <w:lang w:eastAsia="en-US"/>
    </w:rPr>
  </w:style>
  <w:style w:type="paragraph" w:customStyle="1" w:styleId="Figures55pBoldRight01">
    <w:name w:val="Figures_5.5p_Bold_Right_0.1"/>
    <w:basedOn w:val="Figures6pBoldRight01"/>
    <w:qFormat/>
    <w:rPr>
      <w:sz w:val="11"/>
      <w:szCs w:val="11"/>
    </w:rPr>
  </w:style>
  <w:style w:type="paragraph" w:customStyle="1" w:styleId="Figures6pBoldRight01">
    <w:name w:val="Figures_6p_Bold_Right_0.1"/>
    <w:basedOn w:val="Figures7pBoldRight025"/>
    <w:qFormat/>
    <w:pPr>
      <w:pBdr>
        <w:top w:val="nil"/>
        <w:left w:val="nil"/>
        <w:bottom w:val="nil"/>
        <w:right w:val="nil"/>
        <w:between w:val="nil"/>
        <w:bar w:val="nil"/>
      </w:pBdr>
      <w:ind w:right="57"/>
    </w:pPr>
    <w:rPr>
      <w:sz w:val="12"/>
      <w:szCs w:val="12"/>
      <w:bdr w:val="nil"/>
    </w:rPr>
  </w:style>
  <w:style w:type="paragraph" w:customStyle="1" w:styleId="DMETW15798BIP01Statementofcomparisonofbudgetandactualamounts">
    <w:name w:val="DM_ETW_15798_BIP_01_Statement_of_comparison_of_budget_and_actual_amounts"/>
    <w:rPr>
      <w:rFonts w:eastAsia="Calibri"/>
    </w:rPr>
  </w:style>
  <w:style w:type="paragraph" w:customStyle="1" w:styleId="DMETW15798BIP02BudgetexpenditurecommitmentsbyMFF">
    <w:name w:val="DM_ETW_15798_BIP_02_Budget_expenditure_commitments_by_MFF"/>
    <w:rPr>
      <w:rFonts w:eastAsia="Calibri"/>
    </w:rPr>
  </w:style>
  <w:style w:type="paragraph" w:customStyle="1" w:styleId="DMETW15798BIP03BudgetexpenditurePaymentsbyMFF">
    <w:name w:val="DM_ETW_15798_BIP_03_Budget_expenditure_Payments_by_MFF"/>
    <w:rPr>
      <w:rFonts w:eastAsia="Calibri"/>
    </w:rPr>
  </w:style>
  <w:style w:type="paragraph" w:customStyle="1" w:styleId="DMETW15798BIP04Implementationofbudgetrevenue">
    <w:name w:val="DM_ETW_15798_BIP_04_Implementation_of_budget_revenue"/>
    <w:rPr>
      <w:rFonts w:eastAsia="Calibri"/>
    </w:rPr>
  </w:style>
  <w:style w:type="paragraph" w:customStyle="1" w:styleId="DMETW15798BIP05MFFBreakdownincommitmandpayments">
    <w:name w:val="DM_ETW_15798_BIP_05_MFF_Breakdown_in_commitm_and_payments"/>
    <w:rPr>
      <w:rFonts w:eastAsia="Calibri"/>
    </w:rPr>
  </w:style>
  <w:style w:type="paragraph" w:customStyle="1" w:styleId="DMETW15798BIP06MFFImplemCommitments">
    <w:name w:val="DM_ETW_15798_BIP_06_MFF_Implem_Commitments"/>
    <w:rPr>
      <w:rFonts w:eastAsia="Calibri"/>
    </w:rPr>
  </w:style>
  <w:style w:type="paragraph" w:customStyle="1" w:styleId="DMETW15798BIP07MFFImplemPayments">
    <w:name w:val="DM_ETW_15798_BIP_07_MFF_Implem_Payments"/>
    <w:rPr>
      <w:rFonts w:eastAsia="Calibri"/>
    </w:rPr>
  </w:style>
  <w:style w:type="paragraph" w:customStyle="1" w:styleId="DMETW15798BIP08MFFMovementsincommitmentsoustanding">
    <w:name w:val="DM_ETW_15798_BIP_08_MFF_Movements_in_commitments_oustanding"/>
    <w:rPr>
      <w:rFonts w:eastAsia="Calibri"/>
    </w:rPr>
  </w:style>
  <w:style w:type="paragraph" w:customStyle="1" w:styleId="DMETW15798BIP09MFFCommitmentsoutstandingyearoforigin">
    <w:name w:val="DM_ETW_15798_BIP_09_MFF_Commitments_outstanding_year_of_origin"/>
    <w:rPr>
      <w:rFonts w:eastAsia="Calibri"/>
    </w:rPr>
  </w:style>
  <w:style w:type="paragraph" w:customStyle="1" w:styleId="DMETW15798BIP10PolAreaBreakdownCommitmPaym">
    <w:name w:val="DM_ETW_15798_BIP_10_PolArea_Breakdown_Commitm_Paym"/>
    <w:rPr>
      <w:rFonts w:eastAsia="Calibri"/>
    </w:rPr>
  </w:style>
  <w:style w:type="paragraph" w:customStyle="1" w:styleId="DMETW15798BIP11PolAreaImplemCommitments">
    <w:name w:val="DM_ETW_15798_BIP_11_PolArea_Implem_Commitments"/>
    <w:rPr>
      <w:rFonts w:eastAsia="Calibri"/>
    </w:rPr>
  </w:style>
  <w:style w:type="paragraph" w:customStyle="1" w:styleId="DMETW15798BIP12PolAreaImplemPayments">
    <w:name w:val="DM_ETW_15798_BIP_12_PolArea_Implem_Payments"/>
    <w:rPr>
      <w:rFonts w:eastAsia="Calibri"/>
    </w:rPr>
  </w:style>
  <w:style w:type="paragraph" w:customStyle="1" w:styleId="DMETW15798BIP13PolAreaMovementsincommitmentsoutstanding">
    <w:name w:val="DM_ETW_15798_BIP_13_PolArea_Movements_in_commitments_outstanding"/>
    <w:rPr>
      <w:rFonts w:eastAsia="Calibri"/>
    </w:rPr>
  </w:style>
  <w:style w:type="paragraph" w:customStyle="1" w:styleId="DMETW15798BIP14PolAreaCommitmentsoutstandingyearoforigin">
    <w:name w:val="DM_ETW_15798_BIP_14_PolArea_Commitments_outstanding_year_of_origin"/>
    <w:rPr>
      <w:rFonts w:eastAsia="Calibri"/>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CoverPageChar">
    <w:name w:val="CoverPage Char"/>
    <w:basedOn w:val="DefaultParagraphFont"/>
    <w:link w:val="CoverPage"/>
    <w:rPr>
      <w:rFonts w:ascii="Verdana" w:hAnsi="Verdana"/>
      <w:color w:val="016794"/>
      <w:sz w:val="52"/>
      <w:szCs w:val="52"/>
    </w:rPr>
  </w:style>
  <w:style w:type="character" w:customStyle="1" w:styleId="FooterCoverPageChar">
    <w:name w:val="Footer Cover Page Char"/>
    <w:basedOn w:val="CoverPageChar"/>
    <w:link w:val="FooterCoverPage"/>
    <w:rPr>
      <w:rFonts w:ascii="Times New Roman" w:hAnsi="Times New Roman"/>
      <w:color w:val="016794"/>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CoverPageChar"/>
    <w:link w:val="FooterSensitivity"/>
    <w:rPr>
      <w:rFonts w:ascii="Times New Roman" w:hAnsi="Times New Roman"/>
      <w:b/>
      <w:color w:val="016794"/>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overPageChar"/>
    <w:link w:val="HeaderCoverPage"/>
    <w:rPr>
      <w:rFonts w:ascii="Times New Roman" w:hAnsi="Times New Roman"/>
      <w:color w:val="016794"/>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overPageChar"/>
    <w:link w:val="HeaderSensitivity"/>
    <w:rPr>
      <w:rFonts w:ascii="Times New Roman" w:hAnsi="Times New Roman"/>
      <w:b/>
      <w:color w:val="01679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99" Type="http://schemas.openxmlformats.org/officeDocument/2006/relationships/header" Target="header145.xml"/><Relationship Id="rId303" Type="http://schemas.openxmlformats.org/officeDocument/2006/relationships/header" Target="header147.xml"/><Relationship Id="rId21" Type="http://schemas.openxmlformats.org/officeDocument/2006/relationships/header" Target="header6.xml"/><Relationship Id="rId42" Type="http://schemas.openxmlformats.org/officeDocument/2006/relationships/header" Target="header17.xml"/><Relationship Id="rId63" Type="http://schemas.openxmlformats.org/officeDocument/2006/relationships/header" Target="head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header" Target="header75.xml"/><Relationship Id="rId324" Type="http://schemas.openxmlformats.org/officeDocument/2006/relationships/header" Target="header158.xml"/><Relationship Id="rId345" Type="http://schemas.openxmlformats.org/officeDocument/2006/relationships/header" Target="header168.xml"/><Relationship Id="rId366" Type="http://schemas.openxmlformats.org/officeDocument/2006/relationships/header" Target="header179.xml"/><Relationship Id="rId170" Type="http://schemas.openxmlformats.org/officeDocument/2006/relationships/footer" Target="footer80.xml"/><Relationship Id="rId191" Type="http://schemas.openxmlformats.org/officeDocument/2006/relationships/header" Target="header91.xml"/><Relationship Id="rId205" Type="http://schemas.openxmlformats.org/officeDocument/2006/relationships/footer" Target="footer97.xml"/><Relationship Id="rId226" Type="http://schemas.openxmlformats.org/officeDocument/2006/relationships/footer" Target="footer108.xml"/><Relationship Id="rId247" Type="http://schemas.openxmlformats.org/officeDocument/2006/relationships/footer" Target="footer118.xml"/><Relationship Id="rId107" Type="http://schemas.openxmlformats.org/officeDocument/2006/relationships/header" Target="header49.xml"/><Relationship Id="rId268" Type="http://schemas.openxmlformats.org/officeDocument/2006/relationships/footer" Target="footer129.xml"/><Relationship Id="rId289" Type="http://schemas.openxmlformats.org/officeDocument/2006/relationships/footer" Target="footer139.xml"/><Relationship Id="rId11" Type="http://schemas.openxmlformats.org/officeDocument/2006/relationships/header" Target="header1.xml"/><Relationship Id="rId32" Type="http://schemas.openxmlformats.org/officeDocument/2006/relationships/footer" Target="footer11.xml"/><Relationship Id="rId53" Type="http://schemas.openxmlformats.org/officeDocument/2006/relationships/header" Target="head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70.xml"/><Relationship Id="rId314" Type="http://schemas.openxmlformats.org/officeDocument/2006/relationships/footer" Target="footer152.xml"/><Relationship Id="rId335" Type="http://schemas.openxmlformats.org/officeDocument/2006/relationships/header" Target="header163.xml"/><Relationship Id="rId356" Type="http://schemas.openxmlformats.org/officeDocument/2006/relationships/footer" Target="footer173.xml"/><Relationship Id="rId377" Type="http://schemas.openxmlformats.org/officeDocument/2006/relationships/fontTable" Target="fontTable.xml"/><Relationship Id="rId5" Type="http://schemas.microsoft.com/office/2007/relationships/stylesWithEffects" Target="stylesWithEffects.xml"/><Relationship Id="rId95" Type="http://schemas.openxmlformats.org/officeDocument/2006/relationships/header" Target="header43.xml"/><Relationship Id="rId160" Type="http://schemas.openxmlformats.org/officeDocument/2006/relationships/footer" Target="footer75.xml"/><Relationship Id="rId181" Type="http://schemas.openxmlformats.org/officeDocument/2006/relationships/footer" Target="footer85.xml"/><Relationship Id="rId216" Type="http://schemas.openxmlformats.org/officeDocument/2006/relationships/header" Target="header104.xml"/><Relationship Id="rId237" Type="http://schemas.openxmlformats.org/officeDocument/2006/relationships/header" Target="header114.xml"/><Relationship Id="rId258" Type="http://schemas.openxmlformats.org/officeDocument/2006/relationships/header" Target="header125.xml"/><Relationship Id="rId279" Type="http://schemas.openxmlformats.org/officeDocument/2006/relationships/header" Target="header135.xml"/><Relationship Id="rId22" Type="http://schemas.openxmlformats.org/officeDocument/2006/relationships/footer" Target="footer6.xml"/><Relationship Id="rId43" Type="http://schemas.openxmlformats.org/officeDocument/2006/relationships/footer" Target="footer16.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290" Type="http://schemas.openxmlformats.org/officeDocument/2006/relationships/footer" Target="footer140.xml"/><Relationship Id="rId304" Type="http://schemas.openxmlformats.org/officeDocument/2006/relationships/footer" Target="footer147.xml"/><Relationship Id="rId325" Type="http://schemas.openxmlformats.org/officeDocument/2006/relationships/footer" Target="footer157.xml"/><Relationship Id="rId346" Type="http://schemas.openxmlformats.org/officeDocument/2006/relationships/footer" Target="footer168.xml"/><Relationship Id="rId367" Type="http://schemas.openxmlformats.org/officeDocument/2006/relationships/footer" Target="footer178.xml"/><Relationship Id="rId85" Type="http://schemas.openxmlformats.org/officeDocument/2006/relationships/footer" Target="footer37.xml"/><Relationship Id="rId150" Type="http://schemas.openxmlformats.org/officeDocument/2006/relationships/header" Target="header71.xml"/><Relationship Id="rId171" Type="http://schemas.openxmlformats.org/officeDocument/2006/relationships/header" Target="header81.xml"/><Relationship Id="rId192" Type="http://schemas.openxmlformats.org/officeDocument/2006/relationships/header" Target="header92.xml"/><Relationship Id="rId206" Type="http://schemas.openxmlformats.org/officeDocument/2006/relationships/footer" Target="footer98.xml"/><Relationship Id="rId227" Type="http://schemas.openxmlformats.org/officeDocument/2006/relationships/header" Target="header109.xml"/><Relationship Id="rId248" Type="http://schemas.openxmlformats.org/officeDocument/2006/relationships/footer" Target="footer119.xml"/><Relationship Id="rId269" Type="http://schemas.openxmlformats.org/officeDocument/2006/relationships/header" Target="header130.xml"/><Relationship Id="rId12" Type="http://schemas.openxmlformats.org/officeDocument/2006/relationships/header" Target="header2.xml"/><Relationship Id="rId33" Type="http://schemas.openxmlformats.org/officeDocument/2006/relationships/header" Target="header12.xml"/><Relationship Id="rId108" Type="http://schemas.openxmlformats.org/officeDocument/2006/relationships/header" Target="header50.xml"/><Relationship Id="rId129" Type="http://schemas.openxmlformats.org/officeDocument/2006/relationships/header" Target="header60.xml"/><Relationship Id="rId280" Type="http://schemas.openxmlformats.org/officeDocument/2006/relationships/footer" Target="footer135.xml"/><Relationship Id="rId315" Type="http://schemas.openxmlformats.org/officeDocument/2006/relationships/header" Target="header153.xml"/><Relationship Id="rId336" Type="http://schemas.openxmlformats.org/officeDocument/2006/relationships/header" Target="header164.xml"/><Relationship Id="rId357" Type="http://schemas.openxmlformats.org/officeDocument/2006/relationships/header" Target="header174.xml"/><Relationship Id="rId54" Type="http://schemas.openxmlformats.org/officeDocument/2006/relationships/header" Target="header23.xml"/><Relationship Id="rId75" Type="http://schemas.openxmlformats.org/officeDocument/2006/relationships/header" Target="header33.xml"/><Relationship Id="rId96" Type="http://schemas.openxmlformats.org/officeDocument/2006/relationships/header" Target="header44.xml"/><Relationship Id="rId140" Type="http://schemas.openxmlformats.org/officeDocument/2006/relationships/footer" Target="footer65.xml"/><Relationship Id="rId161" Type="http://schemas.openxmlformats.org/officeDocument/2006/relationships/header" Target="header76.xml"/><Relationship Id="rId182" Type="http://schemas.openxmlformats.org/officeDocument/2006/relationships/footer" Target="footer86.xml"/><Relationship Id="rId217" Type="http://schemas.openxmlformats.org/officeDocument/2006/relationships/footer" Target="footer103.xml"/><Relationship Id="rId378" Type="http://schemas.openxmlformats.org/officeDocument/2006/relationships/theme" Target="theme/theme1.xml"/><Relationship Id="rId6" Type="http://schemas.openxmlformats.org/officeDocument/2006/relationships/settings" Target="settings.xml"/><Relationship Id="rId238" Type="http://schemas.openxmlformats.org/officeDocument/2006/relationships/footer" Target="footer114.xml"/><Relationship Id="rId259" Type="http://schemas.openxmlformats.org/officeDocument/2006/relationships/footer" Target="footer124.xml"/><Relationship Id="rId23" Type="http://schemas.openxmlformats.org/officeDocument/2006/relationships/header" Target="header7.xml"/><Relationship Id="rId119" Type="http://schemas.openxmlformats.org/officeDocument/2006/relationships/header" Target="header55.xml"/><Relationship Id="rId270" Type="http://schemas.openxmlformats.org/officeDocument/2006/relationships/header" Target="header131.xml"/><Relationship Id="rId291" Type="http://schemas.openxmlformats.org/officeDocument/2006/relationships/header" Target="header141.xml"/><Relationship Id="rId305" Type="http://schemas.openxmlformats.org/officeDocument/2006/relationships/header" Target="header148.xml"/><Relationship Id="rId326" Type="http://schemas.openxmlformats.org/officeDocument/2006/relationships/footer" Target="footer158.xml"/><Relationship Id="rId347" Type="http://schemas.openxmlformats.org/officeDocument/2006/relationships/header" Target="header169.xml"/><Relationship Id="rId44" Type="http://schemas.openxmlformats.org/officeDocument/2006/relationships/footer" Target="footer17.xml"/><Relationship Id="rId65" Type="http://schemas.openxmlformats.org/officeDocument/2006/relationships/header" Target="header28.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footer" Target="footer70.xml"/><Relationship Id="rId368" Type="http://schemas.openxmlformats.org/officeDocument/2006/relationships/footer" Target="footer179.xml"/><Relationship Id="rId172" Type="http://schemas.openxmlformats.org/officeDocument/2006/relationships/footer" Target="footer81.xml"/><Relationship Id="rId193" Type="http://schemas.openxmlformats.org/officeDocument/2006/relationships/footer" Target="footer91.xml"/><Relationship Id="rId207" Type="http://schemas.openxmlformats.org/officeDocument/2006/relationships/header" Target="header99.xml"/><Relationship Id="rId228" Type="http://schemas.openxmlformats.org/officeDocument/2006/relationships/header" Target="header110.xml"/><Relationship Id="rId249" Type="http://schemas.openxmlformats.org/officeDocument/2006/relationships/header" Target="header120.xml"/><Relationship Id="rId13" Type="http://schemas.openxmlformats.org/officeDocument/2006/relationships/footer" Target="footer1.xml"/><Relationship Id="rId109" Type="http://schemas.openxmlformats.org/officeDocument/2006/relationships/footer" Target="footer49.xml"/><Relationship Id="rId260" Type="http://schemas.openxmlformats.org/officeDocument/2006/relationships/footer" Target="footer125.xml"/><Relationship Id="rId281" Type="http://schemas.openxmlformats.org/officeDocument/2006/relationships/header" Target="header136.xml"/><Relationship Id="rId316" Type="http://schemas.openxmlformats.org/officeDocument/2006/relationships/footer" Target="footer153.xml"/><Relationship Id="rId337" Type="http://schemas.openxmlformats.org/officeDocument/2006/relationships/footer" Target="footer163.xml"/><Relationship Id="rId34" Type="http://schemas.openxmlformats.org/officeDocument/2006/relationships/footer" Target="footer12.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20" Type="http://schemas.openxmlformats.org/officeDocument/2006/relationships/header" Target="header56.xml"/><Relationship Id="rId141" Type="http://schemas.openxmlformats.org/officeDocument/2006/relationships/header" Target="header66.xml"/><Relationship Id="rId358" Type="http://schemas.openxmlformats.org/officeDocument/2006/relationships/footer" Target="footer174.xml"/><Relationship Id="rId7" Type="http://schemas.openxmlformats.org/officeDocument/2006/relationships/webSettings" Target="webSettings.xml"/><Relationship Id="rId162" Type="http://schemas.openxmlformats.org/officeDocument/2006/relationships/header" Target="header77.xml"/><Relationship Id="rId183" Type="http://schemas.openxmlformats.org/officeDocument/2006/relationships/header" Target="header87.xml"/><Relationship Id="rId218" Type="http://schemas.openxmlformats.org/officeDocument/2006/relationships/footer" Target="footer104.xml"/><Relationship Id="rId239" Type="http://schemas.openxmlformats.org/officeDocument/2006/relationships/header" Target="header115.xml"/><Relationship Id="rId250" Type="http://schemas.openxmlformats.org/officeDocument/2006/relationships/footer" Target="footer120.xml"/><Relationship Id="rId271" Type="http://schemas.openxmlformats.org/officeDocument/2006/relationships/footer" Target="footer130.xml"/><Relationship Id="rId292" Type="http://schemas.openxmlformats.org/officeDocument/2006/relationships/footer" Target="footer141.xml"/><Relationship Id="rId306" Type="http://schemas.openxmlformats.org/officeDocument/2006/relationships/header" Target="header149.xml"/><Relationship Id="rId24" Type="http://schemas.openxmlformats.org/officeDocument/2006/relationships/header" Target="header8.xml"/><Relationship Id="rId45" Type="http://schemas.openxmlformats.org/officeDocument/2006/relationships/header" Target="head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31" Type="http://schemas.openxmlformats.org/officeDocument/2006/relationships/header" Target="header61.xml"/><Relationship Id="rId327" Type="http://schemas.openxmlformats.org/officeDocument/2006/relationships/header" Target="header159.xml"/><Relationship Id="rId348" Type="http://schemas.openxmlformats.org/officeDocument/2006/relationships/header" Target="header170.xml"/><Relationship Id="rId369" Type="http://schemas.openxmlformats.org/officeDocument/2006/relationships/header" Target="header180.xml"/><Relationship Id="rId152" Type="http://schemas.openxmlformats.org/officeDocument/2006/relationships/footer" Target="footer71.xml"/><Relationship Id="rId173" Type="http://schemas.openxmlformats.org/officeDocument/2006/relationships/header" Target="header82.xml"/><Relationship Id="rId194" Type="http://schemas.openxmlformats.org/officeDocument/2006/relationships/footer" Target="footer92.xml"/><Relationship Id="rId208" Type="http://schemas.openxmlformats.org/officeDocument/2006/relationships/footer" Target="footer99.xml"/><Relationship Id="rId229" Type="http://schemas.openxmlformats.org/officeDocument/2006/relationships/footer" Target="footer109.xml"/><Relationship Id="rId240" Type="http://schemas.openxmlformats.org/officeDocument/2006/relationships/header" Target="header116.xml"/><Relationship Id="rId261" Type="http://schemas.openxmlformats.org/officeDocument/2006/relationships/header" Target="header126.xml"/><Relationship Id="rId14" Type="http://schemas.openxmlformats.org/officeDocument/2006/relationships/footer" Target="footer2.xml"/><Relationship Id="rId35" Type="http://schemas.openxmlformats.org/officeDocument/2006/relationships/header" Target="header13.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282" Type="http://schemas.openxmlformats.org/officeDocument/2006/relationships/header" Target="header137.xml"/><Relationship Id="rId317" Type="http://schemas.openxmlformats.org/officeDocument/2006/relationships/header" Target="header154.xml"/><Relationship Id="rId338" Type="http://schemas.openxmlformats.org/officeDocument/2006/relationships/footer" Target="footer164.xml"/><Relationship Id="rId359" Type="http://schemas.openxmlformats.org/officeDocument/2006/relationships/header" Target="header175.xml"/><Relationship Id="rId8" Type="http://schemas.openxmlformats.org/officeDocument/2006/relationships/footnotes" Target="footnotes.xml"/><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oter" Target="footer76.xml"/><Relationship Id="rId184" Type="http://schemas.openxmlformats.org/officeDocument/2006/relationships/footer" Target="footer87.xml"/><Relationship Id="rId219" Type="http://schemas.openxmlformats.org/officeDocument/2006/relationships/header" Target="header105.xml"/><Relationship Id="rId370" Type="http://schemas.openxmlformats.org/officeDocument/2006/relationships/footer" Target="footer180.xml"/><Relationship Id="rId230" Type="http://schemas.openxmlformats.org/officeDocument/2006/relationships/footer" Target="footer110.xml"/><Relationship Id="rId251" Type="http://schemas.openxmlformats.org/officeDocument/2006/relationships/header" Target="header121.xml"/><Relationship Id="rId25" Type="http://schemas.openxmlformats.org/officeDocument/2006/relationships/footer" Target="footer7.xml"/><Relationship Id="rId46" Type="http://schemas.openxmlformats.org/officeDocument/2006/relationships/footer" Target="footer18.xml"/><Relationship Id="rId67" Type="http://schemas.openxmlformats.org/officeDocument/2006/relationships/footer" Target="footer28.xml"/><Relationship Id="rId272" Type="http://schemas.openxmlformats.org/officeDocument/2006/relationships/footer" Target="footer131.xml"/><Relationship Id="rId293" Type="http://schemas.openxmlformats.org/officeDocument/2006/relationships/header" Target="header142.xml"/><Relationship Id="rId307" Type="http://schemas.openxmlformats.org/officeDocument/2006/relationships/footer" Target="footer148.xml"/><Relationship Id="rId328" Type="http://schemas.openxmlformats.org/officeDocument/2006/relationships/footer" Target="footer159.xml"/><Relationship Id="rId349" Type="http://schemas.openxmlformats.org/officeDocument/2006/relationships/footer" Target="footer169.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2.xml"/><Relationship Id="rId153" Type="http://schemas.openxmlformats.org/officeDocument/2006/relationships/header" Target="header72.xml"/><Relationship Id="rId174" Type="http://schemas.openxmlformats.org/officeDocument/2006/relationships/header" Target="header83.xml"/><Relationship Id="rId195" Type="http://schemas.openxmlformats.org/officeDocument/2006/relationships/header" Target="header93.xml"/><Relationship Id="rId209" Type="http://schemas.openxmlformats.org/officeDocument/2006/relationships/header" Target="header100.xml"/><Relationship Id="rId360" Type="http://schemas.openxmlformats.org/officeDocument/2006/relationships/header" Target="header176.xml"/><Relationship Id="rId220" Type="http://schemas.openxmlformats.org/officeDocument/2006/relationships/footer" Target="footer105.xml"/><Relationship Id="rId241" Type="http://schemas.openxmlformats.org/officeDocument/2006/relationships/footer" Target="footer115.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header" Target="header24.xml"/><Relationship Id="rId262" Type="http://schemas.openxmlformats.org/officeDocument/2006/relationships/footer" Target="footer126.xml"/><Relationship Id="rId283" Type="http://schemas.openxmlformats.org/officeDocument/2006/relationships/footer" Target="footer136.xml"/><Relationship Id="rId318" Type="http://schemas.openxmlformats.org/officeDocument/2006/relationships/header" Target="header155.xml"/><Relationship Id="rId339" Type="http://schemas.openxmlformats.org/officeDocument/2006/relationships/header" Target="header165.xml"/><Relationship Id="rId78" Type="http://schemas.openxmlformats.org/officeDocument/2006/relationships/header" Target="header35.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43" Type="http://schemas.openxmlformats.org/officeDocument/2006/relationships/header" Target="header67.xml"/><Relationship Id="rId164" Type="http://schemas.openxmlformats.org/officeDocument/2006/relationships/footer" Target="footer77.xml"/><Relationship Id="rId185" Type="http://schemas.openxmlformats.org/officeDocument/2006/relationships/header" Target="header88.xml"/><Relationship Id="rId350" Type="http://schemas.openxmlformats.org/officeDocument/2006/relationships/footer" Target="footer170.xml"/><Relationship Id="rId371" Type="http://schemas.openxmlformats.org/officeDocument/2006/relationships/header" Target="header181.xm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eader" Target="header86.xml"/><Relationship Id="rId210" Type="http://schemas.openxmlformats.org/officeDocument/2006/relationships/header" Target="header101.xml"/><Relationship Id="rId215" Type="http://schemas.openxmlformats.org/officeDocument/2006/relationships/header" Target="header103.xml"/><Relationship Id="rId236" Type="http://schemas.openxmlformats.org/officeDocument/2006/relationships/footer" Target="footer113.xml"/><Relationship Id="rId257" Type="http://schemas.openxmlformats.org/officeDocument/2006/relationships/header" Target="header124.xml"/><Relationship Id="rId278" Type="http://schemas.openxmlformats.org/officeDocument/2006/relationships/footer" Target="footer134.xml"/><Relationship Id="rId26" Type="http://schemas.openxmlformats.org/officeDocument/2006/relationships/footer" Target="footer8.xml"/><Relationship Id="rId231" Type="http://schemas.openxmlformats.org/officeDocument/2006/relationships/header" Target="header111.xml"/><Relationship Id="rId252" Type="http://schemas.openxmlformats.org/officeDocument/2006/relationships/header" Target="header122.xml"/><Relationship Id="rId273" Type="http://schemas.openxmlformats.org/officeDocument/2006/relationships/header" Target="header132.xml"/><Relationship Id="rId294" Type="http://schemas.openxmlformats.org/officeDocument/2006/relationships/header" Target="header143.xml"/><Relationship Id="rId308" Type="http://schemas.openxmlformats.org/officeDocument/2006/relationships/footer" Target="footer149.xml"/><Relationship Id="rId329" Type="http://schemas.openxmlformats.org/officeDocument/2006/relationships/header" Target="header160.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340" Type="http://schemas.openxmlformats.org/officeDocument/2006/relationships/footer" Target="footer165.xml"/><Relationship Id="rId361" Type="http://schemas.openxmlformats.org/officeDocument/2006/relationships/footer" Target="footer175.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footer" Target="footer3.xml"/><Relationship Id="rId221" Type="http://schemas.openxmlformats.org/officeDocument/2006/relationships/header" Target="header106.xml"/><Relationship Id="rId242" Type="http://schemas.openxmlformats.org/officeDocument/2006/relationships/footer" Target="footer116.xml"/><Relationship Id="rId263" Type="http://schemas.openxmlformats.org/officeDocument/2006/relationships/header" Target="header127.xml"/><Relationship Id="rId284" Type="http://schemas.openxmlformats.org/officeDocument/2006/relationships/footer" Target="footer137.xml"/><Relationship Id="rId319" Type="http://schemas.openxmlformats.org/officeDocument/2006/relationships/footer" Target="footer154.xml"/><Relationship Id="rId37" Type="http://schemas.openxmlformats.org/officeDocument/2006/relationships/footer" Target="footer13.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44" Type="http://schemas.openxmlformats.org/officeDocument/2006/relationships/header" Target="header68.xml"/><Relationship Id="rId330" Type="http://schemas.openxmlformats.org/officeDocument/2006/relationships/header" Target="header161.xml"/><Relationship Id="rId90" Type="http://schemas.openxmlformats.org/officeDocument/2006/relationships/header" Target="header41.xml"/><Relationship Id="rId165" Type="http://schemas.openxmlformats.org/officeDocument/2006/relationships/header" Target="header78.xml"/><Relationship Id="rId186" Type="http://schemas.openxmlformats.org/officeDocument/2006/relationships/header" Target="header89.xml"/><Relationship Id="rId351" Type="http://schemas.openxmlformats.org/officeDocument/2006/relationships/header" Target="header171.xml"/><Relationship Id="rId372" Type="http://schemas.openxmlformats.org/officeDocument/2006/relationships/header" Target="header182.xml"/><Relationship Id="rId211" Type="http://schemas.openxmlformats.org/officeDocument/2006/relationships/footer" Target="footer100.xml"/><Relationship Id="rId232" Type="http://schemas.openxmlformats.org/officeDocument/2006/relationships/footer" Target="footer111.xml"/><Relationship Id="rId253" Type="http://schemas.openxmlformats.org/officeDocument/2006/relationships/footer" Target="footer121.xml"/><Relationship Id="rId274" Type="http://schemas.openxmlformats.org/officeDocument/2006/relationships/footer" Target="footer132.xml"/><Relationship Id="rId295" Type="http://schemas.openxmlformats.org/officeDocument/2006/relationships/footer" Target="footer142.xml"/><Relationship Id="rId309" Type="http://schemas.openxmlformats.org/officeDocument/2006/relationships/header" Target="header150.xml"/><Relationship Id="rId27" Type="http://schemas.openxmlformats.org/officeDocument/2006/relationships/header" Target="header9.xml"/><Relationship Id="rId48" Type="http://schemas.openxmlformats.org/officeDocument/2006/relationships/header" Target="header20.xml"/><Relationship Id="rId69" Type="http://schemas.openxmlformats.org/officeDocument/2006/relationships/header" Target="header30.xml"/><Relationship Id="rId113" Type="http://schemas.openxmlformats.org/officeDocument/2006/relationships/header" Target="header52.xml"/><Relationship Id="rId134" Type="http://schemas.openxmlformats.org/officeDocument/2006/relationships/footer" Target="footer62.xml"/><Relationship Id="rId320" Type="http://schemas.openxmlformats.org/officeDocument/2006/relationships/footer" Target="footer155.xml"/><Relationship Id="rId80" Type="http://schemas.openxmlformats.org/officeDocument/2006/relationships/footer" Target="footer35.xml"/><Relationship Id="rId155" Type="http://schemas.openxmlformats.org/officeDocument/2006/relationships/header" Target="header73.xml"/><Relationship Id="rId176" Type="http://schemas.openxmlformats.org/officeDocument/2006/relationships/footer" Target="footer83.xml"/><Relationship Id="rId197" Type="http://schemas.openxmlformats.org/officeDocument/2006/relationships/header" Target="header94.xml"/><Relationship Id="rId341" Type="http://schemas.openxmlformats.org/officeDocument/2006/relationships/header" Target="header166.xml"/><Relationship Id="rId362" Type="http://schemas.openxmlformats.org/officeDocument/2006/relationships/footer" Target="footer176.xml"/><Relationship Id="rId201" Type="http://schemas.openxmlformats.org/officeDocument/2006/relationships/header" Target="header96.xml"/><Relationship Id="rId222" Type="http://schemas.openxmlformats.org/officeDocument/2006/relationships/header" Target="header107.xml"/><Relationship Id="rId243" Type="http://schemas.openxmlformats.org/officeDocument/2006/relationships/header" Target="header117.xml"/><Relationship Id="rId264" Type="http://schemas.openxmlformats.org/officeDocument/2006/relationships/header" Target="header128.xml"/><Relationship Id="rId285" Type="http://schemas.openxmlformats.org/officeDocument/2006/relationships/header" Target="header138.xml"/><Relationship Id="rId17" Type="http://schemas.openxmlformats.org/officeDocument/2006/relationships/header" Target="header4.xml"/><Relationship Id="rId38" Type="http://schemas.openxmlformats.org/officeDocument/2006/relationships/footer" Target="footer14.xml"/><Relationship Id="rId59" Type="http://schemas.openxmlformats.org/officeDocument/2006/relationships/header" Target="header25.xml"/><Relationship Id="rId103" Type="http://schemas.openxmlformats.org/officeDocument/2006/relationships/footer" Target="footer46.xml"/><Relationship Id="rId124" Type="http://schemas.openxmlformats.org/officeDocument/2006/relationships/footer" Target="footer57.xml"/><Relationship Id="rId310" Type="http://schemas.openxmlformats.org/officeDocument/2006/relationships/footer" Target="footer150.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331" Type="http://schemas.openxmlformats.org/officeDocument/2006/relationships/footer" Target="footer160.xml"/><Relationship Id="rId352" Type="http://schemas.openxmlformats.org/officeDocument/2006/relationships/footer" Target="footer171.xml"/><Relationship Id="rId373" Type="http://schemas.openxmlformats.org/officeDocument/2006/relationships/footer" Target="footer181.xml"/><Relationship Id="rId1" Type="http://schemas.microsoft.com/office/2006/relationships/keyMapCustomizations" Target="customizations.xml"/><Relationship Id="rId212" Type="http://schemas.openxmlformats.org/officeDocument/2006/relationships/footer" Target="footer101.xml"/><Relationship Id="rId233" Type="http://schemas.openxmlformats.org/officeDocument/2006/relationships/header" Target="header112.xml"/><Relationship Id="rId254" Type="http://schemas.openxmlformats.org/officeDocument/2006/relationships/footer" Target="footer122.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eader" Target="header53.xml"/><Relationship Id="rId275" Type="http://schemas.openxmlformats.org/officeDocument/2006/relationships/header" Target="header133.xml"/><Relationship Id="rId296" Type="http://schemas.openxmlformats.org/officeDocument/2006/relationships/footer" Target="footer143.xml"/><Relationship Id="rId300" Type="http://schemas.openxmlformats.org/officeDocument/2006/relationships/header" Target="header146.xml"/><Relationship Id="rId60" Type="http://schemas.openxmlformats.org/officeDocument/2006/relationships/header" Target="header26.xml"/><Relationship Id="rId81" Type="http://schemas.openxmlformats.org/officeDocument/2006/relationships/header" Target="header36.xml"/><Relationship Id="rId135" Type="http://schemas.openxmlformats.org/officeDocument/2006/relationships/header" Target="header63.xml"/><Relationship Id="rId156" Type="http://schemas.openxmlformats.org/officeDocument/2006/relationships/header" Target="header74.xml"/><Relationship Id="rId177" Type="http://schemas.openxmlformats.org/officeDocument/2006/relationships/header" Target="header84.xml"/><Relationship Id="rId198" Type="http://schemas.openxmlformats.org/officeDocument/2006/relationships/header" Target="header95.xml"/><Relationship Id="rId321" Type="http://schemas.openxmlformats.org/officeDocument/2006/relationships/header" Target="header156.xml"/><Relationship Id="rId342" Type="http://schemas.openxmlformats.org/officeDocument/2006/relationships/header" Target="header167.xml"/><Relationship Id="rId363" Type="http://schemas.openxmlformats.org/officeDocument/2006/relationships/header" Target="header177.xml"/><Relationship Id="rId202" Type="http://schemas.openxmlformats.org/officeDocument/2006/relationships/footer" Target="footer96.xml"/><Relationship Id="rId223" Type="http://schemas.openxmlformats.org/officeDocument/2006/relationships/footer" Target="footer106.xml"/><Relationship Id="rId244" Type="http://schemas.openxmlformats.org/officeDocument/2006/relationships/footer" Target="footer117.xml"/><Relationship Id="rId18" Type="http://schemas.openxmlformats.org/officeDocument/2006/relationships/header" Target="header5.xml"/><Relationship Id="rId39" Type="http://schemas.openxmlformats.org/officeDocument/2006/relationships/header" Target="header15.xml"/><Relationship Id="rId265" Type="http://schemas.openxmlformats.org/officeDocument/2006/relationships/footer" Target="footer127.xml"/><Relationship Id="rId286" Type="http://schemas.openxmlformats.org/officeDocument/2006/relationships/footer" Target="footer138.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58.xml"/><Relationship Id="rId146" Type="http://schemas.openxmlformats.org/officeDocument/2006/relationships/footer" Target="footer68.xml"/><Relationship Id="rId167" Type="http://schemas.openxmlformats.org/officeDocument/2006/relationships/header" Target="header79.xml"/><Relationship Id="rId188" Type="http://schemas.openxmlformats.org/officeDocument/2006/relationships/footer" Target="footer89.xml"/><Relationship Id="rId311" Type="http://schemas.openxmlformats.org/officeDocument/2006/relationships/header" Target="header151.xml"/><Relationship Id="rId332" Type="http://schemas.openxmlformats.org/officeDocument/2006/relationships/footer" Target="footer161.xml"/><Relationship Id="rId353" Type="http://schemas.openxmlformats.org/officeDocument/2006/relationships/header" Target="header172.xml"/><Relationship Id="rId374" Type="http://schemas.openxmlformats.org/officeDocument/2006/relationships/footer" Target="footer182.xml"/><Relationship Id="rId71" Type="http://schemas.openxmlformats.org/officeDocument/2006/relationships/header" Target="header31.xml"/><Relationship Id="rId92" Type="http://schemas.openxmlformats.org/officeDocument/2006/relationships/footer" Target="footer41.xml"/><Relationship Id="rId213" Type="http://schemas.openxmlformats.org/officeDocument/2006/relationships/header" Target="header102.xml"/><Relationship Id="rId234" Type="http://schemas.openxmlformats.org/officeDocument/2006/relationships/header" Target="header113.xml"/><Relationship Id="rId2" Type="http://schemas.openxmlformats.org/officeDocument/2006/relationships/customXml" Target="../customXml/item1.xml"/><Relationship Id="rId29" Type="http://schemas.openxmlformats.org/officeDocument/2006/relationships/header" Target="header10.xml"/><Relationship Id="rId255" Type="http://schemas.openxmlformats.org/officeDocument/2006/relationships/header" Target="header123.xml"/><Relationship Id="rId276" Type="http://schemas.openxmlformats.org/officeDocument/2006/relationships/header" Target="header134.xml"/><Relationship Id="rId297" Type="http://schemas.openxmlformats.org/officeDocument/2006/relationships/header" Target="header144.xml"/><Relationship Id="rId40" Type="http://schemas.openxmlformats.org/officeDocument/2006/relationships/footer" Target="footer15.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 Id="rId301" Type="http://schemas.openxmlformats.org/officeDocument/2006/relationships/footer" Target="footer145.xml"/><Relationship Id="rId322" Type="http://schemas.openxmlformats.org/officeDocument/2006/relationships/footer" Target="footer156.xml"/><Relationship Id="rId343" Type="http://schemas.openxmlformats.org/officeDocument/2006/relationships/footer" Target="footer166.xml"/><Relationship Id="rId364" Type="http://schemas.openxmlformats.org/officeDocument/2006/relationships/footer" Target="footer177.xml"/><Relationship Id="rId61" Type="http://schemas.openxmlformats.org/officeDocument/2006/relationships/footer" Target="footer25.xml"/><Relationship Id="rId82" Type="http://schemas.openxmlformats.org/officeDocument/2006/relationships/footer" Target="footer36.xml"/><Relationship Id="rId199" Type="http://schemas.openxmlformats.org/officeDocument/2006/relationships/footer" Target="footer94.xml"/><Relationship Id="rId203" Type="http://schemas.openxmlformats.org/officeDocument/2006/relationships/header" Target="header97.xml"/><Relationship Id="rId19" Type="http://schemas.openxmlformats.org/officeDocument/2006/relationships/footer" Target="footer4.xml"/><Relationship Id="rId224" Type="http://schemas.openxmlformats.org/officeDocument/2006/relationships/footer" Target="footer107.xml"/><Relationship Id="rId245" Type="http://schemas.openxmlformats.org/officeDocument/2006/relationships/header" Target="header118.xml"/><Relationship Id="rId266" Type="http://schemas.openxmlformats.org/officeDocument/2006/relationships/footer" Target="footer128.xml"/><Relationship Id="rId287" Type="http://schemas.openxmlformats.org/officeDocument/2006/relationships/header" Target="header139.xml"/><Relationship Id="rId30" Type="http://schemas.openxmlformats.org/officeDocument/2006/relationships/header" Target="header11.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168" Type="http://schemas.openxmlformats.org/officeDocument/2006/relationships/header" Target="header80.xml"/><Relationship Id="rId312" Type="http://schemas.openxmlformats.org/officeDocument/2006/relationships/header" Target="header152.xml"/><Relationship Id="rId333" Type="http://schemas.openxmlformats.org/officeDocument/2006/relationships/header" Target="header162.xml"/><Relationship Id="rId354" Type="http://schemas.openxmlformats.org/officeDocument/2006/relationships/header" Target="header173.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189" Type="http://schemas.openxmlformats.org/officeDocument/2006/relationships/header" Target="header90.xml"/><Relationship Id="rId375" Type="http://schemas.openxmlformats.org/officeDocument/2006/relationships/header" Target="header183.xml"/><Relationship Id="rId3" Type="http://schemas.openxmlformats.org/officeDocument/2006/relationships/numbering" Target="numbering.xml"/><Relationship Id="rId214" Type="http://schemas.openxmlformats.org/officeDocument/2006/relationships/footer" Target="footer102.xml"/><Relationship Id="rId235" Type="http://schemas.openxmlformats.org/officeDocument/2006/relationships/footer" Target="footer112.xml"/><Relationship Id="rId256" Type="http://schemas.openxmlformats.org/officeDocument/2006/relationships/footer" Target="footer123.xml"/><Relationship Id="rId277" Type="http://schemas.openxmlformats.org/officeDocument/2006/relationships/footer" Target="footer133.xml"/><Relationship Id="rId298" Type="http://schemas.openxmlformats.org/officeDocument/2006/relationships/footer" Target="footer144.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302" Type="http://schemas.openxmlformats.org/officeDocument/2006/relationships/footer" Target="footer146.xml"/><Relationship Id="rId323" Type="http://schemas.openxmlformats.org/officeDocument/2006/relationships/header" Target="header157.xml"/><Relationship Id="rId344" Type="http://schemas.openxmlformats.org/officeDocument/2006/relationships/footer" Target="footer167.xml"/><Relationship Id="rId20" Type="http://schemas.openxmlformats.org/officeDocument/2006/relationships/footer" Target="footer5.xml"/><Relationship Id="rId41" Type="http://schemas.openxmlformats.org/officeDocument/2006/relationships/header" Target="header16.xml"/><Relationship Id="rId62" Type="http://schemas.openxmlformats.org/officeDocument/2006/relationships/footer" Target="footer26.xml"/><Relationship Id="rId83" Type="http://schemas.openxmlformats.org/officeDocument/2006/relationships/header" Target="header37.xml"/><Relationship Id="rId179" Type="http://schemas.openxmlformats.org/officeDocument/2006/relationships/header" Target="header85.xml"/><Relationship Id="rId365" Type="http://schemas.openxmlformats.org/officeDocument/2006/relationships/header" Target="header178.xml"/><Relationship Id="rId190" Type="http://schemas.openxmlformats.org/officeDocument/2006/relationships/footer" Target="footer90.xml"/><Relationship Id="rId204" Type="http://schemas.openxmlformats.org/officeDocument/2006/relationships/header" Target="header98.xml"/><Relationship Id="rId225" Type="http://schemas.openxmlformats.org/officeDocument/2006/relationships/header" Target="header108.xml"/><Relationship Id="rId246" Type="http://schemas.openxmlformats.org/officeDocument/2006/relationships/header" Target="header119.xml"/><Relationship Id="rId267" Type="http://schemas.openxmlformats.org/officeDocument/2006/relationships/header" Target="header129.xml"/><Relationship Id="rId288" Type="http://schemas.openxmlformats.org/officeDocument/2006/relationships/header" Target="header140.xml"/><Relationship Id="rId106" Type="http://schemas.openxmlformats.org/officeDocument/2006/relationships/footer" Target="footer48.xml"/><Relationship Id="rId127" Type="http://schemas.openxmlformats.org/officeDocument/2006/relationships/footer" Target="footer58.xml"/><Relationship Id="rId313" Type="http://schemas.openxmlformats.org/officeDocument/2006/relationships/footer" Target="footer151.xml"/><Relationship Id="rId10" Type="http://schemas.openxmlformats.org/officeDocument/2006/relationships/image" Target="media/image1.emf"/><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footer" Target="footer31.xml"/><Relationship Id="rId94" Type="http://schemas.openxmlformats.org/officeDocument/2006/relationships/footer" Target="footer42.xml"/><Relationship Id="rId148" Type="http://schemas.openxmlformats.org/officeDocument/2006/relationships/footer" Target="footer69.xml"/><Relationship Id="rId169" Type="http://schemas.openxmlformats.org/officeDocument/2006/relationships/footer" Target="footer79.xml"/><Relationship Id="rId334" Type="http://schemas.openxmlformats.org/officeDocument/2006/relationships/footer" Target="footer162.xml"/><Relationship Id="rId355" Type="http://schemas.openxmlformats.org/officeDocument/2006/relationships/footer" Target="footer172.xml"/><Relationship Id="rId376" Type="http://schemas.openxmlformats.org/officeDocument/2006/relationships/footer" Target="footer18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F625-5659-4FA1-9DD5-7BDE58CD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22952</Words>
  <Characters>109945</Characters>
  <Application>Microsoft Office Word</Application>
  <DocSecurity>0</DocSecurity>
  <Lines>10994</Lines>
  <Paragraphs>8306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25</cp:revision>
  <dcterms:created xsi:type="dcterms:W3CDTF">2019-06-14T09:20:00Z</dcterms:created>
  <dcterms:modified xsi:type="dcterms:W3CDTF">2019-06-26T08:17:00Z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ulture00">
    <vt:lpwstr>GAoAAB+LCAAAAAAABAA1louRAzEIQ1sy+F+P++8hemIzl5ska2NAEnJyjBfxmv56vOj3HX+pv6H/7Pud9TKuNuqrdi/FrBcn3u4vz8s335laepv4qwex+D8vmsJ6U2h3aGwl0oFaveOt/aLWR/LsNp+qdHcqvL8YhNy3tVG5JlnTe/y+X+YlH9vi5czn0FS2o8Wu2sZ2W6FGr8IvbfBo+eDM1G4dFap16v+4uEydo4oJnMobvKKpoEtPm2y02FX</vt:lpwstr>
  </property>
  <property fmtid="{D5CDD505-2E9C-101B-9397-08002B2CF9AE}" pid="3" name="DMCulture01">
    <vt:lpwstr>2iySV1gTFoOb2tmoQnql13nR4ghj46VGo22gKPf64tUMxqmS2R2vTr718aoZw0kMjMt+cbwt+p9PHZfyFvEKpK6lRbcdWE625nn1oSYmEgDZ2Y579jfV0oAiJdStd7gInaZ4t9BI64yilyuRjNsobZi1juj6yspRQMd1nHN7HO2rpWkTRFAQhp87i6wSY7aA8hhoViNJDkfQVVAKX8XFv4gBpGhZtIXv2QRCCUnLQgVxhf8IsWr4KhxhlceQwCe</vt:lpwstr>
  </property>
  <property fmtid="{D5CDD505-2E9C-101B-9397-08002B2CF9AE}" pid="4" name="DMCulture02">
    <vt:lpwstr>ThTHDsdWA0sw+G4hhxCZtrsBekIeRteF2VmBEeffiJpyKdhDU1tusLAhOi+gSA4i5bSc/y25x3C3ZzAdT0akzhRK11WJiexgFoH4AtvvZ0Juf26oionSUchpz5UKXHaF/iGVcqJIoHzIJEEe1Y2GEC+nzDaFvF7VZFigjGCblpKiWcC3bXvRJ2LV4InY/5t5imD6qh4AlaogZmgnh1wZxJIar/I29Y9jQJROMN9m8QT3vKLvAsn2EdmEGU8oQQ5</vt:lpwstr>
  </property>
  <property fmtid="{D5CDD505-2E9C-101B-9397-08002B2CF9AE}" pid="5" name="DMCulture03">
    <vt:lpwstr>x0knQWMekOZGJfZDQ9/lNN48zXF6MpSO08vK3qXi5xl+vwVvjwHw8Ns86FoAG9M9/XhKsy4Xj+1fTaA1dJtNhugI48xxTrpwZ52LceouZjbBGaDr3APeFy5BefS+3GZ+I70qKFgeOlOOXFIrSUGpKzzm1OR4iSyZDwQt2VoPaGjsCDHuk7FdKkxXEaIqv1p5OwerfyCMNxfezhQZ5OZ7rCaCZMFa7eN2hP6LiRwnyyTVcVcArdk6hFgGtQHdmau</vt:lpwstr>
  </property>
  <property fmtid="{D5CDD505-2E9C-101B-9397-08002B2CF9AE}" pid="6" name="DMCulture04">
    <vt:lpwstr>8ZRReN1yvVGgokxVZLksPIiyxZD969YNtmu2aI7hoXiBf9kE2iwzZIzIODZpV4sWS/vUDP9qGWcZppqJS+BU5Laabe+qBEj0pMz6m1LqBPBsJtkorlVXGpq+SGem21by71M2t8/sAZx5J/Wsu+uv4lnYcujC6d2CitrWHjA4D9f+Lilwu7av3c9abfL+fZAqHMnrTcyez8xVLaL0XQlT5fZ4tcDbXFeatlMdQsc0vjY5NKTBVyYhSM5ZxhAei7p</vt:lpwstr>
  </property>
  <property fmtid="{D5CDD505-2E9C-101B-9397-08002B2CF9AE}" pid="7" name="DMCulture05">
    <vt:lpwstr>maa1XL6vGCUOgkXbKPB20+XVglWkOYO1y4TFBIn5bdIIbbYKPBYcEs2jzfdgYFd+5td8nfdSMGrPkUtbZ204ctvvvoqcMCEZJDJTW4VmQnF5MHHv+/b4JylG3EIN733eV+N7yTyPVAwVcP+F6lu844az+YRhnQYKgBSbBry9j/rXNeLmPab2Bipsvg0wEY7KWiZmldv8a/AEaGyInGAoAAA==</vt:lpwstr>
  </property>
  <property fmtid="{D5CDD505-2E9C-101B-9397-08002B2CF9AE}" pid="8" name="frecMETA00">
    <vt:lpwstr>OgoAAB+LCAAAAAAABAA1lguSAyEIRK8k+BvP4/3vkH6NqdrsVBxFoD8ker9f3oxzY9Rzjhvrxhda2TfOd2PO2/OOuPp3x7zZtLi0KbU02l3aN49Of3VOr0/X41xFyBh3ei0b27XS+s3Zbmztb+zQ+Vz33K6YXYtDzzbv1r5ILSnYqpuHEj11uhOlO7vQ9z0q4Rl35tX20PpJkssculQfQisyIalSG/i+zv1GxSTWUkx9DxXyfa6RJpC8XuadtKp</vt:lpwstr>
  </property>
  <property fmtid="{D5CDD505-2E9C-101B-9397-08002B2CF9AE}" pid="9" name="frecMETA01">
    <vt:lpwstr>dOnA/rk+/V3eI6XR14b7aww1E0K7eLn9q4NJbNZ0W9zu+22vrUQaKvPelWjUib1ehfBFAsWmX3lPCJhtd9XE8WqNe9103gGCSCPfQV8V5WaouRVmkq8vnduAkUm/u4CKDJH0W9qJfqSX6A3LDKSc9EjJ9u02qm7IFVno5+yle0M7RDXg3RbKt23mh/ef45QranCpjNSNOfWcZMDf/xN1364qXFDuGvzWDK7DpuLDl7SGzyV0d0FrhSCF1LQ2lZd</vt:lpwstr>
  </property>
  <property fmtid="{D5CDD505-2E9C-101B-9397-08002B2CF9AE}" pid="10" name="frecMETA02">
    <vt:lpwstr>qnm7Uz2MfzPAaz47FM7a0a2KJbDnmAkrCF2hAt9fR3FKADezuXiPdar759Cw1xxMCRVV1Bzds7ipIfRBivcuhXECa8h6fgz9Fw/xAhUZT9oC3auO/jr1XDvk+MEJf0f/nAogOgGaG1nEZOwq9iADdpLSWliKMLleQp1upDO+mlkISZypyKCaeLKSVKUY12jrIV47OQ54kn97QdqFioQCxHzmUWmsHKTvCt4c1AlxAfylkQNCWtFzcexqmU71mQw</vt:lpwstr>
  </property>
  <property fmtid="{D5CDD505-2E9C-101B-9397-08002B2CF9AE}" pid="11" name="frecMETA03">
    <vt:lpwstr>XT2KNw52Q9ErNJbDKCmLkAXB8AYe5PGMS6dtDUtJwjphAihsb7iVjdeNgT8Q7VgCcP46oyEbumispWFOlBm+rPKPtXwgScQwdbz/IZdqu+brktWQcTjqIZk2i7I3YlhPWxtZKO4gBhGGjutHtH7+dlCe3UV6UxXsqxt6BLuUEEYRiP2qHhYvk1rFKuw1FEKQLhcpeXpBqbSKVl8bgMP7gJ8UFYsRoqdDGxHSRPg4aI5xZFVV6JI0kGVfDD7sM0y</vt:lpwstr>
  </property>
  <property fmtid="{D5CDD505-2E9C-101B-9397-08002B2CF9AE}" pid="12" name="frecMETA04">
    <vt:lpwstr>UOifnvspGa2emjHdPJL8w5Y8PF64AKFUvmKSpOQJsrBRrKb5JailR0YykeJ5sYBk4nEpCoVu6I3yo3lmjIJ5LrcBBmBonTi7Go3PMd2mGYCzuzHdCpJSGAPhkxYaaKhL00PV/YYYMIy5Idh0uVszDCCEZ2absB4BiHf2yqGmqo1o1BRM2z50W6W74+LL4mjYc7wkA+oPxZr/Sd8gjBqJIKyqpKBRrEzo8JmSCmHhDTOB5O0En0t1iR654dGHoAW</vt:lpwstr>
  </property>
  <property fmtid="{D5CDD505-2E9C-101B-9397-08002B2CF9AE}" pid="13" name="frecMETA05">
    <vt:lpwstr>phLbTQu33VBNWFT0rd7sjUKDf8zKadajVr5RR8576xxvPWF23T9v/8hHPv2/Gm73iZbPCWSF5aWg1D0cUk56Mn6VYtBiMV0aarRxz4rpVOXowcdEo9eEgqBXDQuu7fi49K4NupK83/nGmBgkvmRVjq9nzT/1SGH8vfFmQjefGMwZnuV38sQdB9/m0HZaDIikjcAYHNURdgGk1GeQw26Et6g6/mYCI9wd8W5UnOgoAAA==</vt:lpwstr>
  </property>
  <property fmtid="{D5CDD505-2E9C-101B-9397-08002B2CF9AE}" pid="14" name="PeriodId">
    <vt:i4>8</vt:i4>
  </property>
  <property fmtid="{D5CDD505-2E9C-101B-9397-08002B2CF9AE}" pid="15" name="PeriodName">
    <vt:lpwstr>2018 Annual Accounts</vt:lpwstr>
  </property>
  <property fmtid="{D5CDD505-2E9C-101B-9397-08002B2CF9AE}" pid="16" name="ReportId">
    <vt:i4>138</vt:i4>
  </property>
  <property fmtid="{D5CDD505-2E9C-101B-9397-08002B2CF9AE}" pid="17" name="ReportName">
    <vt:lpwstr>EC Annual Accounts</vt:lpwstr>
  </property>
  <property fmtid="{D5CDD505-2E9C-101B-9397-08002B2CF9AE}" pid="18" name="UseLegacyExcelTemplate">
    <vt:bool>true</vt:bool>
  </property>
  <property fmtid="{D5CDD505-2E9C-101B-9397-08002B2CF9AE}" pid="19" name="Level of sensitivity">
    <vt:lpwstr>Standard treatment</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reated using">
    <vt:lpwstr>LW 6.0.1, Build 20180503</vt:lpwstr>
  </property>
  <property fmtid="{D5CDD505-2E9C-101B-9397-08002B2CF9AE}" pid="24" name="Last edited using">
    <vt:lpwstr>LW 6.0.1, Build 20180503</vt:lpwstr>
  </property>
</Properties>
</file>