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456026166"/>
      <w:bookmarkStart w:id="1"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alt="7619F2E8-0429-463D-A512-1FBD7223A296" style="width:450.75pt;height:321pt">
            <v:imagedata r:id="rId12" o:title=""/>
          </v:shape>
        </w:pict>
      </w:r>
    </w:p>
    <w:bookmarkEnd w:id="1"/>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fmt="numberInDash" w:start="1"/>
          <w:cols w:space="720"/>
          <w:docGrid w:linePitch="326"/>
        </w:sectPr>
      </w:pPr>
    </w:p>
    <w:p>
      <w:pPr>
        <w:pStyle w:val="Heading1"/>
        <w:numPr>
          <w:ilvl w:val="0"/>
          <w:numId w:val="21"/>
        </w:numPr>
        <w:tabs>
          <w:tab w:val="left" w:pos="720"/>
        </w:tabs>
        <w:spacing w:before="0" w:after="120" w:line="276" w:lineRule="auto"/>
        <w:rPr>
          <w:noProof/>
        </w:rPr>
      </w:pPr>
      <w:bookmarkStart w:id="2" w:name="_Toc494974436"/>
      <w:bookmarkStart w:id="3" w:name="_Toc524523057"/>
      <w:bookmarkStart w:id="4" w:name="_GoBack"/>
      <w:bookmarkEnd w:id="0"/>
      <w:bookmarkEnd w:id="4"/>
      <w:r>
        <w:rPr>
          <w:noProof/>
        </w:rPr>
        <w:lastRenderedPageBreak/>
        <w:t>Въведение</w:t>
      </w:r>
      <w:bookmarkEnd w:id="2"/>
      <w:bookmarkEnd w:id="3"/>
    </w:p>
    <w:p>
      <w:pPr>
        <w:spacing w:after="120" w:line="276" w:lineRule="auto"/>
        <w:jc w:val="both"/>
        <w:rPr>
          <w:noProof/>
          <w:highlight w:val="yellow"/>
        </w:rPr>
      </w:pPr>
      <w:r>
        <w:rPr>
          <w:noProof/>
        </w:rPr>
        <w:t>Настоящият доклад предоставя дългосрочна прогноза за бъдещите входящи и изходящи парични потоци, обхващаща следващите пет години (2020—2024 г.), както се изисква в член 247, параграф 1, буква в) от Финансовия регламент</w:t>
      </w:r>
      <w:r>
        <w:rPr>
          <w:rStyle w:val="FootnoteReference"/>
          <w:noProof/>
        </w:rPr>
        <w:footnoteReference w:id="2"/>
      </w:r>
      <w:r>
        <w:rPr>
          <w:noProof/>
        </w:rPr>
        <w:t>. В анализа се вземат предвид принципите и условията, посочени в проекта на Споразумението за оттегляне на Обединеното кралство Великобритания и Северна Ирландия от Европейския съюз и Европейската общност за атомна енергия</w:t>
      </w:r>
      <w:r>
        <w:rPr>
          <w:rStyle w:val="FootnoteReference"/>
          <w:noProof/>
        </w:rPr>
        <w:footnoteReference w:id="3"/>
      </w:r>
      <w:r>
        <w:rPr>
          <w:noProof/>
        </w:rPr>
        <w:t>.</w:t>
      </w:r>
    </w:p>
    <w:p>
      <w:pPr>
        <w:spacing w:after="120" w:line="276" w:lineRule="auto"/>
        <w:jc w:val="both"/>
        <w:rPr>
          <w:noProof/>
        </w:rPr>
      </w:pPr>
      <w:r>
        <w:rPr>
          <w:noProof/>
        </w:rPr>
        <w:t>Обхватът на прогнозата включва елементите на текущата и следващата финансова рамка. Той се основава на размера на бюджетните кредити за поети задължения за 2020 г., включени в проектобюджета за посочената година. За периода 2021—2024 г. са взети предвид поетите задължения, представени в предложението на Комисията за следващата многогодишна финансова рамка</w:t>
      </w:r>
      <w:r>
        <w:rPr>
          <w:rStyle w:val="FootnoteReference"/>
          <w:noProof/>
        </w:rPr>
        <w:footnoteReference w:id="4"/>
      </w:r>
      <w:r>
        <w:rPr>
          <w:noProof/>
        </w:rPr>
        <w:t xml:space="preserve">. </w:t>
      </w:r>
    </w:p>
    <w:p>
      <w:pPr>
        <w:spacing w:after="120" w:line="276" w:lineRule="auto"/>
        <w:jc w:val="both"/>
        <w:rPr>
          <w:noProof/>
        </w:rPr>
      </w:pPr>
      <w:r>
        <w:rPr>
          <w:noProof/>
        </w:rPr>
        <w:t>В сравнение с прогнозата от миналата година</w:t>
      </w:r>
      <w:r>
        <w:rPr>
          <w:rStyle w:val="FootnoteReference"/>
          <w:noProof/>
        </w:rPr>
        <w:footnoteReference w:id="5"/>
      </w:r>
      <w:r>
        <w:rPr>
          <w:noProof/>
        </w:rPr>
        <w:t>, която обхващаше периода 2019—2023 г., настоящата нова прогноза включва една допълнителна година (2024 г.). Прогнозите за плащанията по поетите задължения по текущата финансова рамка са актуализирани с цел да се вземат предвид действителните резултати от изпълнението за 2018 г., бюджетът за 2019 г. и предложените изменения за него (проектите за коригиращ бюджет № 1</w:t>
      </w:r>
      <w:r>
        <w:rPr>
          <w:rStyle w:val="FootnoteReference"/>
          <w:noProof/>
        </w:rPr>
        <w:footnoteReference w:id="6"/>
      </w:r>
      <w:r>
        <w:rPr>
          <w:noProof/>
        </w:rPr>
        <w:t>, № 2</w:t>
      </w:r>
      <w:r>
        <w:rPr>
          <w:rStyle w:val="FootnoteReference"/>
          <w:noProof/>
        </w:rPr>
        <w:footnoteReference w:id="7"/>
      </w:r>
      <w:r>
        <w:rPr>
          <w:noProof/>
        </w:rPr>
        <w:t xml:space="preserve"> и № 3</w:t>
      </w:r>
      <w:r>
        <w:rPr>
          <w:rStyle w:val="FootnoteReference"/>
          <w:noProof/>
        </w:rPr>
        <w:footnoteReference w:id="8"/>
      </w:r>
      <w:r>
        <w:rPr>
          <w:noProof/>
        </w:rPr>
        <w:t>), както и проектобюджетът за 2020 г.</w:t>
      </w:r>
      <w:r>
        <w:rPr>
          <w:rStyle w:val="FootnoteReference"/>
          <w:noProof/>
        </w:rPr>
        <w:footnoteReference w:id="9"/>
      </w:r>
      <w:r>
        <w:rPr>
          <w:noProof/>
        </w:rPr>
        <w:t xml:space="preserve"> </w:t>
      </w:r>
    </w:p>
    <w:p>
      <w:pPr>
        <w:spacing w:after="120" w:line="276" w:lineRule="auto"/>
        <w:jc w:val="both"/>
        <w:rPr>
          <w:noProof/>
        </w:rPr>
      </w:pPr>
      <w:r>
        <w:rPr>
          <w:noProof/>
        </w:rPr>
        <w:t>Що се отнася до плащанията във връзка с поетите задължения за периода след 2021 г., с оглед на това, че преговорите за следващата многогодишна финансова рамка продължават, тези прогнози следват параметрите на предложението на Комисията за бъдещия финансов период, отразени в миналогодишния доклад.</w:t>
      </w:r>
    </w:p>
    <w:p>
      <w:pPr>
        <w:pStyle w:val="Heading1"/>
        <w:numPr>
          <w:ilvl w:val="0"/>
          <w:numId w:val="21"/>
        </w:numPr>
        <w:tabs>
          <w:tab w:val="left" w:pos="720"/>
        </w:tabs>
        <w:spacing w:before="0" w:after="120" w:line="276" w:lineRule="auto"/>
        <w:rPr>
          <w:noProof/>
        </w:rPr>
      </w:pPr>
      <w:bookmarkStart w:id="5" w:name="_Toc494974438"/>
      <w:bookmarkStart w:id="6" w:name="_Toc524523058"/>
      <w:r>
        <w:rPr>
          <w:noProof/>
        </w:rPr>
        <w:t>Резултати от прогнозата</w:t>
      </w:r>
      <w:bookmarkEnd w:id="5"/>
      <w:bookmarkEnd w:id="6"/>
    </w:p>
    <w:p>
      <w:pPr>
        <w:pStyle w:val="Heading2"/>
        <w:keepNext w:val="0"/>
        <w:numPr>
          <w:ilvl w:val="1"/>
          <w:numId w:val="21"/>
        </w:numPr>
        <w:tabs>
          <w:tab w:val="left" w:pos="720"/>
        </w:tabs>
        <w:spacing w:after="120" w:line="276" w:lineRule="auto"/>
        <w:ind w:left="788" w:hanging="431"/>
        <w:rPr>
          <w:noProof/>
        </w:rPr>
      </w:pPr>
      <w:r>
        <w:rPr>
          <w:noProof/>
        </w:rPr>
        <w:t xml:space="preserve"> </w:t>
      </w:r>
      <w:bookmarkStart w:id="7" w:name="_Toc524523059"/>
      <w:r>
        <w:rPr>
          <w:noProof/>
        </w:rPr>
        <w:t>Плащания</w:t>
      </w:r>
      <w:bookmarkEnd w:id="7"/>
    </w:p>
    <w:p>
      <w:pPr>
        <w:pStyle w:val="Heading2"/>
        <w:keepNext w:val="0"/>
        <w:numPr>
          <w:ilvl w:val="2"/>
          <w:numId w:val="21"/>
        </w:numPr>
        <w:tabs>
          <w:tab w:val="left" w:pos="720"/>
        </w:tabs>
        <w:spacing w:after="120" w:line="276" w:lineRule="auto"/>
        <w:rPr>
          <w:noProof/>
        </w:rPr>
      </w:pPr>
      <w:bookmarkStart w:id="8" w:name="_Toc524523061"/>
      <w:r>
        <w:rPr>
          <w:noProof/>
        </w:rPr>
        <w:t xml:space="preserve">Плащания до края на текущата </w:t>
      </w:r>
      <w:bookmarkEnd w:id="8"/>
      <w:r>
        <w:rPr>
          <w:noProof/>
        </w:rPr>
        <w:t>финансова рамка (2020 г.)</w:t>
      </w:r>
    </w:p>
    <w:p>
      <w:pPr>
        <w:spacing w:after="120" w:line="276" w:lineRule="auto"/>
        <w:jc w:val="both"/>
        <w:rPr>
          <w:noProof/>
        </w:rPr>
      </w:pPr>
      <w:bookmarkStart w:id="9" w:name="_Toc494974447"/>
      <w:r>
        <w:rPr>
          <w:noProof/>
        </w:rPr>
        <w:t>В доклада са включени прогнозите от проектобюджета за 2020 г. — последната година от текущата финансова рамка. Прогнозата за размера на плащанията за 2020 г. е общо със 7 милиарда евро по-малко в сравнение с миналогодишния доклад за дългосрочна прогноза. Това се отнася главно за функции 1б, 2 и 4. За средствата, използвани при споделено управление, проектобюджетът се основава на последните прогнози за изпълнението, предоставени от държавите членки през януари 2019 г., които са малко по-малки от прогнозите им от юли 2018 г., на които се основаваше миналогодишната прогноза. В областта на външните действия проектобюджетът за 2020 г. е всъщност под равнището от предходната година, което се дължи най-вече на по-малките плащания за Механизма за бежанците в Турция.</w:t>
      </w:r>
    </w:p>
    <w:p>
      <w:pPr>
        <w:spacing w:after="120" w:line="276" w:lineRule="auto"/>
        <w:jc w:val="both"/>
        <w:rPr>
          <w:noProof/>
        </w:rPr>
      </w:pPr>
      <w:r>
        <w:rPr>
          <w:noProof/>
        </w:rPr>
        <w:t>Почти всички плащания за 2020 г. са свързани със задълженията, поети по програмите за периода 2014—2020 г. Под 1 % от плащанията ще покрият неизпълнените задължения от финансовата рамка, поети преди 2014 г. за функции 1а и 4. По-голямата част от програмите за периода 2007—2013 г. по политиката на сближаване се очаква да бъдат приключени до края на 2019 г., като не се очакват допълнителни плащания през 2020 г.</w:t>
      </w:r>
      <w:bookmarkEnd w:id="9"/>
    </w:p>
    <w:p>
      <w:pPr>
        <w:pStyle w:val="Heading2"/>
        <w:keepNext w:val="0"/>
        <w:numPr>
          <w:ilvl w:val="2"/>
          <w:numId w:val="21"/>
        </w:numPr>
        <w:tabs>
          <w:tab w:val="left" w:pos="720"/>
        </w:tabs>
        <w:spacing w:after="120" w:line="276" w:lineRule="auto"/>
        <w:rPr>
          <w:noProof/>
        </w:rPr>
      </w:pPr>
      <w:bookmarkStart w:id="10" w:name="_Toc524523062"/>
      <w:r>
        <w:rPr>
          <w:noProof/>
        </w:rPr>
        <w:t>Плащания в рамките на следващата финансова рамка (2021—2024 г.)</w:t>
      </w:r>
      <w:bookmarkEnd w:id="10"/>
    </w:p>
    <w:p>
      <w:pPr>
        <w:spacing w:after="120" w:line="276" w:lineRule="auto"/>
        <w:jc w:val="both"/>
        <w:rPr>
          <w:noProof/>
        </w:rPr>
      </w:pPr>
      <w:r>
        <w:rPr>
          <w:noProof/>
        </w:rPr>
        <w:t>Общо взето, за първите четири години от следващата финансова рамка се очаква плащанията да възлязат на около 687 милиарда евро. Тази сума не се разпределя равномерно през годините, а следва очаквания паралелен ход на: 1) постепенното въвеждане на плащания за новите разходни програми (около 62 % от общите плащания за четирите години) и 2) плащанията за неизпълнените поети задължения от периода 2014—2020 г. (останалите 38 % от плащанията).</w:t>
      </w:r>
    </w:p>
    <w:p>
      <w:pPr>
        <w:spacing w:after="120" w:line="276" w:lineRule="auto"/>
        <w:jc w:val="both"/>
        <w:rPr>
          <w:noProof/>
        </w:rPr>
      </w:pPr>
      <w:r>
        <w:rPr>
          <w:b/>
          <w:noProof/>
        </w:rPr>
        <w:t>Плащания във връзка с нови поети задължения</w:t>
      </w:r>
    </w:p>
    <w:p>
      <w:pPr>
        <w:spacing w:after="120" w:line="276" w:lineRule="auto"/>
        <w:jc w:val="both"/>
        <w:rPr>
          <w:noProof/>
        </w:rPr>
      </w:pPr>
      <w:r>
        <w:rPr>
          <w:noProof/>
        </w:rPr>
        <w:t xml:space="preserve">Няма промяна в прогнозата спрямо миналогодишния доклад във връзка с нови поети задължения. Както и през миналата година, тези плащания следват предложението на Комисията за многогодишната финансова рамка от 2 май 2018 г. за периода 2021—2027 г. и основните ѝ допускания (вж. подробности в раздел 3.  Свързани с прогнозата допускания). Актуализиране на тези прогнози би могло да се направи само след приключване на преговорите относно следващата финансова рамка и придружаващото я специфично законодателство по сектори. </w:t>
      </w:r>
    </w:p>
    <w:p>
      <w:pPr>
        <w:spacing w:after="120" w:line="276" w:lineRule="auto"/>
        <w:jc w:val="both"/>
        <w:rPr>
          <w:noProof/>
        </w:rPr>
      </w:pPr>
      <w:r>
        <w:rPr>
          <w:noProof/>
        </w:rPr>
        <w:t xml:space="preserve">Такъв е случаят, по-специално при преговорите относно Регламента за общоприложимите разпоредби, с който се определя скоростта на изпълнение на политиката на сближаване — областта на най-големите разходи, направени чрез диференцирани бюджетни кредити. Промените в условията за изпълнение на фондовете на политиката на сближаване спрямо предложенията на Комисията ще окажат значително въздействие върху прогнозите за плащанията за целия бюджет на ЕС. </w:t>
      </w:r>
    </w:p>
    <w:p>
      <w:pPr>
        <w:spacing w:after="120" w:line="276" w:lineRule="auto"/>
        <w:jc w:val="both"/>
        <w:rPr>
          <w:noProof/>
        </w:rPr>
      </w:pPr>
      <w:r>
        <w:rPr>
          <w:noProof/>
        </w:rPr>
        <w:t xml:space="preserve">Така например евентуално намаление на годишния процент на приспадане спрямо предложението на Комисията или уравняването на сметките по предварителното финансиране при приключването на програмите, вместо то да се извършва ежегодно, би довело до нужда от допълнителни плащания през прогнозния период. Възможно е правилата за автоматична отмяна на поети бюджетни задължения да окажат също значително въздействие върху профилите на плащанията. Евентуално удължаване на предложения от Комисията срок за подаването на искания за плащания би забавило изпълнението на политиката на сближаване и би отложило плащанията за следващата финансова рамка. </w:t>
      </w:r>
    </w:p>
    <w:p>
      <w:pPr>
        <w:spacing w:after="120" w:line="276" w:lineRule="auto"/>
        <w:jc w:val="both"/>
        <w:rPr>
          <w:noProof/>
        </w:rPr>
      </w:pPr>
      <w:r>
        <w:rPr>
          <w:noProof/>
        </w:rPr>
        <w:t>Процентите на предварително финансиране за фондовете за политиката на сближаване (фондовете както за 2014—2020 г., така и за 2021—2027 г.) ще окажат по-специално въздействие върху първите години на следващата финансова рамка. Предложенията на Комисията за следващия Регламент за общоприложимите разпоредби и за изменение на настоящия Регламент за общоприложимите разпоредби вземат предвид изискванията за финансиране в началото на новия период, както и ограниченията на тавана за собствените ресурси, съответстващ на 1,20 % от брутния национален доход на ЕС. Въпреки че Комисията предложи да се увеличи таванът за собствените ресурси, за да се вземе предвид базата за брутния национален доход за 27 държави членки, сегашното равнище може да е все още приложимо през първите години на следващата финансова рамка поради дългия по всяка вероятност процес на ратификация на новото решение за собствените ресурси.</w:t>
      </w:r>
    </w:p>
    <w:p>
      <w:pPr>
        <w:spacing w:after="120" w:line="276" w:lineRule="auto"/>
        <w:jc w:val="both"/>
        <w:rPr>
          <w:b/>
          <w:noProof/>
        </w:rPr>
      </w:pPr>
      <w:r>
        <w:rPr>
          <w:b/>
          <w:noProof/>
        </w:rPr>
        <w:t>Плащания по задължения, поети преди 2021 г.</w:t>
      </w:r>
    </w:p>
    <w:p>
      <w:pPr>
        <w:spacing w:after="120" w:line="276" w:lineRule="auto"/>
        <w:jc w:val="both"/>
        <w:rPr>
          <w:noProof/>
        </w:rPr>
      </w:pPr>
      <w:r>
        <w:rPr>
          <w:noProof/>
        </w:rPr>
        <w:t xml:space="preserve">Предложеното равнище на плащанията в проектобюджета за 2020 г. също оказва въздействие върху нуждата от плащания през следващите години. По-ниското равнище на плащанията за 2020 г. в сравнение с предходните прогнози се очаква да доведе до допълнителни нужди през следващите години. В резултат очакваните общи плащания за периода 2021—2024 г. са с около 5 милиарда евро над предложения от Комисията таван на плащанията за следващия период, 4 милиарда евро от които ще бъдат през 2024 г. </w:t>
      </w:r>
    </w:p>
    <w:p>
      <w:pPr>
        <w:spacing w:after="120" w:line="276" w:lineRule="auto"/>
        <w:jc w:val="both"/>
        <w:rPr>
          <w:noProof/>
        </w:rPr>
      </w:pPr>
      <w:r>
        <w:rPr>
          <w:noProof/>
        </w:rPr>
        <w:t>Тези допълнителни нужди, в съчетание с въздействието на бъдещите условия за изпълнение на фондовете на политиката на сближаване, трябва да се вземат предвид при определяне на таваните на плащанията за следващата финансова рамка, или ще доведат до необходимост от мобилизиране на специални инструменти, по-специално на марж за непредвидени обстоятелства, който (съгласно предложението на Комисията) ще даде възможност за мобилизиране на плащания до 0,03 % от брутния национален доход на ЕС през дадена година (които да бъдат приспаднати от таваните за по-късните години).</w:t>
      </w:r>
    </w:p>
    <w:p>
      <w:pPr>
        <w:pStyle w:val="Heading2"/>
        <w:keepNext w:val="0"/>
        <w:numPr>
          <w:ilvl w:val="2"/>
          <w:numId w:val="21"/>
        </w:numPr>
        <w:tabs>
          <w:tab w:val="left" w:pos="720"/>
        </w:tabs>
        <w:spacing w:after="120" w:line="276" w:lineRule="auto"/>
        <w:rPr>
          <w:noProof/>
        </w:rPr>
      </w:pPr>
      <w:bookmarkStart w:id="11" w:name="_Toc524523063"/>
      <w:r>
        <w:rPr>
          <w:noProof/>
        </w:rPr>
        <w:t>Отмяна на бюджетни кредити</w:t>
      </w:r>
      <w:bookmarkEnd w:id="11"/>
    </w:p>
    <w:p>
      <w:pPr>
        <w:snapToGrid w:val="0"/>
        <w:spacing w:after="120" w:line="276" w:lineRule="auto"/>
        <w:jc w:val="both"/>
        <w:rPr>
          <w:noProof/>
          <w:color w:val="000000"/>
        </w:rPr>
      </w:pPr>
      <w:r>
        <w:rPr>
          <w:noProof/>
        </w:rPr>
        <w:t xml:space="preserve">Общият размер на прогнозата за отменените бюджетни кредити за периода 2020—2024 г. възлиза на 8 милиарда евро. Около 77 % от отменените бюджетни кредити се отнасят до програмите за периода 2014—2020 г. (6 милиарда евро), докато отмяната на бюджетни кредити по програмите, започнали преди 2014 г., постепенно се прекратява, какъвто е случаят със свързаните с тях плащания. </w:t>
      </w:r>
      <w:r>
        <w:rPr>
          <w:noProof/>
          <w:color w:val="000000"/>
        </w:rPr>
        <w:t>Не се очаква отмяна на бюджетни кредити за поетите задължения, предложени за финансовата рамка за 2021—2027 г.</w:t>
      </w:r>
    </w:p>
    <w:p>
      <w:pPr>
        <w:snapToGrid w:val="0"/>
        <w:spacing w:after="120" w:line="276" w:lineRule="auto"/>
        <w:jc w:val="both"/>
        <w:rPr>
          <w:noProof/>
          <w:color w:val="000000"/>
        </w:rPr>
      </w:pPr>
      <w:r>
        <w:rPr>
          <w:noProof/>
          <w:color w:val="000000"/>
        </w:rPr>
        <w:t xml:space="preserve">Равнищата на отмяна на бюджетни кредити варират между отделните функции, тъй като прогнозата взема под внимание отменените вече бюджетни кредити и бюджетните кредити, набелязани за отмяна в момента на изготвянето на проектобюджета за 2020 г. По принцип прогнозата за отменените бюджетни кредити се прави за целия програмен период. Тъй като за повечето програми и действия не съществуват правила за автоматична отмяна на бюджетни кредити, годишното разпределение на отмяната би било много неточно. За да се изчисли размерът на отменените бюджетни кредити само до 2024 г., прогнозираните отменени бюджетни кредити са разбити пропорционално на свързаните с тях годишни плащания. </w:t>
      </w:r>
    </w:p>
    <w:p>
      <w:pPr>
        <w:snapToGrid w:val="0"/>
        <w:spacing w:after="120" w:line="276" w:lineRule="auto"/>
        <w:jc w:val="both"/>
        <w:rPr>
          <w:noProof/>
          <w:color w:val="000000"/>
        </w:rPr>
      </w:pPr>
      <w:r>
        <w:rPr>
          <w:noProof/>
          <w:color w:val="000000"/>
        </w:rPr>
        <w:t xml:space="preserve">Направена е конкретна прогноза за европейските структурни и инвестиционни (ЕСИ) фондове за периода 2014—2020 г. — в нея се отчита опитът от приключването на програмите за периода 2007—2013 г. Тъй като действителната година на отмяна зависи от конкретните дати на приключване за всяка държава членка и като се имат предвид въведените правила за отмяна n+3, отмените на бюджетни кредити вероятно ще бъдат разпределени през периода 2024—2026 г. Тъй като само 2024 г. е обхваната от настоящия доклад, би могло да се допусне, че приблизително една трета от всички отменени бюджетни кредити за ЕСИ фондове за 2014—2020 г. ще бъдат за тази година. </w:t>
      </w:r>
    </w:p>
    <w:p>
      <w:pPr>
        <w:snapToGrid w:val="0"/>
        <w:spacing w:after="120" w:line="276" w:lineRule="auto"/>
        <w:jc w:val="both"/>
        <w:rPr>
          <w:noProof/>
          <w:color w:val="000000"/>
        </w:rPr>
      </w:pPr>
      <w:r>
        <w:rPr>
          <w:noProof/>
          <w:color w:val="000000"/>
        </w:rPr>
        <w:t>В сравнение с миналогодишния доклад петгодишната прогноза за отменени бюджетни кредити нараства с около 1,6 милиарда евро. Това е комбинираният ефект от повишената прогноза за отмяна на поети бюджетни задължения за функции 1б и 2 и намаленията в останалите функции. Повишението за функции 1б и 2 се дължи на механичния ефект на включване на допълнителна година (2024), която не беше включена в миналогодишния доклад. Намаленията в останалите функции се дължат също на изместването с една година на отчетния период. Така например през 2018 г. по функция 1а са били отменени бюджетни кредити за 0,7 милиарда евро във връзка с програми, започнали преди 2014 г., и съответно тази сума не е вече включена в бъдещите оценки. За функция 3 има намаление на очакваните отменени бюджетни кредити, отразяващи измененията на съответното законодателство</w:t>
      </w:r>
      <w:r>
        <w:rPr>
          <w:rStyle w:val="FootnoteReference"/>
          <w:noProof/>
          <w:color w:val="000000"/>
        </w:rPr>
        <w:footnoteReference w:id="10"/>
      </w:r>
      <w:r>
        <w:rPr>
          <w:noProof/>
          <w:color w:val="000000"/>
        </w:rPr>
        <w:t>. За функция 4 намалението се дължи на комбиниран ефект на изместването с една година и актуализиране на допусканията за бъдещите години в съответствие с проектобюджета за 2020 г.</w:t>
      </w:r>
    </w:p>
    <w:p>
      <w:pPr>
        <w:pStyle w:val="Heading2"/>
        <w:keepNext w:val="0"/>
        <w:numPr>
          <w:ilvl w:val="2"/>
          <w:numId w:val="21"/>
        </w:numPr>
        <w:tabs>
          <w:tab w:val="left" w:pos="720"/>
        </w:tabs>
        <w:spacing w:after="120" w:line="276" w:lineRule="auto"/>
        <w:rPr>
          <w:noProof/>
        </w:rPr>
      </w:pPr>
      <w:bookmarkStart w:id="12" w:name="_Toc524523064"/>
      <w:r>
        <w:rPr>
          <w:noProof/>
        </w:rPr>
        <w:t>Промяна на равнището на неизпълнените поети задължения</w:t>
      </w:r>
      <w:bookmarkEnd w:id="12"/>
    </w:p>
    <w:p>
      <w:pPr>
        <w:spacing w:after="120" w:line="276" w:lineRule="auto"/>
        <w:jc w:val="both"/>
        <w:rPr>
          <w:noProof/>
        </w:rPr>
      </w:pPr>
      <w:r>
        <w:rPr>
          <w:noProof/>
        </w:rPr>
        <w:t xml:space="preserve">Натрупването на неизпълнени поети задължения (или RAL за </w:t>
      </w:r>
      <w:r>
        <w:rPr>
          <w:i/>
          <w:noProof/>
        </w:rPr>
        <w:t>reste-à-liquider</w:t>
      </w:r>
      <w:r>
        <w:rPr>
          <w:noProof/>
        </w:rPr>
        <w:t>) е естествена последица от изпълнението на бюджета на ЕС с диференцирани бюджетни кредити и номинално нарастващия обем на бюджета на ЕС с течение на времето. RAL в началото на отчетния период се очаква да възлизат на около 291 милиарда евро и да достигнат 303 милиарда евро в края на текущата финансова рамка. За сравнение, прогнозата за RAL през 2020 г. в миналогодишния доклад беше 295 милиарда. Това увеличение в прогнозата за RAL е преди всичко резултат от актуализиране на 2020 г. с прогнозите на действителния проектобюджет.</w:t>
      </w:r>
    </w:p>
    <w:p>
      <w:pPr>
        <w:spacing w:after="120" w:line="276" w:lineRule="auto"/>
        <w:jc w:val="both"/>
        <w:rPr>
          <w:noProof/>
        </w:rPr>
      </w:pPr>
      <w:r>
        <w:rPr>
          <w:noProof/>
        </w:rPr>
        <w:t xml:space="preserve">До края на 2024 г. се очаква RAL да достигнат близо 313 милиарда евро, което означава увеличение от 8 % в номинално изражение през петте анализирани години. Годишното изменение на обема на RAL не е обаче равномерно, тъй като RAL се изменят в зависимост от съотношението на годишните плащания към годишните поети задължения. Плащанията са близки по размер до поетите задължения през 2023—2024 г. главно </w:t>
      </w:r>
      <w:r>
        <w:rPr>
          <w:noProof/>
          <w:color w:val="000000"/>
        </w:rPr>
        <w:t>поради комбинацията от първата цел за автоматична отмяна на бюджетни кредити за новите програми по Регламента за общоприложимите разпоредби и целта за отмяна n+3 за последния транш от ЕСИ фондовете за периода 2014—2020 г. и приключването на тези програми</w:t>
      </w:r>
      <w:r>
        <w:rPr>
          <w:noProof/>
        </w:rPr>
        <w:t xml:space="preserve">. В резултат се очаква плащанията през 2023 г. да бъдат почти на равнището на поетите задължения, а за 2024 г. дори да ги надхвърлят. Това ще доведе до запазване на стабилни RAL в края на 2023 г. и дори до лекия им спад през 2024 г. </w:t>
      </w:r>
    </w:p>
    <w:p>
      <w:pPr>
        <w:pStyle w:val="Heading2"/>
        <w:keepNext w:val="0"/>
        <w:numPr>
          <w:ilvl w:val="1"/>
          <w:numId w:val="21"/>
        </w:numPr>
        <w:tabs>
          <w:tab w:val="left" w:pos="720"/>
        </w:tabs>
        <w:spacing w:after="120" w:line="276" w:lineRule="auto"/>
        <w:ind w:left="788" w:hanging="431"/>
        <w:rPr>
          <w:noProof/>
        </w:rPr>
      </w:pPr>
      <w:r>
        <w:rPr>
          <w:noProof/>
        </w:rPr>
        <w:t xml:space="preserve"> </w:t>
      </w:r>
      <w:bookmarkStart w:id="13" w:name="_Toc524523065"/>
      <w:r>
        <w:rPr>
          <w:noProof/>
        </w:rPr>
        <w:t>Приходи</w:t>
      </w:r>
      <w:bookmarkEnd w:id="13"/>
    </w:p>
    <w:p>
      <w:pPr>
        <w:spacing w:after="120" w:line="276" w:lineRule="auto"/>
        <w:jc w:val="both"/>
        <w:rPr>
          <w:noProof/>
        </w:rPr>
      </w:pPr>
      <w:r>
        <w:rPr>
          <w:noProof/>
        </w:rPr>
        <w:t>Бюджетът на ЕС се финансира от собствени ресурси и други приходи. Общият размер на собствените ресурси, необходими за финансиране на бюджета, се определя, като от общия размер на разходите се извади общият размер на другите приходи. В съответствие с това прогнозата за приходите в бюджета на ЕС за периода 2020—2024 г. се основава на принципа, че разходите трябва да съответстват на приходите; следователно общият размер на приходите трябва да е равен на общия размер на разходите.</w:t>
      </w:r>
    </w:p>
    <w:p>
      <w:pPr>
        <w:pStyle w:val="Heading1"/>
        <w:numPr>
          <w:ilvl w:val="0"/>
          <w:numId w:val="21"/>
        </w:numPr>
        <w:tabs>
          <w:tab w:val="left" w:pos="720"/>
        </w:tabs>
        <w:spacing w:before="0" w:after="120" w:line="276" w:lineRule="auto"/>
        <w:rPr>
          <w:noProof/>
        </w:rPr>
      </w:pPr>
      <w:bookmarkStart w:id="14" w:name="_Toc524523066"/>
      <w:r>
        <w:rPr>
          <w:noProof/>
        </w:rPr>
        <w:t xml:space="preserve">Свързани с прогнозата допускания </w:t>
      </w:r>
      <w:bookmarkEnd w:id="14"/>
    </w:p>
    <w:p>
      <w:pPr>
        <w:pStyle w:val="Heading2"/>
        <w:keepNext w:val="0"/>
        <w:numPr>
          <w:ilvl w:val="1"/>
          <w:numId w:val="21"/>
        </w:numPr>
        <w:tabs>
          <w:tab w:val="left" w:pos="720"/>
        </w:tabs>
        <w:spacing w:after="120" w:line="276" w:lineRule="auto"/>
        <w:ind w:left="788" w:hanging="431"/>
        <w:rPr>
          <w:noProof/>
        </w:rPr>
      </w:pPr>
      <w:bookmarkStart w:id="15" w:name="_Toc494974439"/>
      <w:r>
        <w:rPr>
          <w:noProof/>
        </w:rPr>
        <w:t xml:space="preserve"> </w:t>
      </w:r>
      <w:bookmarkStart w:id="16" w:name="_Toc524523068"/>
      <w:r>
        <w:rPr>
          <w:noProof/>
        </w:rPr>
        <w:t>Конкретни допускания по основни разходни елементи</w:t>
      </w:r>
      <w:bookmarkEnd w:id="16"/>
      <w:r>
        <w:rPr>
          <w:noProof/>
        </w:rPr>
        <w:t xml:space="preserve"> </w:t>
      </w:r>
      <w:bookmarkEnd w:id="15"/>
    </w:p>
    <w:p>
      <w:pPr>
        <w:pStyle w:val="Heading2"/>
        <w:keepNext w:val="0"/>
        <w:numPr>
          <w:ilvl w:val="2"/>
          <w:numId w:val="21"/>
        </w:numPr>
        <w:tabs>
          <w:tab w:val="left" w:pos="720"/>
        </w:tabs>
        <w:spacing w:after="120" w:line="276" w:lineRule="auto"/>
        <w:rPr>
          <w:noProof/>
        </w:rPr>
      </w:pPr>
      <w:bookmarkStart w:id="17" w:name="_Toc494974440"/>
      <w:bookmarkStart w:id="18" w:name="_Toc524523069"/>
      <w:r>
        <w:rPr>
          <w:noProof/>
        </w:rPr>
        <w:t>ЕСИ фондове за периода 2014—2020 г.</w:t>
      </w:r>
      <w:bookmarkEnd w:id="17"/>
      <w:bookmarkEnd w:id="18"/>
      <w:r>
        <w:rPr>
          <w:noProof/>
        </w:rPr>
        <w:t xml:space="preserve"> и фондове на политиката на сближаване за периода 2021—2027 г.</w:t>
      </w:r>
    </w:p>
    <w:p>
      <w:pPr>
        <w:pStyle w:val="Text1"/>
        <w:spacing w:after="120" w:line="276" w:lineRule="auto"/>
        <w:ind w:left="0"/>
        <w:rPr>
          <w:noProof/>
        </w:rPr>
      </w:pPr>
      <w:r>
        <w:rPr>
          <w:noProof/>
        </w:rPr>
        <w:t>Прогнозата за плащанията за ЕСИ фондовете за периода 2014—2020 г. се основава на предишния опит с представените искания за междинни плащания като процент от общия финансов пакет. Прегледът на изпълнението се извършва през 2019 г. и съответните поети задължения, заделени от 2014 г. нататък, ще доведат до първите плащания през 2020 г. За всеки от фондовете се използват специфични профили на плащанията.</w:t>
      </w:r>
    </w:p>
    <w:p>
      <w:pPr>
        <w:pStyle w:val="Text1"/>
        <w:spacing w:after="120" w:line="276" w:lineRule="auto"/>
        <w:ind w:left="0"/>
        <w:rPr>
          <w:noProof/>
        </w:rPr>
      </w:pPr>
      <w:r>
        <w:rPr>
          <w:noProof/>
        </w:rPr>
        <w:t xml:space="preserve">За фондовете на политиката на сближаване за периода 2021—2027 г. </w:t>
      </w:r>
      <w:r>
        <w:rPr>
          <w:noProof/>
          <w:color w:val="000000"/>
        </w:rPr>
        <w:t>съответните разпоредби, включени в предложението на Комисията от 2 май 2018 г. за следващата финансова рамка, се използват и за настоящия доклад (0,5 % предварително финансиране за всяка година през периода 2021—2026 г., 10 % приспадане, липса на резерв за изпълнение)</w:t>
      </w:r>
      <w:r>
        <w:rPr>
          <w:noProof/>
        </w:rPr>
        <w:t>.</w:t>
      </w:r>
      <w:r>
        <w:rPr>
          <w:noProof/>
          <w:color w:val="000000"/>
        </w:rPr>
        <w:t xml:space="preserve"> Профилите на исканията за междинни плащания бяха изчислени въз основа на статистическите данни за сумите, поискани всяка година за програмите за периода 2007—2013 г. с правила n+2 за отмяна на бюджетни кредити, изменени, за да се даде възможност за някои изключения за първите траншове на поети бюджетни задължения. Евентуални промени в тези допускания биха оказали въздействие върху плащанията във връзка с фондовете на политиката на сближаване за периода 2021—2027 г.</w:t>
      </w:r>
    </w:p>
    <w:p>
      <w:pPr>
        <w:pStyle w:val="Heading2"/>
        <w:keepNext w:val="0"/>
        <w:numPr>
          <w:ilvl w:val="2"/>
          <w:numId w:val="21"/>
        </w:numPr>
        <w:tabs>
          <w:tab w:val="left" w:pos="720"/>
        </w:tabs>
        <w:spacing w:after="120" w:line="276" w:lineRule="auto"/>
        <w:rPr>
          <w:noProof/>
        </w:rPr>
      </w:pPr>
      <w:bookmarkStart w:id="19" w:name="_Toc494974442"/>
      <w:bookmarkStart w:id="20" w:name="_Toc524523070"/>
      <w:r>
        <w:rPr>
          <w:noProof/>
        </w:rPr>
        <w:t>Директни плащания и пазарни мерки</w:t>
      </w:r>
      <w:bookmarkEnd w:id="19"/>
      <w:bookmarkEnd w:id="20"/>
      <w:r>
        <w:rPr>
          <w:noProof/>
        </w:rPr>
        <w:t xml:space="preserve"> в рамките на общата селскостопанска политика</w:t>
      </w:r>
    </w:p>
    <w:p>
      <w:pPr>
        <w:pStyle w:val="Text1"/>
        <w:spacing w:after="120" w:line="276" w:lineRule="auto"/>
        <w:ind w:left="0"/>
        <w:rPr>
          <w:noProof/>
        </w:rPr>
      </w:pPr>
      <w:r>
        <w:rPr>
          <w:noProof/>
        </w:rPr>
        <w:t>Що се отнася до бюджетните кредити за Европейския фонд за гарантиране на земеделието, те са предимно едногодишни и повечето от тях, свързани с директните плащания за селскостопанските производители, обикновено се възстановяват на държавите членки през първите месеци на бюджетната година.</w:t>
      </w:r>
    </w:p>
    <w:p>
      <w:pPr>
        <w:pStyle w:val="Heading2"/>
        <w:numPr>
          <w:ilvl w:val="2"/>
          <w:numId w:val="2"/>
        </w:numPr>
        <w:spacing w:after="120" w:line="276" w:lineRule="auto"/>
        <w:rPr>
          <w:noProof/>
        </w:rPr>
      </w:pPr>
      <w:r>
        <w:rPr>
          <w:noProof/>
        </w:rPr>
        <w:t>Други програми и фондове</w:t>
      </w:r>
    </w:p>
    <w:p>
      <w:pPr>
        <w:spacing w:after="120" w:line="276" w:lineRule="auto"/>
        <w:jc w:val="both"/>
        <w:rPr>
          <w:noProof/>
        </w:rPr>
      </w:pPr>
      <w:r>
        <w:rPr>
          <w:noProof/>
        </w:rPr>
        <w:t xml:space="preserve">За всички други разходни пера (напр. научни изследвания и иновации, широкомащабни инфраструктурни проекти, вътрешни и външни политики) прогнозите за плащанията по поетите задължения, разрешени при настоящата финансова рамка, се основават на проектобюджета за 2020 г. и придружаващите го графици за плащания по отделни бюджетни редове. </w:t>
      </w:r>
    </w:p>
    <w:p>
      <w:pPr>
        <w:spacing w:after="120" w:line="276" w:lineRule="auto"/>
        <w:jc w:val="both"/>
        <w:rPr>
          <w:noProof/>
        </w:rPr>
      </w:pPr>
      <w:r>
        <w:rPr>
          <w:noProof/>
          <w:color w:val="000000"/>
        </w:rPr>
        <w:t>Годишните нужди от плащания за новото поколение разходни програми са изчислени, като се използват статистически данни за действителното изпълнение през последните 10 години (2007—2017 г.) на съответните текущи програми и свързаните с тях предходни програми за периода 2007—2013 г. За програмите без предходни програми прогнозата за плащанията се основава на изпълнението на подобен вид дейности, адаптирано в съответствие със специфичните елементи на новите програми.</w:t>
      </w:r>
    </w:p>
    <w:p>
      <w:pPr>
        <w:pStyle w:val="Heading2"/>
        <w:numPr>
          <w:ilvl w:val="2"/>
          <w:numId w:val="2"/>
        </w:numPr>
        <w:spacing w:after="120" w:line="276" w:lineRule="auto"/>
        <w:ind w:left="1225" w:hanging="505"/>
        <w:rPr>
          <w:noProof/>
        </w:rPr>
      </w:pPr>
      <w:r>
        <w:rPr>
          <w:noProof/>
        </w:rPr>
        <w:t>Администрация</w:t>
      </w:r>
    </w:p>
    <w:p>
      <w:pPr>
        <w:spacing w:after="120" w:line="276" w:lineRule="auto"/>
        <w:jc w:val="both"/>
        <w:rPr>
          <w:noProof/>
        </w:rPr>
      </w:pPr>
      <w:r>
        <w:rPr>
          <w:noProof/>
        </w:rPr>
        <w:t>Административните разходи (функция 5 за периода 2014—2020 г., функция 7 за периода 2021—2027 г.) се основават на едногодишни бюджетни кредити; сумите за поетите задължения, както са представени в проектобюджета за 2020 г., и предложените тавани на разходите за функция 7 за периода 2021—2024 г. са изцяло преобразувани в плащания.</w:t>
      </w:r>
    </w:p>
    <w:p>
      <w:pPr>
        <w:spacing w:after="120" w:line="276" w:lineRule="auto"/>
        <w:jc w:val="both"/>
        <w:rPr>
          <w:noProof/>
        </w:rPr>
      </w:pPr>
      <w:r>
        <w:rPr>
          <w:noProof/>
        </w:rPr>
        <w:t>Същото важи и за субсидиите за децентрализираните агенции, които се финансират извън административната функция.</w:t>
      </w:r>
    </w:p>
    <w:p>
      <w:pPr>
        <w:pStyle w:val="Heading2"/>
        <w:keepNext w:val="0"/>
        <w:numPr>
          <w:ilvl w:val="1"/>
          <w:numId w:val="2"/>
        </w:numPr>
        <w:spacing w:after="120" w:line="276" w:lineRule="auto"/>
        <w:rPr>
          <w:noProof/>
        </w:rPr>
      </w:pPr>
      <w:bookmarkStart w:id="21" w:name="_Toc524523072"/>
      <w:bookmarkStart w:id="22" w:name="_Toc494974450"/>
      <w:r>
        <w:rPr>
          <w:noProof/>
        </w:rPr>
        <w:t>Допускания за прогнозирането на приходите</w:t>
      </w:r>
      <w:bookmarkEnd w:id="21"/>
    </w:p>
    <w:p>
      <w:pPr>
        <w:pStyle w:val="Heading2"/>
        <w:numPr>
          <w:ilvl w:val="2"/>
          <w:numId w:val="2"/>
        </w:numPr>
        <w:spacing w:after="120" w:line="276" w:lineRule="auto"/>
        <w:ind w:left="1225" w:hanging="505"/>
        <w:rPr>
          <w:noProof/>
        </w:rPr>
      </w:pPr>
      <w:r>
        <w:rPr>
          <w:noProof/>
        </w:rPr>
        <w:t>Традиционни собствени ресурси и национални вноски</w:t>
      </w:r>
    </w:p>
    <w:p>
      <w:pPr>
        <w:spacing w:after="120" w:line="276" w:lineRule="auto"/>
        <w:jc w:val="both"/>
        <w:rPr>
          <w:noProof/>
        </w:rPr>
      </w:pPr>
      <w:r>
        <w:rPr>
          <w:noProof/>
        </w:rPr>
        <w:t xml:space="preserve">От 2018 г. традиционните собствени ресурси включват само митата, тъй като събирането на налог върху производството на захар приключи през 2017 г. Като се започне от равнищата, включени в проектобюджета за 2020 г., се очаква през периода 2021—2024 г. митата да нараснат със същия ритъм като номиналния брутен национален доход на всяка държава членка. </w:t>
      </w:r>
    </w:p>
    <w:p>
      <w:pPr>
        <w:spacing w:after="120" w:line="276" w:lineRule="auto"/>
        <w:jc w:val="both"/>
        <w:rPr>
          <w:noProof/>
        </w:rPr>
      </w:pPr>
      <w:r>
        <w:rPr>
          <w:noProof/>
        </w:rPr>
        <w:t xml:space="preserve">Националните вноски (под формата на собствения ресурс на база брутния национален доход, собствения ресурс на база ДДС и новите собствени ресурси, включени в предложението на Комисията за многогодишната финансова рамка за периода 2021—2027 г.) запълват недостига на средства, за да балансират приходите с прогнозните разходи. </w:t>
      </w:r>
    </w:p>
    <w:p>
      <w:pPr>
        <w:pStyle w:val="Heading2"/>
        <w:numPr>
          <w:ilvl w:val="2"/>
          <w:numId w:val="2"/>
        </w:numPr>
        <w:spacing w:after="120" w:line="276" w:lineRule="auto"/>
        <w:rPr>
          <w:noProof/>
        </w:rPr>
      </w:pPr>
      <w:r>
        <w:rPr>
          <w:noProof/>
        </w:rPr>
        <w:t>Други приходи</w:t>
      </w:r>
    </w:p>
    <w:p>
      <w:pPr>
        <w:spacing w:after="120" w:line="276" w:lineRule="auto"/>
        <w:jc w:val="both"/>
        <w:rPr>
          <w:noProof/>
        </w:rPr>
      </w:pPr>
      <w:r>
        <w:rPr>
          <w:noProof/>
        </w:rPr>
        <w:t xml:space="preserve">Повечето от елементите на „другите приходи“ — включително вноските на персонала, приходите от административната дейност на институциите, вноските и възстановените суми във връзка със споразумения и програми на Съюза, лихвите по просрочени плащания и глобите, приходите от операции по получаване и отпускане на заеми на ЕС и разните приходи — както и излишъците от предходните години, са трудни за прогнозиране поради присъщата им нестабилност. Поради това се приема, че сумата, включена в предложението на Комисията относно финансовата рамка 2021—2027 г. (т.е. 1,9 милиарда евро в съответствие с проектобюджета за 2019 г.), остава номинално постоянна през периода 2020—2024 г. </w:t>
      </w:r>
    </w:p>
    <w:p>
      <w:pPr>
        <w:pStyle w:val="Heading1"/>
        <w:numPr>
          <w:ilvl w:val="0"/>
          <w:numId w:val="2"/>
        </w:numPr>
        <w:spacing w:before="0" w:after="120" w:line="276" w:lineRule="auto"/>
        <w:rPr>
          <w:noProof/>
        </w:rPr>
      </w:pPr>
      <w:bookmarkStart w:id="23" w:name="_Toc524523073"/>
      <w:bookmarkEnd w:id="22"/>
      <w:r>
        <w:rPr>
          <w:noProof/>
        </w:rPr>
        <w:t>Заключения</w:t>
      </w:r>
      <w:bookmarkEnd w:id="23"/>
    </w:p>
    <w:p>
      <w:pPr>
        <w:pStyle w:val="Text1"/>
        <w:spacing w:after="120" w:line="276" w:lineRule="auto"/>
        <w:ind w:left="0"/>
        <w:rPr>
          <w:noProof/>
        </w:rPr>
      </w:pPr>
      <w:r>
        <w:rPr>
          <w:noProof/>
        </w:rPr>
        <w:t>В доклада за прогнозите от тази година са обхванати първите четири години от следващата многогодишна финансова рамка, преговорите по която все още продължават. Прогнозата за плащанията се основават следователно на предложенията на Комисията от май 2018 г. Развитията в две области ще бъдат от особено значение за плащанията през следващата финансова рамка.</w:t>
      </w:r>
    </w:p>
    <w:p>
      <w:pPr>
        <w:pStyle w:val="Text1"/>
        <w:spacing w:after="120" w:line="276" w:lineRule="auto"/>
        <w:ind w:left="0"/>
        <w:rPr>
          <w:noProof/>
        </w:rPr>
      </w:pPr>
      <w:r>
        <w:rPr>
          <w:noProof/>
        </w:rPr>
        <w:t>Първо, продължаващите преговори относно предложенията за следващата финансова рамка показват различни гледни точки по ключови елементи, влияещи върху бъдещите нужди от плащания. Те са свързани, по-специално с фондовете на политиката на сближаване — възлизащи на около една трета от бюджета — и с параметрите за тяхното изпълнение, като проценти на предварително финансиране и правила за отмяна на бюджетни кредити. Тъй като на този етап липсва консенсус по тези елементи, основа за настоящите прогнози продължава да бъде предложението на Комисията от 2018 г.</w:t>
      </w:r>
    </w:p>
    <w:p>
      <w:pPr>
        <w:pStyle w:val="Text1"/>
        <w:spacing w:after="120" w:line="276" w:lineRule="auto"/>
        <w:ind w:left="0"/>
        <w:rPr>
          <w:noProof/>
        </w:rPr>
      </w:pPr>
      <w:r>
        <w:rPr>
          <w:noProof/>
        </w:rPr>
        <w:t>Второ, прогнозата за плащанията зависи от изпълнението на настоящата финансова рамка и равнището на неизпълнените поети задължения към началото на 2021 г. За по-голямата част от разходните функции проектобюджетът за 2020 г. е под равнището на прогнозата от миналата година. Това автоматично прехвърля плащанията към периода след 2020 г., което идва в допълнение на плащанията, очаквани към момента на отправяне на предложението за таваните на плащанията за периода 2021—2027 г.</w:t>
      </w:r>
    </w:p>
    <w:p>
      <w:pPr>
        <w:pStyle w:val="Text1"/>
        <w:spacing w:after="120" w:line="276" w:lineRule="auto"/>
        <w:ind w:left="0"/>
        <w:rPr>
          <w:noProof/>
        </w:rPr>
      </w:pPr>
      <w:r>
        <w:rPr>
          <w:noProof/>
        </w:rPr>
        <w:t>Тези развития ще трябва да се вземат под внимание при преговорите за следващата многогодишна финансова рамка. Може да се наложи таваните на плащанията, по които се водят преговори, да бъдат коригирани в съответствие с допълнителните нужди в резултат на по-високото равнище на неизпълнените поети задължения в края на 2020 г. и на измененията на условията за изпълнение на бъдещите програми.</w:t>
      </w:r>
    </w:p>
    <w:p>
      <w:pPr>
        <w:pStyle w:val="Text1"/>
        <w:spacing w:after="120" w:line="276" w:lineRule="auto"/>
        <w:ind w:left="0"/>
        <w:rPr>
          <w:noProof/>
        </w:rPr>
      </w:pPr>
    </w:p>
    <w:p>
      <w:pPr>
        <w:pStyle w:val="Text1"/>
        <w:spacing w:after="120" w:line="276" w:lineRule="auto"/>
        <w:ind w:left="0"/>
        <w:rPr>
          <w:noProof/>
        </w:rPr>
      </w:pPr>
    </w:p>
    <w:p>
      <w:pPr>
        <w:jc w:val="right"/>
        <w:rPr>
          <w:b/>
          <w:noProof/>
          <w:sz w:val="20"/>
          <w:szCs w:val="20"/>
        </w:rPr>
      </w:pPr>
      <w:r>
        <w:rPr>
          <w:noProof/>
        </w:rPr>
        <w:br w:type="page"/>
      </w:r>
      <w:bookmarkStart w:id="24" w:name="_Toc524523074"/>
      <w:r>
        <w:rPr>
          <w:b/>
          <w:noProof/>
          <w:sz w:val="20"/>
        </w:rPr>
        <w:t>Приложение</w:t>
      </w:r>
      <w:bookmarkEnd w:id="24"/>
      <w:r>
        <w:rPr>
          <w:b/>
          <w:noProof/>
          <w:sz w:val="20"/>
        </w:rPr>
        <w:t xml:space="preserve"> 1</w:t>
      </w:r>
    </w:p>
    <w:p>
      <w:pPr>
        <w:rPr>
          <w:noProof/>
        </w:rPr>
      </w:pPr>
    </w:p>
    <w:p>
      <w:pPr>
        <w:pStyle w:val="Caption"/>
        <w:keepNext/>
        <w:rPr>
          <w:noProof/>
        </w:rPr>
      </w:pPr>
      <w:r>
        <w:rPr>
          <w:noProof/>
        </w:rPr>
        <w:t>Таблица </w:t>
      </w:r>
      <w:r>
        <w:rPr>
          <w:noProof/>
        </w:rPr>
        <w:fldChar w:fldCharType="begin"/>
      </w:r>
      <w:r>
        <w:rPr>
          <w:noProof/>
        </w:rPr>
        <w:instrText xml:space="preserve"> SEQ Table \* ARABIC </w:instrText>
      </w:r>
      <w:r>
        <w:rPr>
          <w:noProof/>
        </w:rPr>
        <w:fldChar w:fldCharType="separate"/>
      </w:r>
      <w:r>
        <w:rPr>
          <w:noProof/>
        </w:rPr>
        <w:t>1</w:t>
      </w:r>
      <w:r>
        <w:rPr>
          <w:noProof/>
        </w:rPr>
        <w:fldChar w:fldCharType="end"/>
      </w:r>
      <w:r>
        <w:rPr>
          <w:noProof/>
        </w:rPr>
        <w:t xml:space="preserve"> — Дългосрочна прогноза за бъдещите входящи и изходящи парични потоци на бюджета на ЕС за периода 2020—2024 г. </w:t>
      </w:r>
    </w:p>
    <w:tbl>
      <w:tblPr>
        <w:tblW w:w="9580" w:type="dxa"/>
        <w:tblInd w:w="93" w:type="dxa"/>
        <w:tblLook w:val="04A0" w:firstRow="1" w:lastRow="0" w:firstColumn="1" w:lastColumn="0" w:noHBand="0" w:noVBand="1"/>
      </w:tblPr>
      <w:tblGrid>
        <w:gridCol w:w="4479"/>
        <w:gridCol w:w="1020"/>
        <w:gridCol w:w="1020"/>
        <w:gridCol w:w="1020"/>
        <w:gridCol w:w="1020"/>
        <w:gridCol w:w="1021"/>
      </w:tblGrid>
      <w:tr>
        <w:trPr>
          <w:trHeight w:val="227"/>
        </w:trPr>
        <w:tc>
          <w:tcPr>
            <w:tcW w:w="4479" w:type="dxa"/>
            <w:tcBorders>
              <w:top w:val="single" w:sz="8" w:space="0" w:color="auto"/>
              <w:left w:val="single" w:sz="8" w:space="0" w:color="auto"/>
              <w:bottom w:val="nil"/>
              <w:right w:val="single" w:sz="4" w:space="0" w:color="auto"/>
            </w:tcBorders>
            <w:shd w:val="clear" w:color="auto" w:fill="auto"/>
            <w:noWrap/>
            <w:hideMark/>
          </w:tcPr>
          <w:p>
            <w:pPr>
              <w:spacing w:before="40" w:after="40"/>
              <w:rPr>
                <w:i/>
                <w:iCs/>
                <w:noProof/>
                <w:color w:val="000000"/>
                <w:sz w:val="20"/>
                <w:szCs w:val="22"/>
              </w:rPr>
            </w:pPr>
            <w:r>
              <w:rPr>
                <w:noProof/>
                <w:sz w:val="20"/>
              </w:rPr>
              <w:t>В милиарди евро по текущи цени</w:t>
            </w:r>
          </w:p>
        </w:tc>
        <w:tc>
          <w:tcPr>
            <w:tcW w:w="1020"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b/>
                <w:bCs/>
                <w:noProof/>
                <w:color w:val="000000"/>
                <w:sz w:val="20"/>
                <w:szCs w:val="22"/>
              </w:rPr>
            </w:pPr>
            <w:r>
              <w:rPr>
                <w:noProof/>
                <w:sz w:val="16"/>
              </w:rPr>
              <w:t>МФР 2014—2020 г. (ЕС-28)</w:t>
            </w:r>
          </w:p>
        </w:tc>
        <w:tc>
          <w:tcPr>
            <w:tcW w:w="4081" w:type="dxa"/>
            <w:gridSpan w:val="4"/>
            <w:tcBorders>
              <w:top w:val="single" w:sz="8" w:space="0" w:color="auto"/>
              <w:left w:val="single" w:sz="4" w:space="0" w:color="auto"/>
              <w:bottom w:val="single" w:sz="4" w:space="0" w:color="auto"/>
              <w:right w:val="single" w:sz="8" w:space="0" w:color="auto"/>
            </w:tcBorders>
            <w:shd w:val="clear" w:color="auto" w:fill="auto"/>
            <w:vAlign w:val="center"/>
          </w:tcPr>
          <w:p>
            <w:pPr>
              <w:spacing w:before="40" w:after="40"/>
              <w:jc w:val="center"/>
              <w:rPr>
                <w:b/>
                <w:bCs/>
                <w:noProof/>
                <w:color w:val="000000"/>
                <w:sz w:val="20"/>
                <w:szCs w:val="22"/>
              </w:rPr>
            </w:pPr>
            <w:r>
              <w:rPr>
                <w:noProof/>
                <w:sz w:val="20"/>
              </w:rPr>
              <w:t>Предложение на Комисията за МФР за 2021—2027 г. (ЕС-27)</w:t>
            </w:r>
          </w:p>
        </w:tc>
      </w:tr>
      <w:tr>
        <w:trPr>
          <w:trHeight w:val="227"/>
        </w:trPr>
        <w:tc>
          <w:tcPr>
            <w:tcW w:w="4479" w:type="dxa"/>
            <w:tcBorders>
              <w:top w:val="nil"/>
              <w:left w:val="single" w:sz="8" w:space="0" w:color="auto"/>
              <w:bottom w:val="single" w:sz="8" w:space="0" w:color="auto"/>
              <w:right w:val="single" w:sz="4" w:space="0" w:color="auto"/>
            </w:tcBorders>
            <w:shd w:val="clear" w:color="auto" w:fill="auto"/>
            <w:noWrap/>
            <w:hideMark/>
          </w:tcPr>
          <w:p>
            <w:pPr>
              <w:spacing w:before="40" w:after="40"/>
              <w:rPr>
                <w:i/>
                <w:iCs/>
                <w:noProof/>
                <w:color w:val="000000"/>
                <w:sz w:val="20"/>
                <w:szCs w:val="22"/>
              </w:rPr>
            </w:pPr>
          </w:p>
        </w:tc>
        <w:tc>
          <w:tcPr>
            <w:tcW w:w="1020" w:type="dxa"/>
            <w:tcBorders>
              <w:top w:val="nil"/>
              <w:left w:val="single" w:sz="4" w:space="0" w:color="auto"/>
              <w:bottom w:val="single" w:sz="8" w:space="0" w:color="auto"/>
              <w:right w:val="single" w:sz="2" w:space="0" w:color="auto"/>
            </w:tcBorders>
            <w:shd w:val="clear" w:color="auto" w:fill="auto"/>
            <w:noWrap/>
            <w:hideMark/>
          </w:tcPr>
          <w:p>
            <w:pPr>
              <w:spacing w:before="40" w:after="40"/>
              <w:jc w:val="center"/>
              <w:rPr>
                <w:b/>
                <w:bCs/>
                <w:noProof/>
                <w:color w:val="000000"/>
                <w:sz w:val="20"/>
                <w:szCs w:val="22"/>
              </w:rPr>
            </w:pPr>
            <w:r>
              <w:rPr>
                <w:noProof/>
                <w:sz w:val="20"/>
              </w:rPr>
              <w:t>2020 г.</w:t>
            </w:r>
          </w:p>
        </w:tc>
        <w:tc>
          <w:tcPr>
            <w:tcW w:w="1020" w:type="dxa"/>
            <w:tcBorders>
              <w:top w:val="single" w:sz="2" w:space="0" w:color="auto"/>
              <w:left w:val="single" w:sz="2" w:space="0" w:color="auto"/>
              <w:bottom w:val="single" w:sz="8" w:space="0" w:color="auto"/>
              <w:right w:val="single" w:sz="2" w:space="0" w:color="auto"/>
            </w:tcBorders>
            <w:shd w:val="clear" w:color="auto" w:fill="auto"/>
            <w:hideMark/>
          </w:tcPr>
          <w:p>
            <w:pPr>
              <w:spacing w:before="40" w:after="40"/>
              <w:jc w:val="center"/>
              <w:rPr>
                <w:b/>
                <w:bCs/>
                <w:noProof/>
                <w:color w:val="000000"/>
                <w:sz w:val="20"/>
                <w:szCs w:val="22"/>
              </w:rPr>
            </w:pPr>
            <w:r>
              <w:rPr>
                <w:noProof/>
                <w:sz w:val="20"/>
              </w:rPr>
              <w:t>2021 г.</w:t>
            </w:r>
          </w:p>
        </w:tc>
        <w:tc>
          <w:tcPr>
            <w:tcW w:w="1020" w:type="dxa"/>
            <w:tcBorders>
              <w:top w:val="nil"/>
              <w:left w:val="single" w:sz="2" w:space="0" w:color="auto"/>
              <w:bottom w:val="single" w:sz="8" w:space="0" w:color="auto"/>
              <w:right w:val="single" w:sz="4" w:space="0" w:color="auto"/>
            </w:tcBorders>
            <w:shd w:val="clear" w:color="auto" w:fill="auto"/>
            <w:noWrap/>
            <w:hideMark/>
          </w:tcPr>
          <w:p>
            <w:pPr>
              <w:spacing w:before="40" w:after="40"/>
              <w:jc w:val="center"/>
              <w:rPr>
                <w:b/>
                <w:bCs/>
                <w:noProof/>
                <w:color w:val="000000"/>
                <w:sz w:val="20"/>
                <w:szCs w:val="22"/>
              </w:rPr>
            </w:pPr>
            <w:r>
              <w:rPr>
                <w:noProof/>
                <w:sz w:val="20"/>
              </w:rPr>
              <w:t>2022 г.</w:t>
            </w:r>
          </w:p>
        </w:tc>
        <w:tc>
          <w:tcPr>
            <w:tcW w:w="1020" w:type="dxa"/>
            <w:tcBorders>
              <w:top w:val="nil"/>
              <w:left w:val="nil"/>
              <w:bottom w:val="single" w:sz="8" w:space="0" w:color="auto"/>
              <w:right w:val="single" w:sz="4" w:space="0" w:color="auto"/>
            </w:tcBorders>
            <w:shd w:val="clear" w:color="auto" w:fill="auto"/>
            <w:noWrap/>
            <w:hideMark/>
          </w:tcPr>
          <w:p>
            <w:pPr>
              <w:spacing w:before="40" w:after="40"/>
              <w:jc w:val="center"/>
              <w:rPr>
                <w:b/>
                <w:bCs/>
                <w:noProof/>
                <w:color w:val="000000"/>
                <w:sz w:val="20"/>
                <w:szCs w:val="22"/>
              </w:rPr>
            </w:pPr>
            <w:r>
              <w:rPr>
                <w:noProof/>
                <w:sz w:val="20"/>
              </w:rPr>
              <w:t>2023 г.</w:t>
            </w:r>
          </w:p>
        </w:tc>
        <w:tc>
          <w:tcPr>
            <w:tcW w:w="1021" w:type="dxa"/>
            <w:tcBorders>
              <w:top w:val="nil"/>
              <w:left w:val="nil"/>
              <w:bottom w:val="single" w:sz="8" w:space="0" w:color="auto"/>
              <w:right w:val="single" w:sz="8" w:space="0" w:color="auto"/>
            </w:tcBorders>
            <w:shd w:val="clear" w:color="auto" w:fill="auto"/>
            <w:noWrap/>
            <w:hideMark/>
          </w:tcPr>
          <w:p>
            <w:pPr>
              <w:spacing w:before="40" w:after="40"/>
              <w:jc w:val="center"/>
              <w:rPr>
                <w:b/>
                <w:bCs/>
                <w:noProof/>
                <w:color w:val="000000"/>
                <w:sz w:val="20"/>
                <w:szCs w:val="22"/>
              </w:rPr>
            </w:pPr>
            <w:r>
              <w:rPr>
                <w:noProof/>
                <w:sz w:val="20"/>
              </w:rPr>
              <w:t>2024 г.</w:t>
            </w:r>
          </w:p>
        </w:tc>
      </w:tr>
      <w:tr>
        <w:trPr>
          <w:trHeight w:val="227"/>
        </w:trPr>
        <w:tc>
          <w:tcPr>
            <w:tcW w:w="4479" w:type="dxa"/>
            <w:tcBorders>
              <w:top w:val="single" w:sz="8" w:space="0" w:color="auto"/>
              <w:left w:val="single" w:sz="8" w:space="0" w:color="auto"/>
              <w:bottom w:val="single" w:sz="4" w:space="0" w:color="auto"/>
              <w:right w:val="single" w:sz="4" w:space="0" w:color="auto"/>
            </w:tcBorders>
            <w:shd w:val="clear" w:color="000000" w:fill="CCFFCC"/>
            <w:noWrap/>
            <w:hideMark/>
          </w:tcPr>
          <w:p>
            <w:pPr>
              <w:spacing w:before="40" w:after="40"/>
              <w:rPr>
                <w:b/>
                <w:bCs/>
                <w:noProof/>
                <w:color w:val="000000"/>
                <w:sz w:val="20"/>
              </w:rPr>
            </w:pPr>
            <w:r>
              <w:rPr>
                <w:noProof/>
                <w:sz w:val="20"/>
              </w:rPr>
              <w:t>ИЗХОДЯЩИ ПОТОЦИ</w:t>
            </w:r>
          </w:p>
        </w:tc>
        <w:tc>
          <w:tcPr>
            <w:tcW w:w="1020" w:type="dxa"/>
            <w:tcBorders>
              <w:top w:val="single" w:sz="8" w:space="0" w:color="auto"/>
              <w:left w:val="single" w:sz="4" w:space="0" w:color="auto"/>
              <w:bottom w:val="single" w:sz="4" w:space="0" w:color="auto"/>
              <w:right w:val="single" w:sz="4" w:space="0" w:color="auto"/>
            </w:tcBorders>
            <w:shd w:val="clear" w:color="000000" w:fill="CCFFCC"/>
            <w:noWrap/>
            <w:hideMark/>
          </w:tcPr>
          <w:p>
            <w:pPr>
              <w:spacing w:before="40" w:after="40"/>
              <w:jc w:val="center"/>
              <w:rPr>
                <w:b/>
                <w:bCs/>
                <w:noProof/>
                <w:color w:val="000000"/>
                <w:sz w:val="20"/>
                <w:szCs w:val="22"/>
              </w:rPr>
            </w:pPr>
          </w:p>
        </w:tc>
        <w:tc>
          <w:tcPr>
            <w:tcW w:w="1020" w:type="dxa"/>
            <w:tcBorders>
              <w:top w:val="single" w:sz="8" w:space="0" w:color="auto"/>
              <w:left w:val="single" w:sz="4" w:space="0" w:color="auto"/>
              <w:bottom w:val="single" w:sz="2" w:space="0" w:color="auto"/>
              <w:right w:val="nil"/>
            </w:tcBorders>
            <w:shd w:val="clear" w:color="000000" w:fill="CCFFCC"/>
            <w:hideMark/>
          </w:tcPr>
          <w:p>
            <w:pPr>
              <w:spacing w:before="40" w:after="40"/>
              <w:jc w:val="center"/>
              <w:rPr>
                <w:b/>
                <w:bCs/>
                <w:noProof/>
                <w:color w:val="000000"/>
                <w:sz w:val="20"/>
                <w:szCs w:val="22"/>
              </w:rPr>
            </w:pPr>
          </w:p>
        </w:tc>
        <w:tc>
          <w:tcPr>
            <w:tcW w:w="1020" w:type="dxa"/>
            <w:tcBorders>
              <w:top w:val="single" w:sz="8" w:space="0" w:color="auto"/>
              <w:left w:val="nil"/>
              <w:bottom w:val="single" w:sz="4" w:space="0" w:color="auto"/>
              <w:right w:val="nil"/>
            </w:tcBorders>
            <w:shd w:val="clear" w:color="000000" w:fill="CCFFCC"/>
            <w:noWrap/>
            <w:hideMark/>
          </w:tcPr>
          <w:p>
            <w:pPr>
              <w:spacing w:before="40" w:after="40"/>
              <w:jc w:val="center"/>
              <w:rPr>
                <w:b/>
                <w:bCs/>
                <w:noProof/>
                <w:color w:val="000000"/>
                <w:sz w:val="20"/>
                <w:szCs w:val="22"/>
              </w:rPr>
            </w:pPr>
          </w:p>
        </w:tc>
        <w:tc>
          <w:tcPr>
            <w:tcW w:w="1020" w:type="dxa"/>
            <w:tcBorders>
              <w:top w:val="single" w:sz="8" w:space="0" w:color="auto"/>
              <w:left w:val="nil"/>
              <w:bottom w:val="single" w:sz="4" w:space="0" w:color="auto"/>
              <w:right w:val="nil"/>
            </w:tcBorders>
            <w:shd w:val="clear" w:color="000000" w:fill="CCFFCC"/>
            <w:noWrap/>
            <w:hideMark/>
          </w:tcPr>
          <w:p>
            <w:pPr>
              <w:spacing w:before="40" w:after="40"/>
              <w:jc w:val="center"/>
              <w:rPr>
                <w:b/>
                <w:bCs/>
                <w:noProof/>
                <w:color w:val="000000"/>
                <w:sz w:val="20"/>
                <w:szCs w:val="22"/>
              </w:rPr>
            </w:pPr>
          </w:p>
        </w:tc>
        <w:tc>
          <w:tcPr>
            <w:tcW w:w="1021" w:type="dxa"/>
            <w:tcBorders>
              <w:top w:val="single" w:sz="8" w:space="0" w:color="auto"/>
              <w:left w:val="nil"/>
              <w:bottom w:val="single" w:sz="4" w:space="0" w:color="auto"/>
              <w:right w:val="single" w:sz="8" w:space="0" w:color="auto"/>
            </w:tcBorders>
            <w:shd w:val="clear" w:color="000000" w:fill="CCFFCC"/>
            <w:noWrap/>
            <w:hideMark/>
          </w:tcPr>
          <w:p>
            <w:pPr>
              <w:spacing w:before="40" w:after="40"/>
              <w:jc w:val="center"/>
              <w:rPr>
                <w:b/>
                <w:bCs/>
                <w:noProof/>
                <w:color w:val="000000"/>
                <w:sz w:val="20"/>
                <w:szCs w:val="22"/>
              </w:rPr>
            </w:pPr>
          </w:p>
        </w:tc>
      </w:tr>
      <w:tr>
        <w:trPr>
          <w:trHeight w:val="227"/>
        </w:trPr>
        <w:tc>
          <w:tcPr>
            <w:tcW w:w="4479" w:type="dxa"/>
            <w:tcBorders>
              <w:top w:val="nil"/>
              <w:left w:val="single" w:sz="8" w:space="0" w:color="auto"/>
              <w:bottom w:val="nil"/>
              <w:right w:val="single" w:sz="4" w:space="0" w:color="auto"/>
            </w:tcBorders>
            <w:shd w:val="clear" w:color="auto" w:fill="auto"/>
            <w:noWrap/>
            <w:vAlign w:val="center"/>
            <w:hideMark/>
          </w:tcPr>
          <w:p>
            <w:pPr>
              <w:spacing w:before="40" w:after="40"/>
              <w:rPr>
                <w:i/>
                <w:iCs/>
                <w:noProof/>
                <w:color w:val="215868" w:themeColor="accent5" w:themeShade="80"/>
                <w:sz w:val="20"/>
                <w:szCs w:val="20"/>
              </w:rPr>
            </w:pPr>
            <w:r>
              <w:rPr>
                <w:i/>
                <w:noProof/>
                <w:color w:val="215967"/>
                <w:sz w:val="20"/>
              </w:rPr>
              <w:t>Таван на поетите задължения</w:t>
            </w:r>
          </w:p>
        </w:tc>
        <w:tc>
          <w:tcPr>
            <w:tcW w:w="1020" w:type="dxa"/>
            <w:tcBorders>
              <w:top w:val="nil"/>
              <w:left w:val="single" w:sz="4" w:space="0" w:color="auto"/>
              <w:bottom w:val="nil"/>
              <w:right w:val="single" w:sz="2" w:space="0" w:color="auto"/>
            </w:tcBorders>
            <w:shd w:val="clear" w:color="auto" w:fill="auto"/>
            <w:noWrap/>
            <w:vAlign w:val="center"/>
            <w:hideMark/>
          </w:tcPr>
          <w:p>
            <w:pPr>
              <w:spacing w:before="40" w:after="40"/>
              <w:jc w:val="right"/>
              <w:rPr>
                <w:i/>
                <w:iCs/>
                <w:noProof/>
                <w:color w:val="215868" w:themeColor="accent5" w:themeShade="80"/>
                <w:sz w:val="20"/>
                <w:szCs w:val="20"/>
              </w:rPr>
            </w:pPr>
            <w:r>
              <w:rPr>
                <w:i/>
                <w:noProof/>
                <w:color w:val="215967"/>
                <w:sz w:val="20"/>
              </w:rPr>
              <w:t xml:space="preserve">168,8 </w:t>
            </w:r>
          </w:p>
        </w:tc>
        <w:tc>
          <w:tcPr>
            <w:tcW w:w="1020" w:type="dxa"/>
            <w:tcBorders>
              <w:top w:val="single" w:sz="2" w:space="0" w:color="auto"/>
              <w:left w:val="single" w:sz="2" w:space="0" w:color="auto"/>
              <w:bottom w:val="nil"/>
              <w:right w:val="single" w:sz="2" w:space="0" w:color="auto"/>
            </w:tcBorders>
            <w:shd w:val="clear" w:color="auto" w:fill="auto"/>
            <w:vAlign w:val="center"/>
            <w:hideMark/>
          </w:tcPr>
          <w:p>
            <w:pPr>
              <w:spacing w:before="40" w:after="40"/>
              <w:jc w:val="right"/>
              <w:rPr>
                <w:i/>
                <w:iCs/>
                <w:noProof/>
                <w:color w:val="215868" w:themeColor="accent5" w:themeShade="80"/>
                <w:sz w:val="20"/>
                <w:szCs w:val="20"/>
              </w:rPr>
            </w:pPr>
            <w:r>
              <w:rPr>
                <w:i/>
                <w:noProof/>
                <w:color w:val="215967"/>
                <w:sz w:val="20"/>
              </w:rPr>
              <w:t>166,7</w:t>
            </w:r>
          </w:p>
        </w:tc>
        <w:tc>
          <w:tcPr>
            <w:tcW w:w="1020" w:type="dxa"/>
            <w:tcBorders>
              <w:top w:val="nil"/>
              <w:left w:val="single" w:sz="2" w:space="0" w:color="auto"/>
              <w:bottom w:val="nil"/>
              <w:right w:val="single" w:sz="4" w:space="0" w:color="auto"/>
            </w:tcBorders>
            <w:shd w:val="clear" w:color="auto" w:fill="auto"/>
            <w:noWrap/>
            <w:vAlign w:val="center"/>
            <w:hideMark/>
          </w:tcPr>
          <w:p>
            <w:pPr>
              <w:spacing w:before="40" w:after="40"/>
              <w:jc w:val="right"/>
              <w:rPr>
                <w:i/>
                <w:iCs/>
                <w:noProof/>
                <w:color w:val="215868" w:themeColor="accent5" w:themeShade="80"/>
                <w:sz w:val="20"/>
                <w:szCs w:val="20"/>
              </w:rPr>
            </w:pPr>
            <w:r>
              <w:rPr>
                <w:i/>
                <w:noProof/>
                <w:color w:val="215967"/>
                <w:sz w:val="20"/>
              </w:rPr>
              <w:t>173,7</w:t>
            </w:r>
          </w:p>
        </w:tc>
        <w:tc>
          <w:tcPr>
            <w:tcW w:w="1020" w:type="dxa"/>
            <w:tcBorders>
              <w:top w:val="nil"/>
              <w:left w:val="nil"/>
              <w:bottom w:val="nil"/>
              <w:right w:val="single" w:sz="4" w:space="0" w:color="auto"/>
            </w:tcBorders>
            <w:shd w:val="clear" w:color="auto" w:fill="auto"/>
            <w:noWrap/>
            <w:vAlign w:val="center"/>
            <w:hideMark/>
          </w:tcPr>
          <w:p>
            <w:pPr>
              <w:spacing w:before="40" w:after="40"/>
              <w:jc w:val="right"/>
              <w:rPr>
                <w:i/>
                <w:iCs/>
                <w:noProof/>
                <w:color w:val="215868" w:themeColor="accent5" w:themeShade="80"/>
                <w:sz w:val="20"/>
                <w:szCs w:val="20"/>
              </w:rPr>
            </w:pPr>
            <w:r>
              <w:rPr>
                <w:i/>
                <w:noProof/>
                <w:color w:val="215967"/>
                <w:sz w:val="20"/>
              </w:rPr>
              <w:t>179,4</w:t>
            </w:r>
          </w:p>
        </w:tc>
        <w:tc>
          <w:tcPr>
            <w:tcW w:w="1021" w:type="dxa"/>
            <w:tcBorders>
              <w:top w:val="nil"/>
              <w:left w:val="nil"/>
              <w:bottom w:val="nil"/>
              <w:right w:val="single" w:sz="8" w:space="0" w:color="auto"/>
            </w:tcBorders>
            <w:shd w:val="clear" w:color="auto" w:fill="auto"/>
            <w:noWrap/>
            <w:vAlign w:val="center"/>
            <w:hideMark/>
          </w:tcPr>
          <w:p>
            <w:pPr>
              <w:spacing w:before="40" w:after="40"/>
              <w:jc w:val="right"/>
              <w:rPr>
                <w:i/>
                <w:iCs/>
                <w:noProof/>
                <w:color w:val="215868" w:themeColor="accent5" w:themeShade="80"/>
                <w:sz w:val="20"/>
                <w:szCs w:val="20"/>
              </w:rPr>
            </w:pPr>
            <w:r>
              <w:rPr>
                <w:i/>
                <w:noProof/>
                <w:color w:val="215967"/>
                <w:sz w:val="20"/>
              </w:rPr>
              <w:t>182,9</w:t>
            </w:r>
          </w:p>
        </w:tc>
      </w:tr>
      <w:tr>
        <w:trPr>
          <w:trHeight w:val="227"/>
        </w:trPr>
        <w:tc>
          <w:tcPr>
            <w:tcW w:w="4479" w:type="dxa"/>
            <w:tcBorders>
              <w:top w:val="nil"/>
              <w:left w:val="single" w:sz="8" w:space="0" w:color="auto"/>
              <w:bottom w:val="single" w:sz="8" w:space="0" w:color="auto"/>
              <w:right w:val="single" w:sz="4" w:space="0" w:color="auto"/>
            </w:tcBorders>
            <w:shd w:val="clear" w:color="auto" w:fill="auto"/>
            <w:noWrap/>
            <w:vAlign w:val="center"/>
            <w:hideMark/>
          </w:tcPr>
          <w:p>
            <w:pPr>
              <w:spacing w:before="40" w:after="40"/>
              <w:rPr>
                <w:i/>
                <w:iCs/>
                <w:noProof/>
                <w:color w:val="215868" w:themeColor="accent5" w:themeShade="80"/>
                <w:sz w:val="20"/>
                <w:szCs w:val="20"/>
              </w:rPr>
            </w:pPr>
            <w:r>
              <w:rPr>
                <w:i/>
                <w:noProof/>
                <w:color w:val="215967"/>
                <w:sz w:val="20"/>
              </w:rPr>
              <w:t>Таван на плащанията</w:t>
            </w:r>
          </w:p>
        </w:tc>
        <w:tc>
          <w:tcPr>
            <w:tcW w:w="1020" w:type="dxa"/>
            <w:tcBorders>
              <w:top w:val="nil"/>
              <w:left w:val="single" w:sz="4" w:space="0" w:color="auto"/>
              <w:bottom w:val="single" w:sz="8" w:space="0" w:color="auto"/>
              <w:right w:val="single" w:sz="2" w:space="0" w:color="auto"/>
            </w:tcBorders>
            <w:shd w:val="clear" w:color="auto" w:fill="auto"/>
            <w:noWrap/>
            <w:vAlign w:val="center"/>
            <w:hideMark/>
          </w:tcPr>
          <w:p>
            <w:pPr>
              <w:spacing w:before="40" w:after="40"/>
              <w:jc w:val="right"/>
              <w:rPr>
                <w:i/>
                <w:iCs/>
                <w:noProof/>
                <w:color w:val="215868" w:themeColor="accent5" w:themeShade="80"/>
                <w:sz w:val="20"/>
                <w:szCs w:val="20"/>
              </w:rPr>
            </w:pPr>
            <w:r>
              <w:rPr>
                <w:i/>
                <w:noProof/>
                <w:color w:val="215967"/>
                <w:sz w:val="20"/>
              </w:rPr>
              <w:t>172,4</w:t>
            </w:r>
          </w:p>
        </w:tc>
        <w:tc>
          <w:tcPr>
            <w:tcW w:w="1020" w:type="dxa"/>
            <w:tcBorders>
              <w:top w:val="nil"/>
              <w:left w:val="single" w:sz="2" w:space="0" w:color="auto"/>
              <w:bottom w:val="single" w:sz="8" w:space="0" w:color="auto"/>
              <w:right w:val="single" w:sz="2" w:space="0" w:color="auto"/>
            </w:tcBorders>
            <w:shd w:val="clear" w:color="auto" w:fill="auto"/>
            <w:vAlign w:val="center"/>
            <w:hideMark/>
          </w:tcPr>
          <w:p>
            <w:pPr>
              <w:spacing w:before="40" w:after="40"/>
              <w:jc w:val="right"/>
              <w:rPr>
                <w:i/>
                <w:iCs/>
                <w:noProof/>
                <w:color w:val="215868" w:themeColor="accent5" w:themeShade="80"/>
                <w:sz w:val="20"/>
                <w:szCs w:val="20"/>
              </w:rPr>
            </w:pPr>
            <w:r>
              <w:rPr>
                <w:i/>
                <w:noProof/>
                <w:color w:val="215967"/>
                <w:sz w:val="20"/>
              </w:rPr>
              <w:t>159,4</w:t>
            </w:r>
          </w:p>
        </w:tc>
        <w:tc>
          <w:tcPr>
            <w:tcW w:w="1020" w:type="dxa"/>
            <w:tcBorders>
              <w:top w:val="nil"/>
              <w:left w:val="single" w:sz="2" w:space="0" w:color="auto"/>
              <w:bottom w:val="single" w:sz="8" w:space="0" w:color="auto"/>
              <w:right w:val="single" w:sz="4" w:space="0" w:color="auto"/>
            </w:tcBorders>
            <w:shd w:val="clear" w:color="auto" w:fill="auto"/>
            <w:noWrap/>
            <w:vAlign w:val="center"/>
            <w:hideMark/>
          </w:tcPr>
          <w:p>
            <w:pPr>
              <w:spacing w:before="40" w:after="40"/>
              <w:jc w:val="right"/>
              <w:rPr>
                <w:i/>
                <w:iCs/>
                <w:noProof/>
                <w:color w:val="215868" w:themeColor="accent5" w:themeShade="80"/>
                <w:sz w:val="20"/>
                <w:szCs w:val="20"/>
              </w:rPr>
            </w:pPr>
            <w:r>
              <w:rPr>
                <w:i/>
                <w:noProof/>
                <w:color w:val="215967"/>
                <w:sz w:val="20"/>
              </w:rPr>
              <w:t>164,0</w:t>
            </w:r>
          </w:p>
        </w:tc>
        <w:tc>
          <w:tcPr>
            <w:tcW w:w="1020" w:type="dxa"/>
            <w:tcBorders>
              <w:top w:val="nil"/>
              <w:left w:val="nil"/>
              <w:bottom w:val="single" w:sz="8" w:space="0" w:color="auto"/>
              <w:right w:val="single" w:sz="4" w:space="0" w:color="auto"/>
            </w:tcBorders>
            <w:shd w:val="clear" w:color="auto" w:fill="auto"/>
            <w:noWrap/>
            <w:vAlign w:val="center"/>
            <w:hideMark/>
          </w:tcPr>
          <w:p>
            <w:pPr>
              <w:spacing w:before="40" w:after="40"/>
              <w:jc w:val="right"/>
              <w:rPr>
                <w:i/>
                <w:iCs/>
                <w:noProof/>
                <w:color w:val="215868" w:themeColor="accent5" w:themeShade="80"/>
                <w:sz w:val="20"/>
                <w:szCs w:val="20"/>
              </w:rPr>
            </w:pPr>
            <w:r>
              <w:rPr>
                <w:i/>
                <w:noProof/>
                <w:color w:val="215967"/>
                <w:sz w:val="20"/>
              </w:rPr>
              <w:t>177,3</w:t>
            </w:r>
          </w:p>
        </w:tc>
        <w:tc>
          <w:tcPr>
            <w:tcW w:w="1021" w:type="dxa"/>
            <w:tcBorders>
              <w:top w:val="nil"/>
              <w:left w:val="nil"/>
              <w:bottom w:val="single" w:sz="8" w:space="0" w:color="auto"/>
              <w:right w:val="single" w:sz="8" w:space="0" w:color="auto"/>
            </w:tcBorders>
            <w:shd w:val="clear" w:color="auto" w:fill="auto"/>
            <w:noWrap/>
            <w:vAlign w:val="center"/>
            <w:hideMark/>
          </w:tcPr>
          <w:p>
            <w:pPr>
              <w:spacing w:before="40" w:after="40"/>
              <w:jc w:val="right"/>
              <w:rPr>
                <w:i/>
                <w:iCs/>
                <w:noProof/>
                <w:color w:val="215868" w:themeColor="accent5" w:themeShade="80"/>
                <w:sz w:val="20"/>
                <w:szCs w:val="20"/>
              </w:rPr>
            </w:pPr>
            <w:r>
              <w:rPr>
                <w:i/>
                <w:noProof/>
                <w:color w:val="215967"/>
                <w:sz w:val="20"/>
              </w:rPr>
              <w:t>180,9</w:t>
            </w:r>
          </w:p>
        </w:tc>
      </w:tr>
      <w:tr>
        <w:trPr>
          <w:trHeight w:val="227"/>
        </w:trPr>
        <w:tc>
          <w:tcPr>
            <w:tcW w:w="4479" w:type="dxa"/>
            <w:tcBorders>
              <w:top w:val="nil"/>
              <w:left w:val="single" w:sz="8" w:space="0" w:color="auto"/>
              <w:bottom w:val="nil"/>
              <w:right w:val="single" w:sz="4" w:space="0" w:color="auto"/>
            </w:tcBorders>
            <w:shd w:val="clear" w:color="auto" w:fill="auto"/>
            <w:noWrap/>
            <w:vAlign w:val="center"/>
            <w:hideMark/>
          </w:tcPr>
          <w:p>
            <w:pPr>
              <w:spacing w:before="40" w:after="40"/>
              <w:rPr>
                <w:b/>
                <w:bCs/>
                <w:noProof/>
                <w:color w:val="000000"/>
                <w:sz w:val="20"/>
                <w:szCs w:val="20"/>
              </w:rPr>
            </w:pPr>
            <w:r>
              <w:rPr>
                <w:b/>
                <w:noProof/>
                <w:color w:val="000000"/>
                <w:sz w:val="20"/>
              </w:rPr>
              <w:t>Бюджетни кредити за поети задължения</w:t>
            </w:r>
          </w:p>
        </w:tc>
        <w:tc>
          <w:tcPr>
            <w:tcW w:w="1020" w:type="dxa"/>
            <w:tcBorders>
              <w:top w:val="nil"/>
              <w:left w:val="single" w:sz="4" w:space="0" w:color="auto"/>
              <w:bottom w:val="nil"/>
              <w:right w:val="single" w:sz="2" w:space="0" w:color="auto"/>
            </w:tcBorders>
            <w:shd w:val="clear" w:color="auto" w:fill="auto"/>
            <w:noWrap/>
            <w:vAlign w:val="center"/>
            <w:hideMark/>
          </w:tcPr>
          <w:p>
            <w:pPr>
              <w:spacing w:before="40" w:after="40"/>
              <w:jc w:val="right"/>
              <w:rPr>
                <w:b/>
                <w:noProof/>
                <w:color w:val="000000"/>
                <w:sz w:val="20"/>
                <w:szCs w:val="20"/>
              </w:rPr>
            </w:pPr>
            <w:r>
              <w:rPr>
                <w:noProof/>
                <w:color w:val="000000"/>
                <w:sz w:val="20"/>
              </w:rPr>
              <w:t>167,7</w:t>
            </w:r>
          </w:p>
        </w:tc>
        <w:tc>
          <w:tcPr>
            <w:tcW w:w="1020" w:type="dxa"/>
            <w:tcBorders>
              <w:top w:val="nil"/>
              <w:left w:val="single" w:sz="2" w:space="0" w:color="auto"/>
              <w:bottom w:val="nil"/>
              <w:right w:val="single" w:sz="2" w:space="0" w:color="auto"/>
            </w:tcBorders>
            <w:shd w:val="clear" w:color="auto" w:fill="auto"/>
            <w:noWrap/>
            <w:vAlign w:val="center"/>
            <w:hideMark/>
          </w:tcPr>
          <w:p>
            <w:pPr>
              <w:spacing w:before="40" w:after="40"/>
              <w:jc w:val="right"/>
              <w:rPr>
                <w:b/>
                <w:noProof/>
                <w:color w:val="000000"/>
                <w:sz w:val="20"/>
                <w:szCs w:val="20"/>
              </w:rPr>
            </w:pPr>
            <w:r>
              <w:rPr>
                <w:noProof/>
                <w:color w:val="000000"/>
                <w:sz w:val="20"/>
              </w:rPr>
              <w:t>166,7</w:t>
            </w:r>
          </w:p>
        </w:tc>
        <w:tc>
          <w:tcPr>
            <w:tcW w:w="1020" w:type="dxa"/>
            <w:tcBorders>
              <w:top w:val="nil"/>
              <w:left w:val="single" w:sz="2" w:space="0" w:color="auto"/>
              <w:bottom w:val="nil"/>
              <w:right w:val="single" w:sz="4" w:space="0" w:color="auto"/>
            </w:tcBorders>
            <w:shd w:val="clear" w:color="auto" w:fill="auto"/>
            <w:noWrap/>
            <w:vAlign w:val="center"/>
            <w:hideMark/>
          </w:tcPr>
          <w:p>
            <w:pPr>
              <w:spacing w:before="40" w:after="40"/>
              <w:jc w:val="right"/>
              <w:rPr>
                <w:b/>
                <w:noProof/>
                <w:color w:val="000000"/>
                <w:sz w:val="20"/>
                <w:szCs w:val="20"/>
              </w:rPr>
            </w:pPr>
            <w:r>
              <w:rPr>
                <w:noProof/>
                <w:color w:val="000000"/>
                <w:sz w:val="20"/>
              </w:rPr>
              <w:t>173,7</w:t>
            </w:r>
          </w:p>
        </w:tc>
        <w:tc>
          <w:tcPr>
            <w:tcW w:w="1020" w:type="dxa"/>
            <w:tcBorders>
              <w:top w:val="nil"/>
              <w:left w:val="nil"/>
              <w:bottom w:val="nil"/>
              <w:right w:val="single" w:sz="4" w:space="0" w:color="auto"/>
            </w:tcBorders>
            <w:shd w:val="clear" w:color="auto" w:fill="auto"/>
            <w:noWrap/>
            <w:vAlign w:val="center"/>
            <w:hideMark/>
          </w:tcPr>
          <w:p>
            <w:pPr>
              <w:spacing w:before="40" w:after="40"/>
              <w:jc w:val="right"/>
              <w:rPr>
                <w:b/>
                <w:noProof/>
                <w:color w:val="000000"/>
                <w:sz w:val="20"/>
                <w:szCs w:val="20"/>
              </w:rPr>
            </w:pPr>
            <w:r>
              <w:rPr>
                <w:noProof/>
                <w:color w:val="000000"/>
                <w:sz w:val="20"/>
              </w:rPr>
              <w:t>179,4</w:t>
            </w:r>
          </w:p>
        </w:tc>
        <w:tc>
          <w:tcPr>
            <w:tcW w:w="1021" w:type="dxa"/>
            <w:tcBorders>
              <w:top w:val="nil"/>
              <w:left w:val="nil"/>
              <w:bottom w:val="nil"/>
              <w:right w:val="single" w:sz="8" w:space="0" w:color="auto"/>
            </w:tcBorders>
            <w:shd w:val="clear" w:color="auto" w:fill="auto"/>
            <w:noWrap/>
            <w:vAlign w:val="center"/>
            <w:hideMark/>
          </w:tcPr>
          <w:p>
            <w:pPr>
              <w:spacing w:before="40" w:after="40"/>
              <w:jc w:val="right"/>
              <w:rPr>
                <w:b/>
                <w:noProof/>
                <w:color w:val="000000"/>
                <w:sz w:val="20"/>
                <w:szCs w:val="20"/>
              </w:rPr>
            </w:pPr>
            <w:r>
              <w:rPr>
                <w:noProof/>
                <w:color w:val="000000"/>
                <w:sz w:val="20"/>
              </w:rPr>
              <w:t>182,9</w:t>
            </w:r>
          </w:p>
        </w:tc>
      </w:tr>
      <w:tr>
        <w:trPr>
          <w:trHeight w:val="227"/>
        </w:trPr>
        <w:tc>
          <w:tcPr>
            <w:tcW w:w="4479" w:type="dxa"/>
            <w:tcBorders>
              <w:top w:val="nil"/>
              <w:left w:val="single" w:sz="8" w:space="0" w:color="auto"/>
              <w:bottom w:val="nil"/>
              <w:right w:val="single" w:sz="4" w:space="0" w:color="auto"/>
            </w:tcBorders>
            <w:shd w:val="clear" w:color="auto" w:fill="auto"/>
            <w:noWrap/>
            <w:vAlign w:val="center"/>
            <w:hideMark/>
          </w:tcPr>
          <w:p>
            <w:pPr>
              <w:spacing w:before="40" w:after="40"/>
              <w:rPr>
                <w:b/>
                <w:bCs/>
                <w:noProof/>
                <w:color w:val="000000"/>
                <w:sz w:val="20"/>
                <w:szCs w:val="20"/>
              </w:rPr>
            </w:pPr>
            <w:r>
              <w:rPr>
                <w:b/>
                <w:noProof/>
                <w:color w:val="000000"/>
                <w:sz w:val="20"/>
              </w:rPr>
              <w:t>Бюджетни кредити за плащания</w:t>
            </w:r>
          </w:p>
        </w:tc>
        <w:tc>
          <w:tcPr>
            <w:tcW w:w="1020" w:type="dxa"/>
            <w:tcBorders>
              <w:top w:val="nil"/>
              <w:left w:val="single" w:sz="4" w:space="0" w:color="auto"/>
              <w:bottom w:val="nil"/>
              <w:right w:val="single" w:sz="2" w:space="0" w:color="auto"/>
            </w:tcBorders>
            <w:shd w:val="clear" w:color="auto" w:fill="auto"/>
            <w:noWrap/>
            <w:vAlign w:val="center"/>
            <w:hideMark/>
          </w:tcPr>
          <w:p>
            <w:pPr>
              <w:spacing w:before="40" w:after="40"/>
              <w:jc w:val="right"/>
              <w:rPr>
                <w:b/>
                <w:noProof/>
                <w:color w:val="000000"/>
                <w:sz w:val="20"/>
                <w:szCs w:val="20"/>
              </w:rPr>
            </w:pPr>
            <w:r>
              <w:rPr>
                <w:noProof/>
                <w:color w:val="000000"/>
                <w:sz w:val="20"/>
              </w:rPr>
              <w:t>153,2</w:t>
            </w:r>
          </w:p>
        </w:tc>
        <w:tc>
          <w:tcPr>
            <w:tcW w:w="1020" w:type="dxa"/>
            <w:tcBorders>
              <w:top w:val="nil"/>
              <w:left w:val="single" w:sz="2" w:space="0" w:color="auto"/>
              <w:bottom w:val="nil"/>
              <w:right w:val="single" w:sz="2" w:space="0" w:color="auto"/>
            </w:tcBorders>
            <w:shd w:val="clear" w:color="auto" w:fill="auto"/>
            <w:noWrap/>
            <w:vAlign w:val="center"/>
            <w:hideMark/>
          </w:tcPr>
          <w:p>
            <w:pPr>
              <w:spacing w:before="40" w:after="40"/>
              <w:jc w:val="right"/>
              <w:rPr>
                <w:b/>
                <w:noProof/>
                <w:color w:val="000000"/>
                <w:sz w:val="20"/>
                <w:szCs w:val="20"/>
              </w:rPr>
            </w:pPr>
            <w:r>
              <w:rPr>
                <w:noProof/>
                <w:color w:val="000000"/>
                <w:sz w:val="20"/>
              </w:rPr>
              <w:t>159,1</w:t>
            </w:r>
          </w:p>
        </w:tc>
        <w:tc>
          <w:tcPr>
            <w:tcW w:w="1020" w:type="dxa"/>
            <w:tcBorders>
              <w:top w:val="nil"/>
              <w:left w:val="single" w:sz="2" w:space="0" w:color="auto"/>
              <w:bottom w:val="nil"/>
              <w:right w:val="single" w:sz="4" w:space="0" w:color="auto"/>
            </w:tcBorders>
            <w:shd w:val="clear" w:color="auto" w:fill="auto"/>
            <w:noWrap/>
            <w:vAlign w:val="center"/>
            <w:hideMark/>
          </w:tcPr>
          <w:p>
            <w:pPr>
              <w:spacing w:before="40" w:after="40"/>
              <w:jc w:val="right"/>
              <w:rPr>
                <w:b/>
                <w:noProof/>
                <w:color w:val="000000"/>
                <w:sz w:val="20"/>
                <w:szCs w:val="20"/>
              </w:rPr>
            </w:pPr>
            <w:r>
              <w:rPr>
                <w:noProof/>
                <w:color w:val="000000"/>
                <w:sz w:val="20"/>
              </w:rPr>
              <w:t>164,2</w:t>
            </w:r>
          </w:p>
        </w:tc>
        <w:tc>
          <w:tcPr>
            <w:tcW w:w="1020" w:type="dxa"/>
            <w:tcBorders>
              <w:top w:val="nil"/>
              <w:left w:val="nil"/>
              <w:bottom w:val="nil"/>
              <w:right w:val="single" w:sz="4" w:space="0" w:color="auto"/>
            </w:tcBorders>
            <w:shd w:val="clear" w:color="auto" w:fill="auto"/>
            <w:noWrap/>
            <w:vAlign w:val="center"/>
            <w:hideMark/>
          </w:tcPr>
          <w:p>
            <w:pPr>
              <w:spacing w:before="40" w:after="40"/>
              <w:jc w:val="right"/>
              <w:rPr>
                <w:b/>
                <w:noProof/>
                <w:color w:val="000000"/>
                <w:sz w:val="20"/>
                <w:szCs w:val="20"/>
              </w:rPr>
            </w:pPr>
            <w:r>
              <w:rPr>
                <w:noProof/>
                <w:color w:val="000000"/>
                <w:sz w:val="20"/>
              </w:rPr>
              <w:t>178,1</w:t>
            </w:r>
          </w:p>
        </w:tc>
        <w:tc>
          <w:tcPr>
            <w:tcW w:w="1021" w:type="dxa"/>
            <w:tcBorders>
              <w:top w:val="nil"/>
              <w:left w:val="nil"/>
              <w:bottom w:val="nil"/>
              <w:right w:val="single" w:sz="8" w:space="0" w:color="auto"/>
            </w:tcBorders>
            <w:shd w:val="clear" w:color="auto" w:fill="auto"/>
            <w:noWrap/>
            <w:vAlign w:val="center"/>
            <w:hideMark/>
          </w:tcPr>
          <w:p>
            <w:pPr>
              <w:spacing w:before="40" w:after="40"/>
              <w:jc w:val="right"/>
              <w:rPr>
                <w:b/>
                <w:noProof/>
                <w:color w:val="000000"/>
                <w:sz w:val="20"/>
                <w:szCs w:val="20"/>
              </w:rPr>
            </w:pPr>
            <w:r>
              <w:rPr>
                <w:noProof/>
                <w:color w:val="000000"/>
                <w:sz w:val="20"/>
              </w:rPr>
              <w:t>185,2</w:t>
            </w:r>
          </w:p>
        </w:tc>
      </w:tr>
      <w:tr>
        <w:trPr>
          <w:trHeight w:val="227"/>
        </w:trPr>
        <w:tc>
          <w:tcPr>
            <w:tcW w:w="4479"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pPr>
              <w:spacing w:before="40" w:after="40"/>
              <w:rPr>
                <w:noProof/>
                <w:color w:val="000000"/>
                <w:sz w:val="20"/>
                <w:szCs w:val="20"/>
              </w:rPr>
            </w:pPr>
            <w:r>
              <w:rPr>
                <w:noProof/>
                <w:color w:val="000000"/>
                <w:sz w:val="20"/>
              </w:rPr>
              <w:t>от които плащания по задължения, поети преди 2021 г.</w:t>
            </w:r>
          </w:p>
        </w:tc>
        <w:tc>
          <w:tcPr>
            <w:tcW w:w="1020" w:type="dxa"/>
            <w:tcBorders>
              <w:top w:val="single" w:sz="8" w:space="0" w:color="auto"/>
              <w:left w:val="single" w:sz="4" w:space="0" w:color="auto"/>
              <w:bottom w:val="single" w:sz="4" w:space="0" w:color="auto"/>
              <w:right w:val="single" w:sz="2" w:space="0" w:color="auto"/>
            </w:tcBorders>
            <w:shd w:val="clear" w:color="auto" w:fill="auto"/>
            <w:noWrap/>
            <w:vAlign w:val="center"/>
            <w:hideMark/>
          </w:tcPr>
          <w:p>
            <w:pPr>
              <w:spacing w:before="40" w:after="40"/>
              <w:jc w:val="right"/>
              <w:rPr>
                <w:noProof/>
                <w:color w:val="000000"/>
                <w:sz w:val="20"/>
                <w:szCs w:val="20"/>
              </w:rPr>
            </w:pPr>
            <w:r>
              <w:rPr>
                <w:noProof/>
                <w:color w:val="000000"/>
                <w:sz w:val="20"/>
              </w:rPr>
              <w:t>153,2</w:t>
            </w:r>
          </w:p>
        </w:tc>
        <w:tc>
          <w:tcPr>
            <w:tcW w:w="1020" w:type="dxa"/>
            <w:tcBorders>
              <w:top w:val="single" w:sz="8" w:space="0" w:color="auto"/>
              <w:left w:val="single" w:sz="2" w:space="0" w:color="auto"/>
              <w:bottom w:val="single" w:sz="4" w:space="0" w:color="auto"/>
              <w:right w:val="single" w:sz="2" w:space="0" w:color="auto"/>
            </w:tcBorders>
            <w:shd w:val="clear" w:color="auto" w:fill="auto"/>
            <w:noWrap/>
            <w:vAlign w:val="center"/>
            <w:hideMark/>
          </w:tcPr>
          <w:p>
            <w:pPr>
              <w:spacing w:before="40" w:after="40"/>
              <w:jc w:val="right"/>
              <w:rPr>
                <w:noProof/>
                <w:color w:val="000000"/>
                <w:sz w:val="20"/>
                <w:szCs w:val="20"/>
              </w:rPr>
            </w:pPr>
            <w:r>
              <w:rPr>
                <w:noProof/>
                <w:color w:val="000000"/>
                <w:sz w:val="20"/>
              </w:rPr>
              <w:t>87,7</w:t>
            </w:r>
          </w:p>
        </w:tc>
        <w:tc>
          <w:tcPr>
            <w:tcW w:w="1020" w:type="dxa"/>
            <w:tcBorders>
              <w:top w:val="single" w:sz="8" w:space="0" w:color="auto"/>
              <w:left w:val="single" w:sz="2" w:space="0" w:color="auto"/>
              <w:bottom w:val="single" w:sz="4" w:space="0" w:color="auto"/>
              <w:right w:val="nil"/>
            </w:tcBorders>
            <w:shd w:val="clear" w:color="auto" w:fill="auto"/>
            <w:noWrap/>
            <w:vAlign w:val="center"/>
            <w:hideMark/>
          </w:tcPr>
          <w:p>
            <w:pPr>
              <w:spacing w:before="40" w:after="40"/>
              <w:jc w:val="right"/>
              <w:rPr>
                <w:noProof/>
                <w:color w:val="000000"/>
                <w:sz w:val="20"/>
                <w:szCs w:val="20"/>
              </w:rPr>
            </w:pPr>
            <w:r>
              <w:rPr>
                <w:noProof/>
                <w:color w:val="000000"/>
                <w:sz w:val="20"/>
              </w:rPr>
              <w:t>76,9</w:t>
            </w:r>
          </w:p>
        </w:tc>
        <w:tc>
          <w:tcPr>
            <w:tcW w:w="1020"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right"/>
              <w:rPr>
                <w:noProof/>
                <w:color w:val="000000"/>
                <w:sz w:val="20"/>
                <w:szCs w:val="20"/>
              </w:rPr>
            </w:pPr>
            <w:r>
              <w:rPr>
                <w:noProof/>
                <w:color w:val="000000"/>
                <w:sz w:val="20"/>
              </w:rPr>
              <w:t>56,7</w:t>
            </w:r>
          </w:p>
        </w:tc>
        <w:tc>
          <w:tcPr>
            <w:tcW w:w="1021" w:type="dxa"/>
            <w:tcBorders>
              <w:top w:val="single" w:sz="8" w:space="0" w:color="auto"/>
              <w:left w:val="nil"/>
              <w:bottom w:val="single" w:sz="4" w:space="0" w:color="auto"/>
              <w:right w:val="single" w:sz="8" w:space="0" w:color="auto"/>
            </w:tcBorders>
            <w:shd w:val="clear" w:color="auto" w:fill="auto"/>
            <w:noWrap/>
            <w:vAlign w:val="center"/>
            <w:hideMark/>
          </w:tcPr>
          <w:p>
            <w:pPr>
              <w:spacing w:before="40" w:after="40"/>
              <w:jc w:val="right"/>
              <w:rPr>
                <w:noProof/>
                <w:color w:val="000000"/>
                <w:sz w:val="20"/>
                <w:szCs w:val="20"/>
              </w:rPr>
            </w:pPr>
            <w:r>
              <w:rPr>
                <w:noProof/>
                <w:color w:val="000000"/>
                <w:sz w:val="20"/>
              </w:rPr>
              <w:t>42,8</w:t>
            </w:r>
          </w:p>
        </w:tc>
      </w:tr>
      <w:tr>
        <w:trPr>
          <w:trHeight w:val="227"/>
        </w:trPr>
        <w:tc>
          <w:tcPr>
            <w:tcW w:w="4479" w:type="dxa"/>
            <w:tcBorders>
              <w:top w:val="nil"/>
              <w:left w:val="single" w:sz="8" w:space="0" w:color="auto"/>
              <w:bottom w:val="nil"/>
              <w:right w:val="single" w:sz="4" w:space="0" w:color="auto"/>
            </w:tcBorders>
            <w:shd w:val="clear" w:color="auto" w:fill="auto"/>
            <w:noWrap/>
            <w:vAlign w:val="center"/>
            <w:hideMark/>
          </w:tcPr>
          <w:p>
            <w:pPr>
              <w:spacing w:before="40" w:after="40"/>
              <w:jc w:val="right"/>
              <w:rPr>
                <w:i/>
                <w:iCs/>
                <w:noProof/>
                <w:color w:val="000000"/>
                <w:sz w:val="20"/>
                <w:szCs w:val="20"/>
              </w:rPr>
            </w:pPr>
            <w:r>
              <w:rPr>
                <w:i/>
                <w:noProof/>
                <w:color w:val="000000"/>
                <w:sz w:val="20"/>
              </w:rPr>
              <w:t>1а. Конкурентоспособност за растеж и работни места</w:t>
            </w:r>
          </w:p>
        </w:tc>
        <w:tc>
          <w:tcPr>
            <w:tcW w:w="1020" w:type="dxa"/>
            <w:tcBorders>
              <w:top w:val="nil"/>
              <w:left w:val="single" w:sz="4" w:space="0" w:color="auto"/>
              <w:bottom w:val="nil"/>
              <w:right w:val="single" w:sz="2" w:space="0" w:color="auto"/>
            </w:tcBorders>
            <w:shd w:val="clear" w:color="auto" w:fill="auto"/>
            <w:noWrap/>
            <w:vAlign w:val="center"/>
            <w:hideMark/>
          </w:tcPr>
          <w:p>
            <w:pPr>
              <w:spacing w:before="40" w:after="40"/>
              <w:jc w:val="right"/>
              <w:rPr>
                <w:i/>
                <w:iCs/>
                <w:noProof/>
                <w:color w:val="000000"/>
                <w:sz w:val="20"/>
                <w:szCs w:val="20"/>
              </w:rPr>
            </w:pPr>
            <w:r>
              <w:rPr>
                <w:i/>
                <w:noProof/>
                <w:color w:val="000000"/>
                <w:sz w:val="20"/>
              </w:rPr>
              <w:t>22,1</w:t>
            </w:r>
          </w:p>
        </w:tc>
        <w:tc>
          <w:tcPr>
            <w:tcW w:w="1020" w:type="dxa"/>
            <w:tcBorders>
              <w:top w:val="nil"/>
              <w:left w:val="single" w:sz="2" w:space="0" w:color="auto"/>
              <w:bottom w:val="nil"/>
              <w:right w:val="single" w:sz="2" w:space="0" w:color="auto"/>
            </w:tcBorders>
            <w:shd w:val="clear" w:color="auto" w:fill="auto"/>
            <w:noWrap/>
            <w:vAlign w:val="center"/>
            <w:hideMark/>
          </w:tcPr>
          <w:p>
            <w:pPr>
              <w:spacing w:before="40" w:after="40"/>
              <w:jc w:val="right"/>
              <w:rPr>
                <w:i/>
                <w:iCs/>
                <w:noProof/>
                <w:color w:val="000000"/>
                <w:sz w:val="20"/>
                <w:szCs w:val="20"/>
              </w:rPr>
            </w:pPr>
            <w:r>
              <w:rPr>
                <w:i/>
                <w:noProof/>
                <w:color w:val="000000"/>
                <w:sz w:val="20"/>
              </w:rPr>
              <w:t>14,3</w:t>
            </w:r>
          </w:p>
        </w:tc>
        <w:tc>
          <w:tcPr>
            <w:tcW w:w="1020" w:type="dxa"/>
            <w:tcBorders>
              <w:top w:val="nil"/>
              <w:left w:val="single" w:sz="2" w:space="0" w:color="auto"/>
              <w:bottom w:val="nil"/>
              <w:right w:val="nil"/>
            </w:tcBorders>
            <w:shd w:val="clear" w:color="auto" w:fill="auto"/>
            <w:noWrap/>
            <w:vAlign w:val="center"/>
            <w:hideMark/>
          </w:tcPr>
          <w:p>
            <w:pPr>
              <w:spacing w:before="40" w:after="40"/>
              <w:jc w:val="right"/>
              <w:rPr>
                <w:i/>
                <w:iCs/>
                <w:noProof/>
                <w:color w:val="000000"/>
                <w:sz w:val="20"/>
                <w:szCs w:val="20"/>
              </w:rPr>
            </w:pPr>
            <w:r>
              <w:rPr>
                <w:i/>
                <w:noProof/>
                <w:color w:val="000000"/>
                <w:sz w:val="20"/>
              </w:rPr>
              <w:t>9,5</w:t>
            </w:r>
          </w:p>
        </w:tc>
        <w:tc>
          <w:tcPr>
            <w:tcW w:w="1020" w:type="dxa"/>
            <w:tcBorders>
              <w:top w:val="nil"/>
              <w:left w:val="single" w:sz="4" w:space="0" w:color="auto"/>
              <w:bottom w:val="nil"/>
              <w:right w:val="single" w:sz="4" w:space="0" w:color="auto"/>
            </w:tcBorders>
            <w:shd w:val="clear" w:color="auto" w:fill="auto"/>
            <w:noWrap/>
            <w:vAlign w:val="center"/>
            <w:hideMark/>
          </w:tcPr>
          <w:p>
            <w:pPr>
              <w:spacing w:before="40" w:after="40"/>
              <w:jc w:val="right"/>
              <w:rPr>
                <w:i/>
                <w:iCs/>
                <w:noProof/>
                <w:color w:val="000000"/>
                <w:sz w:val="20"/>
                <w:szCs w:val="20"/>
              </w:rPr>
            </w:pPr>
            <w:r>
              <w:rPr>
                <w:i/>
                <w:noProof/>
                <w:color w:val="000000"/>
                <w:sz w:val="20"/>
              </w:rPr>
              <w:t>6,0</w:t>
            </w:r>
          </w:p>
        </w:tc>
        <w:tc>
          <w:tcPr>
            <w:tcW w:w="1021" w:type="dxa"/>
            <w:tcBorders>
              <w:top w:val="nil"/>
              <w:left w:val="nil"/>
              <w:bottom w:val="nil"/>
              <w:right w:val="single" w:sz="8" w:space="0" w:color="auto"/>
            </w:tcBorders>
            <w:shd w:val="clear" w:color="auto" w:fill="auto"/>
            <w:noWrap/>
            <w:vAlign w:val="center"/>
            <w:hideMark/>
          </w:tcPr>
          <w:p>
            <w:pPr>
              <w:spacing w:before="40" w:after="40"/>
              <w:jc w:val="right"/>
              <w:rPr>
                <w:i/>
                <w:iCs/>
                <w:noProof/>
                <w:color w:val="000000"/>
                <w:sz w:val="20"/>
                <w:szCs w:val="20"/>
              </w:rPr>
            </w:pPr>
            <w:r>
              <w:rPr>
                <w:noProof/>
                <w:color w:val="000000"/>
                <w:sz w:val="20"/>
              </w:rPr>
              <w:t>4,3</w:t>
            </w:r>
          </w:p>
        </w:tc>
      </w:tr>
      <w:tr>
        <w:trPr>
          <w:trHeight w:val="227"/>
        </w:trPr>
        <w:tc>
          <w:tcPr>
            <w:tcW w:w="4479" w:type="dxa"/>
            <w:tcBorders>
              <w:top w:val="nil"/>
              <w:left w:val="single" w:sz="8" w:space="0" w:color="auto"/>
              <w:bottom w:val="nil"/>
              <w:right w:val="single" w:sz="4" w:space="0" w:color="auto"/>
            </w:tcBorders>
            <w:shd w:val="clear" w:color="auto" w:fill="auto"/>
            <w:noWrap/>
            <w:vAlign w:val="center"/>
            <w:hideMark/>
          </w:tcPr>
          <w:p>
            <w:pPr>
              <w:spacing w:before="40" w:after="40"/>
              <w:jc w:val="right"/>
              <w:rPr>
                <w:i/>
                <w:iCs/>
                <w:noProof/>
                <w:color w:val="000000"/>
                <w:sz w:val="20"/>
                <w:szCs w:val="20"/>
              </w:rPr>
            </w:pPr>
            <w:r>
              <w:rPr>
                <w:i/>
                <w:noProof/>
                <w:color w:val="000000"/>
                <w:sz w:val="20"/>
              </w:rPr>
              <w:t>1б. Икономическо, социално и териториално сближаване</w:t>
            </w:r>
          </w:p>
        </w:tc>
        <w:tc>
          <w:tcPr>
            <w:tcW w:w="1020" w:type="dxa"/>
            <w:tcBorders>
              <w:top w:val="nil"/>
              <w:left w:val="single" w:sz="4" w:space="0" w:color="auto"/>
              <w:bottom w:val="nil"/>
              <w:right w:val="single" w:sz="2" w:space="0" w:color="auto"/>
            </w:tcBorders>
            <w:shd w:val="clear" w:color="auto" w:fill="auto"/>
            <w:noWrap/>
            <w:vAlign w:val="center"/>
            <w:hideMark/>
          </w:tcPr>
          <w:p>
            <w:pPr>
              <w:spacing w:before="40" w:after="40"/>
              <w:jc w:val="right"/>
              <w:rPr>
                <w:i/>
                <w:iCs/>
                <w:noProof/>
                <w:color w:val="000000"/>
                <w:sz w:val="20"/>
                <w:szCs w:val="20"/>
              </w:rPr>
            </w:pPr>
            <w:r>
              <w:rPr>
                <w:i/>
                <w:noProof/>
                <w:color w:val="000000"/>
                <w:sz w:val="20"/>
              </w:rPr>
              <w:t>50,0</w:t>
            </w:r>
          </w:p>
        </w:tc>
        <w:tc>
          <w:tcPr>
            <w:tcW w:w="1020" w:type="dxa"/>
            <w:tcBorders>
              <w:top w:val="nil"/>
              <w:left w:val="single" w:sz="2" w:space="0" w:color="auto"/>
              <w:bottom w:val="nil"/>
              <w:right w:val="single" w:sz="2" w:space="0" w:color="auto"/>
            </w:tcBorders>
            <w:shd w:val="clear" w:color="auto" w:fill="auto"/>
            <w:noWrap/>
            <w:vAlign w:val="center"/>
            <w:hideMark/>
          </w:tcPr>
          <w:p>
            <w:pPr>
              <w:spacing w:before="40" w:after="40"/>
              <w:jc w:val="right"/>
              <w:rPr>
                <w:i/>
                <w:iCs/>
                <w:noProof/>
                <w:color w:val="000000"/>
                <w:sz w:val="20"/>
                <w:szCs w:val="20"/>
              </w:rPr>
            </w:pPr>
            <w:r>
              <w:rPr>
                <w:i/>
                <w:noProof/>
                <w:color w:val="000000"/>
                <w:sz w:val="20"/>
              </w:rPr>
              <w:t>48,5</w:t>
            </w:r>
          </w:p>
        </w:tc>
        <w:tc>
          <w:tcPr>
            <w:tcW w:w="1020" w:type="dxa"/>
            <w:tcBorders>
              <w:top w:val="nil"/>
              <w:left w:val="single" w:sz="2" w:space="0" w:color="auto"/>
              <w:bottom w:val="nil"/>
              <w:right w:val="nil"/>
            </w:tcBorders>
            <w:shd w:val="clear" w:color="auto" w:fill="auto"/>
            <w:noWrap/>
            <w:vAlign w:val="center"/>
            <w:hideMark/>
          </w:tcPr>
          <w:p>
            <w:pPr>
              <w:spacing w:before="40" w:after="40"/>
              <w:jc w:val="right"/>
              <w:rPr>
                <w:i/>
                <w:iCs/>
                <w:noProof/>
                <w:color w:val="000000"/>
                <w:sz w:val="20"/>
                <w:szCs w:val="20"/>
              </w:rPr>
            </w:pPr>
            <w:r>
              <w:rPr>
                <w:i/>
                <w:noProof/>
                <w:color w:val="000000"/>
                <w:sz w:val="20"/>
              </w:rPr>
              <w:t>47,6</w:t>
            </w:r>
          </w:p>
        </w:tc>
        <w:tc>
          <w:tcPr>
            <w:tcW w:w="1020" w:type="dxa"/>
            <w:tcBorders>
              <w:top w:val="nil"/>
              <w:left w:val="single" w:sz="4" w:space="0" w:color="auto"/>
              <w:bottom w:val="nil"/>
              <w:right w:val="single" w:sz="4" w:space="0" w:color="auto"/>
            </w:tcBorders>
            <w:shd w:val="clear" w:color="auto" w:fill="auto"/>
            <w:noWrap/>
            <w:vAlign w:val="center"/>
            <w:hideMark/>
          </w:tcPr>
          <w:p>
            <w:pPr>
              <w:spacing w:before="40" w:after="40"/>
              <w:jc w:val="right"/>
              <w:rPr>
                <w:i/>
                <w:iCs/>
                <w:noProof/>
                <w:color w:val="000000"/>
                <w:sz w:val="20"/>
                <w:szCs w:val="20"/>
              </w:rPr>
            </w:pPr>
            <w:r>
              <w:rPr>
                <w:i/>
                <w:noProof/>
                <w:color w:val="000000"/>
                <w:sz w:val="20"/>
              </w:rPr>
              <w:t>36,9</w:t>
            </w:r>
          </w:p>
        </w:tc>
        <w:tc>
          <w:tcPr>
            <w:tcW w:w="1021" w:type="dxa"/>
            <w:tcBorders>
              <w:top w:val="nil"/>
              <w:left w:val="nil"/>
              <w:bottom w:val="nil"/>
              <w:right w:val="single" w:sz="8" w:space="0" w:color="auto"/>
            </w:tcBorders>
            <w:shd w:val="clear" w:color="auto" w:fill="auto"/>
            <w:noWrap/>
            <w:vAlign w:val="center"/>
            <w:hideMark/>
          </w:tcPr>
          <w:p>
            <w:pPr>
              <w:spacing w:before="40" w:after="40"/>
              <w:jc w:val="right"/>
              <w:rPr>
                <w:i/>
                <w:iCs/>
                <w:noProof/>
                <w:color w:val="000000"/>
                <w:sz w:val="20"/>
                <w:szCs w:val="20"/>
              </w:rPr>
            </w:pPr>
            <w:r>
              <w:rPr>
                <w:noProof/>
                <w:color w:val="000000"/>
                <w:sz w:val="20"/>
              </w:rPr>
              <w:t>28,0</w:t>
            </w:r>
          </w:p>
        </w:tc>
      </w:tr>
      <w:tr>
        <w:trPr>
          <w:trHeight w:val="227"/>
        </w:trPr>
        <w:tc>
          <w:tcPr>
            <w:tcW w:w="4479" w:type="dxa"/>
            <w:tcBorders>
              <w:top w:val="nil"/>
              <w:left w:val="single" w:sz="8" w:space="0" w:color="auto"/>
              <w:bottom w:val="nil"/>
              <w:right w:val="single" w:sz="4" w:space="0" w:color="auto"/>
            </w:tcBorders>
            <w:shd w:val="clear" w:color="auto" w:fill="auto"/>
            <w:noWrap/>
            <w:vAlign w:val="center"/>
            <w:hideMark/>
          </w:tcPr>
          <w:p>
            <w:pPr>
              <w:spacing w:before="40" w:after="40"/>
              <w:jc w:val="right"/>
              <w:rPr>
                <w:i/>
                <w:iCs/>
                <w:noProof/>
                <w:color w:val="000000"/>
                <w:sz w:val="20"/>
                <w:szCs w:val="20"/>
              </w:rPr>
            </w:pPr>
            <w:r>
              <w:rPr>
                <w:i/>
                <w:noProof/>
                <w:color w:val="000000"/>
                <w:sz w:val="20"/>
              </w:rPr>
              <w:t>2. Устойчив растеж: природни ресурси</w:t>
            </w:r>
          </w:p>
        </w:tc>
        <w:tc>
          <w:tcPr>
            <w:tcW w:w="1020" w:type="dxa"/>
            <w:tcBorders>
              <w:top w:val="nil"/>
              <w:left w:val="single" w:sz="4" w:space="0" w:color="auto"/>
              <w:bottom w:val="nil"/>
              <w:right w:val="single" w:sz="2" w:space="0" w:color="auto"/>
            </w:tcBorders>
            <w:shd w:val="clear" w:color="auto" w:fill="auto"/>
            <w:noWrap/>
            <w:vAlign w:val="center"/>
            <w:hideMark/>
          </w:tcPr>
          <w:p>
            <w:pPr>
              <w:spacing w:before="40" w:after="40"/>
              <w:jc w:val="right"/>
              <w:rPr>
                <w:i/>
                <w:iCs/>
                <w:noProof/>
                <w:color w:val="000000"/>
                <w:sz w:val="20"/>
                <w:szCs w:val="20"/>
              </w:rPr>
            </w:pPr>
            <w:r>
              <w:rPr>
                <w:i/>
                <w:noProof/>
                <w:color w:val="000000"/>
                <w:sz w:val="20"/>
              </w:rPr>
              <w:t>58,0</w:t>
            </w:r>
          </w:p>
        </w:tc>
        <w:tc>
          <w:tcPr>
            <w:tcW w:w="1020" w:type="dxa"/>
            <w:tcBorders>
              <w:top w:val="nil"/>
              <w:left w:val="single" w:sz="2" w:space="0" w:color="auto"/>
              <w:bottom w:val="nil"/>
              <w:right w:val="single" w:sz="2" w:space="0" w:color="auto"/>
            </w:tcBorders>
            <w:shd w:val="clear" w:color="auto" w:fill="auto"/>
            <w:noWrap/>
            <w:vAlign w:val="center"/>
            <w:hideMark/>
          </w:tcPr>
          <w:p>
            <w:pPr>
              <w:spacing w:before="40" w:after="40"/>
              <w:jc w:val="right"/>
              <w:rPr>
                <w:i/>
                <w:iCs/>
                <w:noProof/>
                <w:color w:val="000000"/>
                <w:sz w:val="20"/>
                <w:szCs w:val="20"/>
              </w:rPr>
            </w:pPr>
            <w:r>
              <w:rPr>
                <w:i/>
                <w:noProof/>
                <w:color w:val="000000"/>
                <w:sz w:val="20"/>
              </w:rPr>
              <w:t>15,0</w:t>
            </w:r>
          </w:p>
        </w:tc>
        <w:tc>
          <w:tcPr>
            <w:tcW w:w="1020" w:type="dxa"/>
            <w:tcBorders>
              <w:top w:val="nil"/>
              <w:left w:val="single" w:sz="2" w:space="0" w:color="auto"/>
              <w:bottom w:val="nil"/>
              <w:right w:val="nil"/>
            </w:tcBorders>
            <w:shd w:val="clear" w:color="auto" w:fill="auto"/>
            <w:noWrap/>
            <w:vAlign w:val="center"/>
            <w:hideMark/>
          </w:tcPr>
          <w:p>
            <w:pPr>
              <w:spacing w:before="40" w:after="40"/>
              <w:jc w:val="right"/>
              <w:rPr>
                <w:i/>
                <w:iCs/>
                <w:noProof/>
                <w:color w:val="000000"/>
                <w:sz w:val="20"/>
                <w:szCs w:val="20"/>
              </w:rPr>
            </w:pPr>
            <w:r>
              <w:rPr>
                <w:i/>
                <w:noProof/>
                <w:color w:val="000000"/>
                <w:sz w:val="20"/>
              </w:rPr>
              <w:t>11,7</w:t>
            </w:r>
          </w:p>
        </w:tc>
        <w:tc>
          <w:tcPr>
            <w:tcW w:w="1020" w:type="dxa"/>
            <w:tcBorders>
              <w:top w:val="nil"/>
              <w:left w:val="single" w:sz="4" w:space="0" w:color="auto"/>
              <w:bottom w:val="nil"/>
              <w:right w:val="single" w:sz="4" w:space="0" w:color="auto"/>
            </w:tcBorders>
            <w:shd w:val="clear" w:color="auto" w:fill="auto"/>
            <w:noWrap/>
            <w:vAlign w:val="center"/>
            <w:hideMark/>
          </w:tcPr>
          <w:p>
            <w:pPr>
              <w:spacing w:before="40" w:after="40"/>
              <w:jc w:val="right"/>
              <w:rPr>
                <w:i/>
                <w:iCs/>
                <w:noProof/>
                <w:color w:val="000000"/>
                <w:sz w:val="20"/>
                <w:szCs w:val="20"/>
              </w:rPr>
            </w:pPr>
            <w:r>
              <w:rPr>
                <w:i/>
                <w:noProof/>
                <w:color w:val="000000"/>
                <w:sz w:val="20"/>
              </w:rPr>
              <w:t>7,3</w:t>
            </w:r>
          </w:p>
        </w:tc>
        <w:tc>
          <w:tcPr>
            <w:tcW w:w="1021" w:type="dxa"/>
            <w:tcBorders>
              <w:top w:val="nil"/>
              <w:left w:val="nil"/>
              <w:bottom w:val="nil"/>
              <w:right w:val="single" w:sz="8" w:space="0" w:color="auto"/>
            </w:tcBorders>
            <w:shd w:val="clear" w:color="auto" w:fill="auto"/>
            <w:noWrap/>
            <w:vAlign w:val="center"/>
            <w:hideMark/>
          </w:tcPr>
          <w:p>
            <w:pPr>
              <w:spacing w:before="40" w:after="40"/>
              <w:jc w:val="right"/>
              <w:rPr>
                <w:i/>
                <w:iCs/>
                <w:noProof/>
                <w:color w:val="000000"/>
                <w:sz w:val="20"/>
                <w:szCs w:val="20"/>
              </w:rPr>
            </w:pPr>
            <w:r>
              <w:rPr>
                <w:noProof/>
                <w:color w:val="000000"/>
                <w:sz w:val="20"/>
              </w:rPr>
              <w:t>5,2</w:t>
            </w:r>
          </w:p>
        </w:tc>
      </w:tr>
      <w:tr>
        <w:trPr>
          <w:trHeight w:val="227"/>
        </w:trPr>
        <w:tc>
          <w:tcPr>
            <w:tcW w:w="4479" w:type="dxa"/>
            <w:tcBorders>
              <w:top w:val="nil"/>
              <w:left w:val="single" w:sz="8" w:space="0" w:color="auto"/>
              <w:bottom w:val="nil"/>
              <w:right w:val="single" w:sz="4" w:space="0" w:color="auto"/>
            </w:tcBorders>
            <w:shd w:val="clear" w:color="auto" w:fill="auto"/>
            <w:noWrap/>
            <w:vAlign w:val="center"/>
            <w:hideMark/>
          </w:tcPr>
          <w:p>
            <w:pPr>
              <w:spacing w:before="40" w:after="40"/>
              <w:jc w:val="right"/>
              <w:rPr>
                <w:i/>
                <w:iCs/>
                <w:noProof/>
                <w:color w:val="000000"/>
                <w:sz w:val="20"/>
                <w:szCs w:val="20"/>
              </w:rPr>
            </w:pPr>
            <w:r>
              <w:rPr>
                <w:i/>
                <w:noProof/>
                <w:color w:val="000000"/>
                <w:sz w:val="20"/>
              </w:rPr>
              <w:t>3. Сигурност и гражданство</w:t>
            </w:r>
          </w:p>
        </w:tc>
        <w:tc>
          <w:tcPr>
            <w:tcW w:w="1020" w:type="dxa"/>
            <w:tcBorders>
              <w:top w:val="nil"/>
              <w:left w:val="single" w:sz="4" w:space="0" w:color="auto"/>
              <w:bottom w:val="nil"/>
              <w:right w:val="single" w:sz="2" w:space="0" w:color="auto"/>
            </w:tcBorders>
            <w:shd w:val="clear" w:color="auto" w:fill="auto"/>
            <w:noWrap/>
            <w:vAlign w:val="center"/>
            <w:hideMark/>
          </w:tcPr>
          <w:p>
            <w:pPr>
              <w:spacing w:before="40" w:after="40"/>
              <w:jc w:val="right"/>
              <w:rPr>
                <w:i/>
                <w:iCs/>
                <w:noProof/>
                <w:color w:val="000000"/>
                <w:sz w:val="20"/>
                <w:szCs w:val="20"/>
              </w:rPr>
            </w:pPr>
            <w:r>
              <w:rPr>
                <w:i/>
                <w:noProof/>
                <w:color w:val="000000"/>
                <w:sz w:val="20"/>
              </w:rPr>
              <w:t>3,7</w:t>
            </w:r>
          </w:p>
        </w:tc>
        <w:tc>
          <w:tcPr>
            <w:tcW w:w="1020" w:type="dxa"/>
            <w:tcBorders>
              <w:top w:val="nil"/>
              <w:left w:val="single" w:sz="2" w:space="0" w:color="auto"/>
              <w:bottom w:val="nil"/>
              <w:right w:val="single" w:sz="2" w:space="0" w:color="auto"/>
            </w:tcBorders>
            <w:shd w:val="clear" w:color="auto" w:fill="auto"/>
            <w:noWrap/>
            <w:vAlign w:val="center"/>
            <w:hideMark/>
          </w:tcPr>
          <w:p>
            <w:pPr>
              <w:spacing w:before="40" w:after="40"/>
              <w:jc w:val="right"/>
              <w:rPr>
                <w:i/>
                <w:iCs/>
                <w:noProof/>
                <w:color w:val="000000"/>
                <w:sz w:val="20"/>
                <w:szCs w:val="20"/>
              </w:rPr>
            </w:pPr>
            <w:r>
              <w:rPr>
                <w:i/>
                <w:noProof/>
                <w:color w:val="000000"/>
                <w:sz w:val="20"/>
              </w:rPr>
              <w:t>2,3</w:t>
            </w:r>
          </w:p>
        </w:tc>
        <w:tc>
          <w:tcPr>
            <w:tcW w:w="1020" w:type="dxa"/>
            <w:tcBorders>
              <w:top w:val="nil"/>
              <w:left w:val="single" w:sz="2" w:space="0" w:color="auto"/>
              <w:bottom w:val="nil"/>
              <w:right w:val="nil"/>
            </w:tcBorders>
            <w:shd w:val="clear" w:color="auto" w:fill="auto"/>
            <w:noWrap/>
            <w:vAlign w:val="center"/>
            <w:hideMark/>
          </w:tcPr>
          <w:p>
            <w:pPr>
              <w:spacing w:before="40" w:after="40"/>
              <w:jc w:val="right"/>
              <w:rPr>
                <w:i/>
                <w:iCs/>
                <w:noProof/>
                <w:color w:val="000000"/>
                <w:sz w:val="20"/>
                <w:szCs w:val="20"/>
              </w:rPr>
            </w:pPr>
            <w:r>
              <w:rPr>
                <w:i/>
                <w:noProof/>
                <w:color w:val="000000"/>
                <w:sz w:val="20"/>
              </w:rPr>
              <w:t>1,2</w:t>
            </w:r>
          </w:p>
        </w:tc>
        <w:tc>
          <w:tcPr>
            <w:tcW w:w="1020" w:type="dxa"/>
            <w:tcBorders>
              <w:top w:val="nil"/>
              <w:left w:val="single" w:sz="4" w:space="0" w:color="auto"/>
              <w:bottom w:val="nil"/>
              <w:right w:val="single" w:sz="4" w:space="0" w:color="auto"/>
            </w:tcBorders>
            <w:shd w:val="clear" w:color="auto" w:fill="auto"/>
            <w:noWrap/>
            <w:vAlign w:val="center"/>
            <w:hideMark/>
          </w:tcPr>
          <w:p>
            <w:pPr>
              <w:spacing w:before="40" w:after="40"/>
              <w:jc w:val="right"/>
              <w:rPr>
                <w:i/>
                <w:iCs/>
                <w:noProof/>
                <w:color w:val="000000"/>
                <w:sz w:val="20"/>
                <w:szCs w:val="20"/>
              </w:rPr>
            </w:pPr>
            <w:r>
              <w:rPr>
                <w:i/>
                <w:noProof/>
                <w:color w:val="000000"/>
                <w:sz w:val="20"/>
              </w:rPr>
              <w:t>0,5</w:t>
            </w:r>
          </w:p>
        </w:tc>
        <w:tc>
          <w:tcPr>
            <w:tcW w:w="1021" w:type="dxa"/>
            <w:tcBorders>
              <w:top w:val="nil"/>
              <w:left w:val="nil"/>
              <w:bottom w:val="nil"/>
              <w:right w:val="single" w:sz="8" w:space="0" w:color="auto"/>
            </w:tcBorders>
            <w:shd w:val="clear" w:color="auto" w:fill="auto"/>
            <w:noWrap/>
            <w:vAlign w:val="center"/>
            <w:hideMark/>
          </w:tcPr>
          <w:p>
            <w:pPr>
              <w:spacing w:before="40" w:after="40"/>
              <w:jc w:val="right"/>
              <w:rPr>
                <w:i/>
                <w:iCs/>
                <w:noProof/>
                <w:color w:val="000000"/>
                <w:sz w:val="20"/>
                <w:szCs w:val="20"/>
              </w:rPr>
            </w:pPr>
            <w:r>
              <w:rPr>
                <w:noProof/>
                <w:color w:val="000000"/>
                <w:sz w:val="20"/>
              </w:rPr>
              <w:t>0,3</w:t>
            </w:r>
          </w:p>
        </w:tc>
      </w:tr>
      <w:tr>
        <w:trPr>
          <w:trHeight w:val="227"/>
        </w:trPr>
        <w:tc>
          <w:tcPr>
            <w:tcW w:w="4479" w:type="dxa"/>
            <w:tcBorders>
              <w:top w:val="nil"/>
              <w:left w:val="single" w:sz="8" w:space="0" w:color="auto"/>
              <w:bottom w:val="nil"/>
              <w:right w:val="single" w:sz="4" w:space="0" w:color="auto"/>
            </w:tcBorders>
            <w:shd w:val="clear" w:color="auto" w:fill="auto"/>
            <w:noWrap/>
            <w:vAlign w:val="center"/>
            <w:hideMark/>
          </w:tcPr>
          <w:p>
            <w:pPr>
              <w:spacing w:before="40" w:after="40"/>
              <w:jc w:val="right"/>
              <w:rPr>
                <w:i/>
                <w:iCs/>
                <w:noProof/>
                <w:color w:val="000000"/>
                <w:sz w:val="20"/>
                <w:szCs w:val="20"/>
              </w:rPr>
            </w:pPr>
            <w:r>
              <w:rPr>
                <w:i/>
                <w:noProof/>
                <w:color w:val="000000"/>
                <w:sz w:val="20"/>
              </w:rPr>
              <w:t>4. Глобална Европа</w:t>
            </w:r>
          </w:p>
        </w:tc>
        <w:tc>
          <w:tcPr>
            <w:tcW w:w="1020" w:type="dxa"/>
            <w:tcBorders>
              <w:top w:val="nil"/>
              <w:left w:val="single" w:sz="4" w:space="0" w:color="auto"/>
              <w:bottom w:val="nil"/>
              <w:right w:val="single" w:sz="2" w:space="0" w:color="auto"/>
            </w:tcBorders>
            <w:shd w:val="clear" w:color="auto" w:fill="auto"/>
            <w:noWrap/>
            <w:vAlign w:val="center"/>
            <w:hideMark/>
          </w:tcPr>
          <w:p>
            <w:pPr>
              <w:spacing w:before="40" w:after="40"/>
              <w:jc w:val="right"/>
              <w:rPr>
                <w:i/>
                <w:iCs/>
                <w:noProof/>
                <w:color w:val="000000"/>
                <w:sz w:val="20"/>
                <w:szCs w:val="20"/>
              </w:rPr>
            </w:pPr>
            <w:r>
              <w:rPr>
                <w:i/>
                <w:noProof/>
                <w:color w:val="000000"/>
                <w:sz w:val="20"/>
              </w:rPr>
              <w:t>9,0</w:t>
            </w:r>
          </w:p>
        </w:tc>
        <w:tc>
          <w:tcPr>
            <w:tcW w:w="1020" w:type="dxa"/>
            <w:tcBorders>
              <w:top w:val="nil"/>
              <w:left w:val="single" w:sz="2" w:space="0" w:color="auto"/>
              <w:bottom w:val="nil"/>
              <w:right w:val="single" w:sz="2" w:space="0" w:color="auto"/>
            </w:tcBorders>
            <w:shd w:val="clear" w:color="auto" w:fill="auto"/>
            <w:noWrap/>
            <w:vAlign w:val="center"/>
            <w:hideMark/>
          </w:tcPr>
          <w:p>
            <w:pPr>
              <w:spacing w:before="40" w:after="40"/>
              <w:jc w:val="right"/>
              <w:rPr>
                <w:i/>
                <w:iCs/>
                <w:noProof/>
                <w:color w:val="000000"/>
                <w:sz w:val="20"/>
                <w:szCs w:val="20"/>
              </w:rPr>
            </w:pPr>
            <w:r>
              <w:rPr>
                <w:i/>
                <w:noProof/>
                <w:color w:val="000000"/>
                <w:sz w:val="20"/>
              </w:rPr>
              <w:t>7,6</w:t>
            </w:r>
          </w:p>
        </w:tc>
        <w:tc>
          <w:tcPr>
            <w:tcW w:w="1020" w:type="dxa"/>
            <w:tcBorders>
              <w:top w:val="nil"/>
              <w:left w:val="single" w:sz="2" w:space="0" w:color="auto"/>
              <w:bottom w:val="nil"/>
              <w:right w:val="nil"/>
            </w:tcBorders>
            <w:shd w:val="clear" w:color="auto" w:fill="auto"/>
            <w:noWrap/>
            <w:vAlign w:val="center"/>
            <w:hideMark/>
          </w:tcPr>
          <w:p>
            <w:pPr>
              <w:spacing w:before="40" w:after="40"/>
              <w:jc w:val="right"/>
              <w:rPr>
                <w:i/>
                <w:iCs/>
                <w:noProof/>
                <w:color w:val="000000"/>
                <w:sz w:val="20"/>
                <w:szCs w:val="20"/>
              </w:rPr>
            </w:pPr>
            <w:r>
              <w:rPr>
                <w:i/>
                <w:noProof/>
                <w:color w:val="000000"/>
                <w:sz w:val="20"/>
              </w:rPr>
              <w:t>6,8</w:t>
            </w:r>
          </w:p>
        </w:tc>
        <w:tc>
          <w:tcPr>
            <w:tcW w:w="1020" w:type="dxa"/>
            <w:tcBorders>
              <w:top w:val="nil"/>
              <w:left w:val="single" w:sz="4" w:space="0" w:color="auto"/>
              <w:bottom w:val="nil"/>
              <w:right w:val="single" w:sz="4" w:space="0" w:color="auto"/>
            </w:tcBorders>
            <w:shd w:val="clear" w:color="auto" w:fill="auto"/>
            <w:noWrap/>
            <w:vAlign w:val="center"/>
            <w:hideMark/>
          </w:tcPr>
          <w:p>
            <w:pPr>
              <w:spacing w:before="40" w:after="40"/>
              <w:jc w:val="right"/>
              <w:rPr>
                <w:i/>
                <w:iCs/>
                <w:noProof/>
                <w:color w:val="000000"/>
                <w:sz w:val="20"/>
                <w:szCs w:val="20"/>
              </w:rPr>
            </w:pPr>
            <w:r>
              <w:rPr>
                <w:i/>
                <w:noProof/>
                <w:color w:val="000000"/>
                <w:sz w:val="20"/>
              </w:rPr>
              <w:t>6,0</w:t>
            </w:r>
          </w:p>
        </w:tc>
        <w:tc>
          <w:tcPr>
            <w:tcW w:w="1021" w:type="dxa"/>
            <w:tcBorders>
              <w:top w:val="nil"/>
              <w:left w:val="nil"/>
              <w:bottom w:val="nil"/>
              <w:right w:val="single" w:sz="8" w:space="0" w:color="auto"/>
            </w:tcBorders>
            <w:shd w:val="clear" w:color="auto" w:fill="auto"/>
            <w:noWrap/>
            <w:vAlign w:val="center"/>
            <w:hideMark/>
          </w:tcPr>
          <w:p>
            <w:pPr>
              <w:spacing w:before="40" w:after="40"/>
              <w:jc w:val="right"/>
              <w:rPr>
                <w:i/>
                <w:iCs/>
                <w:noProof/>
                <w:color w:val="000000"/>
                <w:sz w:val="20"/>
                <w:szCs w:val="20"/>
              </w:rPr>
            </w:pPr>
            <w:r>
              <w:rPr>
                <w:noProof/>
                <w:color w:val="000000"/>
                <w:sz w:val="20"/>
              </w:rPr>
              <w:t>5,0</w:t>
            </w:r>
          </w:p>
        </w:tc>
      </w:tr>
      <w:tr>
        <w:trPr>
          <w:trHeight w:val="227"/>
        </w:trPr>
        <w:tc>
          <w:tcPr>
            <w:tcW w:w="4479" w:type="dxa"/>
            <w:tcBorders>
              <w:top w:val="nil"/>
              <w:left w:val="single" w:sz="8" w:space="0" w:color="auto"/>
              <w:bottom w:val="single" w:sz="8" w:space="0" w:color="auto"/>
              <w:right w:val="single" w:sz="4" w:space="0" w:color="auto"/>
            </w:tcBorders>
            <w:shd w:val="clear" w:color="auto" w:fill="auto"/>
            <w:noWrap/>
            <w:vAlign w:val="center"/>
            <w:hideMark/>
          </w:tcPr>
          <w:p>
            <w:pPr>
              <w:spacing w:before="40" w:after="40"/>
              <w:jc w:val="right"/>
              <w:rPr>
                <w:i/>
                <w:iCs/>
                <w:noProof/>
                <w:color w:val="000000"/>
                <w:sz w:val="20"/>
                <w:szCs w:val="20"/>
              </w:rPr>
            </w:pPr>
            <w:r>
              <w:rPr>
                <w:i/>
                <w:noProof/>
                <w:color w:val="000000"/>
                <w:sz w:val="20"/>
              </w:rPr>
              <w:t xml:space="preserve">5. Администрация </w:t>
            </w:r>
          </w:p>
        </w:tc>
        <w:tc>
          <w:tcPr>
            <w:tcW w:w="1020" w:type="dxa"/>
            <w:tcBorders>
              <w:top w:val="nil"/>
              <w:left w:val="single" w:sz="4" w:space="0" w:color="auto"/>
              <w:bottom w:val="single" w:sz="8" w:space="0" w:color="auto"/>
              <w:right w:val="single" w:sz="2" w:space="0" w:color="auto"/>
            </w:tcBorders>
            <w:shd w:val="clear" w:color="auto" w:fill="auto"/>
            <w:noWrap/>
            <w:vAlign w:val="center"/>
            <w:hideMark/>
          </w:tcPr>
          <w:p>
            <w:pPr>
              <w:spacing w:before="40" w:after="40"/>
              <w:jc w:val="right"/>
              <w:rPr>
                <w:i/>
                <w:iCs/>
                <w:noProof/>
                <w:color w:val="000000"/>
                <w:sz w:val="20"/>
                <w:szCs w:val="20"/>
              </w:rPr>
            </w:pPr>
            <w:r>
              <w:rPr>
                <w:i/>
                <w:noProof/>
                <w:color w:val="000000"/>
                <w:sz w:val="20"/>
              </w:rPr>
              <w:t>10,3</w:t>
            </w:r>
          </w:p>
        </w:tc>
        <w:tc>
          <w:tcPr>
            <w:tcW w:w="1020" w:type="dxa"/>
            <w:tcBorders>
              <w:top w:val="nil"/>
              <w:left w:val="single" w:sz="2" w:space="0" w:color="auto"/>
              <w:bottom w:val="single" w:sz="8" w:space="0" w:color="auto"/>
              <w:right w:val="single" w:sz="2" w:space="0" w:color="auto"/>
            </w:tcBorders>
            <w:shd w:val="clear" w:color="auto" w:fill="auto"/>
            <w:noWrap/>
            <w:vAlign w:val="center"/>
            <w:hideMark/>
          </w:tcPr>
          <w:p>
            <w:pPr>
              <w:spacing w:before="40" w:after="40"/>
              <w:jc w:val="right"/>
              <w:rPr>
                <w:i/>
                <w:iCs/>
                <w:noProof/>
                <w:color w:val="000000"/>
                <w:sz w:val="20"/>
                <w:szCs w:val="20"/>
              </w:rPr>
            </w:pPr>
            <w:r>
              <w:rPr>
                <w:i/>
                <w:noProof/>
                <w:color w:val="000000"/>
                <w:sz w:val="20"/>
              </w:rPr>
              <w:t>0,0</w:t>
            </w:r>
          </w:p>
        </w:tc>
        <w:tc>
          <w:tcPr>
            <w:tcW w:w="1020" w:type="dxa"/>
            <w:tcBorders>
              <w:top w:val="nil"/>
              <w:left w:val="single" w:sz="2" w:space="0" w:color="auto"/>
              <w:bottom w:val="single" w:sz="8" w:space="0" w:color="auto"/>
              <w:right w:val="nil"/>
            </w:tcBorders>
            <w:shd w:val="clear" w:color="auto" w:fill="auto"/>
            <w:noWrap/>
            <w:vAlign w:val="center"/>
            <w:hideMark/>
          </w:tcPr>
          <w:p>
            <w:pPr>
              <w:spacing w:before="40" w:after="40"/>
              <w:jc w:val="right"/>
              <w:rPr>
                <w:i/>
                <w:iCs/>
                <w:noProof/>
                <w:color w:val="000000"/>
                <w:sz w:val="20"/>
                <w:szCs w:val="20"/>
              </w:rPr>
            </w:pPr>
            <w:r>
              <w:rPr>
                <w:i/>
                <w:noProof/>
                <w:color w:val="000000"/>
                <w:sz w:val="20"/>
              </w:rPr>
              <w:t>0,0</w:t>
            </w:r>
          </w:p>
        </w:tc>
        <w:tc>
          <w:tcPr>
            <w:tcW w:w="1020" w:type="dxa"/>
            <w:tcBorders>
              <w:top w:val="nil"/>
              <w:left w:val="single" w:sz="4" w:space="0" w:color="auto"/>
              <w:bottom w:val="single" w:sz="8" w:space="0" w:color="auto"/>
              <w:right w:val="single" w:sz="4" w:space="0" w:color="auto"/>
            </w:tcBorders>
            <w:shd w:val="clear" w:color="auto" w:fill="auto"/>
            <w:noWrap/>
            <w:vAlign w:val="center"/>
            <w:hideMark/>
          </w:tcPr>
          <w:p>
            <w:pPr>
              <w:spacing w:before="40" w:after="40"/>
              <w:jc w:val="right"/>
              <w:rPr>
                <w:i/>
                <w:iCs/>
                <w:noProof/>
                <w:color w:val="000000"/>
                <w:sz w:val="20"/>
                <w:szCs w:val="20"/>
              </w:rPr>
            </w:pPr>
            <w:r>
              <w:rPr>
                <w:i/>
                <w:noProof/>
                <w:color w:val="000000"/>
                <w:sz w:val="20"/>
              </w:rPr>
              <w:t>0,0</w:t>
            </w:r>
          </w:p>
        </w:tc>
        <w:tc>
          <w:tcPr>
            <w:tcW w:w="1021" w:type="dxa"/>
            <w:tcBorders>
              <w:top w:val="nil"/>
              <w:left w:val="nil"/>
              <w:bottom w:val="single" w:sz="8" w:space="0" w:color="auto"/>
              <w:right w:val="single" w:sz="8" w:space="0" w:color="auto"/>
            </w:tcBorders>
            <w:shd w:val="clear" w:color="auto" w:fill="auto"/>
            <w:noWrap/>
            <w:vAlign w:val="center"/>
            <w:hideMark/>
          </w:tcPr>
          <w:p>
            <w:pPr>
              <w:spacing w:before="40" w:after="40"/>
              <w:jc w:val="right"/>
              <w:rPr>
                <w:i/>
                <w:iCs/>
                <w:noProof/>
                <w:color w:val="000000"/>
                <w:sz w:val="20"/>
                <w:szCs w:val="20"/>
              </w:rPr>
            </w:pPr>
            <w:r>
              <w:rPr>
                <w:noProof/>
                <w:color w:val="000000"/>
                <w:sz w:val="20"/>
              </w:rPr>
              <w:t>0,0</w:t>
            </w:r>
          </w:p>
        </w:tc>
      </w:tr>
      <w:tr>
        <w:trPr>
          <w:trHeight w:val="227"/>
        </w:trPr>
        <w:tc>
          <w:tcPr>
            <w:tcW w:w="4479" w:type="dxa"/>
            <w:tcBorders>
              <w:top w:val="nil"/>
              <w:left w:val="single" w:sz="8" w:space="0" w:color="auto"/>
              <w:bottom w:val="single" w:sz="4" w:space="0" w:color="auto"/>
              <w:right w:val="single" w:sz="4" w:space="0" w:color="auto"/>
            </w:tcBorders>
            <w:noWrap/>
            <w:vAlign w:val="center"/>
            <w:hideMark/>
          </w:tcPr>
          <w:p>
            <w:pPr>
              <w:spacing w:before="40" w:after="40"/>
              <w:rPr>
                <w:noProof/>
                <w:color w:val="000000"/>
                <w:sz w:val="20"/>
                <w:szCs w:val="20"/>
              </w:rPr>
            </w:pPr>
            <w:r>
              <w:rPr>
                <w:noProof/>
                <w:color w:val="000000"/>
                <w:sz w:val="20"/>
              </w:rPr>
              <w:t>от които плащания по задължения, поети през периода 2021—2024 г.*</w:t>
            </w:r>
          </w:p>
        </w:tc>
        <w:tc>
          <w:tcPr>
            <w:tcW w:w="1020" w:type="dxa"/>
            <w:tcBorders>
              <w:top w:val="nil"/>
              <w:left w:val="single" w:sz="4" w:space="0" w:color="auto"/>
              <w:bottom w:val="single" w:sz="4" w:space="0" w:color="auto"/>
              <w:right w:val="single" w:sz="2" w:space="0" w:color="auto"/>
            </w:tcBorders>
            <w:noWrap/>
            <w:vAlign w:val="center"/>
            <w:hideMark/>
          </w:tcPr>
          <w:p>
            <w:pPr>
              <w:spacing w:before="40" w:after="40"/>
              <w:rPr>
                <w:noProof/>
                <w:color w:val="000000"/>
                <w:sz w:val="20"/>
                <w:szCs w:val="20"/>
              </w:rPr>
            </w:pPr>
            <w:r>
              <w:rPr>
                <w:noProof/>
                <w:color w:val="000000"/>
                <w:sz w:val="20"/>
              </w:rPr>
              <w:t> </w:t>
            </w:r>
          </w:p>
        </w:tc>
        <w:tc>
          <w:tcPr>
            <w:tcW w:w="1020" w:type="dxa"/>
            <w:tcBorders>
              <w:top w:val="single" w:sz="8" w:space="0" w:color="auto"/>
              <w:left w:val="single" w:sz="2" w:space="0" w:color="auto"/>
              <w:bottom w:val="single" w:sz="4" w:space="0" w:color="auto"/>
              <w:right w:val="single" w:sz="2" w:space="0" w:color="auto"/>
            </w:tcBorders>
            <w:shd w:val="clear" w:color="000000" w:fill="auto"/>
            <w:noWrap/>
            <w:vAlign w:val="center"/>
            <w:hideMark/>
          </w:tcPr>
          <w:p>
            <w:pPr>
              <w:spacing w:before="40" w:after="40"/>
              <w:jc w:val="right"/>
              <w:rPr>
                <w:noProof/>
                <w:sz w:val="20"/>
                <w:szCs w:val="20"/>
              </w:rPr>
            </w:pPr>
            <w:r>
              <w:rPr>
                <w:noProof/>
                <w:color w:val="000000"/>
                <w:sz w:val="20"/>
              </w:rPr>
              <w:t>71,3</w:t>
            </w:r>
          </w:p>
        </w:tc>
        <w:tc>
          <w:tcPr>
            <w:tcW w:w="1020" w:type="dxa"/>
            <w:tcBorders>
              <w:top w:val="nil"/>
              <w:left w:val="single" w:sz="2" w:space="0" w:color="auto"/>
              <w:bottom w:val="single" w:sz="4" w:space="0" w:color="auto"/>
              <w:right w:val="single" w:sz="4" w:space="0" w:color="auto"/>
            </w:tcBorders>
            <w:shd w:val="clear" w:color="auto" w:fill="auto"/>
            <w:noWrap/>
            <w:vAlign w:val="center"/>
            <w:hideMark/>
          </w:tcPr>
          <w:p>
            <w:pPr>
              <w:spacing w:before="40" w:after="40"/>
              <w:jc w:val="right"/>
              <w:rPr>
                <w:noProof/>
                <w:color w:val="000000"/>
                <w:sz w:val="20"/>
                <w:szCs w:val="20"/>
              </w:rPr>
            </w:pPr>
            <w:r>
              <w:rPr>
                <w:noProof/>
                <w:color w:val="000000"/>
                <w:sz w:val="20"/>
              </w:rPr>
              <w:t>87,3</w:t>
            </w:r>
          </w:p>
        </w:tc>
        <w:tc>
          <w:tcPr>
            <w:tcW w:w="1020" w:type="dxa"/>
            <w:tcBorders>
              <w:top w:val="nil"/>
              <w:left w:val="nil"/>
              <w:bottom w:val="single" w:sz="4" w:space="0" w:color="auto"/>
              <w:right w:val="single" w:sz="4" w:space="0" w:color="auto"/>
            </w:tcBorders>
            <w:shd w:val="clear" w:color="auto" w:fill="auto"/>
            <w:noWrap/>
            <w:vAlign w:val="center"/>
            <w:hideMark/>
          </w:tcPr>
          <w:p>
            <w:pPr>
              <w:spacing w:before="40" w:after="40"/>
              <w:jc w:val="right"/>
              <w:rPr>
                <w:noProof/>
                <w:color w:val="000000"/>
                <w:sz w:val="20"/>
                <w:szCs w:val="20"/>
              </w:rPr>
            </w:pPr>
            <w:r>
              <w:rPr>
                <w:noProof/>
                <w:color w:val="000000"/>
                <w:sz w:val="20"/>
              </w:rPr>
              <w:t>121,4</w:t>
            </w:r>
          </w:p>
        </w:tc>
        <w:tc>
          <w:tcPr>
            <w:tcW w:w="1021" w:type="dxa"/>
            <w:tcBorders>
              <w:top w:val="nil"/>
              <w:left w:val="nil"/>
              <w:bottom w:val="single" w:sz="4" w:space="0" w:color="auto"/>
              <w:right w:val="single" w:sz="8" w:space="0" w:color="auto"/>
            </w:tcBorders>
            <w:shd w:val="clear" w:color="auto" w:fill="auto"/>
            <w:noWrap/>
            <w:vAlign w:val="center"/>
            <w:hideMark/>
          </w:tcPr>
          <w:p>
            <w:pPr>
              <w:spacing w:before="40" w:after="40"/>
              <w:jc w:val="right"/>
              <w:rPr>
                <w:noProof/>
                <w:color w:val="000000"/>
                <w:sz w:val="20"/>
                <w:szCs w:val="20"/>
              </w:rPr>
            </w:pPr>
            <w:r>
              <w:rPr>
                <w:noProof/>
                <w:sz w:val="20"/>
              </w:rPr>
              <w:t>142,4</w:t>
            </w:r>
          </w:p>
        </w:tc>
      </w:tr>
      <w:tr>
        <w:trPr>
          <w:trHeight w:val="227"/>
        </w:trPr>
        <w:tc>
          <w:tcPr>
            <w:tcW w:w="4479" w:type="dxa"/>
            <w:tcBorders>
              <w:top w:val="nil"/>
              <w:left w:val="single" w:sz="8" w:space="0" w:color="auto"/>
              <w:bottom w:val="nil"/>
              <w:right w:val="single" w:sz="4" w:space="0" w:color="auto"/>
            </w:tcBorders>
            <w:noWrap/>
            <w:vAlign w:val="center"/>
            <w:hideMark/>
          </w:tcPr>
          <w:p>
            <w:pPr>
              <w:spacing w:before="40" w:after="40"/>
              <w:jc w:val="right"/>
              <w:rPr>
                <w:i/>
                <w:iCs/>
                <w:noProof/>
                <w:color w:val="000000"/>
                <w:sz w:val="20"/>
                <w:szCs w:val="20"/>
              </w:rPr>
            </w:pPr>
            <w:r>
              <w:rPr>
                <w:i/>
                <w:noProof/>
                <w:color w:val="000000"/>
                <w:sz w:val="20"/>
              </w:rPr>
              <w:t>1. Единен пазар, иновации и цифрова икономика</w:t>
            </w:r>
          </w:p>
        </w:tc>
        <w:tc>
          <w:tcPr>
            <w:tcW w:w="1020" w:type="dxa"/>
            <w:tcBorders>
              <w:top w:val="nil"/>
              <w:left w:val="single" w:sz="4" w:space="0" w:color="auto"/>
              <w:bottom w:val="nil"/>
              <w:right w:val="single" w:sz="2" w:space="0" w:color="auto"/>
            </w:tcBorders>
            <w:noWrap/>
            <w:vAlign w:val="center"/>
            <w:hideMark/>
          </w:tcPr>
          <w:p>
            <w:pPr>
              <w:spacing w:before="40" w:after="40"/>
              <w:rPr>
                <w:noProof/>
                <w:color w:val="000000"/>
                <w:sz w:val="20"/>
                <w:szCs w:val="20"/>
              </w:rPr>
            </w:pPr>
            <w:r>
              <w:rPr>
                <w:noProof/>
                <w:color w:val="000000"/>
                <w:sz w:val="20"/>
              </w:rPr>
              <w:t> </w:t>
            </w:r>
          </w:p>
        </w:tc>
        <w:tc>
          <w:tcPr>
            <w:tcW w:w="1020" w:type="dxa"/>
            <w:tcBorders>
              <w:top w:val="nil"/>
              <w:left w:val="single" w:sz="2" w:space="0" w:color="auto"/>
              <w:bottom w:val="nil"/>
              <w:right w:val="single" w:sz="2" w:space="0" w:color="auto"/>
            </w:tcBorders>
            <w:shd w:val="clear" w:color="000000" w:fill="auto"/>
            <w:noWrap/>
            <w:vAlign w:val="center"/>
            <w:hideMark/>
          </w:tcPr>
          <w:p>
            <w:pPr>
              <w:spacing w:before="40" w:after="40"/>
              <w:jc w:val="right"/>
              <w:rPr>
                <w:noProof/>
                <w:sz w:val="20"/>
                <w:szCs w:val="20"/>
              </w:rPr>
            </w:pPr>
            <w:r>
              <w:rPr>
                <w:i/>
                <w:noProof/>
                <w:color w:val="000000"/>
                <w:sz w:val="20"/>
              </w:rPr>
              <w:t>7,9</w:t>
            </w:r>
          </w:p>
        </w:tc>
        <w:tc>
          <w:tcPr>
            <w:tcW w:w="1020" w:type="dxa"/>
            <w:tcBorders>
              <w:top w:val="nil"/>
              <w:left w:val="single" w:sz="2" w:space="0" w:color="auto"/>
              <w:bottom w:val="nil"/>
              <w:right w:val="single" w:sz="4" w:space="0" w:color="auto"/>
            </w:tcBorders>
            <w:shd w:val="clear" w:color="auto" w:fill="auto"/>
            <w:noWrap/>
            <w:vAlign w:val="center"/>
            <w:hideMark/>
          </w:tcPr>
          <w:p>
            <w:pPr>
              <w:spacing w:before="40" w:after="40"/>
              <w:jc w:val="right"/>
              <w:rPr>
                <w:i/>
                <w:iCs/>
                <w:noProof/>
                <w:color w:val="000000"/>
                <w:sz w:val="20"/>
                <w:szCs w:val="20"/>
              </w:rPr>
            </w:pPr>
            <w:r>
              <w:rPr>
                <w:i/>
                <w:noProof/>
                <w:color w:val="000000"/>
                <w:sz w:val="20"/>
              </w:rPr>
              <w:t>14,3</w:t>
            </w:r>
          </w:p>
        </w:tc>
        <w:tc>
          <w:tcPr>
            <w:tcW w:w="1020" w:type="dxa"/>
            <w:tcBorders>
              <w:top w:val="nil"/>
              <w:left w:val="nil"/>
              <w:bottom w:val="nil"/>
              <w:right w:val="single" w:sz="4" w:space="0" w:color="auto"/>
            </w:tcBorders>
            <w:shd w:val="clear" w:color="auto" w:fill="auto"/>
            <w:noWrap/>
            <w:vAlign w:val="center"/>
            <w:hideMark/>
          </w:tcPr>
          <w:p>
            <w:pPr>
              <w:spacing w:before="40" w:after="40"/>
              <w:jc w:val="right"/>
              <w:rPr>
                <w:i/>
                <w:iCs/>
                <w:noProof/>
                <w:color w:val="000000"/>
                <w:sz w:val="20"/>
                <w:szCs w:val="20"/>
              </w:rPr>
            </w:pPr>
            <w:r>
              <w:rPr>
                <w:i/>
                <w:noProof/>
                <w:color w:val="000000"/>
                <w:sz w:val="20"/>
              </w:rPr>
              <w:t>17,2</w:t>
            </w:r>
          </w:p>
        </w:tc>
        <w:tc>
          <w:tcPr>
            <w:tcW w:w="1021" w:type="dxa"/>
            <w:tcBorders>
              <w:top w:val="nil"/>
              <w:left w:val="nil"/>
              <w:bottom w:val="nil"/>
              <w:right w:val="single" w:sz="8" w:space="0" w:color="auto"/>
            </w:tcBorders>
            <w:shd w:val="clear" w:color="auto" w:fill="auto"/>
            <w:noWrap/>
            <w:vAlign w:val="center"/>
            <w:hideMark/>
          </w:tcPr>
          <w:p>
            <w:pPr>
              <w:spacing w:before="40" w:after="40"/>
              <w:jc w:val="right"/>
              <w:rPr>
                <w:i/>
                <w:iCs/>
                <w:noProof/>
                <w:color w:val="000000"/>
                <w:sz w:val="20"/>
                <w:szCs w:val="20"/>
              </w:rPr>
            </w:pPr>
            <w:r>
              <w:rPr>
                <w:noProof/>
                <w:color w:val="000000"/>
                <w:sz w:val="20"/>
              </w:rPr>
              <w:t>21,7</w:t>
            </w:r>
          </w:p>
        </w:tc>
      </w:tr>
      <w:tr>
        <w:trPr>
          <w:trHeight w:val="227"/>
        </w:trPr>
        <w:tc>
          <w:tcPr>
            <w:tcW w:w="4479" w:type="dxa"/>
            <w:tcBorders>
              <w:top w:val="nil"/>
              <w:left w:val="single" w:sz="8" w:space="0" w:color="auto"/>
              <w:bottom w:val="nil"/>
              <w:right w:val="single" w:sz="4" w:space="0" w:color="auto"/>
            </w:tcBorders>
            <w:noWrap/>
            <w:vAlign w:val="center"/>
            <w:hideMark/>
          </w:tcPr>
          <w:p>
            <w:pPr>
              <w:spacing w:before="40" w:after="40"/>
              <w:jc w:val="right"/>
              <w:rPr>
                <w:i/>
                <w:iCs/>
                <w:noProof/>
                <w:color w:val="000000"/>
                <w:sz w:val="20"/>
                <w:szCs w:val="20"/>
              </w:rPr>
            </w:pPr>
            <w:r>
              <w:rPr>
                <w:i/>
                <w:noProof/>
                <w:color w:val="000000"/>
                <w:sz w:val="20"/>
              </w:rPr>
              <w:t xml:space="preserve">2. Сближаване и ценности </w:t>
            </w:r>
          </w:p>
        </w:tc>
        <w:tc>
          <w:tcPr>
            <w:tcW w:w="1020" w:type="dxa"/>
            <w:tcBorders>
              <w:top w:val="nil"/>
              <w:left w:val="single" w:sz="4" w:space="0" w:color="auto"/>
              <w:bottom w:val="nil"/>
              <w:right w:val="single" w:sz="2" w:space="0" w:color="auto"/>
            </w:tcBorders>
            <w:noWrap/>
            <w:vAlign w:val="center"/>
            <w:hideMark/>
          </w:tcPr>
          <w:p>
            <w:pPr>
              <w:spacing w:before="40" w:after="40"/>
              <w:rPr>
                <w:noProof/>
                <w:color w:val="000000"/>
                <w:sz w:val="20"/>
                <w:szCs w:val="20"/>
              </w:rPr>
            </w:pPr>
            <w:r>
              <w:rPr>
                <w:noProof/>
                <w:color w:val="000000"/>
                <w:sz w:val="20"/>
              </w:rPr>
              <w:t> </w:t>
            </w:r>
          </w:p>
        </w:tc>
        <w:tc>
          <w:tcPr>
            <w:tcW w:w="1020" w:type="dxa"/>
            <w:tcBorders>
              <w:top w:val="nil"/>
              <w:left w:val="single" w:sz="2" w:space="0" w:color="auto"/>
              <w:bottom w:val="nil"/>
              <w:right w:val="single" w:sz="2" w:space="0" w:color="auto"/>
            </w:tcBorders>
            <w:shd w:val="clear" w:color="000000" w:fill="auto"/>
            <w:noWrap/>
            <w:vAlign w:val="center"/>
            <w:hideMark/>
          </w:tcPr>
          <w:p>
            <w:pPr>
              <w:spacing w:before="40" w:after="40"/>
              <w:jc w:val="right"/>
              <w:rPr>
                <w:noProof/>
                <w:sz w:val="20"/>
                <w:szCs w:val="20"/>
              </w:rPr>
            </w:pPr>
            <w:r>
              <w:rPr>
                <w:i/>
                <w:noProof/>
                <w:color w:val="000000"/>
                <w:sz w:val="20"/>
              </w:rPr>
              <w:t>5,3</w:t>
            </w:r>
          </w:p>
        </w:tc>
        <w:tc>
          <w:tcPr>
            <w:tcW w:w="1020" w:type="dxa"/>
            <w:tcBorders>
              <w:top w:val="nil"/>
              <w:left w:val="single" w:sz="2" w:space="0" w:color="auto"/>
              <w:bottom w:val="nil"/>
              <w:right w:val="single" w:sz="4" w:space="0" w:color="auto"/>
            </w:tcBorders>
            <w:shd w:val="clear" w:color="auto" w:fill="auto"/>
            <w:noWrap/>
            <w:vAlign w:val="center"/>
            <w:hideMark/>
          </w:tcPr>
          <w:p>
            <w:pPr>
              <w:spacing w:before="40" w:after="40"/>
              <w:jc w:val="right"/>
              <w:rPr>
                <w:i/>
                <w:iCs/>
                <w:noProof/>
                <w:color w:val="000000"/>
                <w:sz w:val="20"/>
                <w:szCs w:val="20"/>
              </w:rPr>
            </w:pPr>
            <w:r>
              <w:rPr>
                <w:i/>
                <w:noProof/>
                <w:color w:val="000000"/>
                <w:sz w:val="20"/>
              </w:rPr>
              <w:t>6,9</w:t>
            </w:r>
          </w:p>
        </w:tc>
        <w:tc>
          <w:tcPr>
            <w:tcW w:w="1020" w:type="dxa"/>
            <w:tcBorders>
              <w:top w:val="nil"/>
              <w:left w:val="nil"/>
              <w:bottom w:val="nil"/>
              <w:right w:val="single" w:sz="4" w:space="0" w:color="auto"/>
            </w:tcBorders>
            <w:shd w:val="clear" w:color="auto" w:fill="auto"/>
            <w:noWrap/>
            <w:vAlign w:val="center"/>
            <w:hideMark/>
          </w:tcPr>
          <w:p>
            <w:pPr>
              <w:spacing w:before="40" w:after="40"/>
              <w:jc w:val="right"/>
              <w:rPr>
                <w:i/>
                <w:iCs/>
                <w:noProof/>
                <w:color w:val="000000"/>
                <w:sz w:val="20"/>
                <w:szCs w:val="20"/>
              </w:rPr>
            </w:pPr>
            <w:r>
              <w:rPr>
                <w:i/>
                <w:noProof/>
                <w:color w:val="000000"/>
                <w:sz w:val="20"/>
              </w:rPr>
              <w:t>31,1</w:t>
            </w:r>
          </w:p>
        </w:tc>
        <w:tc>
          <w:tcPr>
            <w:tcW w:w="1021" w:type="dxa"/>
            <w:tcBorders>
              <w:top w:val="nil"/>
              <w:left w:val="nil"/>
              <w:bottom w:val="nil"/>
              <w:right w:val="single" w:sz="8" w:space="0" w:color="auto"/>
            </w:tcBorders>
            <w:shd w:val="clear" w:color="auto" w:fill="auto"/>
            <w:noWrap/>
            <w:vAlign w:val="center"/>
            <w:hideMark/>
          </w:tcPr>
          <w:p>
            <w:pPr>
              <w:spacing w:before="40" w:after="40"/>
              <w:jc w:val="right"/>
              <w:rPr>
                <w:i/>
                <w:iCs/>
                <w:noProof/>
                <w:color w:val="000000"/>
                <w:sz w:val="20"/>
                <w:szCs w:val="20"/>
              </w:rPr>
            </w:pPr>
            <w:r>
              <w:rPr>
                <w:noProof/>
                <w:color w:val="000000"/>
                <w:sz w:val="20"/>
              </w:rPr>
              <w:t>39,6</w:t>
            </w:r>
          </w:p>
        </w:tc>
      </w:tr>
      <w:tr>
        <w:trPr>
          <w:trHeight w:val="227"/>
        </w:trPr>
        <w:tc>
          <w:tcPr>
            <w:tcW w:w="4479" w:type="dxa"/>
            <w:tcBorders>
              <w:top w:val="nil"/>
              <w:left w:val="single" w:sz="8" w:space="0" w:color="auto"/>
              <w:bottom w:val="nil"/>
              <w:right w:val="single" w:sz="4" w:space="0" w:color="auto"/>
            </w:tcBorders>
            <w:noWrap/>
            <w:vAlign w:val="center"/>
            <w:hideMark/>
          </w:tcPr>
          <w:p>
            <w:pPr>
              <w:spacing w:before="40" w:after="40"/>
              <w:jc w:val="right"/>
              <w:rPr>
                <w:i/>
                <w:iCs/>
                <w:noProof/>
                <w:color w:val="000000"/>
                <w:sz w:val="20"/>
                <w:szCs w:val="20"/>
              </w:rPr>
            </w:pPr>
            <w:r>
              <w:rPr>
                <w:i/>
                <w:noProof/>
                <w:color w:val="000000"/>
                <w:sz w:val="20"/>
              </w:rPr>
              <w:t>3. Природни ресурси и околна среда</w:t>
            </w:r>
          </w:p>
        </w:tc>
        <w:tc>
          <w:tcPr>
            <w:tcW w:w="1020" w:type="dxa"/>
            <w:tcBorders>
              <w:top w:val="nil"/>
              <w:left w:val="single" w:sz="4" w:space="0" w:color="auto"/>
              <w:bottom w:val="nil"/>
              <w:right w:val="single" w:sz="2" w:space="0" w:color="auto"/>
            </w:tcBorders>
            <w:noWrap/>
            <w:vAlign w:val="center"/>
            <w:hideMark/>
          </w:tcPr>
          <w:p>
            <w:pPr>
              <w:spacing w:before="40" w:after="40"/>
              <w:rPr>
                <w:noProof/>
                <w:color w:val="000000"/>
                <w:sz w:val="20"/>
                <w:szCs w:val="20"/>
              </w:rPr>
            </w:pPr>
            <w:r>
              <w:rPr>
                <w:noProof/>
                <w:color w:val="000000"/>
                <w:sz w:val="20"/>
              </w:rPr>
              <w:t> </w:t>
            </w:r>
          </w:p>
        </w:tc>
        <w:tc>
          <w:tcPr>
            <w:tcW w:w="1020" w:type="dxa"/>
            <w:tcBorders>
              <w:top w:val="nil"/>
              <w:left w:val="single" w:sz="2" w:space="0" w:color="auto"/>
              <w:bottom w:val="nil"/>
              <w:right w:val="single" w:sz="2" w:space="0" w:color="auto"/>
            </w:tcBorders>
            <w:shd w:val="clear" w:color="000000" w:fill="auto"/>
            <w:noWrap/>
            <w:vAlign w:val="center"/>
            <w:hideMark/>
          </w:tcPr>
          <w:p>
            <w:pPr>
              <w:spacing w:before="40" w:after="40"/>
              <w:jc w:val="right"/>
              <w:rPr>
                <w:noProof/>
                <w:sz w:val="20"/>
                <w:szCs w:val="20"/>
              </w:rPr>
            </w:pPr>
            <w:r>
              <w:rPr>
                <w:i/>
                <w:noProof/>
                <w:color w:val="000000"/>
                <w:sz w:val="20"/>
              </w:rPr>
              <w:t>41,3</w:t>
            </w:r>
          </w:p>
        </w:tc>
        <w:tc>
          <w:tcPr>
            <w:tcW w:w="1020" w:type="dxa"/>
            <w:tcBorders>
              <w:top w:val="nil"/>
              <w:left w:val="single" w:sz="2" w:space="0" w:color="auto"/>
              <w:bottom w:val="nil"/>
              <w:right w:val="single" w:sz="4" w:space="0" w:color="auto"/>
            </w:tcBorders>
            <w:shd w:val="clear" w:color="auto" w:fill="auto"/>
            <w:noWrap/>
            <w:vAlign w:val="center"/>
            <w:hideMark/>
          </w:tcPr>
          <w:p>
            <w:pPr>
              <w:spacing w:before="40" w:after="40"/>
              <w:jc w:val="right"/>
              <w:rPr>
                <w:i/>
                <w:iCs/>
                <w:noProof/>
                <w:color w:val="000000"/>
                <w:sz w:val="20"/>
                <w:szCs w:val="20"/>
              </w:rPr>
            </w:pPr>
            <w:r>
              <w:rPr>
                <w:i/>
                <w:noProof/>
                <w:color w:val="000000"/>
                <w:sz w:val="20"/>
              </w:rPr>
              <w:t>44,8</w:t>
            </w:r>
          </w:p>
        </w:tc>
        <w:tc>
          <w:tcPr>
            <w:tcW w:w="1020" w:type="dxa"/>
            <w:tcBorders>
              <w:top w:val="nil"/>
              <w:left w:val="nil"/>
              <w:bottom w:val="nil"/>
              <w:right w:val="single" w:sz="4" w:space="0" w:color="auto"/>
            </w:tcBorders>
            <w:shd w:val="clear" w:color="auto" w:fill="auto"/>
            <w:noWrap/>
            <w:vAlign w:val="center"/>
            <w:hideMark/>
          </w:tcPr>
          <w:p>
            <w:pPr>
              <w:spacing w:before="40" w:after="40"/>
              <w:jc w:val="right"/>
              <w:rPr>
                <w:i/>
                <w:iCs/>
                <w:noProof/>
                <w:color w:val="000000"/>
                <w:sz w:val="20"/>
                <w:szCs w:val="20"/>
              </w:rPr>
            </w:pPr>
            <w:r>
              <w:rPr>
                <w:i/>
                <w:noProof/>
                <w:color w:val="000000"/>
                <w:sz w:val="20"/>
              </w:rPr>
              <w:t>47,7</w:t>
            </w:r>
          </w:p>
        </w:tc>
        <w:tc>
          <w:tcPr>
            <w:tcW w:w="1021" w:type="dxa"/>
            <w:tcBorders>
              <w:top w:val="nil"/>
              <w:left w:val="nil"/>
              <w:bottom w:val="nil"/>
              <w:right w:val="single" w:sz="8" w:space="0" w:color="auto"/>
            </w:tcBorders>
            <w:shd w:val="clear" w:color="auto" w:fill="auto"/>
            <w:noWrap/>
            <w:vAlign w:val="center"/>
            <w:hideMark/>
          </w:tcPr>
          <w:p>
            <w:pPr>
              <w:spacing w:before="40" w:after="40"/>
              <w:jc w:val="right"/>
              <w:rPr>
                <w:i/>
                <w:iCs/>
                <w:noProof/>
                <w:color w:val="000000"/>
                <w:sz w:val="20"/>
                <w:szCs w:val="20"/>
              </w:rPr>
            </w:pPr>
            <w:r>
              <w:rPr>
                <w:noProof/>
                <w:color w:val="000000"/>
                <w:sz w:val="20"/>
              </w:rPr>
              <w:t>49,9</w:t>
            </w:r>
          </w:p>
        </w:tc>
      </w:tr>
      <w:tr>
        <w:trPr>
          <w:trHeight w:val="227"/>
        </w:trPr>
        <w:tc>
          <w:tcPr>
            <w:tcW w:w="4479" w:type="dxa"/>
            <w:tcBorders>
              <w:top w:val="nil"/>
              <w:left w:val="single" w:sz="8" w:space="0" w:color="auto"/>
              <w:bottom w:val="nil"/>
              <w:right w:val="single" w:sz="4" w:space="0" w:color="auto"/>
            </w:tcBorders>
            <w:noWrap/>
            <w:vAlign w:val="center"/>
            <w:hideMark/>
          </w:tcPr>
          <w:p>
            <w:pPr>
              <w:spacing w:before="40" w:after="40"/>
              <w:jc w:val="right"/>
              <w:rPr>
                <w:i/>
                <w:iCs/>
                <w:noProof/>
                <w:color w:val="000000"/>
                <w:sz w:val="20"/>
                <w:szCs w:val="20"/>
              </w:rPr>
            </w:pPr>
            <w:r>
              <w:rPr>
                <w:i/>
                <w:noProof/>
                <w:color w:val="000000"/>
                <w:sz w:val="20"/>
              </w:rPr>
              <w:t>4. Миграция и управление на границите</w:t>
            </w:r>
          </w:p>
        </w:tc>
        <w:tc>
          <w:tcPr>
            <w:tcW w:w="1020" w:type="dxa"/>
            <w:tcBorders>
              <w:top w:val="nil"/>
              <w:left w:val="single" w:sz="4" w:space="0" w:color="auto"/>
              <w:bottom w:val="nil"/>
              <w:right w:val="single" w:sz="2" w:space="0" w:color="auto"/>
            </w:tcBorders>
            <w:noWrap/>
            <w:vAlign w:val="center"/>
            <w:hideMark/>
          </w:tcPr>
          <w:p>
            <w:pPr>
              <w:spacing w:before="40" w:after="40"/>
              <w:rPr>
                <w:noProof/>
                <w:color w:val="000000"/>
                <w:sz w:val="20"/>
                <w:szCs w:val="20"/>
              </w:rPr>
            </w:pPr>
            <w:r>
              <w:rPr>
                <w:noProof/>
                <w:color w:val="000000"/>
                <w:sz w:val="20"/>
              </w:rPr>
              <w:t> </w:t>
            </w:r>
          </w:p>
        </w:tc>
        <w:tc>
          <w:tcPr>
            <w:tcW w:w="1020" w:type="dxa"/>
            <w:tcBorders>
              <w:top w:val="nil"/>
              <w:left w:val="single" w:sz="2" w:space="0" w:color="auto"/>
              <w:bottom w:val="nil"/>
              <w:right w:val="single" w:sz="2" w:space="0" w:color="auto"/>
            </w:tcBorders>
            <w:shd w:val="clear" w:color="000000" w:fill="auto"/>
            <w:noWrap/>
            <w:vAlign w:val="center"/>
            <w:hideMark/>
          </w:tcPr>
          <w:p>
            <w:pPr>
              <w:spacing w:before="40" w:after="40"/>
              <w:jc w:val="right"/>
              <w:rPr>
                <w:noProof/>
                <w:sz w:val="20"/>
                <w:szCs w:val="20"/>
              </w:rPr>
            </w:pPr>
            <w:r>
              <w:rPr>
                <w:i/>
                <w:noProof/>
                <w:color w:val="000000"/>
                <w:sz w:val="20"/>
              </w:rPr>
              <w:t>1,6</w:t>
            </w:r>
          </w:p>
        </w:tc>
        <w:tc>
          <w:tcPr>
            <w:tcW w:w="1020" w:type="dxa"/>
            <w:tcBorders>
              <w:top w:val="nil"/>
              <w:left w:val="single" w:sz="2" w:space="0" w:color="auto"/>
              <w:bottom w:val="nil"/>
              <w:right w:val="single" w:sz="4" w:space="0" w:color="auto"/>
            </w:tcBorders>
            <w:shd w:val="clear" w:color="auto" w:fill="auto"/>
            <w:noWrap/>
            <w:vAlign w:val="center"/>
            <w:hideMark/>
          </w:tcPr>
          <w:p>
            <w:pPr>
              <w:spacing w:before="40" w:after="40"/>
              <w:jc w:val="right"/>
              <w:rPr>
                <w:i/>
                <w:iCs/>
                <w:noProof/>
                <w:color w:val="000000"/>
                <w:sz w:val="20"/>
                <w:szCs w:val="20"/>
              </w:rPr>
            </w:pPr>
            <w:r>
              <w:rPr>
                <w:i/>
                <w:noProof/>
                <w:color w:val="000000"/>
                <w:sz w:val="20"/>
              </w:rPr>
              <w:t>2,2</w:t>
            </w:r>
          </w:p>
        </w:tc>
        <w:tc>
          <w:tcPr>
            <w:tcW w:w="1020" w:type="dxa"/>
            <w:tcBorders>
              <w:top w:val="nil"/>
              <w:left w:val="nil"/>
              <w:bottom w:val="nil"/>
              <w:right w:val="single" w:sz="4" w:space="0" w:color="auto"/>
            </w:tcBorders>
            <w:shd w:val="clear" w:color="auto" w:fill="auto"/>
            <w:noWrap/>
            <w:vAlign w:val="center"/>
            <w:hideMark/>
          </w:tcPr>
          <w:p>
            <w:pPr>
              <w:spacing w:before="40" w:after="40"/>
              <w:jc w:val="right"/>
              <w:rPr>
                <w:i/>
                <w:iCs/>
                <w:noProof/>
                <w:color w:val="000000"/>
                <w:sz w:val="20"/>
                <w:szCs w:val="20"/>
              </w:rPr>
            </w:pPr>
            <w:r>
              <w:rPr>
                <w:i/>
                <w:noProof/>
                <w:color w:val="000000"/>
                <w:sz w:val="20"/>
              </w:rPr>
              <w:t>2,9</w:t>
            </w:r>
          </w:p>
        </w:tc>
        <w:tc>
          <w:tcPr>
            <w:tcW w:w="1021" w:type="dxa"/>
            <w:tcBorders>
              <w:top w:val="nil"/>
              <w:left w:val="nil"/>
              <w:bottom w:val="nil"/>
              <w:right w:val="single" w:sz="8" w:space="0" w:color="auto"/>
            </w:tcBorders>
            <w:shd w:val="clear" w:color="auto" w:fill="auto"/>
            <w:noWrap/>
            <w:vAlign w:val="center"/>
            <w:hideMark/>
          </w:tcPr>
          <w:p>
            <w:pPr>
              <w:spacing w:before="40" w:after="40"/>
              <w:jc w:val="right"/>
              <w:rPr>
                <w:i/>
                <w:iCs/>
                <w:noProof/>
                <w:color w:val="000000"/>
                <w:sz w:val="20"/>
                <w:szCs w:val="20"/>
              </w:rPr>
            </w:pPr>
            <w:r>
              <w:rPr>
                <w:noProof/>
                <w:color w:val="000000"/>
                <w:sz w:val="20"/>
              </w:rPr>
              <w:t>4,5</w:t>
            </w:r>
          </w:p>
        </w:tc>
      </w:tr>
      <w:tr>
        <w:trPr>
          <w:trHeight w:val="227"/>
        </w:trPr>
        <w:tc>
          <w:tcPr>
            <w:tcW w:w="4479" w:type="dxa"/>
            <w:tcBorders>
              <w:top w:val="nil"/>
              <w:left w:val="single" w:sz="8" w:space="0" w:color="auto"/>
              <w:bottom w:val="nil"/>
              <w:right w:val="single" w:sz="4" w:space="0" w:color="auto"/>
            </w:tcBorders>
            <w:noWrap/>
            <w:vAlign w:val="center"/>
            <w:hideMark/>
          </w:tcPr>
          <w:p>
            <w:pPr>
              <w:spacing w:before="40" w:after="40"/>
              <w:jc w:val="right"/>
              <w:rPr>
                <w:i/>
                <w:iCs/>
                <w:noProof/>
                <w:color w:val="000000"/>
                <w:sz w:val="20"/>
                <w:szCs w:val="20"/>
              </w:rPr>
            </w:pPr>
            <w:r>
              <w:rPr>
                <w:i/>
                <w:noProof/>
                <w:color w:val="000000"/>
                <w:sz w:val="20"/>
              </w:rPr>
              <w:t>5. Сигурност и отбрана</w:t>
            </w:r>
          </w:p>
        </w:tc>
        <w:tc>
          <w:tcPr>
            <w:tcW w:w="1020" w:type="dxa"/>
            <w:tcBorders>
              <w:top w:val="nil"/>
              <w:left w:val="single" w:sz="4" w:space="0" w:color="auto"/>
              <w:bottom w:val="nil"/>
              <w:right w:val="single" w:sz="2" w:space="0" w:color="auto"/>
            </w:tcBorders>
            <w:noWrap/>
            <w:vAlign w:val="center"/>
            <w:hideMark/>
          </w:tcPr>
          <w:p>
            <w:pPr>
              <w:spacing w:before="40" w:after="40"/>
              <w:rPr>
                <w:noProof/>
                <w:color w:val="000000"/>
                <w:sz w:val="20"/>
                <w:szCs w:val="20"/>
              </w:rPr>
            </w:pPr>
            <w:r>
              <w:rPr>
                <w:noProof/>
                <w:color w:val="000000"/>
                <w:sz w:val="20"/>
              </w:rPr>
              <w:t> </w:t>
            </w:r>
          </w:p>
        </w:tc>
        <w:tc>
          <w:tcPr>
            <w:tcW w:w="1020" w:type="dxa"/>
            <w:tcBorders>
              <w:top w:val="nil"/>
              <w:left w:val="single" w:sz="2" w:space="0" w:color="auto"/>
              <w:bottom w:val="nil"/>
              <w:right w:val="single" w:sz="2" w:space="0" w:color="auto"/>
            </w:tcBorders>
            <w:shd w:val="clear" w:color="000000" w:fill="auto"/>
            <w:noWrap/>
            <w:vAlign w:val="center"/>
            <w:hideMark/>
          </w:tcPr>
          <w:p>
            <w:pPr>
              <w:spacing w:before="40" w:after="40"/>
              <w:jc w:val="right"/>
              <w:rPr>
                <w:noProof/>
                <w:sz w:val="20"/>
                <w:szCs w:val="20"/>
              </w:rPr>
            </w:pPr>
            <w:r>
              <w:rPr>
                <w:i/>
                <w:noProof/>
                <w:color w:val="000000"/>
                <w:sz w:val="20"/>
              </w:rPr>
              <w:t>0,8</w:t>
            </w:r>
          </w:p>
        </w:tc>
        <w:tc>
          <w:tcPr>
            <w:tcW w:w="1020" w:type="dxa"/>
            <w:tcBorders>
              <w:top w:val="nil"/>
              <w:left w:val="single" w:sz="2" w:space="0" w:color="auto"/>
              <w:bottom w:val="nil"/>
              <w:right w:val="single" w:sz="4" w:space="0" w:color="auto"/>
            </w:tcBorders>
            <w:shd w:val="clear" w:color="auto" w:fill="auto"/>
            <w:noWrap/>
            <w:vAlign w:val="center"/>
            <w:hideMark/>
          </w:tcPr>
          <w:p>
            <w:pPr>
              <w:spacing w:before="40" w:after="40"/>
              <w:jc w:val="right"/>
              <w:rPr>
                <w:i/>
                <w:iCs/>
                <w:noProof/>
                <w:color w:val="000000"/>
                <w:sz w:val="20"/>
                <w:szCs w:val="20"/>
              </w:rPr>
            </w:pPr>
            <w:r>
              <w:rPr>
                <w:i/>
                <w:noProof/>
                <w:color w:val="000000"/>
                <w:sz w:val="20"/>
              </w:rPr>
              <w:t>1,6</w:t>
            </w:r>
          </w:p>
        </w:tc>
        <w:tc>
          <w:tcPr>
            <w:tcW w:w="1020" w:type="dxa"/>
            <w:tcBorders>
              <w:top w:val="nil"/>
              <w:left w:val="nil"/>
              <w:bottom w:val="nil"/>
              <w:right w:val="single" w:sz="4" w:space="0" w:color="auto"/>
            </w:tcBorders>
            <w:shd w:val="clear" w:color="auto" w:fill="auto"/>
            <w:noWrap/>
            <w:vAlign w:val="center"/>
            <w:hideMark/>
          </w:tcPr>
          <w:p>
            <w:pPr>
              <w:spacing w:before="40" w:after="40"/>
              <w:jc w:val="right"/>
              <w:rPr>
                <w:i/>
                <w:iCs/>
                <w:noProof/>
                <w:color w:val="000000"/>
                <w:sz w:val="20"/>
                <w:szCs w:val="20"/>
              </w:rPr>
            </w:pPr>
            <w:r>
              <w:rPr>
                <w:i/>
                <w:noProof/>
                <w:color w:val="000000"/>
                <w:sz w:val="20"/>
              </w:rPr>
              <w:t>2,0</w:t>
            </w:r>
          </w:p>
        </w:tc>
        <w:tc>
          <w:tcPr>
            <w:tcW w:w="1021" w:type="dxa"/>
            <w:tcBorders>
              <w:top w:val="nil"/>
              <w:left w:val="nil"/>
              <w:bottom w:val="nil"/>
              <w:right w:val="single" w:sz="8" w:space="0" w:color="auto"/>
            </w:tcBorders>
            <w:shd w:val="clear" w:color="auto" w:fill="auto"/>
            <w:noWrap/>
            <w:vAlign w:val="center"/>
            <w:hideMark/>
          </w:tcPr>
          <w:p>
            <w:pPr>
              <w:spacing w:before="40" w:after="40"/>
              <w:jc w:val="right"/>
              <w:rPr>
                <w:i/>
                <w:iCs/>
                <w:noProof/>
                <w:color w:val="000000"/>
                <w:sz w:val="20"/>
                <w:szCs w:val="20"/>
              </w:rPr>
            </w:pPr>
            <w:r>
              <w:rPr>
                <w:noProof/>
                <w:color w:val="000000"/>
                <w:sz w:val="20"/>
              </w:rPr>
              <w:t>2,9</w:t>
            </w:r>
          </w:p>
        </w:tc>
      </w:tr>
      <w:tr>
        <w:trPr>
          <w:trHeight w:val="227"/>
        </w:trPr>
        <w:tc>
          <w:tcPr>
            <w:tcW w:w="4479" w:type="dxa"/>
            <w:tcBorders>
              <w:top w:val="nil"/>
              <w:left w:val="single" w:sz="8" w:space="0" w:color="auto"/>
              <w:bottom w:val="nil"/>
              <w:right w:val="single" w:sz="4" w:space="0" w:color="auto"/>
            </w:tcBorders>
            <w:noWrap/>
            <w:vAlign w:val="center"/>
            <w:hideMark/>
          </w:tcPr>
          <w:p>
            <w:pPr>
              <w:spacing w:before="40" w:after="40"/>
              <w:jc w:val="right"/>
              <w:rPr>
                <w:i/>
                <w:iCs/>
                <w:noProof/>
                <w:color w:val="000000"/>
                <w:sz w:val="20"/>
                <w:szCs w:val="20"/>
              </w:rPr>
            </w:pPr>
            <w:r>
              <w:rPr>
                <w:i/>
                <w:noProof/>
                <w:color w:val="000000"/>
                <w:sz w:val="20"/>
              </w:rPr>
              <w:t>6. Съседните региони и светът</w:t>
            </w:r>
          </w:p>
        </w:tc>
        <w:tc>
          <w:tcPr>
            <w:tcW w:w="1020" w:type="dxa"/>
            <w:tcBorders>
              <w:top w:val="nil"/>
              <w:left w:val="single" w:sz="4" w:space="0" w:color="auto"/>
              <w:bottom w:val="nil"/>
              <w:right w:val="single" w:sz="2" w:space="0" w:color="auto"/>
            </w:tcBorders>
            <w:noWrap/>
            <w:vAlign w:val="center"/>
            <w:hideMark/>
          </w:tcPr>
          <w:p>
            <w:pPr>
              <w:spacing w:before="40" w:after="40"/>
              <w:rPr>
                <w:noProof/>
                <w:color w:val="000000"/>
                <w:sz w:val="20"/>
                <w:szCs w:val="20"/>
              </w:rPr>
            </w:pPr>
            <w:r>
              <w:rPr>
                <w:noProof/>
                <w:color w:val="000000"/>
                <w:sz w:val="20"/>
              </w:rPr>
              <w:t> </w:t>
            </w:r>
          </w:p>
        </w:tc>
        <w:tc>
          <w:tcPr>
            <w:tcW w:w="1020" w:type="dxa"/>
            <w:tcBorders>
              <w:top w:val="nil"/>
              <w:left w:val="single" w:sz="2" w:space="0" w:color="auto"/>
              <w:bottom w:val="nil"/>
              <w:right w:val="single" w:sz="2" w:space="0" w:color="auto"/>
            </w:tcBorders>
            <w:shd w:val="clear" w:color="000000" w:fill="auto"/>
            <w:noWrap/>
            <w:vAlign w:val="center"/>
            <w:hideMark/>
          </w:tcPr>
          <w:p>
            <w:pPr>
              <w:spacing w:before="40" w:after="40"/>
              <w:jc w:val="right"/>
              <w:rPr>
                <w:noProof/>
                <w:sz w:val="20"/>
                <w:szCs w:val="20"/>
              </w:rPr>
            </w:pPr>
            <w:r>
              <w:rPr>
                <w:i/>
                <w:noProof/>
                <w:color w:val="000000"/>
                <w:sz w:val="20"/>
              </w:rPr>
              <w:t>3,3</w:t>
            </w:r>
          </w:p>
        </w:tc>
        <w:tc>
          <w:tcPr>
            <w:tcW w:w="1020" w:type="dxa"/>
            <w:tcBorders>
              <w:top w:val="nil"/>
              <w:left w:val="single" w:sz="2" w:space="0" w:color="auto"/>
              <w:bottom w:val="nil"/>
              <w:right w:val="single" w:sz="4" w:space="0" w:color="auto"/>
            </w:tcBorders>
            <w:shd w:val="clear" w:color="auto" w:fill="auto"/>
            <w:noWrap/>
            <w:vAlign w:val="center"/>
            <w:hideMark/>
          </w:tcPr>
          <w:p>
            <w:pPr>
              <w:spacing w:before="40" w:after="40"/>
              <w:jc w:val="right"/>
              <w:rPr>
                <w:i/>
                <w:iCs/>
                <w:noProof/>
                <w:color w:val="000000"/>
                <w:sz w:val="20"/>
                <w:szCs w:val="20"/>
              </w:rPr>
            </w:pPr>
            <w:r>
              <w:rPr>
                <w:i/>
                <w:noProof/>
                <w:color w:val="000000"/>
                <w:sz w:val="20"/>
              </w:rPr>
              <w:t>6,2</w:t>
            </w:r>
          </w:p>
        </w:tc>
        <w:tc>
          <w:tcPr>
            <w:tcW w:w="1020" w:type="dxa"/>
            <w:tcBorders>
              <w:top w:val="nil"/>
              <w:left w:val="nil"/>
              <w:bottom w:val="nil"/>
              <w:right w:val="single" w:sz="4" w:space="0" w:color="auto"/>
            </w:tcBorders>
            <w:shd w:val="clear" w:color="auto" w:fill="auto"/>
            <w:noWrap/>
            <w:vAlign w:val="center"/>
            <w:hideMark/>
          </w:tcPr>
          <w:p>
            <w:pPr>
              <w:spacing w:before="40" w:after="40"/>
              <w:jc w:val="right"/>
              <w:rPr>
                <w:i/>
                <w:iCs/>
                <w:noProof/>
                <w:color w:val="000000"/>
                <w:sz w:val="20"/>
                <w:szCs w:val="20"/>
              </w:rPr>
            </w:pPr>
            <w:r>
              <w:rPr>
                <w:i/>
                <w:noProof/>
                <w:color w:val="000000"/>
                <w:sz w:val="20"/>
              </w:rPr>
              <w:t>8,6</w:t>
            </w:r>
          </w:p>
        </w:tc>
        <w:tc>
          <w:tcPr>
            <w:tcW w:w="1021" w:type="dxa"/>
            <w:tcBorders>
              <w:top w:val="nil"/>
              <w:left w:val="nil"/>
              <w:bottom w:val="nil"/>
              <w:right w:val="single" w:sz="8" w:space="0" w:color="auto"/>
            </w:tcBorders>
            <w:shd w:val="clear" w:color="auto" w:fill="auto"/>
            <w:noWrap/>
            <w:vAlign w:val="center"/>
            <w:hideMark/>
          </w:tcPr>
          <w:p>
            <w:pPr>
              <w:spacing w:before="40" w:after="40"/>
              <w:jc w:val="right"/>
              <w:rPr>
                <w:i/>
                <w:iCs/>
                <w:noProof/>
                <w:color w:val="000000"/>
                <w:sz w:val="20"/>
                <w:szCs w:val="20"/>
              </w:rPr>
            </w:pPr>
            <w:r>
              <w:rPr>
                <w:noProof/>
                <w:color w:val="000000"/>
                <w:sz w:val="20"/>
              </w:rPr>
              <w:t>11,6</w:t>
            </w:r>
          </w:p>
        </w:tc>
      </w:tr>
      <w:tr>
        <w:trPr>
          <w:trHeight w:val="227"/>
        </w:trPr>
        <w:tc>
          <w:tcPr>
            <w:tcW w:w="4479" w:type="dxa"/>
            <w:tcBorders>
              <w:top w:val="nil"/>
              <w:left w:val="single" w:sz="8" w:space="0" w:color="auto"/>
              <w:bottom w:val="single" w:sz="8" w:space="0" w:color="auto"/>
              <w:right w:val="single" w:sz="4" w:space="0" w:color="auto"/>
            </w:tcBorders>
            <w:noWrap/>
            <w:vAlign w:val="center"/>
            <w:hideMark/>
          </w:tcPr>
          <w:p>
            <w:pPr>
              <w:spacing w:before="40" w:after="40"/>
              <w:jc w:val="right"/>
              <w:rPr>
                <w:i/>
                <w:iCs/>
                <w:noProof/>
                <w:color w:val="000000"/>
                <w:sz w:val="20"/>
                <w:szCs w:val="20"/>
              </w:rPr>
            </w:pPr>
            <w:r>
              <w:rPr>
                <w:i/>
                <w:noProof/>
                <w:color w:val="000000"/>
                <w:sz w:val="20"/>
              </w:rPr>
              <w:t>7. Европейска публична администрация</w:t>
            </w:r>
          </w:p>
        </w:tc>
        <w:tc>
          <w:tcPr>
            <w:tcW w:w="1020" w:type="dxa"/>
            <w:tcBorders>
              <w:top w:val="nil"/>
              <w:left w:val="single" w:sz="4" w:space="0" w:color="auto"/>
              <w:bottom w:val="single" w:sz="8" w:space="0" w:color="auto"/>
              <w:right w:val="single" w:sz="2" w:space="0" w:color="auto"/>
            </w:tcBorders>
            <w:noWrap/>
            <w:vAlign w:val="center"/>
            <w:hideMark/>
          </w:tcPr>
          <w:p>
            <w:pPr>
              <w:spacing w:before="40" w:after="40"/>
              <w:rPr>
                <w:noProof/>
                <w:color w:val="000000"/>
                <w:sz w:val="20"/>
                <w:szCs w:val="20"/>
              </w:rPr>
            </w:pPr>
            <w:r>
              <w:rPr>
                <w:noProof/>
                <w:color w:val="000000"/>
                <w:sz w:val="20"/>
              </w:rPr>
              <w:t> </w:t>
            </w:r>
          </w:p>
        </w:tc>
        <w:tc>
          <w:tcPr>
            <w:tcW w:w="1020" w:type="dxa"/>
            <w:tcBorders>
              <w:top w:val="nil"/>
              <w:left w:val="single" w:sz="2" w:space="0" w:color="auto"/>
              <w:bottom w:val="single" w:sz="8" w:space="0" w:color="auto"/>
              <w:right w:val="single" w:sz="2" w:space="0" w:color="auto"/>
            </w:tcBorders>
            <w:shd w:val="clear" w:color="000000" w:fill="auto"/>
            <w:noWrap/>
            <w:vAlign w:val="center"/>
            <w:hideMark/>
          </w:tcPr>
          <w:p>
            <w:pPr>
              <w:spacing w:before="40" w:after="40"/>
              <w:jc w:val="right"/>
              <w:rPr>
                <w:noProof/>
                <w:sz w:val="20"/>
                <w:szCs w:val="20"/>
              </w:rPr>
            </w:pPr>
            <w:r>
              <w:rPr>
                <w:i/>
                <w:noProof/>
                <w:color w:val="000000"/>
                <w:sz w:val="20"/>
              </w:rPr>
              <w:t>11,0</w:t>
            </w:r>
          </w:p>
        </w:tc>
        <w:tc>
          <w:tcPr>
            <w:tcW w:w="1020" w:type="dxa"/>
            <w:tcBorders>
              <w:top w:val="nil"/>
              <w:left w:val="single" w:sz="2" w:space="0" w:color="auto"/>
              <w:bottom w:val="single" w:sz="8" w:space="0" w:color="auto"/>
              <w:right w:val="single" w:sz="4" w:space="0" w:color="auto"/>
            </w:tcBorders>
            <w:shd w:val="clear" w:color="auto" w:fill="auto"/>
            <w:noWrap/>
            <w:vAlign w:val="center"/>
            <w:hideMark/>
          </w:tcPr>
          <w:p>
            <w:pPr>
              <w:spacing w:before="40" w:after="40"/>
              <w:jc w:val="right"/>
              <w:rPr>
                <w:i/>
                <w:iCs/>
                <w:noProof/>
                <w:color w:val="000000"/>
                <w:sz w:val="20"/>
                <w:szCs w:val="20"/>
              </w:rPr>
            </w:pPr>
            <w:r>
              <w:rPr>
                <w:i/>
                <w:noProof/>
                <w:color w:val="000000"/>
                <w:sz w:val="20"/>
              </w:rPr>
              <w:t>11,4</w:t>
            </w:r>
          </w:p>
        </w:tc>
        <w:tc>
          <w:tcPr>
            <w:tcW w:w="1020" w:type="dxa"/>
            <w:tcBorders>
              <w:top w:val="nil"/>
              <w:left w:val="nil"/>
              <w:bottom w:val="single" w:sz="8" w:space="0" w:color="auto"/>
              <w:right w:val="single" w:sz="4" w:space="0" w:color="auto"/>
            </w:tcBorders>
            <w:shd w:val="clear" w:color="auto" w:fill="auto"/>
            <w:noWrap/>
            <w:vAlign w:val="center"/>
            <w:hideMark/>
          </w:tcPr>
          <w:p>
            <w:pPr>
              <w:spacing w:before="40" w:after="40"/>
              <w:jc w:val="right"/>
              <w:rPr>
                <w:i/>
                <w:iCs/>
                <w:noProof/>
                <w:color w:val="000000"/>
                <w:sz w:val="20"/>
                <w:szCs w:val="20"/>
              </w:rPr>
            </w:pPr>
            <w:r>
              <w:rPr>
                <w:i/>
                <w:noProof/>
                <w:color w:val="000000"/>
                <w:sz w:val="20"/>
              </w:rPr>
              <w:t>11,8</w:t>
            </w:r>
          </w:p>
        </w:tc>
        <w:tc>
          <w:tcPr>
            <w:tcW w:w="1021" w:type="dxa"/>
            <w:tcBorders>
              <w:top w:val="nil"/>
              <w:left w:val="nil"/>
              <w:bottom w:val="single" w:sz="8" w:space="0" w:color="auto"/>
              <w:right w:val="single" w:sz="8" w:space="0" w:color="auto"/>
            </w:tcBorders>
            <w:shd w:val="clear" w:color="auto" w:fill="auto"/>
            <w:noWrap/>
            <w:vAlign w:val="center"/>
            <w:hideMark/>
          </w:tcPr>
          <w:p>
            <w:pPr>
              <w:spacing w:before="40" w:after="40"/>
              <w:jc w:val="right"/>
              <w:rPr>
                <w:i/>
                <w:iCs/>
                <w:noProof/>
                <w:color w:val="000000"/>
                <w:sz w:val="20"/>
                <w:szCs w:val="20"/>
              </w:rPr>
            </w:pPr>
            <w:r>
              <w:rPr>
                <w:noProof/>
                <w:color w:val="000000"/>
                <w:sz w:val="20"/>
              </w:rPr>
              <w:t>12,2</w:t>
            </w:r>
          </w:p>
        </w:tc>
      </w:tr>
      <w:tr>
        <w:trPr>
          <w:trHeight w:val="227"/>
        </w:trPr>
        <w:tc>
          <w:tcPr>
            <w:tcW w:w="4479" w:type="dxa"/>
            <w:tcBorders>
              <w:top w:val="nil"/>
              <w:left w:val="single" w:sz="8" w:space="0" w:color="auto"/>
              <w:bottom w:val="single" w:sz="8" w:space="0" w:color="auto"/>
              <w:right w:val="single" w:sz="4" w:space="0" w:color="auto"/>
            </w:tcBorders>
            <w:shd w:val="clear" w:color="auto" w:fill="auto"/>
            <w:noWrap/>
            <w:vAlign w:val="center"/>
            <w:hideMark/>
          </w:tcPr>
          <w:p>
            <w:pPr>
              <w:spacing w:before="40" w:after="40"/>
              <w:rPr>
                <w:noProof/>
                <w:color w:val="000000"/>
                <w:sz w:val="20"/>
                <w:szCs w:val="20"/>
              </w:rPr>
            </w:pPr>
            <w:r>
              <w:rPr>
                <w:noProof/>
                <w:color w:val="000000"/>
                <w:sz w:val="20"/>
              </w:rPr>
              <w:t>Други специални инструменти**</w:t>
            </w:r>
          </w:p>
        </w:tc>
        <w:tc>
          <w:tcPr>
            <w:tcW w:w="1020" w:type="dxa"/>
            <w:tcBorders>
              <w:top w:val="nil"/>
              <w:left w:val="single" w:sz="4" w:space="0" w:color="auto"/>
              <w:bottom w:val="single" w:sz="8" w:space="0" w:color="auto"/>
              <w:right w:val="single" w:sz="2" w:space="0" w:color="auto"/>
            </w:tcBorders>
            <w:shd w:val="clear" w:color="auto" w:fill="auto"/>
            <w:noWrap/>
            <w:vAlign w:val="center"/>
            <w:hideMark/>
          </w:tcPr>
          <w:p>
            <w:pPr>
              <w:spacing w:before="40" w:after="40"/>
              <w:jc w:val="right"/>
              <w:rPr>
                <w:noProof/>
                <w:sz w:val="20"/>
                <w:szCs w:val="20"/>
              </w:rPr>
            </w:pPr>
            <w:r>
              <w:rPr>
                <w:i/>
                <w:noProof/>
                <w:color w:val="000000"/>
                <w:sz w:val="20"/>
              </w:rPr>
              <w:t>0,4</w:t>
            </w:r>
          </w:p>
        </w:tc>
        <w:tc>
          <w:tcPr>
            <w:tcW w:w="1020" w:type="dxa"/>
            <w:tcBorders>
              <w:top w:val="nil"/>
              <w:left w:val="single" w:sz="2" w:space="0" w:color="auto"/>
              <w:bottom w:val="single" w:sz="8" w:space="0" w:color="auto"/>
              <w:right w:val="single" w:sz="2" w:space="0" w:color="auto"/>
            </w:tcBorders>
            <w:shd w:val="clear" w:color="auto" w:fill="auto"/>
            <w:noWrap/>
            <w:vAlign w:val="center"/>
            <w:hideMark/>
          </w:tcPr>
          <w:p>
            <w:pPr>
              <w:spacing w:before="40" w:after="40"/>
              <w:jc w:val="right"/>
              <w:rPr>
                <w:noProof/>
                <w:sz w:val="20"/>
                <w:szCs w:val="20"/>
              </w:rPr>
            </w:pPr>
            <w:r>
              <w:rPr>
                <w:i/>
                <w:noProof/>
                <w:color w:val="000000"/>
                <w:sz w:val="20"/>
              </w:rPr>
              <w:t> </w:t>
            </w:r>
          </w:p>
        </w:tc>
        <w:tc>
          <w:tcPr>
            <w:tcW w:w="1020" w:type="dxa"/>
            <w:tcBorders>
              <w:top w:val="nil"/>
              <w:left w:val="single" w:sz="2" w:space="0" w:color="auto"/>
              <w:bottom w:val="single" w:sz="8" w:space="0" w:color="auto"/>
              <w:right w:val="single" w:sz="4" w:space="0" w:color="auto"/>
            </w:tcBorders>
            <w:shd w:val="clear" w:color="auto" w:fill="auto"/>
            <w:noWrap/>
            <w:vAlign w:val="center"/>
            <w:hideMark/>
          </w:tcPr>
          <w:p>
            <w:pPr>
              <w:spacing w:before="40" w:after="40"/>
              <w:jc w:val="right"/>
              <w:rPr>
                <w:i/>
                <w:iCs/>
                <w:noProof/>
                <w:color w:val="000000"/>
                <w:sz w:val="20"/>
                <w:szCs w:val="20"/>
              </w:rPr>
            </w:pPr>
            <w:r>
              <w:rPr>
                <w:i/>
                <w:noProof/>
                <w:color w:val="000000"/>
                <w:sz w:val="20"/>
              </w:rPr>
              <w:t> </w:t>
            </w:r>
          </w:p>
        </w:tc>
        <w:tc>
          <w:tcPr>
            <w:tcW w:w="1020" w:type="dxa"/>
            <w:tcBorders>
              <w:top w:val="nil"/>
              <w:left w:val="nil"/>
              <w:bottom w:val="single" w:sz="8" w:space="0" w:color="auto"/>
              <w:right w:val="single" w:sz="4" w:space="0" w:color="auto"/>
            </w:tcBorders>
            <w:shd w:val="clear" w:color="auto" w:fill="auto"/>
            <w:noWrap/>
            <w:vAlign w:val="center"/>
            <w:hideMark/>
          </w:tcPr>
          <w:p>
            <w:pPr>
              <w:spacing w:before="40" w:after="40"/>
              <w:jc w:val="right"/>
              <w:rPr>
                <w:i/>
                <w:iCs/>
                <w:noProof/>
                <w:color w:val="000000"/>
                <w:sz w:val="20"/>
                <w:szCs w:val="20"/>
              </w:rPr>
            </w:pPr>
            <w:r>
              <w:rPr>
                <w:i/>
                <w:noProof/>
                <w:color w:val="000000"/>
                <w:sz w:val="20"/>
              </w:rPr>
              <w:t> </w:t>
            </w:r>
          </w:p>
        </w:tc>
        <w:tc>
          <w:tcPr>
            <w:tcW w:w="1021" w:type="dxa"/>
            <w:tcBorders>
              <w:top w:val="nil"/>
              <w:left w:val="nil"/>
              <w:bottom w:val="single" w:sz="8" w:space="0" w:color="auto"/>
              <w:right w:val="single" w:sz="8" w:space="0" w:color="auto"/>
            </w:tcBorders>
            <w:shd w:val="clear" w:color="auto" w:fill="auto"/>
            <w:noWrap/>
            <w:vAlign w:val="center"/>
            <w:hideMark/>
          </w:tcPr>
          <w:p>
            <w:pPr>
              <w:spacing w:before="40" w:after="40"/>
              <w:jc w:val="right"/>
              <w:rPr>
                <w:i/>
                <w:iCs/>
                <w:noProof/>
                <w:color w:val="000000"/>
                <w:sz w:val="20"/>
                <w:szCs w:val="20"/>
              </w:rPr>
            </w:pPr>
            <w:r>
              <w:rPr>
                <w:i/>
                <w:noProof/>
                <w:color w:val="000000"/>
                <w:sz w:val="20"/>
              </w:rPr>
              <w:t> </w:t>
            </w:r>
          </w:p>
        </w:tc>
      </w:tr>
      <w:tr>
        <w:trPr>
          <w:trHeight w:val="227"/>
        </w:trPr>
        <w:tc>
          <w:tcPr>
            <w:tcW w:w="447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pPr>
              <w:spacing w:before="40" w:after="40"/>
              <w:rPr>
                <w:b/>
                <w:bCs/>
                <w:noProof/>
                <w:color w:val="000000"/>
                <w:sz w:val="20"/>
                <w:szCs w:val="20"/>
              </w:rPr>
            </w:pPr>
            <w:r>
              <w:rPr>
                <w:b/>
                <w:noProof/>
                <w:color w:val="000000"/>
                <w:sz w:val="20"/>
              </w:rPr>
              <w:t>Общо бюджетни кредити за плащания, включително специалните инструменти</w:t>
            </w:r>
          </w:p>
        </w:tc>
        <w:tc>
          <w:tcPr>
            <w:tcW w:w="1020" w:type="dxa"/>
            <w:tcBorders>
              <w:top w:val="single" w:sz="8" w:space="0" w:color="auto"/>
              <w:left w:val="single" w:sz="4" w:space="0" w:color="auto"/>
              <w:bottom w:val="single" w:sz="8" w:space="0" w:color="auto"/>
              <w:right w:val="single" w:sz="2" w:space="0" w:color="auto"/>
            </w:tcBorders>
            <w:shd w:val="clear" w:color="auto" w:fill="auto"/>
            <w:noWrap/>
            <w:vAlign w:val="center"/>
            <w:hideMark/>
          </w:tcPr>
          <w:p>
            <w:pPr>
              <w:spacing w:before="40" w:after="40"/>
              <w:jc w:val="right"/>
              <w:rPr>
                <w:b/>
                <w:bCs/>
                <w:noProof/>
                <w:sz w:val="20"/>
                <w:szCs w:val="20"/>
              </w:rPr>
            </w:pPr>
            <w:r>
              <w:rPr>
                <w:b/>
                <w:noProof/>
                <w:color w:val="000000"/>
                <w:sz w:val="20"/>
              </w:rPr>
              <w:t>153,6</w:t>
            </w:r>
          </w:p>
        </w:tc>
        <w:tc>
          <w:tcPr>
            <w:tcW w:w="1020" w:type="dxa"/>
            <w:tcBorders>
              <w:top w:val="single" w:sz="8" w:space="0" w:color="auto"/>
              <w:left w:val="single" w:sz="2" w:space="0" w:color="auto"/>
              <w:bottom w:val="single" w:sz="8" w:space="0" w:color="auto"/>
              <w:right w:val="single" w:sz="2" w:space="0" w:color="auto"/>
            </w:tcBorders>
            <w:shd w:val="clear" w:color="auto" w:fill="auto"/>
            <w:noWrap/>
            <w:vAlign w:val="center"/>
            <w:hideMark/>
          </w:tcPr>
          <w:p>
            <w:pPr>
              <w:spacing w:before="40" w:after="40"/>
              <w:jc w:val="right"/>
              <w:rPr>
                <w:b/>
                <w:bCs/>
                <w:noProof/>
                <w:color w:val="000000"/>
                <w:sz w:val="20"/>
                <w:szCs w:val="20"/>
              </w:rPr>
            </w:pPr>
            <w:r>
              <w:rPr>
                <w:b/>
                <w:noProof/>
                <w:color w:val="000000"/>
                <w:sz w:val="20"/>
              </w:rPr>
              <w:t>159,1</w:t>
            </w:r>
          </w:p>
        </w:tc>
        <w:tc>
          <w:tcPr>
            <w:tcW w:w="1020" w:type="dxa"/>
            <w:tcBorders>
              <w:top w:val="single" w:sz="8" w:space="0" w:color="auto"/>
              <w:left w:val="single" w:sz="2" w:space="0" w:color="auto"/>
              <w:bottom w:val="single" w:sz="8" w:space="0" w:color="auto"/>
              <w:right w:val="single" w:sz="4" w:space="0" w:color="auto"/>
            </w:tcBorders>
            <w:shd w:val="clear" w:color="auto" w:fill="auto"/>
            <w:noWrap/>
            <w:vAlign w:val="center"/>
            <w:hideMark/>
          </w:tcPr>
          <w:p>
            <w:pPr>
              <w:spacing w:before="40" w:after="40"/>
              <w:jc w:val="right"/>
              <w:rPr>
                <w:b/>
                <w:bCs/>
                <w:noProof/>
                <w:color w:val="000000"/>
                <w:sz w:val="20"/>
                <w:szCs w:val="20"/>
              </w:rPr>
            </w:pPr>
            <w:r>
              <w:rPr>
                <w:b/>
                <w:noProof/>
                <w:color w:val="000000"/>
                <w:sz w:val="20"/>
              </w:rPr>
              <w:t>164,2</w:t>
            </w:r>
          </w:p>
        </w:tc>
        <w:tc>
          <w:tcPr>
            <w:tcW w:w="1020" w:type="dxa"/>
            <w:tcBorders>
              <w:top w:val="single" w:sz="8" w:space="0" w:color="auto"/>
              <w:left w:val="nil"/>
              <w:bottom w:val="single" w:sz="8" w:space="0" w:color="auto"/>
              <w:right w:val="single" w:sz="4" w:space="0" w:color="auto"/>
            </w:tcBorders>
            <w:shd w:val="clear" w:color="auto" w:fill="auto"/>
            <w:noWrap/>
            <w:vAlign w:val="center"/>
            <w:hideMark/>
          </w:tcPr>
          <w:p>
            <w:pPr>
              <w:spacing w:before="40" w:after="40"/>
              <w:jc w:val="right"/>
              <w:rPr>
                <w:b/>
                <w:bCs/>
                <w:noProof/>
                <w:color w:val="000000"/>
                <w:sz w:val="20"/>
                <w:szCs w:val="20"/>
              </w:rPr>
            </w:pPr>
            <w:r>
              <w:rPr>
                <w:b/>
                <w:noProof/>
                <w:color w:val="000000"/>
                <w:sz w:val="20"/>
              </w:rPr>
              <w:t>178,1</w:t>
            </w:r>
          </w:p>
        </w:tc>
        <w:tc>
          <w:tcPr>
            <w:tcW w:w="1021" w:type="dxa"/>
            <w:tcBorders>
              <w:top w:val="single" w:sz="8" w:space="0" w:color="auto"/>
              <w:left w:val="nil"/>
              <w:bottom w:val="single" w:sz="8" w:space="0" w:color="auto"/>
              <w:right w:val="single" w:sz="8" w:space="0" w:color="auto"/>
            </w:tcBorders>
            <w:shd w:val="clear" w:color="auto" w:fill="auto"/>
            <w:noWrap/>
            <w:vAlign w:val="center"/>
            <w:hideMark/>
          </w:tcPr>
          <w:p>
            <w:pPr>
              <w:spacing w:before="40" w:after="40"/>
              <w:jc w:val="right"/>
              <w:rPr>
                <w:b/>
                <w:bCs/>
                <w:noProof/>
                <w:color w:val="000000"/>
                <w:sz w:val="20"/>
                <w:szCs w:val="20"/>
              </w:rPr>
            </w:pPr>
            <w:r>
              <w:rPr>
                <w:b/>
                <w:noProof/>
                <w:color w:val="000000"/>
                <w:sz w:val="20"/>
              </w:rPr>
              <w:t>185,2</w:t>
            </w:r>
          </w:p>
        </w:tc>
      </w:tr>
      <w:tr>
        <w:trPr>
          <w:trHeight w:val="66"/>
        </w:trPr>
        <w:tc>
          <w:tcPr>
            <w:tcW w:w="4479" w:type="dxa"/>
            <w:tcBorders>
              <w:top w:val="single" w:sz="8" w:space="0" w:color="auto"/>
              <w:left w:val="single" w:sz="8" w:space="0" w:color="auto"/>
              <w:bottom w:val="nil"/>
              <w:right w:val="single" w:sz="4" w:space="0" w:color="auto"/>
            </w:tcBorders>
            <w:shd w:val="clear" w:color="auto" w:fill="auto"/>
            <w:noWrap/>
            <w:vAlign w:val="center"/>
            <w:hideMark/>
          </w:tcPr>
          <w:p>
            <w:pPr>
              <w:spacing w:before="40" w:after="40"/>
              <w:rPr>
                <w:noProof/>
                <w:color w:val="000000"/>
                <w:sz w:val="20"/>
                <w:szCs w:val="20"/>
              </w:rPr>
            </w:pPr>
            <w:r>
              <w:rPr>
                <w:noProof/>
                <w:color w:val="000000"/>
                <w:sz w:val="20"/>
              </w:rPr>
              <w:t> </w:t>
            </w:r>
          </w:p>
        </w:tc>
        <w:tc>
          <w:tcPr>
            <w:tcW w:w="1020" w:type="dxa"/>
            <w:tcBorders>
              <w:top w:val="single" w:sz="8" w:space="0" w:color="auto"/>
              <w:left w:val="single" w:sz="4" w:space="0" w:color="auto"/>
              <w:bottom w:val="nil"/>
              <w:right w:val="single" w:sz="4" w:space="0" w:color="auto"/>
            </w:tcBorders>
            <w:shd w:val="clear" w:color="auto" w:fill="auto"/>
            <w:noWrap/>
            <w:vAlign w:val="center"/>
            <w:hideMark/>
          </w:tcPr>
          <w:p>
            <w:pPr>
              <w:spacing w:before="40" w:after="40"/>
              <w:rPr>
                <w:noProof/>
                <w:sz w:val="20"/>
                <w:szCs w:val="20"/>
              </w:rPr>
            </w:pPr>
          </w:p>
        </w:tc>
        <w:tc>
          <w:tcPr>
            <w:tcW w:w="1020" w:type="dxa"/>
            <w:tcBorders>
              <w:top w:val="single" w:sz="8" w:space="0" w:color="auto"/>
              <w:left w:val="single" w:sz="4" w:space="0" w:color="auto"/>
              <w:bottom w:val="nil"/>
              <w:right w:val="nil"/>
            </w:tcBorders>
            <w:shd w:val="clear" w:color="auto" w:fill="auto"/>
            <w:noWrap/>
            <w:vAlign w:val="center"/>
            <w:hideMark/>
          </w:tcPr>
          <w:p>
            <w:pPr>
              <w:spacing w:before="40" w:after="40"/>
              <w:rPr>
                <w:noProof/>
                <w:color w:val="000000"/>
                <w:sz w:val="20"/>
                <w:szCs w:val="20"/>
              </w:rPr>
            </w:pPr>
          </w:p>
        </w:tc>
        <w:tc>
          <w:tcPr>
            <w:tcW w:w="1020" w:type="dxa"/>
            <w:tcBorders>
              <w:top w:val="single" w:sz="8" w:space="0" w:color="auto"/>
              <w:left w:val="nil"/>
              <w:bottom w:val="nil"/>
              <w:right w:val="nil"/>
            </w:tcBorders>
            <w:shd w:val="clear" w:color="auto" w:fill="auto"/>
            <w:noWrap/>
            <w:vAlign w:val="center"/>
            <w:hideMark/>
          </w:tcPr>
          <w:p>
            <w:pPr>
              <w:spacing w:before="40" w:after="40"/>
              <w:rPr>
                <w:noProof/>
                <w:color w:val="000000"/>
                <w:sz w:val="20"/>
                <w:szCs w:val="20"/>
              </w:rPr>
            </w:pPr>
          </w:p>
        </w:tc>
        <w:tc>
          <w:tcPr>
            <w:tcW w:w="1020" w:type="dxa"/>
            <w:tcBorders>
              <w:top w:val="single" w:sz="8" w:space="0" w:color="auto"/>
              <w:left w:val="nil"/>
              <w:bottom w:val="nil"/>
              <w:right w:val="nil"/>
            </w:tcBorders>
            <w:shd w:val="clear" w:color="auto" w:fill="auto"/>
            <w:noWrap/>
            <w:vAlign w:val="center"/>
            <w:hideMark/>
          </w:tcPr>
          <w:p>
            <w:pPr>
              <w:spacing w:before="40" w:after="40"/>
              <w:rPr>
                <w:noProof/>
                <w:color w:val="000000"/>
                <w:sz w:val="20"/>
                <w:szCs w:val="20"/>
              </w:rPr>
            </w:pPr>
          </w:p>
        </w:tc>
        <w:tc>
          <w:tcPr>
            <w:tcW w:w="1021" w:type="dxa"/>
            <w:tcBorders>
              <w:top w:val="single" w:sz="8" w:space="0" w:color="auto"/>
              <w:left w:val="nil"/>
              <w:bottom w:val="nil"/>
              <w:right w:val="single" w:sz="8" w:space="0" w:color="auto"/>
            </w:tcBorders>
            <w:shd w:val="clear" w:color="auto" w:fill="auto"/>
            <w:noWrap/>
            <w:vAlign w:val="center"/>
            <w:hideMark/>
          </w:tcPr>
          <w:p>
            <w:pPr>
              <w:spacing w:before="40" w:after="40"/>
              <w:rPr>
                <w:noProof/>
                <w:color w:val="000000"/>
                <w:sz w:val="20"/>
                <w:szCs w:val="20"/>
              </w:rPr>
            </w:pPr>
          </w:p>
        </w:tc>
      </w:tr>
      <w:tr>
        <w:trPr>
          <w:trHeight w:val="227"/>
        </w:trPr>
        <w:tc>
          <w:tcPr>
            <w:tcW w:w="4479" w:type="dxa"/>
            <w:tcBorders>
              <w:top w:val="single" w:sz="8" w:space="0" w:color="auto"/>
              <w:left w:val="single" w:sz="8" w:space="0" w:color="auto"/>
              <w:bottom w:val="single" w:sz="4" w:space="0" w:color="auto"/>
              <w:right w:val="single" w:sz="4" w:space="0" w:color="auto"/>
            </w:tcBorders>
            <w:shd w:val="clear" w:color="000000" w:fill="CCFFCC"/>
            <w:noWrap/>
            <w:vAlign w:val="center"/>
            <w:hideMark/>
          </w:tcPr>
          <w:p>
            <w:pPr>
              <w:spacing w:before="40" w:after="40"/>
              <w:rPr>
                <w:b/>
                <w:bCs/>
                <w:noProof/>
                <w:color w:val="000000"/>
                <w:sz w:val="20"/>
                <w:szCs w:val="20"/>
              </w:rPr>
            </w:pPr>
            <w:r>
              <w:rPr>
                <w:b/>
                <w:noProof/>
                <w:color w:val="000000"/>
                <w:sz w:val="20"/>
              </w:rPr>
              <w:t>ВХОДЯЩИ ПОТОЦИ</w:t>
            </w:r>
          </w:p>
        </w:tc>
        <w:tc>
          <w:tcPr>
            <w:tcW w:w="1020" w:type="dxa"/>
            <w:tcBorders>
              <w:top w:val="single" w:sz="8" w:space="0" w:color="auto"/>
              <w:left w:val="single" w:sz="4" w:space="0" w:color="auto"/>
              <w:bottom w:val="single" w:sz="4" w:space="0" w:color="auto"/>
              <w:right w:val="single" w:sz="4" w:space="0" w:color="auto"/>
            </w:tcBorders>
            <w:shd w:val="clear" w:color="000000" w:fill="CCFFCC"/>
            <w:noWrap/>
            <w:vAlign w:val="center"/>
            <w:hideMark/>
          </w:tcPr>
          <w:p>
            <w:pPr>
              <w:spacing w:before="40" w:after="40"/>
              <w:rPr>
                <w:noProof/>
                <w:sz w:val="20"/>
                <w:szCs w:val="20"/>
              </w:rPr>
            </w:pPr>
            <w:r>
              <w:rPr>
                <w:noProof/>
                <w:color w:val="000000"/>
                <w:sz w:val="20"/>
              </w:rPr>
              <w:t> </w:t>
            </w:r>
          </w:p>
        </w:tc>
        <w:tc>
          <w:tcPr>
            <w:tcW w:w="1020" w:type="dxa"/>
            <w:tcBorders>
              <w:top w:val="single" w:sz="8" w:space="0" w:color="auto"/>
              <w:left w:val="single" w:sz="4" w:space="0" w:color="auto"/>
              <w:bottom w:val="single" w:sz="2" w:space="0" w:color="auto"/>
              <w:right w:val="nil"/>
            </w:tcBorders>
            <w:shd w:val="clear" w:color="000000" w:fill="CCFFCC"/>
            <w:noWrap/>
            <w:vAlign w:val="center"/>
            <w:hideMark/>
          </w:tcPr>
          <w:p>
            <w:pPr>
              <w:spacing w:before="40" w:after="40"/>
              <w:rPr>
                <w:noProof/>
                <w:color w:val="000000"/>
                <w:sz w:val="20"/>
                <w:szCs w:val="20"/>
              </w:rPr>
            </w:pPr>
            <w:r>
              <w:rPr>
                <w:noProof/>
                <w:color w:val="000000"/>
                <w:sz w:val="20"/>
              </w:rPr>
              <w:t> </w:t>
            </w:r>
          </w:p>
        </w:tc>
        <w:tc>
          <w:tcPr>
            <w:tcW w:w="1020" w:type="dxa"/>
            <w:tcBorders>
              <w:top w:val="single" w:sz="8" w:space="0" w:color="auto"/>
              <w:left w:val="nil"/>
              <w:bottom w:val="single" w:sz="4" w:space="0" w:color="auto"/>
              <w:right w:val="nil"/>
            </w:tcBorders>
            <w:shd w:val="clear" w:color="000000" w:fill="CCFFCC"/>
            <w:noWrap/>
            <w:vAlign w:val="center"/>
            <w:hideMark/>
          </w:tcPr>
          <w:p>
            <w:pPr>
              <w:spacing w:before="40" w:after="40"/>
              <w:rPr>
                <w:noProof/>
                <w:color w:val="000000"/>
                <w:sz w:val="20"/>
                <w:szCs w:val="20"/>
              </w:rPr>
            </w:pPr>
            <w:r>
              <w:rPr>
                <w:noProof/>
                <w:color w:val="000000"/>
                <w:sz w:val="20"/>
              </w:rPr>
              <w:t> </w:t>
            </w:r>
          </w:p>
        </w:tc>
        <w:tc>
          <w:tcPr>
            <w:tcW w:w="1020" w:type="dxa"/>
            <w:tcBorders>
              <w:top w:val="single" w:sz="8" w:space="0" w:color="auto"/>
              <w:left w:val="nil"/>
              <w:bottom w:val="single" w:sz="4" w:space="0" w:color="auto"/>
              <w:right w:val="nil"/>
            </w:tcBorders>
            <w:shd w:val="clear" w:color="000000" w:fill="CCFFCC"/>
            <w:noWrap/>
            <w:vAlign w:val="center"/>
            <w:hideMark/>
          </w:tcPr>
          <w:p>
            <w:pPr>
              <w:spacing w:before="40" w:after="40"/>
              <w:rPr>
                <w:noProof/>
                <w:color w:val="000000"/>
                <w:sz w:val="20"/>
                <w:szCs w:val="20"/>
              </w:rPr>
            </w:pPr>
            <w:r>
              <w:rPr>
                <w:noProof/>
                <w:color w:val="000000"/>
                <w:sz w:val="20"/>
              </w:rPr>
              <w:t> </w:t>
            </w:r>
          </w:p>
        </w:tc>
        <w:tc>
          <w:tcPr>
            <w:tcW w:w="1021" w:type="dxa"/>
            <w:tcBorders>
              <w:top w:val="single" w:sz="8" w:space="0" w:color="auto"/>
              <w:left w:val="nil"/>
              <w:bottom w:val="single" w:sz="4" w:space="0" w:color="auto"/>
              <w:right w:val="single" w:sz="8" w:space="0" w:color="auto"/>
            </w:tcBorders>
            <w:shd w:val="clear" w:color="000000" w:fill="CCFFCC"/>
            <w:noWrap/>
            <w:vAlign w:val="center"/>
            <w:hideMark/>
          </w:tcPr>
          <w:p>
            <w:pPr>
              <w:spacing w:before="40" w:after="40"/>
              <w:rPr>
                <w:noProof/>
                <w:color w:val="000000"/>
                <w:sz w:val="20"/>
                <w:szCs w:val="20"/>
              </w:rPr>
            </w:pPr>
            <w:r>
              <w:rPr>
                <w:noProof/>
                <w:color w:val="000000"/>
                <w:sz w:val="20"/>
              </w:rPr>
              <w:t> </w:t>
            </w:r>
          </w:p>
        </w:tc>
      </w:tr>
      <w:tr>
        <w:trPr>
          <w:trHeight w:val="227"/>
        </w:trPr>
        <w:tc>
          <w:tcPr>
            <w:tcW w:w="4479" w:type="dxa"/>
            <w:tcBorders>
              <w:top w:val="single" w:sz="4" w:space="0" w:color="auto"/>
              <w:left w:val="single" w:sz="8" w:space="0" w:color="auto"/>
              <w:bottom w:val="nil"/>
              <w:right w:val="single" w:sz="4" w:space="0" w:color="auto"/>
            </w:tcBorders>
            <w:shd w:val="clear" w:color="auto" w:fill="auto"/>
            <w:noWrap/>
            <w:vAlign w:val="center"/>
          </w:tcPr>
          <w:p>
            <w:pPr>
              <w:spacing w:before="40" w:after="40"/>
              <w:rPr>
                <w:i/>
                <w:noProof/>
                <w:color w:val="215868" w:themeColor="accent5" w:themeShade="80"/>
                <w:sz w:val="20"/>
                <w:szCs w:val="20"/>
              </w:rPr>
            </w:pPr>
            <w:r>
              <w:rPr>
                <w:i/>
                <w:noProof/>
                <w:color w:val="215967"/>
                <w:sz w:val="20"/>
              </w:rPr>
              <w:t>Таван на собствените ресурси в проценти от брутния национален доход на ЕС</w:t>
            </w:r>
          </w:p>
        </w:tc>
        <w:tc>
          <w:tcPr>
            <w:tcW w:w="1020" w:type="dxa"/>
            <w:tcBorders>
              <w:top w:val="single" w:sz="4" w:space="0" w:color="auto"/>
              <w:left w:val="single" w:sz="4" w:space="0" w:color="auto"/>
              <w:bottom w:val="nil"/>
              <w:right w:val="single" w:sz="2" w:space="0" w:color="auto"/>
            </w:tcBorders>
            <w:shd w:val="clear" w:color="auto" w:fill="auto"/>
            <w:noWrap/>
            <w:vAlign w:val="center"/>
          </w:tcPr>
          <w:p>
            <w:pPr>
              <w:spacing w:before="40" w:after="40"/>
              <w:jc w:val="right"/>
              <w:rPr>
                <w:i/>
                <w:noProof/>
                <w:color w:val="215868" w:themeColor="accent5" w:themeShade="80"/>
                <w:sz w:val="20"/>
                <w:szCs w:val="20"/>
              </w:rPr>
            </w:pPr>
            <w:r>
              <w:rPr>
                <w:i/>
                <w:noProof/>
                <w:color w:val="215967"/>
                <w:sz w:val="20"/>
              </w:rPr>
              <w:t>1,20 %</w:t>
            </w:r>
          </w:p>
        </w:tc>
        <w:tc>
          <w:tcPr>
            <w:tcW w:w="1020" w:type="dxa"/>
            <w:tcBorders>
              <w:top w:val="single" w:sz="2" w:space="0" w:color="auto"/>
              <w:left w:val="single" w:sz="2" w:space="0" w:color="auto"/>
              <w:bottom w:val="nil"/>
              <w:right w:val="single" w:sz="2" w:space="0" w:color="auto"/>
            </w:tcBorders>
            <w:shd w:val="clear" w:color="auto" w:fill="auto"/>
            <w:noWrap/>
            <w:vAlign w:val="center"/>
          </w:tcPr>
          <w:p>
            <w:pPr>
              <w:spacing w:before="40" w:after="40"/>
              <w:jc w:val="right"/>
              <w:rPr>
                <w:i/>
                <w:noProof/>
                <w:color w:val="215868" w:themeColor="accent5" w:themeShade="80"/>
                <w:sz w:val="20"/>
                <w:szCs w:val="20"/>
              </w:rPr>
            </w:pPr>
            <w:r>
              <w:rPr>
                <w:i/>
                <w:noProof/>
                <w:color w:val="215967"/>
                <w:sz w:val="20"/>
              </w:rPr>
              <w:t>1,29 %</w:t>
            </w:r>
          </w:p>
        </w:tc>
        <w:tc>
          <w:tcPr>
            <w:tcW w:w="1020" w:type="dxa"/>
            <w:tcBorders>
              <w:top w:val="single" w:sz="4" w:space="0" w:color="auto"/>
              <w:left w:val="single" w:sz="2" w:space="0" w:color="auto"/>
              <w:bottom w:val="nil"/>
              <w:right w:val="single" w:sz="4" w:space="0" w:color="auto"/>
            </w:tcBorders>
            <w:shd w:val="clear" w:color="auto" w:fill="auto"/>
            <w:noWrap/>
            <w:vAlign w:val="center"/>
          </w:tcPr>
          <w:p>
            <w:pPr>
              <w:spacing w:before="40" w:after="40"/>
              <w:jc w:val="right"/>
              <w:rPr>
                <w:i/>
                <w:noProof/>
                <w:color w:val="215868" w:themeColor="accent5" w:themeShade="80"/>
                <w:sz w:val="20"/>
                <w:szCs w:val="20"/>
              </w:rPr>
            </w:pPr>
            <w:r>
              <w:rPr>
                <w:i/>
                <w:noProof/>
                <w:color w:val="215967"/>
                <w:sz w:val="20"/>
              </w:rPr>
              <w:t>1,29 %</w:t>
            </w:r>
          </w:p>
        </w:tc>
        <w:tc>
          <w:tcPr>
            <w:tcW w:w="1020" w:type="dxa"/>
            <w:tcBorders>
              <w:top w:val="single" w:sz="4" w:space="0" w:color="auto"/>
              <w:left w:val="nil"/>
              <w:bottom w:val="nil"/>
              <w:right w:val="single" w:sz="4" w:space="0" w:color="auto"/>
            </w:tcBorders>
            <w:shd w:val="clear" w:color="auto" w:fill="auto"/>
            <w:noWrap/>
            <w:vAlign w:val="center"/>
          </w:tcPr>
          <w:p>
            <w:pPr>
              <w:spacing w:before="40" w:after="40"/>
              <w:jc w:val="right"/>
              <w:rPr>
                <w:i/>
                <w:noProof/>
                <w:color w:val="215868" w:themeColor="accent5" w:themeShade="80"/>
                <w:sz w:val="20"/>
                <w:szCs w:val="20"/>
              </w:rPr>
            </w:pPr>
            <w:r>
              <w:rPr>
                <w:i/>
                <w:noProof/>
                <w:color w:val="215967"/>
                <w:sz w:val="20"/>
              </w:rPr>
              <w:t>1,29 %</w:t>
            </w:r>
          </w:p>
        </w:tc>
        <w:tc>
          <w:tcPr>
            <w:tcW w:w="1021" w:type="dxa"/>
            <w:tcBorders>
              <w:top w:val="single" w:sz="4" w:space="0" w:color="auto"/>
              <w:left w:val="nil"/>
              <w:bottom w:val="nil"/>
              <w:right w:val="single" w:sz="8" w:space="0" w:color="auto"/>
            </w:tcBorders>
            <w:shd w:val="clear" w:color="auto" w:fill="auto"/>
            <w:noWrap/>
            <w:vAlign w:val="center"/>
          </w:tcPr>
          <w:p>
            <w:pPr>
              <w:spacing w:before="40" w:after="40"/>
              <w:jc w:val="right"/>
              <w:rPr>
                <w:i/>
                <w:noProof/>
                <w:color w:val="215868" w:themeColor="accent5" w:themeShade="80"/>
                <w:sz w:val="20"/>
                <w:szCs w:val="20"/>
              </w:rPr>
            </w:pPr>
            <w:r>
              <w:rPr>
                <w:i/>
                <w:noProof/>
                <w:color w:val="215967"/>
                <w:sz w:val="20"/>
              </w:rPr>
              <w:t>1,29 %</w:t>
            </w:r>
          </w:p>
        </w:tc>
      </w:tr>
      <w:tr>
        <w:trPr>
          <w:trHeight w:val="227"/>
        </w:trPr>
        <w:tc>
          <w:tcPr>
            <w:tcW w:w="4479" w:type="dxa"/>
            <w:tcBorders>
              <w:top w:val="nil"/>
              <w:left w:val="single" w:sz="8" w:space="0" w:color="auto"/>
              <w:bottom w:val="single" w:sz="8" w:space="0" w:color="auto"/>
              <w:right w:val="single" w:sz="4" w:space="0" w:color="auto"/>
            </w:tcBorders>
            <w:shd w:val="clear" w:color="auto" w:fill="auto"/>
            <w:noWrap/>
            <w:vAlign w:val="center"/>
          </w:tcPr>
          <w:p>
            <w:pPr>
              <w:spacing w:before="40" w:after="40"/>
              <w:rPr>
                <w:i/>
                <w:noProof/>
                <w:color w:val="215868" w:themeColor="accent5" w:themeShade="80"/>
                <w:sz w:val="20"/>
                <w:szCs w:val="20"/>
              </w:rPr>
            </w:pPr>
            <w:r>
              <w:rPr>
                <w:i/>
                <w:noProof/>
                <w:color w:val="215967"/>
                <w:sz w:val="20"/>
              </w:rPr>
              <w:t>Таван на собствените ресурси, изразен в милиарди евро***</w:t>
            </w:r>
          </w:p>
        </w:tc>
        <w:tc>
          <w:tcPr>
            <w:tcW w:w="1020" w:type="dxa"/>
            <w:tcBorders>
              <w:top w:val="nil"/>
              <w:left w:val="single" w:sz="4" w:space="0" w:color="auto"/>
              <w:bottom w:val="single" w:sz="8" w:space="0" w:color="auto"/>
              <w:right w:val="single" w:sz="2" w:space="0" w:color="auto"/>
            </w:tcBorders>
            <w:shd w:val="clear" w:color="auto" w:fill="auto"/>
            <w:noWrap/>
            <w:vAlign w:val="center"/>
          </w:tcPr>
          <w:p>
            <w:pPr>
              <w:spacing w:before="40" w:after="40"/>
              <w:jc w:val="right"/>
              <w:rPr>
                <w:i/>
                <w:noProof/>
                <w:color w:val="215868" w:themeColor="accent5" w:themeShade="80"/>
                <w:sz w:val="20"/>
                <w:szCs w:val="20"/>
              </w:rPr>
            </w:pPr>
            <w:r>
              <w:rPr>
                <w:i/>
                <w:noProof/>
                <w:color w:val="215967"/>
                <w:sz w:val="20"/>
              </w:rPr>
              <w:t>203,9</w:t>
            </w:r>
          </w:p>
        </w:tc>
        <w:tc>
          <w:tcPr>
            <w:tcW w:w="1020" w:type="dxa"/>
            <w:tcBorders>
              <w:top w:val="nil"/>
              <w:left w:val="single" w:sz="2" w:space="0" w:color="auto"/>
              <w:bottom w:val="single" w:sz="8" w:space="0" w:color="auto"/>
              <w:right w:val="single" w:sz="2" w:space="0" w:color="auto"/>
            </w:tcBorders>
            <w:shd w:val="clear" w:color="auto" w:fill="auto"/>
            <w:noWrap/>
            <w:vAlign w:val="center"/>
          </w:tcPr>
          <w:p>
            <w:pPr>
              <w:spacing w:before="40" w:after="40"/>
              <w:jc w:val="right"/>
              <w:rPr>
                <w:i/>
                <w:noProof/>
                <w:color w:val="215868" w:themeColor="accent5" w:themeShade="80"/>
                <w:sz w:val="20"/>
                <w:szCs w:val="20"/>
              </w:rPr>
            </w:pPr>
            <w:r>
              <w:rPr>
                <w:i/>
                <w:noProof/>
                <w:color w:val="215967"/>
                <w:sz w:val="20"/>
              </w:rPr>
              <w:t>191,4</w:t>
            </w:r>
          </w:p>
        </w:tc>
        <w:tc>
          <w:tcPr>
            <w:tcW w:w="1020" w:type="dxa"/>
            <w:tcBorders>
              <w:top w:val="nil"/>
              <w:left w:val="single" w:sz="2" w:space="0" w:color="auto"/>
              <w:bottom w:val="single" w:sz="8" w:space="0" w:color="auto"/>
              <w:right w:val="single" w:sz="4" w:space="0" w:color="auto"/>
            </w:tcBorders>
            <w:shd w:val="clear" w:color="auto" w:fill="auto"/>
            <w:noWrap/>
            <w:vAlign w:val="center"/>
          </w:tcPr>
          <w:p>
            <w:pPr>
              <w:spacing w:before="40" w:after="40"/>
              <w:jc w:val="right"/>
              <w:rPr>
                <w:i/>
                <w:noProof/>
                <w:color w:val="215868" w:themeColor="accent5" w:themeShade="80"/>
                <w:sz w:val="20"/>
                <w:szCs w:val="20"/>
              </w:rPr>
            </w:pPr>
            <w:r>
              <w:rPr>
                <w:i/>
                <w:noProof/>
                <w:color w:val="215967"/>
                <w:sz w:val="20"/>
              </w:rPr>
              <w:t>197,1</w:t>
            </w:r>
          </w:p>
        </w:tc>
        <w:tc>
          <w:tcPr>
            <w:tcW w:w="1020" w:type="dxa"/>
            <w:tcBorders>
              <w:top w:val="nil"/>
              <w:left w:val="nil"/>
              <w:bottom w:val="single" w:sz="8" w:space="0" w:color="auto"/>
              <w:right w:val="single" w:sz="4" w:space="0" w:color="auto"/>
            </w:tcBorders>
            <w:shd w:val="clear" w:color="auto" w:fill="auto"/>
            <w:noWrap/>
            <w:vAlign w:val="center"/>
          </w:tcPr>
          <w:p>
            <w:pPr>
              <w:spacing w:before="40" w:after="40"/>
              <w:jc w:val="right"/>
              <w:rPr>
                <w:i/>
                <w:noProof/>
                <w:color w:val="215868" w:themeColor="accent5" w:themeShade="80"/>
                <w:sz w:val="20"/>
                <w:szCs w:val="20"/>
              </w:rPr>
            </w:pPr>
            <w:r>
              <w:rPr>
                <w:i/>
                <w:noProof/>
                <w:color w:val="215967"/>
                <w:sz w:val="20"/>
              </w:rPr>
              <w:t>202,9</w:t>
            </w:r>
          </w:p>
        </w:tc>
        <w:tc>
          <w:tcPr>
            <w:tcW w:w="1021" w:type="dxa"/>
            <w:tcBorders>
              <w:top w:val="nil"/>
              <w:left w:val="nil"/>
              <w:bottom w:val="single" w:sz="8" w:space="0" w:color="auto"/>
              <w:right w:val="single" w:sz="8" w:space="0" w:color="auto"/>
            </w:tcBorders>
            <w:shd w:val="clear" w:color="auto" w:fill="auto"/>
            <w:noWrap/>
            <w:vAlign w:val="center"/>
          </w:tcPr>
          <w:p>
            <w:pPr>
              <w:spacing w:before="40" w:after="40"/>
              <w:jc w:val="right"/>
              <w:rPr>
                <w:i/>
                <w:noProof/>
                <w:color w:val="215868" w:themeColor="accent5" w:themeShade="80"/>
                <w:sz w:val="20"/>
                <w:szCs w:val="20"/>
              </w:rPr>
            </w:pPr>
            <w:r>
              <w:rPr>
                <w:i/>
                <w:noProof/>
                <w:color w:val="215967"/>
                <w:sz w:val="20"/>
              </w:rPr>
              <w:t>209,2</w:t>
            </w:r>
          </w:p>
        </w:tc>
      </w:tr>
      <w:tr>
        <w:trPr>
          <w:trHeight w:val="227"/>
        </w:trPr>
        <w:tc>
          <w:tcPr>
            <w:tcW w:w="4479" w:type="dxa"/>
            <w:tcBorders>
              <w:top w:val="single" w:sz="8" w:space="0" w:color="auto"/>
              <w:left w:val="single" w:sz="8" w:space="0" w:color="auto"/>
              <w:bottom w:val="nil"/>
              <w:right w:val="single" w:sz="4" w:space="0" w:color="auto"/>
            </w:tcBorders>
            <w:shd w:val="clear" w:color="auto" w:fill="auto"/>
            <w:noWrap/>
            <w:vAlign w:val="center"/>
            <w:hideMark/>
          </w:tcPr>
          <w:p>
            <w:pPr>
              <w:spacing w:before="40" w:after="40"/>
              <w:rPr>
                <w:b/>
                <w:noProof/>
                <w:color w:val="000000"/>
                <w:sz w:val="20"/>
                <w:szCs w:val="20"/>
              </w:rPr>
            </w:pPr>
            <w:r>
              <w:rPr>
                <w:b/>
                <w:noProof/>
                <w:color w:val="000000"/>
                <w:sz w:val="20"/>
              </w:rPr>
              <w:t>Общо собствени ресурси:</w:t>
            </w:r>
          </w:p>
        </w:tc>
        <w:tc>
          <w:tcPr>
            <w:tcW w:w="1020" w:type="dxa"/>
            <w:tcBorders>
              <w:top w:val="single" w:sz="8" w:space="0" w:color="auto"/>
              <w:left w:val="single" w:sz="4" w:space="0" w:color="auto"/>
              <w:bottom w:val="nil"/>
              <w:right w:val="single" w:sz="2" w:space="0" w:color="auto"/>
            </w:tcBorders>
            <w:shd w:val="clear" w:color="auto" w:fill="auto"/>
            <w:noWrap/>
            <w:vAlign w:val="center"/>
            <w:hideMark/>
          </w:tcPr>
          <w:p>
            <w:pPr>
              <w:spacing w:before="40" w:after="40"/>
              <w:jc w:val="right"/>
              <w:rPr>
                <w:b/>
                <w:noProof/>
                <w:sz w:val="20"/>
                <w:szCs w:val="20"/>
              </w:rPr>
            </w:pPr>
            <w:r>
              <w:rPr>
                <w:b/>
                <w:noProof/>
                <w:color w:val="000000"/>
                <w:sz w:val="20"/>
              </w:rPr>
              <w:t>151,6</w:t>
            </w:r>
          </w:p>
        </w:tc>
        <w:tc>
          <w:tcPr>
            <w:tcW w:w="1020" w:type="dxa"/>
            <w:tcBorders>
              <w:top w:val="single" w:sz="8" w:space="0" w:color="auto"/>
              <w:left w:val="single" w:sz="2" w:space="0" w:color="auto"/>
              <w:bottom w:val="nil"/>
              <w:right w:val="single" w:sz="2" w:space="0" w:color="auto"/>
            </w:tcBorders>
            <w:shd w:val="clear" w:color="auto" w:fill="auto"/>
            <w:noWrap/>
            <w:vAlign w:val="center"/>
            <w:hideMark/>
          </w:tcPr>
          <w:p>
            <w:pPr>
              <w:spacing w:before="40" w:after="40"/>
              <w:jc w:val="right"/>
              <w:rPr>
                <w:b/>
                <w:noProof/>
                <w:color w:val="000000"/>
                <w:sz w:val="20"/>
                <w:szCs w:val="20"/>
              </w:rPr>
            </w:pPr>
            <w:r>
              <w:rPr>
                <w:b/>
                <w:noProof/>
                <w:color w:val="000000"/>
                <w:sz w:val="20"/>
              </w:rPr>
              <w:t>157,2</w:t>
            </w:r>
          </w:p>
        </w:tc>
        <w:tc>
          <w:tcPr>
            <w:tcW w:w="1020" w:type="dxa"/>
            <w:tcBorders>
              <w:top w:val="single" w:sz="8" w:space="0" w:color="auto"/>
              <w:left w:val="single" w:sz="2" w:space="0" w:color="auto"/>
              <w:bottom w:val="nil"/>
              <w:right w:val="single" w:sz="4" w:space="0" w:color="auto"/>
            </w:tcBorders>
            <w:shd w:val="clear" w:color="auto" w:fill="auto"/>
            <w:noWrap/>
            <w:vAlign w:val="center"/>
            <w:hideMark/>
          </w:tcPr>
          <w:p>
            <w:pPr>
              <w:spacing w:before="40" w:after="40"/>
              <w:jc w:val="right"/>
              <w:rPr>
                <w:b/>
                <w:noProof/>
                <w:color w:val="000000"/>
                <w:sz w:val="20"/>
                <w:szCs w:val="20"/>
              </w:rPr>
            </w:pPr>
            <w:r>
              <w:rPr>
                <w:b/>
                <w:noProof/>
                <w:color w:val="000000"/>
                <w:sz w:val="20"/>
              </w:rPr>
              <w:t>162,3</w:t>
            </w:r>
          </w:p>
        </w:tc>
        <w:tc>
          <w:tcPr>
            <w:tcW w:w="1020" w:type="dxa"/>
            <w:tcBorders>
              <w:top w:val="single" w:sz="8" w:space="0" w:color="auto"/>
              <w:left w:val="nil"/>
              <w:bottom w:val="nil"/>
              <w:right w:val="single" w:sz="4" w:space="0" w:color="auto"/>
            </w:tcBorders>
            <w:shd w:val="clear" w:color="auto" w:fill="auto"/>
            <w:noWrap/>
            <w:vAlign w:val="center"/>
            <w:hideMark/>
          </w:tcPr>
          <w:p>
            <w:pPr>
              <w:spacing w:before="40" w:after="40"/>
              <w:jc w:val="right"/>
              <w:rPr>
                <w:b/>
                <w:noProof/>
                <w:color w:val="000000"/>
                <w:sz w:val="20"/>
                <w:szCs w:val="20"/>
              </w:rPr>
            </w:pPr>
            <w:r>
              <w:rPr>
                <w:b/>
                <w:noProof/>
                <w:color w:val="000000"/>
                <w:sz w:val="20"/>
              </w:rPr>
              <w:t>176,2</w:t>
            </w:r>
          </w:p>
        </w:tc>
        <w:tc>
          <w:tcPr>
            <w:tcW w:w="1021" w:type="dxa"/>
            <w:tcBorders>
              <w:top w:val="single" w:sz="8" w:space="0" w:color="auto"/>
              <w:left w:val="nil"/>
              <w:bottom w:val="nil"/>
              <w:right w:val="single" w:sz="8" w:space="0" w:color="auto"/>
            </w:tcBorders>
            <w:shd w:val="clear" w:color="auto" w:fill="auto"/>
            <w:noWrap/>
            <w:vAlign w:val="center"/>
            <w:hideMark/>
          </w:tcPr>
          <w:p>
            <w:pPr>
              <w:spacing w:before="40" w:after="40"/>
              <w:jc w:val="right"/>
              <w:rPr>
                <w:b/>
                <w:noProof/>
                <w:color w:val="000000"/>
                <w:sz w:val="20"/>
                <w:szCs w:val="20"/>
              </w:rPr>
            </w:pPr>
            <w:r>
              <w:rPr>
                <w:b/>
                <w:noProof/>
                <w:color w:val="000000"/>
                <w:sz w:val="20"/>
              </w:rPr>
              <w:t>183,3</w:t>
            </w:r>
          </w:p>
        </w:tc>
      </w:tr>
      <w:tr>
        <w:trPr>
          <w:trHeight w:val="227"/>
        </w:trPr>
        <w:tc>
          <w:tcPr>
            <w:tcW w:w="4479" w:type="dxa"/>
            <w:tcBorders>
              <w:top w:val="nil"/>
              <w:left w:val="single" w:sz="8" w:space="0" w:color="auto"/>
              <w:bottom w:val="nil"/>
              <w:right w:val="single" w:sz="4" w:space="0" w:color="auto"/>
            </w:tcBorders>
            <w:shd w:val="clear" w:color="auto" w:fill="auto"/>
            <w:noWrap/>
            <w:vAlign w:val="center"/>
            <w:hideMark/>
          </w:tcPr>
          <w:p>
            <w:pPr>
              <w:spacing w:before="40" w:after="40"/>
              <w:jc w:val="right"/>
              <w:rPr>
                <w:i/>
                <w:iCs/>
                <w:noProof/>
                <w:color w:val="000000"/>
                <w:sz w:val="20"/>
                <w:szCs w:val="20"/>
              </w:rPr>
            </w:pPr>
            <w:r>
              <w:rPr>
                <w:i/>
                <w:noProof/>
                <w:color w:val="000000"/>
                <w:sz w:val="20"/>
              </w:rPr>
              <w:t>от които нетен размер на традиционните собствени ресурси</w:t>
            </w:r>
          </w:p>
        </w:tc>
        <w:tc>
          <w:tcPr>
            <w:tcW w:w="1020" w:type="dxa"/>
            <w:tcBorders>
              <w:top w:val="nil"/>
              <w:left w:val="single" w:sz="4" w:space="0" w:color="auto"/>
              <w:bottom w:val="nil"/>
              <w:right w:val="single" w:sz="2" w:space="0" w:color="auto"/>
            </w:tcBorders>
            <w:shd w:val="clear" w:color="auto" w:fill="auto"/>
            <w:noWrap/>
            <w:vAlign w:val="center"/>
            <w:hideMark/>
          </w:tcPr>
          <w:p>
            <w:pPr>
              <w:spacing w:before="40" w:after="40"/>
              <w:jc w:val="right"/>
              <w:rPr>
                <w:noProof/>
                <w:sz w:val="20"/>
                <w:szCs w:val="20"/>
              </w:rPr>
            </w:pPr>
            <w:r>
              <w:rPr>
                <w:noProof/>
                <w:color w:val="000000"/>
                <w:sz w:val="20"/>
              </w:rPr>
              <w:t>22,2</w:t>
            </w:r>
          </w:p>
        </w:tc>
        <w:tc>
          <w:tcPr>
            <w:tcW w:w="1020" w:type="dxa"/>
            <w:tcBorders>
              <w:top w:val="nil"/>
              <w:left w:val="single" w:sz="2" w:space="0" w:color="auto"/>
              <w:bottom w:val="nil"/>
              <w:right w:val="single" w:sz="2" w:space="0" w:color="auto"/>
            </w:tcBorders>
            <w:shd w:val="clear" w:color="auto" w:fill="auto"/>
            <w:noWrap/>
            <w:vAlign w:val="center"/>
            <w:hideMark/>
          </w:tcPr>
          <w:p>
            <w:pPr>
              <w:spacing w:before="40" w:after="40"/>
              <w:jc w:val="right"/>
              <w:rPr>
                <w:noProof/>
                <w:color w:val="000000"/>
                <w:sz w:val="20"/>
                <w:szCs w:val="20"/>
              </w:rPr>
            </w:pPr>
            <w:r>
              <w:rPr>
                <w:noProof/>
                <w:color w:val="000000"/>
                <w:sz w:val="20"/>
              </w:rPr>
              <w:t>21,8</w:t>
            </w:r>
          </w:p>
        </w:tc>
        <w:tc>
          <w:tcPr>
            <w:tcW w:w="1020" w:type="dxa"/>
            <w:tcBorders>
              <w:top w:val="nil"/>
              <w:left w:val="single" w:sz="2" w:space="0" w:color="auto"/>
              <w:bottom w:val="nil"/>
              <w:right w:val="single" w:sz="4" w:space="0" w:color="auto"/>
            </w:tcBorders>
            <w:shd w:val="clear" w:color="auto" w:fill="auto"/>
            <w:noWrap/>
            <w:vAlign w:val="center"/>
            <w:hideMark/>
          </w:tcPr>
          <w:p>
            <w:pPr>
              <w:spacing w:before="40" w:after="40"/>
              <w:jc w:val="right"/>
              <w:rPr>
                <w:noProof/>
                <w:color w:val="000000"/>
                <w:sz w:val="20"/>
                <w:szCs w:val="20"/>
              </w:rPr>
            </w:pPr>
            <w:r>
              <w:rPr>
                <w:noProof/>
                <w:color w:val="000000"/>
                <w:sz w:val="20"/>
              </w:rPr>
              <w:t>22,4</w:t>
            </w:r>
          </w:p>
        </w:tc>
        <w:tc>
          <w:tcPr>
            <w:tcW w:w="1020" w:type="dxa"/>
            <w:tcBorders>
              <w:top w:val="nil"/>
              <w:left w:val="nil"/>
              <w:bottom w:val="nil"/>
              <w:right w:val="single" w:sz="4" w:space="0" w:color="auto"/>
            </w:tcBorders>
            <w:shd w:val="clear" w:color="auto" w:fill="auto"/>
            <w:noWrap/>
            <w:vAlign w:val="center"/>
            <w:hideMark/>
          </w:tcPr>
          <w:p>
            <w:pPr>
              <w:spacing w:before="40" w:after="40"/>
              <w:jc w:val="right"/>
              <w:rPr>
                <w:noProof/>
                <w:color w:val="000000"/>
                <w:sz w:val="20"/>
                <w:szCs w:val="20"/>
              </w:rPr>
            </w:pPr>
            <w:r>
              <w:rPr>
                <w:noProof/>
                <w:color w:val="000000"/>
                <w:sz w:val="20"/>
              </w:rPr>
              <w:t>23,2</w:t>
            </w:r>
          </w:p>
        </w:tc>
        <w:tc>
          <w:tcPr>
            <w:tcW w:w="1021" w:type="dxa"/>
            <w:tcBorders>
              <w:top w:val="nil"/>
              <w:left w:val="nil"/>
              <w:bottom w:val="nil"/>
              <w:right w:val="single" w:sz="8" w:space="0" w:color="auto"/>
            </w:tcBorders>
            <w:shd w:val="clear" w:color="auto" w:fill="auto"/>
            <w:noWrap/>
            <w:vAlign w:val="center"/>
            <w:hideMark/>
          </w:tcPr>
          <w:p>
            <w:pPr>
              <w:spacing w:before="40" w:after="40"/>
              <w:jc w:val="right"/>
              <w:rPr>
                <w:noProof/>
                <w:color w:val="000000"/>
                <w:sz w:val="20"/>
                <w:szCs w:val="20"/>
              </w:rPr>
            </w:pPr>
            <w:r>
              <w:rPr>
                <w:noProof/>
                <w:color w:val="000000"/>
                <w:sz w:val="20"/>
              </w:rPr>
              <w:t>23,9</w:t>
            </w:r>
          </w:p>
        </w:tc>
      </w:tr>
      <w:tr>
        <w:trPr>
          <w:trHeight w:val="227"/>
        </w:trPr>
        <w:tc>
          <w:tcPr>
            <w:tcW w:w="4479" w:type="dxa"/>
            <w:tcBorders>
              <w:top w:val="nil"/>
              <w:left w:val="single" w:sz="8" w:space="0" w:color="auto"/>
              <w:bottom w:val="single" w:sz="4" w:space="0" w:color="auto"/>
              <w:right w:val="single" w:sz="4" w:space="0" w:color="auto"/>
            </w:tcBorders>
            <w:shd w:val="clear" w:color="auto" w:fill="auto"/>
            <w:vAlign w:val="center"/>
            <w:hideMark/>
          </w:tcPr>
          <w:p>
            <w:pPr>
              <w:spacing w:before="40" w:after="40"/>
              <w:jc w:val="right"/>
              <w:rPr>
                <w:i/>
                <w:iCs/>
                <w:noProof/>
                <w:color w:val="000000"/>
                <w:sz w:val="20"/>
                <w:szCs w:val="20"/>
              </w:rPr>
            </w:pPr>
            <w:r>
              <w:rPr>
                <w:i/>
                <w:noProof/>
                <w:color w:val="000000"/>
                <w:sz w:val="20"/>
              </w:rPr>
              <w:t>от които национални вноски****</w:t>
            </w:r>
          </w:p>
        </w:tc>
        <w:tc>
          <w:tcPr>
            <w:tcW w:w="1020" w:type="dxa"/>
            <w:tcBorders>
              <w:top w:val="nil"/>
              <w:left w:val="single" w:sz="4" w:space="0" w:color="auto"/>
              <w:bottom w:val="single" w:sz="4" w:space="0" w:color="auto"/>
              <w:right w:val="single" w:sz="2" w:space="0" w:color="auto"/>
            </w:tcBorders>
            <w:shd w:val="clear" w:color="auto" w:fill="auto"/>
            <w:noWrap/>
            <w:vAlign w:val="center"/>
            <w:hideMark/>
          </w:tcPr>
          <w:p>
            <w:pPr>
              <w:spacing w:before="40" w:after="40"/>
              <w:jc w:val="right"/>
              <w:rPr>
                <w:noProof/>
                <w:sz w:val="20"/>
                <w:szCs w:val="20"/>
              </w:rPr>
            </w:pPr>
            <w:r>
              <w:rPr>
                <w:noProof/>
                <w:sz w:val="20"/>
              </w:rPr>
              <w:t>129,5</w:t>
            </w:r>
          </w:p>
        </w:tc>
        <w:tc>
          <w:tcPr>
            <w:tcW w:w="1020" w:type="dxa"/>
            <w:tcBorders>
              <w:top w:val="nil"/>
              <w:left w:val="single" w:sz="2" w:space="0" w:color="auto"/>
              <w:bottom w:val="single" w:sz="4" w:space="0" w:color="auto"/>
              <w:right w:val="single" w:sz="2" w:space="0" w:color="auto"/>
            </w:tcBorders>
            <w:shd w:val="clear" w:color="auto" w:fill="auto"/>
            <w:noWrap/>
            <w:vAlign w:val="center"/>
            <w:hideMark/>
          </w:tcPr>
          <w:p>
            <w:pPr>
              <w:spacing w:before="40" w:after="40"/>
              <w:jc w:val="right"/>
              <w:rPr>
                <w:noProof/>
                <w:color w:val="000000"/>
                <w:sz w:val="20"/>
                <w:szCs w:val="20"/>
              </w:rPr>
            </w:pPr>
            <w:r>
              <w:rPr>
                <w:noProof/>
                <w:color w:val="000000"/>
                <w:sz w:val="20"/>
              </w:rPr>
              <w:t>135,4</w:t>
            </w:r>
          </w:p>
        </w:tc>
        <w:tc>
          <w:tcPr>
            <w:tcW w:w="1020" w:type="dxa"/>
            <w:tcBorders>
              <w:top w:val="nil"/>
              <w:left w:val="single" w:sz="2" w:space="0" w:color="auto"/>
              <w:bottom w:val="single" w:sz="4" w:space="0" w:color="auto"/>
              <w:right w:val="single" w:sz="4" w:space="0" w:color="auto"/>
            </w:tcBorders>
            <w:shd w:val="clear" w:color="auto" w:fill="auto"/>
            <w:noWrap/>
            <w:vAlign w:val="center"/>
            <w:hideMark/>
          </w:tcPr>
          <w:p>
            <w:pPr>
              <w:spacing w:before="40" w:after="40"/>
              <w:jc w:val="right"/>
              <w:rPr>
                <w:noProof/>
                <w:color w:val="000000"/>
                <w:sz w:val="20"/>
                <w:szCs w:val="20"/>
              </w:rPr>
            </w:pPr>
            <w:r>
              <w:rPr>
                <w:noProof/>
                <w:color w:val="000000"/>
                <w:sz w:val="20"/>
              </w:rPr>
              <w:t>139,8</w:t>
            </w:r>
          </w:p>
        </w:tc>
        <w:tc>
          <w:tcPr>
            <w:tcW w:w="1020" w:type="dxa"/>
            <w:tcBorders>
              <w:top w:val="nil"/>
              <w:left w:val="nil"/>
              <w:bottom w:val="single" w:sz="4" w:space="0" w:color="auto"/>
              <w:right w:val="single" w:sz="4" w:space="0" w:color="auto"/>
            </w:tcBorders>
            <w:shd w:val="clear" w:color="auto" w:fill="auto"/>
            <w:noWrap/>
            <w:vAlign w:val="center"/>
            <w:hideMark/>
          </w:tcPr>
          <w:p>
            <w:pPr>
              <w:spacing w:before="40" w:after="40"/>
              <w:jc w:val="right"/>
              <w:rPr>
                <w:noProof/>
                <w:color w:val="000000"/>
                <w:sz w:val="20"/>
                <w:szCs w:val="20"/>
              </w:rPr>
            </w:pPr>
            <w:r>
              <w:rPr>
                <w:noProof/>
                <w:color w:val="000000"/>
                <w:sz w:val="20"/>
              </w:rPr>
              <w:t>153,1</w:t>
            </w:r>
          </w:p>
        </w:tc>
        <w:tc>
          <w:tcPr>
            <w:tcW w:w="1021" w:type="dxa"/>
            <w:tcBorders>
              <w:top w:val="nil"/>
              <w:left w:val="nil"/>
              <w:bottom w:val="single" w:sz="4" w:space="0" w:color="auto"/>
              <w:right w:val="single" w:sz="8" w:space="0" w:color="auto"/>
            </w:tcBorders>
            <w:shd w:val="clear" w:color="auto" w:fill="auto"/>
            <w:noWrap/>
            <w:vAlign w:val="center"/>
            <w:hideMark/>
          </w:tcPr>
          <w:p>
            <w:pPr>
              <w:spacing w:before="40" w:after="40"/>
              <w:jc w:val="right"/>
              <w:rPr>
                <w:noProof/>
                <w:color w:val="000000"/>
                <w:sz w:val="20"/>
                <w:szCs w:val="20"/>
              </w:rPr>
            </w:pPr>
            <w:r>
              <w:rPr>
                <w:noProof/>
                <w:color w:val="000000"/>
                <w:sz w:val="20"/>
              </w:rPr>
              <w:t>159,3</w:t>
            </w:r>
          </w:p>
        </w:tc>
      </w:tr>
      <w:tr>
        <w:trPr>
          <w:trHeight w:val="227"/>
        </w:trPr>
        <w:tc>
          <w:tcPr>
            <w:tcW w:w="4479" w:type="dxa"/>
            <w:tcBorders>
              <w:top w:val="nil"/>
              <w:left w:val="single" w:sz="8" w:space="0" w:color="auto"/>
              <w:bottom w:val="nil"/>
              <w:right w:val="single" w:sz="4" w:space="0" w:color="auto"/>
            </w:tcBorders>
            <w:shd w:val="clear" w:color="auto" w:fill="auto"/>
            <w:vAlign w:val="center"/>
            <w:hideMark/>
          </w:tcPr>
          <w:p>
            <w:pPr>
              <w:spacing w:before="40" w:after="40"/>
              <w:rPr>
                <w:noProof/>
                <w:color w:val="000000"/>
                <w:sz w:val="20"/>
                <w:szCs w:val="20"/>
              </w:rPr>
            </w:pPr>
            <w:r>
              <w:rPr>
                <w:noProof/>
                <w:color w:val="000000"/>
                <w:sz w:val="20"/>
              </w:rPr>
              <w:t>Други приходи</w:t>
            </w:r>
          </w:p>
        </w:tc>
        <w:tc>
          <w:tcPr>
            <w:tcW w:w="1020" w:type="dxa"/>
            <w:tcBorders>
              <w:top w:val="nil"/>
              <w:left w:val="single" w:sz="4" w:space="0" w:color="auto"/>
              <w:bottom w:val="nil"/>
              <w:right w:val="single" w:sz="2" w:space="0" w:color="auto"/>
            </w:tcBorders>
            <w:shd w:val="clear" w:color="auto" w:fill="auto"/>
            <w:noWrap/>
            <w:vAlign w:val="center"/>
            <w:hideMark/>
          </w:tcPr>
          <w:p>
            <w:pPr>
              <w:spacing w:before="40" w:after="40"/>
              <w:jc w:val="right"/>
              <w:rPr>
                <w:noProof/>
                <w:sz w:val="20"/>
                <w:szCs w:val="20"/>
              </w:rPr>
            </w:pPr>
            <w:r>
              <w:rPr>
                <w:noProof/>
                <w:sz w:val="20"/>
              </w:rPr>
              <w:t>2,0</w:t>
            </w:r>
          </w:p>
        </w:tc>
        <w:tc>
          <w:tcPr>
            <w:tcW w:w="1020" w:type="dxa"/>
            <w:tcBorders>
              <w:top w:val="nil"/>
              <w:left w:val="single" w:sz="2" w:space="0" w:color="auto"/>
              <w:bottom w:val="nil"/>
              <w:right w:val="single" w:sz="2" w:space="0" w:color="auto"/>
            </w:tcBorders>
            <w:shd w:val="clear" w:color="auto" w:fill="auto"/>
            <w:noWrap/>
            <w:vAlign w:val="center"/>
            <w:hideMark/>
          </w:tcPr>
          <w:p>
            <w:pPr>
              <w:spacing w:before="40" w:after="40"/>
              <w:jc w:val="right"/>
              <w:rPr>
                <w:noProof/>
                <w:color w:val="000000"/>
                <w:sz w:val="20"/>
                <w:szCs w:val="20"/>
              </w:rPr>
            </w:pPr>
            <w:r>
              <w:rPr>
                <w:noProof/>
                <w:color w:val="000000"/>
                <w:sz w:val="20"/>
              </w:rPr>
              <w:t>1,9</w:t>
            </w:r>
          </w:p>
        </w:tc>
        <w:tc>
          <w:tcPr>
            <w:tcW w:w="1020" w:type="dxa"/>
            <w:tcBorders>
              <w:top w:val="nil"/>
              <w:left w:val="single" w:sz="2" w:space="0" w:color="auto"/>
              <w:bottom w:val="nil"/>
              <w:right w:val="single" w:sz="4" w:space="0" w:color="auto"/>
            </w:tcBorders>
            <w:shd w:val="clear" w:color="auto" w:fill="auto"/>
            <w:noWrap/>
            <w:vAlign w:val="center"/>
            <w:hideMark/>
          </w:tcPr>
          <w:p>
            <w:pPr>
              <w:spacing w:before="40" w:after="40"/>
              <w:jc w:val="right"/>
              <w:rPr>
                <w:noProof/>
                <w:color w:val="000000"/>
                <w:sz w:val="20"/>
                <w:szCs w:val="20"/>
              </w:rPr>
            </w:pPr>
            <w:r>
              <w:rPr>
                <w:noProof/>
                <w:color w:val="000000"/>
                <w:sz w:val="20"/>
              </w:rPr>
              <w:t>1,9</w:t>
            </w:r>
          </w:p>
        </w:tc>
        <w:tc>
          <w:tcPr>
            <w:tcW w:w="1020" w:type="dxa"/>
            <w:tcBorders>
              <w:top w:val="nil"/>
              <w:left w:val="nil"/>
              <w:bottom w:val="nil"/>
              <w:right w:val="single" w:sz="4" w:space="0" w:color="auto"/>
            </w:tcBorders>
            <w:shd w:val="clear" w:color="auto" w:fill="auto"/>
            <w:noWrap/>
            <w:vAlign w:val="center"/>
            <w:hideMark/>
          </w:tcPr>
          <w:p>
            <w:pPr>
              <w:spacing w:before="40" w:after="40"/>
              <w:jc w:val="right"/>
              <w:rPr>
                <w:noProof/>
                <w:color w:val="000000"/>
                <w:sz w:val="20"/>
                <w:szCs w:val="20"/>
              </w:rPr>
            </w:pPr>
            <w:r>
              <w:rPr>
                <w:noProof/>
                <w:color w:val="000000"/>
                <w:sz w:val="20"/>
              </w:rPr>
              <w:t>1,9</w:t>
            </w:r>
          </w:p>
        </w:tc>
        <w:tc>
          <w:tcPr>
            <w:tcW w:w="1021" w:type="dxa"/>
            <w:tcBorders>
              <w:top w:val="nil"/>
              <w:left w:val="nil"/>
              <w:bottom w:val="nil"/>
              <w:right w:val="single" w:sz="8" w:space="0" w:color="auto"/>
            </w:tcBorders>
            <w:shd w:val="clear" w:color="auto" w:fill="auto"/>
            <w:noWrap/>
            <w:vAlign w:val="center"/>
            <w:hideMark/>
          </w:tcPr>
          <w:p>
            <w:pPr>
              <w:spacing w:before="40" w:after="40"/>
              <w:jc w:val="right"/>
              <w:rPr>
                <w:noProof/>
                <w:color w:val="000000"/>
                <w:sz w:val="20"/>
                <w:szCs w:val="20"/>
              </w:rPr>
            </w:pPr>
            <w:r>
              <w:rPr>
                <w:noProof/>
                <w:color w:val="000000"/>
                <w:sz w:val="20"/>
              </w:rPr>
              <w:t>1,9</w:t>
            </w:r>
          </w:p>
        </w:tc>
      </w:tr>
      <w:tr>
        <w:trPr>
          <w:trHeight w:val="227"/>
        </w:trPr>
        <w:tc>
          <w:tcPr>
            <w:tcW w:w="4479"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pPr>
              <w:spacing w:before="40" w:after="40"/>
              <w:rPr>
                <w:b/>
                <w:bCs/>
                <w:noProof/>
                <w:color w:val="000000"/>
                <w:sz w:val="20"/>
                <w:szCs w:val="20"/>
              </w:rPr>
            </w:pPr>
            <w:r>
              <w:rPr>
                <w:b/>
                <w:noProof/>
                <w:color w:val="000000"/>
                <w:sz w:val="20"/>
              </w:rPr>
              <w:t>Общо приходи</w:t>
            </w:r>
          </w:p>
        </w:tc>
        <w:tc>
          <w:tcPr>
            <w:tcW w:w="1020" w:type="dxa"/>
            <w:tcBorders>
              <w:top w:val="single" w:sz="4" w:space="0" w:color="auto"/>
              <w:left w:val="single" w:sz="4" w:space="0" w:color="auto"/>
              <w:bottom w:val="single" w:sz="8" w:space="0" w:color="auto"/>
              <w:right w:val="single" w:sz="2" w:space="0" w:color="auto"/>
            </w:tcBorders>
            <w:shd w:val="clear" w:color="auto" w:fill="auto"/>
            <w:noWrap/>
            <w:vAlign w:val="center"/>
            <w:hideMark/>
          </w:tcPr>
          <w:p>
            <w:pPr>
              <w:spacing w:before="40" w:after="40"/>
              <w:jc w:val="right"/>
              <w:rPr>
                <w:b/>
                <w:bCs/>
                <w:noProof/>
                <w:sz w:val="20"/>
                <w:szCs w:val="20"/>
              </w:rPr>
            </w:pPr>
            <w:r>
              <w:rPr>
                <w:b/>
                <w:noProof/>
                <w:sz w:val="20"/>
              </w:rPr>
              <w:t>153,6</w:t>
            </w:r>
          </w:p>
        </w:tc>
        <w:tc>
          <w:tcPr>
            <w:tcW w:w="1020" w:type="dxa"/>
            <w:tcBorders>
              <w:top w:val="single" w:sz="4" w:space="0" w:color="auto"/>
              <w:left w:val="single" w:sz="2" w:space="0" w:color="auto"/>
              <w:bottom w:val="single" w:sz="8" w:space="0" w:color="auto"/>
              <w:right w:val="single" w:sz="2" w:space="0" w:color="auto"/>
            </w:tcBorders>
            <w:shd w:val="clear" w:color="auto" w:fill="auto"/>
            <w:noWrap/>
            <w:vAlign w:val="center"/>
            <w:hideMark/>
          </w:tcPr>
          <w:p>
            <w:pPr>
              <w:spacing w:before="40" w:after="40"/>
              <w:jc w:val="right"/>
              <w:rPr>
                <w:b/>
                <w:bCs/>
                <w:noProof/>
                <w:color w:val="000000"/>
                <w:sz w:val="20"/>
                <w:szCs w:val="20"/>
              </w:rPr>
            </w:pPr>
            <w:r>
              <w:rPr>
                <w:b/>
                <w:noProof/>
                <w:color w:val="000000"/>
                <w:sz w:val="20"/>
              </w:rPr>
              <w:t>159,1</w:t>
            </w:r>
          </w:p>
        </w:tc>
        <w:tc>
          <w:tcPr>
            <w:tcW w:w="1020" w:type="dxa"/>
            <w:tcBorders>
              <w:top w:val="single" w:sz="4" w:space="0" w:color="auto"/>
              <w:left w:val="single" w:sz="2" w:space="0" w:color="auto"/>
              <w:bottom w:val="single" w:sz="8" w:space="0" w:color="auto"/>
              <w:right w:val="single" w:sz="4" w:space="0" w:color="auto"/>
            </w:tcBorders>
            <w:shd w:val="clear" w:color="auto" w:fill="auto"/>
            <w:noWrap/>
            <w:vAlign w:val="center"/>
            <w:hideMark/>
          </w:tcPr>
          <w:p>
            <w:pPr>
              <w:spacing w:before="40" w:after="40"/>
              <w:jc w:val="right"/>
              <w:rPr>
                <w:b/>
                <w:bCs/>
                <w:noProof/>
                <w:color w:val="000000"/>
                <w:sz w:val="20"/>
                <w:szCs w:val="20"/>
              </w:rPr>
            </w:pPr>
            <w:r>
              <w:rPr>
                <w:b/>
                <w:noProof/>
                <w:color w:val="000000"/>
                <w:sz w:val="20"/>
              </w:rPr>
              <w:t>164,2</w:t>
            </w:r>
          </w:p>
        </w:tc>
        <w:tc>
          <w:tcPr>
            <w:tcW w:w="1020" w:type="dxa"/>
            <w:tcBorders>
              <w:top w:val="single" w:sz="4" w:space="0" w:color="auto"/>
              <w:left w:val="nil"/>
              <w:bottom w:val="single" w:sz="8" w:space="0" w:color="auto"/>
              <w:right w:val="single" w:sz="4" w:space="0" w:color="auto"/>
            </w:tcBorders>
            <w:shd w:val="clear" w:color="auto" w:fill="auto"/>
            <w:noWrap/>
            <w:vAlign w:val="center"/>
            <w:hideMark/>
          </w:tcPr>
          <w:p>
            <w:pPr>
              <w:spacing w:before="40" w:after="40"/>
              <w:jc w:val="right"/>
              <w:rPr>
                <w:b/>
                <w:bCs/>
                <w:noProof/>
                <w:color w:val="000000"/>
                <w:sz w:val="20"/>
                <w:szCs w:val="20"/>
              </w:rPr>
            </w:pPr>
            <w:r>
              <w:rPr>
                <w:b/>
                <w:noProof/>
                <w:color w:val="000000"/>
                <w:sz w:val="20"/>
              </w:rPr>
              <w:t>178,1</w:t>
            </w:r>
          </w:p>
        </w:tc>
        <w:tc>
          <w:tcPr>
            <w:tcW w:w="1021" w:type="dxa"/>
            <w:tcBorders>
              <w:top w:val="single" w:sz="4" w:space="0" w:color="auto"/>
              <w:left w:val="nil"/>
              <w:bottom w:val="single" w:sz="8" w:space="0" w:color="auto"/>
              <w:right w:val="single" w:sz="8" w:space="0" w:color="auto"/>
            </w:tcBorders>
            <w:shd w:val="clear" w:color="auto" w:fill="auto"/>
            <w:noWrap/>
            <w:vAlign w:val="center"/>
            <w:hideMark/>
          </w:tcPr>
          <w:p>
            <w:pPr>
              <w:spacing w:before="40" w:after="40"/>
              <w:jc w:val="right"/>
              <w:rPr>
                <w:b/>
                <w:bCs/>
                <w:noProof/>
                <w:color w:val="000000"/>
                <w:sz w:val="20"/>
                <w:szCs w:val="20"/>
              </w:rPr>
            </w:pPr>
            <w:r>
              <w:rPr>
                <w:b/>
                <w:noProof/>
                <w:color w:val="000000"/>
                <w:sz w:val="20"/>
              </w:rPr>
              <w:t>185,2</w:t>
            </w:r>
          </w:p>
        </w:tc>
      </w:tr>
    </w:tbl>
    <w:p>
      <w:pPr>
        <w:pStyle w:val="Text1"/>
        <w:spacing w:after="0"/>
        <w:ind w:left="0"/>
        <w:rPr>
          <w:noProof/>
          <w:sz w:val="16"/>
          <w:szCs w:val="18"/>
        </w:rPr>
      </w:pPr>
      <w:r>
        <w:rPr>
          <w:noProof/>
          <w:sz w:val="16"/>
        </w:rPr>
        <w:t>* В общата сума за всяка функция са добавени плащанията за потенциалното използване на маржовете (включително и чрез общия марж за поетите задължения — резерв на Съюза), като тези плащания са временно разпределени пропорционално на маржовете по функциите.</w:t>
      </w:r>
    </w:p>
    <w:p>
      <w:pPr>
        <w:pStyle w:val="Text1"/>
        <w:spacing w:after="0"/>
        <w:ind w:left="0"/>
        <w:rPr>
          <w:noProof/>
          <w:spacing w:val="-6"/>
          <w:sz w:val="16"/>
          <w:szCs w:val="18"/>
        </w:rPr>
      </w:pPr>
      <w:r>
        <w:rPr>
          <w:noProof/>
          <w:spacing w:val="-6"/>
          <w:sz w:val="16"/>
        </w:rPr>
        <w:t>** Следните суми съответстват на плащанията, предвидени в проектобюджета за 2020 г. за Европейския фонд за приспособяване към глобализацията, фонд „Солидарност“ на Европейския съюз и резерва за спешна помощ. Поради специфичния им характер използването на тези инструменти след 2020 г. не може да се прогнозира. Бюджетните кредити за тези инструменти се разглеждат извън таваните, предвидени в многогодишната финансова рамка, за целите на изчисляването на съответните маржове. Това важи и за бюджетните кредити, свързани с Инструмента за гъвкавост.</w:t>
      </w:r>
    </w:p>
    <w:p>
      <w:pPr>
        <w:pStyle w:val="Text1"/>
        <w:spacing w:after="0"/>
        <w:ind w:left="0"/>
        <w:rPr>
          <w:noProof/>
          <w:sz w:val="16"/>
          <w:szCs w:val="18"/>
        </w:rPr>
      </w:pPr>
      <w:r>
        <w:rPr>
          <w:noProof/>
          <w:sz w:val="16"/>
        </w:rPr>
        <w:t>*** Изчислен въз основа на последната икономическа прогноза за брутния национален доход на ЕС-28 за 2020 г. и на ЕС-27 за периода 2021—2024 г.</w:t>
      </w:r>
    </w:p>
    <w:p>
      <w:pPr>
        <w:pStyle w:val="Text1"/>
        <w:spacing w:after="0"/>
        <w:ind w:left="0"/>
        <w:rPr>
          <w:noProof/>
          <w:sz w:val="16"/>
          <w:szCs w:val="18"/>
        </w:rPr>
      </w:pPr>
      <w:r>
        <w:rPr>
          <w:noProof/>
          <w:sz w:val="16"/>
        </w:rPr>
        <w:t>**** Националните вноски включват собствения ресурс на база брутния национален доход, собствения ресурс на база данък добавена стойност и новите собствени ресурси, включени в предложението на Комисията за МФР за периода 2021—2027 г. Вноската на Обединеното кралство за неизплатените задължения към края на 2020 г. ще представлява други приходи и следователно ще намали националните вноски.</w:t>
      </w:r>
    </w:p>
    <w:p>
      <w:pPr>
        <w:pStyle w:val="Text1"/>
        <w:spacing w:after="0"/>
        <w:ind w:left="0"/>
        <w:rPr>
          <w:noProof/>
        </w:rPr>
      </w:pPr>
      <w:r>
        <w:rPr>
          <w:noProof/>
        </w:rPr>
        <w:tab/>
      </w:r>
      <w:r>
        <w:rPr>
          <w:noProof/>
        </w:rPr>
        <w:tab/>
      </w:r>
    </w:p>
    <w:p>
      <w:pPr>
        <w:pStyle w:val="Caption"/>
        <w:keepNext/>
        <w:rPr>
          <w:noProof/>
        </w:rPr>
      </w:pPr>
      <w:r>
        <w:rPr>
          <w:noProof/>
        </w:rPr>
        <w:t xml:space="preserve">Таблица </w:t>
      </w:r>
      <w:r>
        <w:rPr>
          <w:noProof/>
        </w:rPr>
        <w:fldChar w:fldCharType="begin"/>
      </w:r>
      <w:r>
        <w:rPr>
          <w:noProof/>
        </w:rPr>
        <w:instrText xml:space="preserve"> SEQ Table \* ARABIC </w:instrText>
      </w:r>
      <w:r>
        <w:rPr>
          <w:noProof/>
        </w:rPr>
        <w:fldChar w:fldCharType="separate"/>
      </w:r>
      <w:r>
        <w:rPr>
          <w:noProof/>
        </w:rPr>
        <w:t>2</w:t>
      </w:r>
      <w:r>
        <w:rPr>
          <w:noProof/>
        </w:rPr>
        <w:fldChar w:fldCharType="end"/>
      </w:r>
      <w:r>
        <w:rPr>
          <w:noProof/>
        </w:rPr>
        <w:t xml:space="preserve"> — Прогноза за отменените бюджетни кредити за периода 2020—2024 г.</w:t>
      </w:r>
    </w:p>
    <w:tbl>
      <w:tblPr>
        <w:tblW w:w="10147" w:type="dxa"/>
        <w:tblInd w:w="93" w:type="dxa"/>
        <w:tblLook w:val="04A0" w:firstRow="1" w:lastRow="0" w:firstColumn="1" w:lastColumn="0" w:noHBand="0" w:noVBand="1"/>
      </w:tblPr>
      <w:tblGrid>
        <w:gridCol w:w="236"/>
        <w:gridCol w:w="236"/>
        <w:gridCol w:w="236"/>
        <w:gridCol w:w="4394"/>
        <w:gridCol w:w="1638"/>
        <w:gridCol w:w="1701"/>
        <w:gridCol w:w="1706"/>
      </w:tblGrid>
      <w:tr>
        <w:trPr>
          <w:trHeight w:val="300"/>
        </w:trPr>
        <w:tc>
          <w:tcPr>
            <w:tcW w:w="236" w:type="dxa"/>
            <w:tcBorders>
              <w:top w:val="nil"/>
              <w:left w:val="nil"/>
              <w:bottom w:val="nil"/>
              <w:right w:val="nil"/>
            </w:tcBorders>
            <w:shd w:val="clear" w:color="auto" w:fill="auto"/>
            <w:noWrap/>
            <w:vAlign w:val="center"/>
            <w:hideMark/>
          </w:tcPr>
          <w:p>
            <w:pPr>
              <w:rPr>
                <w:noProof/>
                <w:color w:val="000000"/>
                <w:sz w:val="20"/>
                <w:szCs w:val="22"/>
              </w:rPr>
            </w:pPr>
          </w:p>
        </w:tc>
        <w:tc>
          <w:tcPr>
            <w:tcW w:w="236" w:type="dxa"/>
            <w:tcBorders>
              <w:top w:val="nil"/>
              <w:left w:val="nil"/>
              <w:bottom w:val="nil"/>
              <w:right w:val="nil"/>
            </w:tcBorders>
            <w:shd w:val="clear" w:color="auto" w:fill="auto"/>
            <w:noWrap/>
            <w:vAlign w:val="center"/>
            <w:hideMark/>
          </w:tcPr>
          <w:p>
            <w:pPr>
              <w:rPr>
                <w:noProof/>
                <w:color w:val="000000"/>
                <w:sz w:val="20"/>
                <w:szCs w:val="22"/>
              </w:rPr>
            </w:pPr>
          </w:p>
        </w:tc>
        <w:tc>
          <w:tcPr>
            <w:tcW w:w="236" w:type="dxa"/>
            <w:tcBorders>
              <w:top w:val="nil"/>
              <w:left w:val="nil"/>
              <w:bottom w:val="nil"/>
              <w:right w:val="nil"/>
            </w:tcBorders>
            <w:shd w:val="clear" w:color="auto" w:fill="auto"/>
            <w:noWrap/>
            <w:vAlign w:val="center"/>
            <w:hideMark/>
          </w:tcPr>
          <w:p>
            <w:pPr>
              <w:rPr>
                <w:noProof/>
                <w:color w:val="000000"/>
                <w:sz w:val="20"/>
                <w:szCs w:val="22"/>
              </w:rPr>
            </w:pPr>
          </w:p>
        </w:tc>
        <w:tc>
          <w:tcPr>
            <w:tcW w:w="9439" w:type="dxa"/>
            <w:gridSpan w:val="4"/>
            <w:tcBorders>
              <w:top w:val="nil"/>
              <w:left w:val="nil"/>
              <w:bottom w:val="nil"/>
              <w:right w:val="nil"/>
            </w:tcBorders>
            <w:shd w:val="clear" w:color="auto" w:fill="auto"/>
            <w:noWrap/>
            <w:vAlign w:val="center"/>
            <w:hideMark/>
          </w:tcPr>
          <w:p>
            <w:pPr>
              <w:jc w:val="right"/>
              <w:rPr>
                <w:i/>
                <w:iCs/>
                <w:noProof/>
                <w:color w:val="000000"/>
                <w:sz w:val="20"/>
                <w:szCs w:val="22"/>
              </w:rPr>
            </w:pPr>
            <w:r>
              <w:rPr>
                <w:i/>
                <w:noProof/>
                <w:color w:val="000000"/>
                <w:sz w:val="20"/>
              </w:rPr>
              <w:t>в милиарди евро по текущи цени</w:t>
            </w:r>
          </w:p>
        </w:tc>
      </w:tr>
      <w:tr>
        <w:trPr>
          <w:trHeight w:val="675"/>
        </w:trPr>
        <w:tc>
          <w:tcPr>
            <w:tcW w:w="5102" w:type="dxa"/>
            <w:gridSpan w:val="4"/>
            <w:vMerge w:val="restart"/>
            <w:tcBorders>
              <w:top w:val="single" w:sz="4" w:space="0" w:color="4F81BD"/>
              <w:left w:val="nil"/>
              <w:bottom w:val="single" w:sz="4" w:space="0" w:color="4F81BD"/>
              <w:right w:val="nil"/>
            </w:tcBorders>
            <w:shd w:val="clear" w:color="auto" w:fill="auto"/>
            <w:vAlign w:val="center"/>
            <w:hideMark/>
          </w:tcPr>
          <w:p>
            <w:pPr>
              <w:jc w:val="center"/>
              <w:rPr>
                <w:b/>
                <w:bCs/>
                <w:noProof/>
                <w:sz w:val="20"/>
                <w:szCs w:val="20"/>
              </w:rPr>
            </w:pPr>
            <w:r>
              <w:rPr>
                <w:b/>
                <w:noProof/>
                <w:sz w:val="20"/>
              </w:rPr>
              <w:t>Отмяна на бюджетни кредити*</w:t>
            </w:r>
          </w:p>
        </w:tc>
        <w:tc>
          <w:tcPr>
            <w:tcW w:w="1638" w:type="dxa"/>
            <w:tcBorders>
              <w:top w:val="single" w:sz="4" w:space="0" w:color="4F81BD"/>
              <w:left w:val="nil"/>
              <w:bottom w:val="single" w:sz="4" w:space="0" w:color="4F81BD"/>
              <w:right w:val="nil"/>
            </w:tcBorders>
            <w:shd w:val="clear" w:color="auto" w:fill="auto"/>
            <w:vAlign w:val="center"/>
            <w:hideMark/>
          </w:tcPr>
          <w:p>
            <w:pPr>
              <w:rPr>
                <w:b/>
                <w:bCs/>
                <w:noProof/>
                <w:sz w:val="20"/>
                <w:szCs w:val="20"/>
              </w:rPr>
            </w:pPr>
            <w:r>
              <w:rPr>
                <w:b/>
                <w:noProof/>
                <w:sz w:val="20"/>
              </w:rPr>
              <w:t>По задължения, поети преди 2014 г.</w:t>
            </w:r>
          </w:p>
        </w:tc>
        <w:tc>
          <w:tcPr>
            <w:tcW w:w="1701" w:type="dxa"/>
            <w:tcBorders>
              <w:top w:val="single" w:sz="4" w:space="0" w:color="4F81BD"/>
              <w:left w:val="nil"/>
              <w:bottom w:val="single" w:sz="4" w:space="0" w:color="4F81BD"/>
              <w:right w:val="nil"/>
            </w:tcBorders>
            <w:shd w:val="clear" w:color="auto" w:fill="auto"/>
            <w:vAlign w:val="center"/>
            <w:hideMark/>
          </w:tcPr>
          <w:p>
            <w:pPr>
              <w:jc w:val="center"/>
              <w:rPr>
                <w:b/>
                <w:bCs/>
                <w:noProof/>
                <w:sz w:val="20"/>
                <w:szCs w:val="20"/>
              </w:rPr>
            </w:pPr>
            <w:r>
              <w:rPr>
                <w:b/>
                <w:noProof/>
                <w:sz w:val="20"/>
              </w:rPr>
              <w:t>По задължения, поети за периода 2014—2020 г.</w:t>
            </w:r>
          </w:p>
        </w:tc>
        <w:tc>
          <w:tcPr>
            <w:tcW w:w="1706" w:type="dxa"/>
            <w:tcBorders>
              <w:top w:val="single" w:sz="4" w:space="0" w:color="4F81BD"/>
              <w:left w:val="nil"/>
              <w:bottom w:val="nil"/>
              <w:right w:val="nil"/>
            </w:tcBorders>
            <w:shd w:val="clear" w:color="auto" w:fill="auto"/>
            <w:vAlign w:val="center"/>
            <w:hideMark/>
          </w:tcPr>
          <w:p>
            <w:pPr>
              <w:jc w:val="center"/>
              <w:rPr>
                <w:b/>
                <w:bCs/>
                <w:noProof/>
                <w:sz w:val="20"/>
                <w:szCs w:val="20"/>
              </w:rPr>
            </w:pPr>
            <w:r>
              <w:rPr>
                <w:b/>
                <w:noProof/>
                <w:sz w:val="20"/>
              </w:rPr>
              <w:t>ОБЩО 2020—2024 г.</w:t>
            </w:r>
          </w:p>
        </w:tc>
      </w:tr>
      <w:tr>
        <w:trPr>
          <w:trHeight w:val="300"/>
        </w:trPr>
        <w:tc>
          <w:tcPr>
            <w:tcW w:w="5102" w:type="dxa"/>
            <w:gridSpan w:val="4"/>
            <w:vMerge/>
            <w:tcBorders>
              <w:top w:val="single" w:sz="4" w:space="0" w:color="4F81BD"/>
              <w:left w:val="nil"/>
              <w:bottom w:val="single" w:sz="4" w:space="0" w:color="4F81BD"/>
              <w:right w:val="nil"/>
            </w:tcBorders>
            <w:vAlign w:val="center"/>
            <w:hideMark/>
          </w:tcPr>
          <w:p>
            <w:pPr>
              <w:rPr>
                <w:b/>
                <w:bCs/>
                <w:noProof/>
                <w:sz w:val="20"/>
                <w:szCs w:val="20"/>
              </w:rPr>
            </w:pPr>
          </w:p>
        </w:tc>
        <w:tc>
          <w:tcPr>
            <w:tcW w:w="1638" w:type="dxa"/>
            <w:tcBorders>
              <w:top w:val="nil"/>
              <w:left w:val="nil"/>
              <w:bottom w:val="nil"/>
              <w:right w:val="nil"/>
            </w:tcBorders>
            <w:shd w:val="clear" w:color="auto" w:fill="auto"/>
            <w:vAlign w:val="center"/>
            <w:hideMark/>
          </w:tcPr>
          <w:p>
            <w:pPr>
              <w:jc w:val="center"/>
              <w:rPr>
                <w:i/>
                <w:iCs/>
                <w:noProof/>
                <w:sz w:val="20"/>
                <w:szCs w:val="20"/>
              </w:rPr>
            </w:pPr>
            <w:r>
              <w:rPr>
                <w:i/>
                <w:noProof/>
                <w:sz w:val="20"/>
              </w:rPr>
              <w:t>(а)</w:t>
            </w:r>
          </w:p>
        </w:tc>
        <w:tc>
          <w:tcPr>
            <w:tcW w:w="1701" w:type="dxa"/>
            <w:tcBorders>
              <w:top w:val="nil"/>
              <w:left w:val="nil"/>
              <w:bottom w:val="nil"/>
              <w:right w:val="nil"/>
            </w:tcBorders>
            <w:shd w:val="clear" w:color="auto" w:fill="auto"/>
            <w:vAlign w:val="center"/>
            <w:hideMark/>
          </w:tcPr>
          <w:p>
            <w:pPr>
              <w:jc w:val="center"/>
              <w:rPr>
                <w:i/>
                <w:iCs/>
                <w:noProof/>
                <w:sz w:val="20"/>
                <w:szCs w:val="20"/>
              </w:rPr>
            </w:pPr>
            <w:r>
              <w:rPr>
                <w:i/>
                <w:noProof/>
                <w:sz w:val="20"/>
              </w:rPr>
              <w:t>(б)</w:t>
            </w:r>
          </w:p>
        </w:tc>
        <w:tc>
          <w:tcPr>
            <w:tcW w:w="1706" w:type="dxa"/>
            <w:tcBorders>
              <w:top w:val="single" w:sz="4" w:space="0" w:color="4F81BD"/>
              <w:left w:val="nil"/>
              <w:bottom w:val="nil"/>
              <w:right w:val="nil"/>
            </w:tcBorders>
            <w:shd w:val="clear" w:color="auto" w:fill="auto"/>
            <w:vAlign w:val="center"/>
            <w:hideMark/>
          </w:tcPr>
          <w:p>
            <w:pPr>
              <w:jc w:val="center"/>
              <w:rPr>
                <w:i/>
                <w:iCs/>
                <w:noProof/>
                <w:sz w:val="20"/>
                <w:szCs w:val="20"/>
              </w:rPr>
            </w:pPr>
            <w:r>
              <w:rPr>
                <w:i/>
                <w:noProof/>
                <w:sz w:val="20"/>
              </w:rPr>
              <w:t>(а+б)</w:t>
            </w:r>
          </w:p>
        </w:tc>
      </w:tr>
      <w:tr>
        <w:trPr>
          <w:trHeight w:val="375"/>
        </w:trPr>
        <w:tc>
          <w:tcPr>
            <w:tcW w:w="5102" w:type="dxa"/>
            <w:gridSpan w:val="4"/>
            <w:tcBorders>
              <w:top w:val="nil"/>
              <w:left w:val="nil"/>
              <w:bottom w:val="nil"/>
              <w:right w:val="nil"/>
            </w:tcBorders>
            <w:shd w:val="clear" w:color="auto" w:fill="auto"/>
            <w:noWrap/>
            <w:vAlign w:val="center"/>
            <w:hideMark/>
          </w:tcPr>
          <w:p>
            <w:pPr>
              <w:rPr>
                <w:noProof/>
                <w:sz w:val="20"/>
                <w:szCs w:val="20"/>
              </w:rPr>
            </w:pPr>
            <w:r>
              <w:rPr>
                <w:noProof/>
                <w:sz w:val="20"/>
              </w:rPr>
              <w:t>1а. Конкурентоспособност за растеж и работни места</w:t>
            </w:r>
          </w:p>
        </w:tc>
        <w:tc>
          <w:tcPr>
            <w:tcW w:w="1638" w:type="dxa"/>
            <w:tcBorders>
              <w:top w:val="single" w:sz="4" w:space="0" w:color="4F81BD"/>
              <w:left w:val="nil"/>
              <w:bottom w:val="nil"/>
              <w:right w:val="nil"/>
            </w:tcBorders>
            <w:shd w:val="clear" w:color="auto" w:fill="auto"/>
            <w:noWrap/>
            <w:vAlign w:val="center"/>
            <w:hideMark/>
          </w:tcPr>
          <w:p>
            <w:pPr>
              <w:jc w:val="right"/>
              <w:rPr>
                <w:noProof/>
                <w:sz w:val="20"/>
                <w:szCs w:val="20"/>
              </w:rPr>
            </w:pPr>
            <w:r>
              <w:rPr>
                <w:noProof/>
                <w:sz w:val="20"/>
              </w:rPr>
              <w:t>-0,3</w:t>
            </w:r>
          </w:p>
        </w:tc>
        <w:tc>
          <w:tcPr>
            <w:tcW w:w="1701" w:type="dxa"/>
            <w:tcBorders>
              <w:top w:val="single" w:sz="4" w:space="0" w:color="4F81BD"/>
              <w:left w:val="nil"/>
              <w:bottom w:val="nil"/>
              <w:right w:val="nil"/>
            </w:tcBorders>
            <w:shd w:val="clear" w:color="auto" w:fill="auto"/>
            <w:noWrap/>
            <w:vAlign w:val="center"/>
            <w:hideMark/>
          </w:tcPr>
          <w:p>
            <w:pPr>
              <w:jc w:val="right"/>
              <w:rPr>
                <w:noProof/>
                <w:sz w:val="20"/>
                <w:szCs w:val="20"/>
              </w:rPr>
            </w:pPr>
            <w:r>
              <w:rPr>
                <w:noProof/>
                <w:sz w:val="20"/>
              </w:rPr>
              <w:t>-1,1</w:t>
            </w:r>
          </w:p>
        </w:tc>
        <w:tc>
          <w:tcPr>
            <w:tcW w:w="1706" w:type="dxa"/>
            <w:tcBorders>
              <w:top w:val="single" w:sz="4" w:space="0" w:color="4F81BD"/>
              <w:left w:val="nil"/>
              <w:bottom w:val="nil"/>
              <w:right w:val="nil"/>
            </w:tcBorders>
            <w:shd w:val="clear" w:color="auto" w:fill="auto"/>
            <w:noWrap/>
            <w:vAlign w:val="center"/>
            <w:hideMark/>
          </w:tcPr>
          <w:p>
            <w:pPr>
              <w:jc w:val="right"/>
              <w:rPr>
                <w:noProof/>
                <w:sz w:val="20"/>
                <w:szCs w:val="20"/>
              </w:rPr>
            </w:pPr>
            <w:r>
              <w:rPr>
                <w:noProof/>
                <w:sz w:val="20"/>
              </w:rPr>
              <w:t>-1,5</w:t>
            </w:r>
          </w:p>
        </w:tc>
      </w:tr>
      <w:tr>
        <w:trPr>
          <w:trHeight w:val="375"/>
        </w:trPr>
        <w:tc>
          <w:tcPr>
            <w:tcW w:w="5102" w:type="dxa"/>
            <w:gridSpan w:val="4"/>
            <w:tcBorders>
              <w:top w:val="single" w:sz="4" w:space="0" w:color="4F81BD"/>
              <w:left w:val="nil"/>
              <w:bottom w:val="nil"/>
              <w:right w:val="nil"/>
            </w:tcBorders>
            <w:shd w:val="clear" w:color="auto" w:fill="auto"/>
            <w:noWrap/>
            <w:vAlign w:val="center"/>
            <w:hideMark/>
          </w:tcPr>
          <w:p>
            <w:pPr>
              <w:rPr>
                <w:noProof/>
                <w:sz w:val="20"/>
                <w:szCs w:val="20"/>
              </w:rPr>
            </w:pPr>
            <w:r>
              <w:rPr>
                <w:noProof/>
                <w:sz w:val="20"/>
              </w:rPr>
              <w:t>1б. Икономическо, социално и териториално сближаване</w:t>
            </w:r>
          </w:p>
        </w:tc>
        <w:tc>
          <w:tcPr>
            <w:tcW w:w="1638" w:type="dxa"/>
            <w:tcBorders>
              <w:top w:val="single" w:sz="4" w:space="0" w:color="4F81BD"/>
              <w:left w:val="nil"/>
              <w:bottom w:val="nil"/>
              <w:right w:val="nil"/>
            </w:tcBorders>
            <w:shd w:val="clear" w:color="auto" w:fill="auto"/>
            <w:noWrap/>
            <w:vAlign w:val="center"/>
            <w:hideMark/>
          </w:tcPr>
          <w:p>
            <w:pPr>
              <w:jc w:val="right"/>
              <w:rPr>
                <w:noProof/>
                <w:sz w:val="20"/>
                <w:szCs w:val="20"/>
              </w:rPr>
            </w:pPr>
            <w:r>
              <w:rPr>
                <w:noProof/>
                <w:sz w:val="20"/>
              </w:rPr>
              <w:t>-0,8</w:t>
            </w:r>
          </w:p>
        </w:tc>
        <w:tc>
          <w:tcPr>
            <w:tcW w:w="1701" w:type="dxa"/>
            <w:tcBorders>
              <w:top w:val="single" w:sz="4" w:space="0" w:color="4F81BD"/>
              <w:left w:val="nil"/>
              <w:bottom w:val="nil"/>
              <w:right w:val="nil"/>
            </w:tcBorders>
            <w:shd w:val="clear" w:color="auto" w:fill="auto"/>
            <w:noWrap/>
            <w:vAlign w:val="center"/>
            <w:hideMark/>
          </w:tcPr>
          <w:p>
            <w:pPr>
              <w:jc w:val="right"/>
              <w:rPr>
                <w:noProof/>
                <w:sz w:val="20"/>
                <w:szCs w:val="20"/>
              </w:rPr>
            </w:pPr>
            <w:r>
              <w:rPr>
                <w:noProof/>
                <w:sz w:val="20"/>
              </w:rPr>
              <w:t>-2,3</w:t>
            </w:r>
          </w:p>
        </w:tc>
        <w:tc>
          <w:tcPr>
            <w:tcW w:w="1706" w:type="dxa"/>
            <w:tcBorders>
              <w:top w:val="single" w:sz="4" w:space="0" w:color="4F81BD"/>
              <w:left w:val="nil"/>
              <w:bottom w:val="nil"/>
              <w:right w:val="nil"/>
            </w:tcBorders>
            <w:shd w:val="clear" w:color="auto" w:fill="auto"/>
            <w:noWrap/>
            <w:vAlign w:val="center"/>
            <w:hideMark/>
          </w:tcPr>
          <w:p>
            <w:pPr>
              <w:jc w:val="right"/>
              <w:rPr>
                <w:noProof/>
                <w:sz w:val="20"/>
                <w:szCs w:val="20"/>
              </w:rPr>
            </w:pPr>
            <w:r>
              <w:rPr>
                <w:noProof/>
                <w:sz w:val="20"/>
              </w:rPr>
              <w:t>-3,1</w:t>
            </w:r>
          </w:p>
        </w:tc>
      </w:tr>
      <w:tr>
        <w:trPr>
          <w:trHeight w:val="375"/>
        </w:trPr>
        <w:tc>
          <w:tcPr>
            <w:tcW w:w="5102" w:type="dxa"/>
            <w:gridSpan w:val="4"/>
            <w:tcBorders>
              <w:top w:val="single" w:sz="4" w:space="0" w:color="4F81BD"/>
              <w:left w:val="nil"/>
              <w:bottom w:val="nil"/>
              <w:right w:val="nil"/>
            </w:tcBorders>
            <w:shd w:val="clear" w:color="auto" w:fill="auto"/>
            <w:noWrap/>
            <w:vAlign w:val="center"/>
            <w:hideMark/>
          </w:tcPr>
          <w:p>
            <w:pPr>
              <w:rPr>
                <w:noProof/>
                <w:sz w:val="20"/>
                <w:szCs w:val="20"/>
              </w:rPr>
            </w:pPr>
            <w:r>
              <w:rPr>
                <w:noProof/>
                <w:sz w:val="20"/>
              </w:rPr>
              <w:t>2. Устойчив растеж: природни ресурси</w:t>
            </w:r>
          </w:p>
        </w:tc>
        <w:tc>
          <w:tcPr>
            <w:tcW w:w="1638" w:type="dxa"/>
            <w:tcBorders>
              <w:top w:val="single" w:sz="4" w:space="0" w:color="4F81BD"/>
              <w:left w:val="nil"/>
              <w:bottom w:val="nil"/>
              <w:right w:val="nil"/>
            </w:tcBorders>
            <w:shd w:val="clear" w:color="auto" w:fill="auto"/>
            <w:noWrap/>
            <w:vAlign w:val="center"/>
            <w:hideMark/>
          </w:tcPr>
          <w:p>
            <w:pPr>
              <w:jc w:val="right"/>
              <w:rPr>
                <w:noProof/>
                <w:sz w:val="20"/>
                <w:szCs w:val="20"/>
              </w:rPr>
            </w:pPr>
            <w:r>
              <w:rPr>
                <w:noProof/>
                <w:sz w:val="20"/>
              </w:rPr>
              <w:t>-0,2</w:t>
            </w:r>
          </w:p>
        </w:tc>
        <w:tc>
          <w:tcPr>
            <w:tcW w:w="1701" w:type="dxa"/>
            <w:tcBorders>
              <w:top w:val="single" w:sz="4" w:space="0" w:color="4F81BD"/>
              <w:left w:val="nil"/>
              <w:bottom w:val="nil"/>
              <w:right w:val="nil"/>
            </w:tcBorders>
            <w:shd w:val="clear" w:color="auto" w:fill="auto"/>
            <w:noWrap/>
            <w:vAlign w:val="center"/>
            <w:hideMark/>
          </w:tcPr>
          <w:p>
            <w:pPr>
              <w:jc w:val="right"/>
              <w:rPr>
                <w:noProof/>
                <w:sz w:val="20"/>
                <w:szCs w:val="20"/>
              </w:rPr>
            </w:pPr>
            <w:r>
              <w:rPr>
                <w:noProof/>
                <w:sz w:val="20"/>
              </w:rPr>
              <w:t>-1,3</w:t>
            </w:r>
          </w:p>
        </w:tc>
        <w:tc>
          <w:tcPr>
            <w:tcW w:w="1706" w:type="dxa"/>
            <w:tcBorders>
              <w:top w:val="single" w:sz="4" w:space="0" w:color="4F81BD"/>
              <w:left w:val="nil"/>
              <w:bottom w:val="nil"/>
              <w:right w:val="nil"/>
            </w:tcBorders>
            <w:shd w:val="clear" w:color="auto" w:fill="auto"/>
            <w:noWrap/>
            <w:vAlign w:val="center"/>
            <w:hideMark/>
          </w:tcPr>
          <w:p>
            <w:pPr>
              <w:jc w:val="right"/>
              <w:rPr>
                <w:noProof/>
                <w:sz w:val="20"/>
                <w:szCs w:val="20"/>
              </w:rPr>
            </w:pPr>
            <w:r>
              <w:rPr>
                <w:noProof/>
                <w:sz w:val="20"/>
              </w:rPr>
              <w:t>-1,5</w:t>
            </w:r>
          </w:p>
        </w:tc>
      </w:tr>
      <w:tr>
        <w:trPr>
          <w:trHeight w:val="375"/>
        </w:trPr>
        <w:tc>
          <w:tcPr>
            <w:tcW w:w="5102" w:type="dxa"/>
            <w:gridSpan w:val="4"/>
            <w:tcBorders>
              <w:top w:val="single" w:sz="4" w:space="0" w:color="4F81BD"/>
              <w:left w:val="nil"/>
              <w:bottom w:val="nil"/>
              <w:right w:val="nil"/>
            </w:tcBorders>
            <w:shd w:val="clear" w:color="auto" w:fill="auto"/>
            <w:noWrap/>
            <w:vAlign w:val="center"/>
            <w:hideMark/>
          </w:tcPr>
          <w:p>
            <w:pPr>
              <w:rPr>
                <w:noProof/>
                <w:sz w:val="20"/>
                <w:szCs w:val="20"/>
              </w:rPr>
            </w:pPr>
            <w:r>
              <w:rPr>
                <w:noProof/>
                <w:sz w:val="20"/>
              </w:rPr>
              <w:t>3. Сигурност и гражданство</w:t>
            </w:r>
          </w:p>
        </w:tc>
        <w:tc>
          <w:tcPr>
            <w:tcW w:w="1638" w:type="dxa"/>
            <w:tcBorders>
              <w:top w:val="single" w:sz="4" w:space="0" w:color="4F81BD"/>
              <w:left w:val="nil"/>
              <w:bottom w:val="nil"/>
              <w:right w:val="nil"/>
            </w:tcBorders>
            <w:shd w:val="clear" w:color="auto" w:fill="auto"/>
            <w:noWrap/>
            <w:vAlign w:val="center"/>
            <w:hideMark/>
          </w:tcPr>
          <w:p>
            <w:pPr>
              <w:jc w:val="right"/>
              <w:rPr>
                <w:noProof/>
                <w:sz w:val="20"/>
                <w:szCs w:val="20"/>
              </w:rPr>
            </w:pPr>
            <w:r>
              <w:rPr>
                <w:noProof/>
                <w:sz w:val="20"/>
              </w:rPr>
              <w:t>-0,1</w:t>
            </w:r>
          </w:p>
        </w:tc>
        <w:tc>
          <w:tcPr>
            <w:tcW w:w="1701" w:type="dxa"/>
            <w:tcBorders>
              <w:top w:val="single" w:sz="4" w:space="0" w:color="4F81BD"/>
              <w:left w:val="nil"/>
              <w:bottom w:val="nil"/>
              <w:right w:val="nil"/>
            </w:tcBorders>
            <w:shd w:val="clear" w:color="auto" w:fill="auto"/>
            <w:noWrap/>
            <w:vAlign w:val="center"/>
            <w:hideMark/>
          </w:tcPr>
          <w:p>
            <w:pPr>
              <w:jc w:val="right"/>
              <w:rPr>
                <w:noProof/>
                <w:sz w:val="20"/>
                <w:szCs w:val="20"/>
              </w:rPr>
            </w:pPr>
            <w:r>
              <w:rPr>
                <w:noProof/>
                <w:sz w:val="20"/>
              </w:rPr>
              <w:t>-1,1</w:t>
            </w:r>
          </w:p>
        </w:tc>
        <w:tc>
          <w:tcPr>
            <w:tcW w:w="1706" w:type="dxa"/>
            <w:tcBorders>
              <w:top w:val="single" w:sz="4" w:space="0" w:color="4F81BD"/>
              <w:left w:val="nil"/>
              <w:bottom w:val="nil"/>
              <w:right w:val="nil"/>
            </w:tcBorders>
            <w:shd w:val="clear" w:color="auto" w:fill="auto"/>
            <w:noWrap/>
            <w:vAlign w:val="center"/>
            <w:hideMark/>
          </w:tcPr>
          <w:p>
            <w:pPr>
              <w:jc w:val="right"/>
              <w:rPr>
                <w:noProof/>
                <w:sz w:val="20"/>
                <w:szCs w:val="20"/>
              </w:rPr>
            </w:pPr>
            <w:r>
              <w:rPr>
                <w:noProof/>
                <w:sz w:val="20"/>
              </w:rPr>
              <w:t>-1,2</w:t>
            </w:r>
          </w:p>
        </w:tc>
      </w:tr>
      <w:tr>
        <w:trPr>
          <w:trHeight w:val="375"/>
        </w:trPr>
        <w:tc>
          <w:tcPr>
            <w:tcW w:w="5102" w:type="dxa"/>
            <w:gridSpan w:val="4"/>
            <w:tcBorders>
              <w:top w:val="single" w:sz="4" w:space="0" w:color="4F81BD"/>
              <w:left w:val="nil"/>
              <w:bottom w:val="nil"/>
              <w:right w:val="nil"/>
            </w:tcBorders>
            <w:shd w:val="clear" w:color="auto" w:fill="auto"/>
            <w:noWrap/>
            <w:vAlign w:val="center"/>
            <w:hideMark/>
          </w:tcPr>
          <w:p>
            <w:pPr>
              <w:rPr>
                <w:noProof/>
                <w:sz w:val="20"/>
                <w:szCs w:val="20"/>
              </w:rPr>
            </w:pPr>
            <w:r>
              <w:rPr>
                <w:noProof/>
                <w:sz w:val="20"/>
              </w:rPr>
              <w:t>4. Глобална Европа</w:t>
            </w:r>
          </w:p>
        </w:tc>
        <w:tc>
          <w:tcPr>
            <w:tcW w:w="1638" w:type="dxa"/>
            <w:tcBorders>
              <w:top w:val="single" w:sz="4" w:space="0" w:color="4F81BD"/>
              <w:left w:val="nil"/>
              <w:bottom w:val="nil"/>
              <w:right w:val="nil"/>
            </w:tcBorders>
            <w:shd w:val="clear" w:color="auto" w:fill="auto"/>
            <w:noWrap/>
            <w:vAlign w:val="center"/>
            <w:hideMark/>
          </w:tcPr>
          <w:p>
            <w:pPr>
              <w:jc w:val="right"/>
              <w:rPr>
                <w:noProof/>
                <w:sz w:val="20"/>
                <w:szCs w:val="20"/>
              </w:rPr>
            </w:pPr>
            <w:r>
              <w:rPr>
                <w:noProof/>
                <w:sz w:val="20"/>
              </w:rPr>
              <w:t>-0,3</w:t>
            </w:r>
          </w:p>
        </w:tc>
        <w:tc>
          <w:tcPr>
            <w:tcW w:w="1701" w:type="dxa"/>
            <w:tcBorders>
              <w:top w:val="single" w:sz="4" w:space="0" w:color="4F81BD"/>
              <w:left w:val="nil"/>
              <w:bottom w:val="nil"/>
              <w:right w:val="nil"/>
            </w:tcBorders>
            <w:shd w:val="clear" w:color="auto" w:fill="auto"/>
            <w:noWrap/>
            <w:vAlign w:val="center"/>
            <w:hideMark/>
          </w:tcPr>
          <w:p>
            <w:pPr>
              <w:jc w:val="right"/>
              <w:rPr>
                <w:noProof/>
                <w:sz w:val="20"/>
                <w:szCs w:val="20"/>
              </w:rPr>
            </w:pPr>
            <w:r>
              <w:rPr>
                <w:noProof/>
                <w:sz w:val="20"/>
              </w:rPr>
              <w:t>-0,3</w:t>
            </w:r>
          </w:p>
        </w:tc>
        <w:tc>
          <w:tcPr>
            <w:tcW w:w="1706" w:type="dxa"/>
            <w:tcBorders>
              <w:top w:val="single" w:sz="4" w:space="0" w:color="4F81BD"/>
              <w:left w:val="nil"/>
              <w:bottom w:val="nil"/>
              <w:right w:val="nil"/>
            </w:tcBorders>
            <w:shd w:val="clear" w:color="auto" w:fill="auto"/>
            <w:noWrap/>
            <w:vAlign w:val="center"/>
            <w:hideMark/>
          </w:tcPr>
          <w:p>
            <w:pPr>
              <w:jc w:val="right"/>
              <w:rPr>
                <w:noProof/>
                <w:sz w:val="20"/>
                <w:szCs w:val="20"/>
              </w:rPr>
            </w:pPr>
            <w:r>
              <w:rPr>
                <w:noProof/>
                <w:sz w:val="20"/>
              </w:rPr>
              <w:t>-0,6</w:t>
            </w:r>
          </w:p>
        </w:tc>
      </w:tr>
      <w:tr>
        <w:trPr>
          <w:trHeight w:val="375"/>
        </w:trPr>
        <w:tc>
          <w:tcPr>
            <w:tcW w:w="5102" w:type="dxa"/>
            <w:gridSpan w:val="4"/>
            <w:tcBorders>
              <w:top w:val="single" w:sz="4" w:space="0" w:color="4F81BD"/>
              <w:left w:val="nil"/>
              <w:bottom w:val="nil"/>
              <w:right w:val="nil"/>
            </w:tcBorders>
            <w:shd w:val="clear" w:color="auto" w:fill="auto"/>
            <w:noWrap/>
            <w:vAlign w:val="center"/>
            <w:hideMark/>
          </w:tcPr>
          <w:p>
            <w:pPr>
              <w:rPr>
                <w:noProof/>
                <w:sz w:val="20"/>
                <w:szCs w:val="20"/>
              </w:rPr>
            </w:pPr>
            <w:r>
              <w:rPr>
                <w:noProof/>
                <w:sz w:val="20"/>
              </w:rPr>
              <w:t xml:space="preserve">5. Администрация </w:t>
            </w:r>
          </w:p>
        </w:tc>
        <w:tc>
          <w:tcPr>
            <w:tcW w:w="1638" w:type="dxa"/>
            <w:tcBorders>
              <w:top w:val="single" w:sz="4" w:space="0" w:color="4F81BD"/>
              <w:left w:val="nil"/>
              <w:bottom w:val="nil"/>
              <w:right w:val="nil"/>
            </w:tcBorders>
            <w:shd w:val="clear" w:color="auto" w:fill="auto"/>
            <w:noWrap/>
            <w:vAlign w:val="center"/>
            <w:hideMark/>
          </w:tcPr>
          <w:p>
            <w:pPr>
              <w:jc w:val="right"/>
              <w:rPr>
                <w:noProof/>
                <w:sz w:val="20"/>
                <w:szCs w:val="20"/>
              </w:rPr>
            </w:pPr>
            <w:r>
              <w:rPr>
                <w:noProof/>
                <w:sz w:val="20"/>
              </w:rPr>
              <w:t>0,0</w:t>
            </w:r>
          </w:p>
        </w:tc>
        <w:tc>
          <w:tcPr>
            <w:tcW w:w="1701" w:type="dxa"/>
            <w:tcBorders>
              <w:top w:val="single" w:sz="4" w:space="0" w:color="4F81BD"/>
              <w:left w:val="nil"/>
              <w:bottom w:val="nil"/>
              <w:right w:val="nil"/>
            </w:tcBorders>
            <w:shd w:val="clear" w:color="auto" w:fill="auto"/>
            <w:noWrap/>
            <w:vAlign w:val="center"/>
            <w:hideMark/>
          </w:tcPr>
          <w:p>
            <w:pPr>
              <w:jc w:val="right"/>
              <w:rPr>
                <w:noProof/>
                <w:sz w:val="20"/>
                <w:szCs w:val="20"/>
              </w:rPr>
            </w:pPr>
            <w:r>
              <w:rPr>
                <w:noProof/>
                <w:sz w:val="20"/>
              </w:rPr>
              <w:t>0,0</w:t>
            </w:r>
          </w:p>
        </w:tc>
        <w:tc>
          <w:tcPr>
            <w:tcW w:w="1706" w:type="dxa"/>
            <w:tcBorders>
              <w:top w:val="single" w:sz="4" w:space="0" w:color="4F81BD"/>
              <w:left w:val="nil"/>
              <w:bottom w:val="nil"/>
              <w:right w:val="nil"/>
            </w:tcBorders>
            <w:shd w:val="clear" w:color="auto" w:fill="auto"/>
            <w:noWrap/>
            <w:vAlign w:val="center"/>
            <w:hideMark/>
          </w:tcPr>
          <w:p>
            <w:pPr>
              <w:jc w:val="right"/>
              <w:rPr>
                <w:noProof/>
                <w:sz w:val="20"/>
                <w:szCs w:val="20"/>
              </w:rPr>
            </w:pPr>
            <w:r>
              <w:rPr>
                <w:noProof/>
                <w:sz w:val="20"/>
              </w:rPr>
              <w:t>0,0</w:t>
            </w:r>
          </w:p>
        </w:tc>
      </w:tr>
      <w:tr>
        <w:trPr>
          <w:trHeight w:val="375"/>
        </w:trPr>
        <w:tc>
          <w:tcPr>
            <w:tcW w:w="5102" w:type="dxa"/>
            <w:gridSpan w:val="4"/>
            <w:tcBorders>
              <w:top w:val="single" w:sz="4" w:space="0" w:color="4F81BD"/>
              <w:left w:val="nil"/>
              <w:bottom w:val="nil"/>
              <w:right w:val="nil"/>
            </w:tcBorders>
            <w:shd w:val="clear" w:color="auto" w:fill="auto"/>
            <w:noWrap/>
            <w:vAlign w:val="center"/>
            <w:hideMark/>
          </w:tcPr>
          <w:p>
            <w:pPr>
              <w:jc w:val="right"/>
              <w:rPr>
                <w:b/>
                <w:bCs/>
                <w:noProof/>
                <w:sz w:val="20"/>
                <w:szCs w:val="20"/>
              </w:rPr>
            </w:pPr>
            <w:r>
              <w:rPr>
                <w:b/>
                <w:noProof/>
                <w:sz w:val="20"/>
              </w:rPr>
              <w:t>ОБЩО</w:t>
            </w:r>
          </w:p>
        </w:tc>
        <w:tc>
          <w:tcPr>
            <w:tcW w:w="1638" w:type="dxa"/>
            <w:tcBorders>
              <w:top w:val="single" w:sz="4" w:space="0" w:color="4F81BD"/>
              <w:left w:val="nil"/>
              <w:bottom w:val="nil"/>
              <w:right w:val="nil"/>
            </w:tcBorders>
            <w:shd w:val="clear" w:color="auto" w:fill="auto"/>
            <w:noWrap/>
            <w:vAlign w:val="center"/>
            <w:hideMark/>
          </w:tcPr>
          <w:p>
            <w:pPr>
              <w:jc w:val="right"/>
              <w:rPr>
                <w:b/>
                <w:bCs/>
                <w:noProof/>
                <w:sz w:val="20"/>
                <w:szCs w:val="20"/>
              </w:rPr>
            </w:pPr>
            <w:r>
              <w:rPr>
                <w:b/>
                <w:noProof/>
                <w:sz w:val="20"/>
              </w:rPr>
              <w:t>-1,8</w:t>
            </w:r>
          </w:p>
        </w:tc>
        <w:tc>
          <w:tcPr>
            <w:tcW w:w="1701" w:type="dxa"/>
            <w:tcBorders>
              <w:top w:val="single" w:sz="4" w:space="0" w:color="4F81BD"/>
              <w:left w:val="nil"/>
              <w:bottom w:val="nil"/>
              <w:right w:val="nil"/>
            </w:tcBorders>
            <w:shd w:val="clear" w:color="auto" w:fill="auto"/>
            <w:noWrap/>
            <w:vAlign w:val="center"/>
            <w:hideMark/>
          </w:tcPr>
          <w:p>
            <w:pPr>
              <w:jc w:val="right"/>
              <w:rPr>
                <w:b/>
                <w:bCs/>
                <w:noProof/>
                <w:sz w:val="20"/>
                <w:szCs w:val="20"/>
              </w:rPr>
            </w:pPr>
            <w:r>
              <w:rPr>
                <w:b/>
                <w:noProof/>
                <w:sz w:val="20"/>
              </w:rPr>
              <w:t>-6,1</w:t>
            </w:r>
          </w:p>
        </w:tc>
        <w:tc>
          <w:tcPr>
            <w:tcW w:w="1706" w:type="dxa"/>
            <w:tcBorders>
              <w:top w:val="single" w:sz="4" w:space="0" w:color="4F81BD"/>
              <w:left w:val="nil"/>
              <w:bottom w:val="nil"/>
              <w:right w:val="nil"/>
            </w:tcBorders>
            <w:shd w:val="clear" w:color="auto" w:fill="auto"/>
            <w:noWrap/>
            <w:vAlign w:val="center"/>
            <w:hideMark/>
          </w:tcPr>
          <w:p>
            <w:pPr>
              <w:jc w:val="right"/>
              <w:rPr>
                <w:b/>
                <w:bCs/>
                <w:noProof/>
                <w:sz w:val="20"/>
                <w:szCs w:val="20"/>
              </w:rPr>
            </w:pPr>
            <w:r>
              <w:rPr>
                <w:b/>
                <w:noProof/>
                <w:sz w:val="20"/>
              </w:rPr>
              <w:t>-8,0</w:t>
            </w:r>
          </w:p>
        </w:tc>
      </w:tr>
    </w:tbl>
    <w:p>
      <w:pPr>
        <w:pStyle w:val="Text1"/>
        <w:spacing w:after="120"/>
        <w:ind w:left="0"/>
        <w:rPr>
          <w:i/>
          <w:noProof/>
          <w:sz w:val="20"/>
        </w:rPr>
      </w:pPr>
      <w:r>
        <w:rPr>
          <w:i/>
          <w:noProof/>
          <w:sz w:val="20"/>
        </w:rPr>
        <w:t>* Не се очаква отмяна на бюджетни кредити във връзка с поетите задължения, предложени за финансовата рамка за 2021—2027 г.</w:t>
      </w:r>
    </w:p>
    <w:p>
      <w:pPr>
        <w:pStyle w:val="Text1"/>
        <w:spacing w:after="0"/>
        <w:ind w:left="0"/>
        <w:rPr>
          <w:i/>
          <w:noProof/>
          <w:sz w:val="20"/>
        </w:rPr>
      </w:pPr>
    </w:p>
    <w:p>
      <w:pPr>
        <w:pStyle w:val="Caption"/>
        <w:keepNext/>
        <w:jc w:val="both"/>
        <w:rPr>
          <w:noProof/>
        </w:rPr>
      </w:pPr>
      <w:r>
        <w:rPr>
          <w:noProof/>
        </w:rPr>
        <w:t xml:space="preserve">Таблица </w:t>
      </w:r>
      <w:r>
        <w:rPr>
          <w:noProof/>
        </w:rPr>
        <w:fldChar w:fldCharType="begin"/>
      </w:r>
      <w:r>
        <w:rPr>
          <w:noProof/>
        </w:rPr>
        <w:instrText xml:space="preserve"> SEQ Table \* ARABIC </w:instrText>
      </w:r>
      <w:r>
        <w:rPr>
          <w:noProof/>
        </w:rPr>
        <w:fldChar w:fldCharType="separate"/>
      </w:r>
      <w:r>
        <w:rPr>
          <w:noProof/>
        </w:rPr>
        <w:t>3</w:t>
      </w:r>
      <w:r>
        <w:rPr>
          <w:noProof/>
        </w:rPr>
        <w:fldChar w:fldCharType="end"/>
      </w:r>
      <w:r>
        <w:rPr>
          <w:noProof/>
        </w:rPr>
        <w:t xml:space="preserve"> — Промяна в общия размер на неизпълнените поети задължения от 2020 г. до 2024 г.</w:t>
      </w:r>
    </w:p>
    <w:tbl>
      <w:tblPr>
        <w:tblW w:w="9977" w:type="dxa"/>
        <w:tblInd w:w="93" w:type="dxa"/>
        <w:tblLook w:val="04A0" w:firstRow="1" w:lastRow="0" w:firstColumn="1" w:lastColumn="0" w:noHBand="0" w:noVBand="1"/>
      </w:tblPr>
      <w:tblGrid>
        <w:gridCol w:w="1701"/>
        <w:gridCol w:w="283"/>
        <w:gridCol w:w="1421"/>
        <w:gridCol w:w="567"/>
        <w:gridCol w:w="1135"/>
        <w:gridCol w:w="849"/>
        <w:gridCol w:w="875"/>
        <w:gridCol w:w="1162"/>
        <w:gridCol w:w="1984"/>
      </w:tblGrid>
      <w:tr>
        <w:trPr>
          <w:trHeight w:val="315"/>
        </w:trPr>
        <w:tc>
          <w:tcPr>
            <w:tcW w:w="1701" w:type="dxa"/>
            <w:tcBorders>
              <w:top w:val="nil"/>
              <w:left w:val="nil"/>
              <w:bottom w:val="nil"/>
              <w:right w:val="nil"/>
            </w:tcBorders>
            <w:shd w:val="clear" w:color="auto" w:fill="auto"/>
            <w:noWrap/>
            <w:vAlign w:val="center"/>
            <w:hideMark/>
          </w:tcPr>
          <w:p>
            <w:pPr>
              <w:rPr>
                <w:noProof/>
                <w:color w:val="000000"/>
                <w:sz w:val="20"/>
                <w:szCs w:val="20"/>
              </w:rPr>
            </w:pPr>
          </w:p>
        </w:tc>
        <w:tc>
          <w:tcPr>
            <w:tcW w:w="1704" w:type="dxa"/>
            <w:gridSpan w:val="2"/>
            <w:tcBorders>
              <w:top w:val="nil"/>
              <w:left w:val="nil"/>
              <w:bottom w:val="nil"/>
              <w:right w:val="nil"/>
            </w:tcBorders>
            <w:shd w:val="clear" w:color="auto" w:fill="auto"/>
            <w:noWrap/>
            <w:vAlign w:val="center"/>
            <w:hideMark/>
          </w:tcPr>
          <w:p>
            <w:pPr>
              <w:rPr>
                <w:noProof/>
                <w:color w:val="000000"/>
                <w:sz w:val="20"/>
                <w:szCs w:val="20"/>
              </w:rPr>
            </w:pPr>
          </w:p>
        </w:tc>
        <w:tc>
          <w:tcPr>
            <w:tcW w:w="1702" w:type="dxa"/>
            <w:gridSpan w:val="2"/>
            <w:tcBorders>
              <w:top w:val="nil"/>
              <w:left w:val="nil"/>
              <w:bottom w:val="nil"/>
              <w:right w:val="nil"/>
            </w:tcBorders>
            <w:shd w:val="clear" w:color="auto" w:fill="auto"/>
            <w:noWrap/>
            <w:vAlign w:val="center"/>
            <w:hideMark/>
          </w:tcPr>
          <w:p>
            <w:pPr>
              <w:rPr>
                <w:noProof/>
                <w:color w:val="000000"/>
                <w:sz w:val="20"/>
                <w:szCs w:val="20"/>
              </w:rPr>
            </w:pPr>
          </w:p>
        </w:tc>
        <w:tc>
          <w:tcPr>
            <w:tcW w:w="1724" w:type="dxa"/>
            <w:gridSpan w:val="2"/>
            <w:tcBorders>
              <w:top w:val="nil"/>
              <w:left w:val="nil"/>
              <w:bottom w:val="nil"/>
              <w:right w:val="nil"/>
            </w:tcBorders>
            <w:shd w:val="clear" w:color="auto" w:fill="auto"/>
            <w:noWrap/>
            <w:vAlign w:val="center"/>
            <w:hideMark/>
          </w:tcPr>
          <w:p>
            <w:pPr>
              <w:rPr>
                <w:noProof/>
                <w:color w:val="000000"/>
                <w:sz w:val="20"/>
                <w:szCs w:val="20"/>
              </w:rPr>
            </w:pPr>
          </w:p>
        </w:tc>
        <w:tc>
          <w:tcPr>
            <w:tcW w:w="3146" w:type="dxa"/>
            <w:gridSpan w:val="2"/>
            <w:tcBorders>
              <w:top w:val="nil"/>
              <w:left w:val="nil"/>
              <w:bottom w:val="nil"/>
              <w:right w:val="nil"/>
            </w:tcBorders>
            <w:shd w:val="clear" w:color="auto" w:fill="auto"/>
            <w:noWrap/>
            <w:vAlign w:val="center"/>
            <w:hideMark/>
          </w:tcPr>
          <w:p>
            <w:pPr>
              <w:jc w:val="right"/>
              <w:rPr>
                <w:i/>
                <w:iCs/>
                <w:noProof/>
                <w:color w:val="000000"/>
                <w:sz w:val="20"/>
                <w:szCs w:val="20"/>
              </w:rPr>
            </w:pPr>
            <w:r>
              <w:rPr>
                <w:i/>
                <w:noProof/>
                <w:color w:val="000000"/>
                <w:sz w:val="20"/>
              </w:rPr>
              <w:t>в милиарди евро по текущи цени</w:t>
            </w:r>
          </w:p>
        </w:tc>
      </w:tr>
      <w:tr>
        <w:trPr>
          <w:trHeight w:val="645"/>
        </w:trPr>
        <w:tc>
          <w:tcPr>
            <w:tcW w:w="1984" w:type="dxa"/>
            <w:gridSpan w:val="2"/>
            <w:tcBorders>
              <w:top w:val="single" w:sz="8" w:space="0" w:color="auto"/>
              <w:left w:val="single" w:sz="8" w:space="0" w:color="auto"/>
              <w:bottom w:val="nil"/>
              <w:right w:val="single" w:sz="8" w:space="0" w:color="auto"/>
            </w:tcBorders>
            <w:shd w:val="clear" w:color="auto" w:fill="auto"/>
            <w:noWrap/>
            <w:vAlign w:val="center"/>
            <w:hideMark/>
          </w:tcPr>
          <w:p>
            <w:pPr>
              <w:jc w:val="center"/>
              <w:rPr>
                <w:b/>
                <w:bCs/>
                <w:noProof/>
                <w:color w:val="000000"/>
                <w:sz w:val="20"/>
                <w:szCs w:val="20"/>
              </w:rPr>
            </w:pPr>
            <w:r>
              <w:rPr>
                <w:b/>
                <w:noProof/>
                <w:color w:val="000000"/>
                <w:sz w:val="20"/>
              </w:rPr>
              <w:t>RAL към края на 2019 г.*</w:t>
            </w:r>
          </w:p>
        </w:tc>
        <w:tc>
          <w:tcPr>
            <w:tcW w:w="1988" w:type="dxa"/>
            <w:gridSpan w:val="2"/>
            <w:tcBorders>
              <w:top w:val="single" w:sz="8" w:space="0" w:color="auto"/>
              <w:left w:val="nil"/>
              <w:bottom w:val="nil"/>
              <w:right w:val="nil"/>
            </w:tcBorders>
            <w:shd w:val="clear" w:color="auto" w:fill="auto"/>
            <w:noWrap/>
            <w:vAlign w:val="center"/>
            <w:hideMark/>
          </w:tcPr>
          <w:p>
            <w:pPr>
              <w:jc w:val="center"/>
              <w:rPr>
                <w:b/>
                <w:bCs/>
                <w:noProof/>
                <w:color w:val="000000"/>
                <w:sz w:val="20"/>
                <w:szCs w:val="20"/>
              </w:rPr>
            </w:pPr>
            <w:r>
              <w:rPr>
                <w:b/>
                <w:noProof/>
                <w:color w:val="000000"/>
                <w:sz w:val="20"/>
              </w:rPr>
              <w:t>Поети задължения за 2020—2024 г.</w:t>
            </w:r>
          </w:p>
        </w:tc>
        <w:tc>
          <w:tcPr>
            <w:tcW w:w="1984" w:type="dxa"/>
            <w:gridSpan w:val="2"/>
            <w:tcBorders>
              <w:top w:val="single" w:sz="8" w:space="0" w:color="auto"/>
              <w:left w:val="single" w:sz="8" w:space="0" w:color="auto"/>
              <w:bottom w:val="nil"/>
              <w:right w:val="nil"/>
            </w:tcBorders>
            <w:shd w:val="clear" w:color="auto" w:fill="auto"/>
            <w:noWrap/>
            <w:vAlign w:val="center"/>
            <w:hideMark/>
          </w:tcPr>
          <w:p>
            <w:pPr>
              <w:jc w:val="center"/>
              <w:rPr>
                <w:b/>
                <w:bCs/>
                <w:noProof/>
                <w:color w:val="000000"/>
                <w:sz w:val="20"/>
                <w:szCs w:val="20"/>
              </w:rPr>
            </w:pPr>
            <w:r>
              <w:rPr>
                <w:b/>
                <w:noProof/>
                <w:color w:val="000000"/>
                <w:sz w:val="20"/>
              </w:rPr>
              <w:t>Плащания за 2020—2024 г.</w:t>
            </w:r>
          </w:p>
        </w:tc>
        <w:tc>
          <w:tcPr>
            <w:tcW w:w="2037" w:type="dxa"/>
            <w:gridSpan w:val="2"/>
            <w:tcBorders>
              <w:top w:val="single" w:sz="8" w:space="0" w:color="auto"/>
              <w:left w:val="single" w:sz="8" w:space="0" w:color="auto"/>
              <w:bottom w:val="nil"/>
              <w:right w:val="nil"/>
            </w:tcBorders>
            <w:shd w:val="clear" w:color="auto" w:fill="auto"/>
            <w:vAlign w:val="center"/>
            <w:hideMark/>
          </w:tcPr>
          <w:p>
            <w:pPr>
              <w:jc w:val="center"/>
              <w:rPr>
                <w:b/>
                <w:bCs/>
                <w:noProof/>
                <w:color w:val="000000"/>
                <w:sz w:val="20"/>
                <w:szCs w:val="20"/>
              </w:rPr>
            </w:pPr>
            <w:r>
              <w:rPr>
                <w:b/>
                <w:noProof/>
                <w:color w:val="000000"/>
                <w:sz w:val="20"/>
              </w:rPr>
              <w:t>Отмяна на бюджетни кредити</w:t>
            </w:r>
          </w:p>
        </w:tc>
        <w:tc>
          <w:tcPr>
            <w:tcW w:w="1984" w:type="dxa"/>
            <w:tcBorders>
              <w:top w:val="single" w:sz="8" w:space="0" w:color="auto"/>
              <w:left w:val="single" w:sz="8" w:space="0" w:color="auto"/>
              <w:bottom w:val="nil"/>
              <w:right w:val="single" w:sz="8" w:space="0" w:color="auto"/>
            </w:tcBorders>
            <w:shd w:val="clear" w:color="auto" w:fill="auto"/>
            <w:noWrap/>
            <w:vAlign w:val="center"/>
            <w:hideMark/>
          </w:tcPr>
          <w:p>
            <w:pPr>
              <w:jc w:val="center"/>
              <w:rPr>
                <w:b/>
                <w:bCs/>
                <w:noProof/>
                <w:color w:val="000000"/>
                <w:sz w:val="20"/>
                <w:szCs w:val="20"/>
              </w:rPr>
            </w:pPr>
            <w:r>
              <w:rPr>
                <w:b/>
                <w:noProof/>
                <w:color w:val="000000"/>
                <w:sz w:val="20"/>
              </w:rPr>
              <w:t>RAL към края на 2024 г.</w:t>
            </w:r>
          </w:p>
        </w:tc>
      </w:tr>
      <w:tr>
        <w:trPr>
          <w:trHeight w:val="300"/>
        </w:trPr>
        <w:tc>
          <w:tcPr>
            <w:tcW w:w="1984" w:type="dxa"/>
            <w:gridSpan w:val="2"/>
            <w:tcBorders>
              <w:top w:val="nil"/>
              <w:left w:val="single" w:sz="8" w:space="0" w:color="auto"/>
              <w:bottom w:val="nil"/>
              <w:right w:val="single" w:sz="8" w:space="0" w:color="auto"/>
            </w:tcBorders>
            <w:shd w:val="clear" w:color="auto" w:fill="auto"/>
            <w:noWrap/>
            <w:vAlign w:val="center"/>
            <w:hideMark/>
          </w:tcPr>
          <w:p>
            <w:pPr>
              <w:jc w:val="center"/>
              <w:rPr>
                <w:i/>
                <w:iCs/>
                <w:noProof/>
                <w:color w:val="000000"/>
                <w:sz w:val="20"/>
                <w:szCs w:val="20"/>
              </w:rPr>
            </w:pPr>
            <w:r>
              <w:rPr>
                <w:i/>
                <w:noProof/>
                <w:color w:val="000000"/>
                <w:sz w:val="20"/>
              </w:rPr>
              <w:t>(а)</w:t>
            </w:r>
          </w:p>
        </w:tc>
        <w:tc>
          <w:tcPr>
            <w:tcW w:w="1988" w:type="dxa"/>
            <w:gridSpan w:val="2"/>
            <w:tcBorders>
              <w:top w:val="nil"/>
              <w:left w:val="nil"/>
              <w:bottom w:val="nil"/>
              <w:right w:val="nil"/>
            </w:tcBorders>
            <w:shd w:val="clear" w:color="auto" w:fill="auto"/>
            <w:noWrap/>
            <w:vAlign w:val="center"/>
            <w:hideMark/>
          </w:tcPr>
          <w:p>
            <w:pPr>
              <w:jc w:val="center"/>
              <w:rPr>
                <w:i/>
                <w:iCs/>
                <w:noProof/>
                <w:color w:val="000000"/>
                <w:sz w:val="20"/>
                <w:szCs w:val="20"/>
              </w:rPr>
            </w:pPr>
            <w:r>
              <w:rPr>
                <w:i/>
                <w:noProof/>
                <w:color w:val="000000"/>
                <w:sz w:val="20"/>
              </w:rPr>
              <w:t>(б)</w:t>
            </w:r>
          </w:p>
        </w:tc>
        <w:tc>
          <w:tcPr>
            <w:tcW w:w="1984" w:type="dxa"/>
            <w:gridSpan w:val="2"/>
            <w:tcBorders>
              <w:top w:val="nil"/>
              <w:left w:val="single" w:sz="8" w:space="0" w:color="auto"/>
              <w:bottom w:val="nil"/>
              <w:right w:val="nil"/>
            </w:tcBorders>
            <w:shd w:val="clear" w:color="auto" w:fill="auto"/>
            <w:noWrap/>
            <w:vAlign w:val="center"/>
            <w:hideMark/>
          </w:tcPr>
          <w:p>
            <w:pPr>
              <w:jc w:val="center"/>
              <w:rPr>
                <w:i/>
                <w:iCs/>
                <w:noProof/>
                <w:color w:val="000000"/>
                <w:sz w:val="20"/>
                <w:szCs w:val="20"/>
              </w:rPr>
            </w:pPr>
            <w:r>
              <w:rPr>
                <w:i/>
                <w:noProof/>
                <w:color w:val="000000"/>
                <w:sz w:val="20"/>
              </w:rPr>
              <w:t>(в)</w:t>
            </w:r>
          </w:p>
        </w:tc>
        <w:tc>
          <w:tcPr>
            <w:tcW w:w="2037" w:type="dxa"/>
            <w:gridSpan w:val="2"/>
            <w:tcBorders>
              <w:top w:val="nil"/>
              <w:left w:val="single" w:sz="8" w:space="0" w:color="auto"/>
              <w:bottom w:val="nil"/>
              <w:right w:val="nil"/>
            </w:tcBorders>
            <w:shd w:val="clear" w:color="auto" w:fill="auto"/>
            <w:vAlign w:val="center"/>
            <w:hideMark/>
          </w:tcPr>
          <w:p>
            <w:pPr>
              <w:jc w:val="center"/>
              <w:rPr>
                <w:i/>
                <w:iCs/>
                <w:noProof/>
                <w:color w:val="000000"/>
                <w:sz w:val="20"/>
                <w:szCs w:val="20"/>
              </w:rPr>
            </w:pPr>
            <w:r>
              <w:rPr>
                <w:i/>
                <w:noProof/>
                <w:color w:val="000000"/>
                <w:sz w:val="20"/>
              </w:rPr>
              <w:t>(г)</w:t>
            </w:r>
          </w:p>
        </w:tc>
        <w:tc>
          <w:tcPr>
            <w:tcW w:w="1984" w:type="dxa"/>
            <w:tcBorders>
              <w:top w:val="nil"/>
              <w:left w:val="single" w:sz="8" w:space="0" w:color="auto"/>
              <w:bottom w:val="nil"/>
              <w:right w:val="single" w:sz="8" w:space="0" w:color="auto"/>
            </w:tcBorders>
            <w:shd w:val="clear" w:color="auto" w:fill="auto"/>
            <w:noWrap/>
            <w:vAlign w:val="center"/>
            <w:hideMark/>
          </w:tcPr>
          <w:p>
            <w:pPr>
              <w:jc w:val="center"/>
              <w:rPr>
                <w:i/>
                <w:iCs/>
                <w:noProof/>
                <w:color w:val="000000"/>
                <w:sz w:val="20"/>
                <w:szCs w:val="20"/>
              </w:rPr>
            </w:pPr>
            <w:r>
              <w:rPr>
                <w:i/>
                <w:noProof/>
                <w:color w:val="000000"/>
                <w:sz w:val="20"/>
              </w:rPr>
              <w:t>(а+б-в+г)</w:t>
            </w:r>
          </w:p>
        </w:tc>
      </w:tr>
      <w:tr>
        <w:trPr>
          <w:trHeight w:val="600"/>
        </w:trPr>
        <w:tc>
          <w:tcPr>
            <w:tcW w:w="1984" w:type="dxa"/>
            <w:gridSpan w:val="2"/>
            <w:tcBorders>
              <w:top w:val="single" w:sz="4" w:space="0" w:color="auto"/>
              <w:left w:val="single" w:sz="8" w:space="0" w:color="auto"/>
              <w:bottom w:val="single" w:sz="8" w:space="0" w:color="auto"/>
              <w:right w:val="single" w:sz="8" w:space="0" w:color="auto"/>
            </w:tcBorders>
            <w:shd w:val="clear" w:color="auto" w:fill="auto"/>
            <w:noWrap/>
            <w:vAlign w:val="center"/>
            <w:hideMark/>
          </w:tcPr>
          <w:p>
            <w:pPr>
              <w:jc w:val="center"/>
              <w:rPr>
                <w:noProof/>
                <w:color w:val="000000"/>
                <w:sz w:val="20"/>
                <w:szCs w:val="20"/>
              </w:rPr>
            </w:pPr>
            <w:r>
              <w:rPr>
                <w:noProof/>
                <w:color w:val="000000"/>
                <w:sz w:val="20"/>
              </w:rPr>
              <w:t>290,6</w:t>
            </w:r>
          </w:p>
        </w:tc>
        <w:tc>
          <w:tcPr>
            <w:tcW w:w="1988" w:type="dxa"/>
            <w:gridSpan w:val="2"/>
            <w:tcBorders>
              <w:top w:val="single" w:sz="4" w:space="0" w:color="auto"/>
              <w:left w:val="nil"/>
              <w:bottom w:val="single" w:sz="8" w:space="0" w:color="auto"/>
              <w:right w:val="nil"/>
            </w:tcBorders>
            <w:shd w:val="clear" w:color="auto" w:fill="auto"/>
            <w:noWrap/>
            <w:vAlign w:val="center"/>
            <w:hideMark/>
          </w:tcPr>
          <w:p>
            <w:pPr>
              <w:jc w:val="center"/>
              <w:rPr>
                <w:noProof/>
                <w:color w:val="000000"/>
                <w:sz w:val="20"/>
                <w:szCs w:val="20"/>
              </w:rPr>
            </w:pPr>
            <w:r>
              <w:rPr>
                <w:noProof/>
                <w:color w:val="000000"/>
                <w:sz w:val="20"/>
              </w:rPr>
              <w:t>870,4</w:t>
            </w:r>
          </w:p>
        </w:tc>
        <w:tc>
          <w:tcPr>
            <w:tcW w:w="1984" w:type="dxa"/>
            <w:gridSpan w:val="2"/>
            <w:tcBorders>
              <w:top w:val="single" w:sz="4" w:space="0" w:color="auto"/>
              <w:left w:val="single" w:sz="8" w:space="0" w:color="auto"/>
              <w:bottom w:val="single" w:sz="8" w:space="0" w:color="auto"/>
              <w:right w:val="nil"/>
            </w:tcBorders>
            <w:shd w:val="clear" w:color="auto" w:fill="auto"/>
            <w:noWrap/>
            <w:vAlign w:val="center"/>
            <w:hideMark/>
          </w:tcPr>
          <w:p>
            <w:pPr>
              <w:jc w:val="center"/>
              <w:rPr>
                <w:noProof/>
                <w:color w:val="000000"/>
                <w:sz w:val="20"/>
                <w:szCs w:val="20"/>
              </w:rPr>
            </w:pPr>
            <w:r>
              <w:rPr>
                <w:noProof/>
                <w:color w:val="000000"/>
                <w:sz w:val="20"/>
              </w:rPr>
              <w:t>839,8</w:t>
            </w:r>
          </w:p>
        </w:tc>
        <w:tc>
          <w:tcPr>
            <w:tcW w:w="2037" w:type="dxa"/>
            <w:gridSpan w:val="2"/>
            <w:tcBorders>
              <w:top w:val="single" w:sz="4" w:space="0" w:color="auto"/>
              <w:left w:val="single" w:sz="8" w:space="0" w:color="auto"/>
              <w:bottom w:val="single" w:sz="8" w:space="0" w:color="auto"/>
              <w:right w:val="nil"/>
            </w:tcBorders>
            <w:shd w:val="clear" w:color="auto" w:fill="auto"/>
            <w:noWrap/>
            <w:vAlign w:val="center"/>
            <w:hideMark/>
          </w:tcPr>
          <w:p>
            <w:pPr>
              <w:jc w:val="center"/>
              <w:rPr>
                <w:noProof/>
                <w:color w:val="000000"/>
                <w:sz w:val="20"/>
                <w:szCs w:val="20"/>
              </w:rPr>
            </w:pPr>
            <w:r>
              <w:rPr>
                <w:noProof/>
                <w:color w:val="000000"/>
                <w:sz w:val="20"/>
              </w:rPr>
              <w:t>-8,0</w:t>
            </w:r>
          </w:p>
        </w:tc>
        <w:tc>
          <w:tcPr>
            <w:tcW w:w="198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pPr>
              <w:jc w:val="center"/>
              <w:rPr>
                <w:noProof/>
                <w:color w:val="000000"/>
                <w:sz w:val="20"/>
                <w:szCs w:val="20"/>
              </w:rPr>
            </w:pPr>
            <w:r>
              <w:rPr>
                <w:noProof/>
                <w:color w:val="000000"/>
                <w:sz w:val="20"/>
              </w:rPr>
              <w:t>313,2</w:t>
            </w:r>
          </w:p>
        </w:tc>
      </w:tr>
      <w:tr>
        <w:trPr>
          <w:trHeight w:val="435"/>
        </w:trPr>
        <w:tc>
          <w:tcPr>
            <w:tcW w:w="1984" w:type="dxa"/>
            <w:gridSpan w:val="2"/>
            <w:tcBorders>
              <w:top w:val="nil"/>
              <w:left w:val="nil"/>
              <w:bottom w:val="nil"/>
              <w:right w:val="nil"/>
            </w:tcBorders>
            <w:shd w:val="clear" w:color="auto" w:fill="auto"/>
            <w:noWrap/>
            <w:vAlign w:val="center"/>
            <w:hideMark/>
          </w:tcPr>
          <w:p>
            <w:pPr>
              <w:outlineLvl w:val="0"/>
              <w:rPr>
                <w:i/>
                <w:iCs/>
                <w:noProof/>
                <w:color w:val="000000"/>
                <w:sz w:val="20"/>
                <w:szCs w:val="20"/>
              </w:rPr>
            </w:pPr>
            <w:r>
              <w:rPr>
                <w:i/>
                <w:noProof/>
                <w:color w:val="000000"/>
                <w:sz w:val="20"/>
              </w:rPr>
              <w:t>От които по:</w:t>
            </w:r>
          </w:p>
        </w:tc>
        <w:tc>
          <w:tcPr>
            <w:tcW w:w="1988" w:type="dxa"/>
            <w:gridSpan w:val="2"/>
            <w:tcBorders>
              <w:top w:val="nil"/>
              <w:left w:val="nil"/>
              <w:bottom w:val="nil"/>
              <w:right w:val="nil"/>
            </w:tcBorders>
            <w:shd w:val="clear" w:color="auto" w:fill="auto"/>
            <w:noWrap/>
            <w:vAlign w:val="center"/>
            <w:hideMark/>
          </w:tcPr>
          <w:p>
            <w:pPr>
              <w:outlineLvl w:val="0"/>
              <w:rPr>
                <w:noProof/>
                <w:color w:val="000000"/>
                <w:sz w:val="20"/>
                <w:szCs w:val="20"/>
              </w:rPr>
            </w:pPr>
          </w:p>
        </w:tc>
        <w:tc>
          <w:tcPr>
            <w:tcW w:w="1984" w:type="dxa"/>
            <w:gridSpan w:val="2"/>
            <w:tcBorders>
              <w:top w:val="nil"/>
              <w:left w:val="nil"/>
              <w:bottom w:val="nil"/>
              <w:right w:val="nil"/>
            </w:tcBorders>
            <w:shd w:val="clear" w:color="auto" w:fill="auto"/>
            <w:noWrap/>
            <w:vAlign w:val="center"/>
            <w:hideMark/>
          </w:tcPr>
          <w:p>
            <w:pPr>
              <w:outlineLvl w:val="0"/>
              <w:rPr>
                <w:noProof/>
                <w:color w:val="000000"/>
                <w:sz w:val="20"/>
                <w:szCs w:val="20"/>
              </w:rPr>
            </w:pPr>
          </w:p>
        </w:tc>
        <w:tc>
          <w:tcPr>
            <w:tcW w:w="2037" w:type="dxa"/>
            <w:gridSpan w:val="2"/>
            <w:tcBorders>
              <w:top w:val="nil"/>
              <w:left w:val="nil"/>
              <w:bottom w:val="nil"/>
              <w:right w:val="nil"/>
            </w:tcBorders>
            <w:shd w:val="clear" w:color="auto" w:fill="auto"/>
            <w:noWrap/>
            <w:vAlign w:val="center"/>
            <w:hideMark/>
          </w:tcPr>
          <w:p>
            <w:pPr>
              <w:outlineLvl w:val="0"/>
              <w:rPr>
                <w:noProof/>
                <w:color w:val="000000"/>
                <w:sz w:val="20"/>
                <w:szCs w:val="20"/>
              </w:rPr>
            </w:pPr>
          </w:p>
        </w:tc>
        <w:tc>
          <w:tcPr>
            <w:tcW w:w="1984" w:type="dxa"/>
            <w:tcBorders>
              <w:top w:val="nil"/>
              <w:left w:val="nil"/>
              <w:bottom w:val="nil"/>
              <w:right w:val="nil"/>
            </w:tcBorders>
            <w:shd w:val="clear" w:color="auto" w:fill="auto"/>
            <w:noWrap/>
            <w:vAlign w:val="center"/>
            <w:hideMark/>
          </w:tcPr>
          <w:p>
            <w:pPr>
              <w:outlineLvl w:val="0"/>
              <w:rPr>
                <w:noProof/>
                <w:color w:val="000000"/>
                <w:sz w:val="20"/>
                <w:szCs w:val="20"/>
              </w:rPr>
            </w:pPr>
          </w:p>
        </w:tc>
      </w:tr>
      <w:tr>
        <w:trPr>
          <w:trHeight w:val="600"/>
        </w:trPr>
        <w:tc>
          <w:tcPr>
            <w:tcW w:w="1984" w:type="dxa"/>
            <w:gridSpan w:val="2"/>
            <w:tcBorders>
              <w:top w:val="single" w:sz="8" w:space="0" w:color="auto"/>
              <w:left w:val="single" w:sz="8" w:space="0" w:color="auto"/>
              <w:bottom w:val="nil"/>
              <w:right w:val="single" w:sz="8" w:space="0" w:color="auto"/>
            </w:tcBorders>
            <w:shd w:val="clear" w:color="auto" w:fill="auto"/>
            <w:noWrap/>
            <w:vAlign w:val="center"/>
            <w:hideMark/>
          </w:tcPr>
          <w:p>
            <w:pPr>
              <w:jc w:val="center"/>
              <w:outlineLvl w:val="0"/>
              <w:rPr>
                <w:b/>
                <w:bCs/>
                <w:noProof/>
                <w:color w:val="000000"/>
                <w:sz w:val="20"/>
                <w:szCs w:val="20"/>
              </w:rPr>
            </w:pPr>
            <w:r>
              <w:rPr>
                <w:b/>
                <w:noProof/>
                <w:color w:val="000000"/>
                <w:sz w:val="20"/>
              </w:rPr>
              <w:t>МФР за 2014—2020 г.</w:t>
            </w:r>
          </w:p>
        </w:tc>
        <w:tc>
          <w:tcPr>
            <w:tcW w:w="1988" w:type="dxa"/>
            <w:gridSpan w:val="2"/>
            <w:tcBorders>
              <w:top w:val="single" w:sz="8" w:space="0" w:color="auto"/>
              <w:left w:val="nil"/>
              <w:bottom w:val="nil"/>
              <w:right w:val="single" w:sz="8" w:space="0" w:color="auto"/>
            </w:tcBorders>
            <w:shd w:val="clear" w:color="auto" w:fill="auto"/>
            <w:noWrap/>
            <w:vAlign w:val="center"/>
            <w:hideMark/>
          </w:tcPr>
          <w:p>
            <w:pPr>
              <w:outlineLvl w:val="0"/>
              <w:rPr>
                <w:noProof/>
                <w:color w:val="000000"/>
                <w:sz w:val="20"/>
                <w:szCs w:val="20"/>
              </w:rPr>
            </w:pPr>
            <w:r>
              <w:rPr>
                <w:noProof/>
                <w:color w:val="000000"/>
                <w:sz w:val="20"/>
              </w:rPr>
              <w:t> </w:t>
            </w:r>
          </w:p>
        </w:tc>
        <w:tc>
          <w:tcPr>
            <w:tcW w:w="1984" w:type="dxa"/>
            <w:gridSpan w:val="2"/>
            <w:tcBorders>
              <w:top w:val="single" w:sz="8" w:space="0" w:color="auto"/>
              <w:left w:val="nil"/>
              <w:bottom w:val="nil"/>
              <w:right w:val="single" w:sz="8" w:space="0" w:color="auto"/>
            </w:tcBorders>
            <w:shd w:val="clear" w:color="auto" w:fill="auto"/>
            <w:noWrap/>
            <w:vAlign w:val="center"/>
            <w:hideMark/>
          </w:tcPr>
          <w:p>
            <w:pPr>
              <w:outlineLvl w:val="0"/>
              <w:rPr>
                <w:noProof/>
                <w:color w:val="000000"/>
                <w:sz w:val="20"/>
                <w:szCs w:val="20"/>
              </w:rPr>
            </w:pPr>
            <w:r>
              <w:rPr>
                <w:noProof/>
                <w:color w:val="000000"/>
                <w:sz w:val="20"/>
              </w:rPr>
              <w:t> </w:t>
            </w:r>
          </w:p>
        </w:tc>
        <w:tc>
          <w:tcPr>
            <w:tcW w:w="2037" w:type="dxa"/>
            <w:gridSpan w:val="2"/>
            <w:tcBorders>
              <w:top w:val="single" w:sz="8" w:space="0" w:color="auto"/>
              <w:left w:val="nil"/>
              <w:bottom w:val="nil"/>
              <w:right w:val="nil"/>
            </w:tcBorders>
            <w:shd w:val="clear" w:color="auto" w:fill="auto"/>
            <w:vAlign w:val="center"/>
            <w:hideMark/>
          </w:tcPr>
          <w:p>
            <w:pPr>
              <w:jc w:val="center"/>
              <w:outlineLvl w:val="0"/>
              <w:rPr>
                <w:noProof/>
                <w:color w:val="000000"/>
                <w:sz w:val="20"/>
                <w:szCs w:val="20"/>
              </w:rPr>
            </w:pPr>
            <w:r>
              <w:rPr>
                <w:noProof/>
                <w:color w:val="000000"/>
                <w:sz w:val="20"/>
              </w:rPr>
              <w:t> </w:t>
            </w:r>
          </w:p>
        </w:tc>
        <w:tc>
          <w:tcPr>
            <w:tcW w:w="1984" w:type="dxa"/>
            <w:tcBorders>
              <w:top w:val="single" w:sz="8" w:space="0" w:color="auto"/>
              <w:left w:val="single" w:sz="8" w:space="0" w:color="auto"/>
              <w:bottom w:val="nil"/>
              <w:right w:val="single" w:sz="8" w:space="0" w:color="auto"/>
            </w:tcBorders>
            <w:shd w:val="clear" w:color="auto" w:fill="auto"/>
            <w:noWrap/>
            <w:vAlign w:val="center"/>
            <w:hideMark/>
          </w:tcPr>
          <w:p>
            <w:pPr>
              <w:outlineLvl w:val="0"/>
              <w:rPr>
                <w:noProof/>
                <w:color w:val="000000"/>
                <w:sz w:val="20"/>
                <w:szCs w:val="20"/>
              </w:rPr>
            </w:pPr>
            <w:r>
              <w:rPr>
                <w:noProof/>
                <w:color w:val="000000"/>
                <w:sz w:val="20"/>
              </w:rPr>
              <w:t> </w:t>
            </w:r>
          </w:p>
        </w:tc>
      </w:tr>
      <w:tr>
        <w:trPr>
          <w:trHeight w:val="450"/>
        </w:trPr>
        <w:tc>
          <w:tcPr>
            <w:tcW w:w="1984" w:type="dxa"/>
            <w:gridSpan w:val="2"/>
            <w:tcBorders>
              <w:top w:val="nil"/>
              <w:left w:val="single" w:sz="8" w:space="0" w:color="auto"/>
              <w:bottom w:val="nil"/>
              <w:right w:val="single" w:sz="8" w:space="0" w:color="auto"/>
            </w:tcBorders>
            <w:shd w:val="clear" w:color="auto" w:fill="auto"/>
            <w:noWrap/>
            <w:vAlign w:val="center"/>
            <w:hideMark/>
          </w:tcPr>
          <w:p>
            <w:pPr>
              <w:jc w:val="center"/>
              <w:outlineLvl w:val="0"/>
              <w:rPr>
                <w:noProof/>
                <w:color w:val="000000"/>
                <w:sz w:val="20"/>
                <w:szCs w:val="20"/>
              </w:rPr>
            </w:pPr>
            <w:r>
              <w:rPr>
                <w:noProof/>
                <w:color w:val="000000"/>
                <w:sz w:val="20"/>
              </w:rPr>
              <w:t>290,6</w:t>
            </w:r>
          </w:p>
        </w:tc>
        <w:tc>
          <w:tcPr>
            <w:tcW w:w="1988" w:type="dxa"/>
            <w:gridSpan w:val="2"/>
            <w:tcBorders>
              <w:top w:val="nil"/>
              <w:left w:val="nil"/>
              <w:bottom w:val="nil"/>
              <w:right w:val="single" w:sz="8" w:space="0" w:color="auto"/>
            </w:tcBorders>
            <w:shd w:val="clear" w:color="auto" w:fill="auto"/>
            <w:noWrap/>
            <w:vAlign w:val="center"/>
            <w:hideMark/>
          </w:tcPr>
          <w:p>
            <w:pPr>
              <w:jc w:val="center"/>
              <w:outlineLvl w:val="0"/>
              <w:rPr>
                <w:noProof/>
                <w:color w:val="000000"/>
                <w:sz w:val="20"/>
                <w:szCs w:val="20"/>
              </w:rPr>
            </w:pPr>
            <w:r>
              <w:rPr>
                <w:noProof/>
                <w:color w:val="000000"/>
                <w:sz w:val="20"/>
              </w:rPr>
              <w:t>167,7</w:t>
            </w:r>
          </w:p>
        </w:tc>
        <w:tc>
          <w:tcPr>
            <w:tcW w:w="1984" w:type="dxa"/>
            <w:gridSpan w:val="2"/>
            <w:tcBorders>
              <w:top w:val="nil"/>
              <w:left w:val="nil"/>
              <w:bottom w:val="nil"/>
              <w:right w:val="single" w:sz="8" w:space="0" w:color="auto"/>
            </w:tcBorders>
            <w:shd w:val="clear" w:color="auto" w:fill="auto"/>
            <w:noWrap/>
            <w:vAlign w:val="center"/>
            <w:hideMark/>
          </w:tcPr>
          <w:p>
            <w:pPr>
              <w:jc w:val="center"/>
              <w:outlineLvl w:val="0"/>
              <w:rPr>
                <w:noProof/>
                <w:color w:val="000000"/>
                <w:sz w:val="20"/>
                <w:szCs w:val="20"/>
              </w:rPr>
            </w:pPr>
            <w:r>
              <w:rPr>
                <w:noProof/>
                <w:color w:val="000000"/>
                <w:sz w:val="20"/>
              </w:rPr>
              <w:t>417,3</w:t>
            </w:r>
          </w:p>
        </w:tc>
        <w:tc>
          <w:tcPr>
            <w:tcW w:w="2037" w:type="dxa"/>
            <w:gridSpan w:val="2"/>
            <w:tcBorders>
              <w:top w:val="nil"/>
              <w:left w:val="nil"/>
              <w:bottom w:val="nil"/>
              <w:right w:val="single" w:sz="8" w:space="0" w:color="auto"/>
            </w:tcBorders>
            <w:shd w:val="clear" w:color="auto" w:fill="auto"/>
            <w:noWrap/>
            <w:vAlign w:val="center"/>
            <w:hideMark/>
          </w:tcPr>
          <w:p>
            <w:pPr>
              <w:jc w:val="center"/>
              <w:outlineLvl w:val="0"/>
              <w:rPr>
                <w:noProof/>
                <w:color w:val="000000"/>
                <w:sz w:val="20"/>
                <w:szCs w:val="20"/>
              </w:rPr>
            </w:pPr>
            <w:r>
              <w:rPr>
                <w:noProof/>
                <w:color w:val="000000"/>
                <w:sz w:val="20"/>
              </w:rPr>
              <w:t>-8,0</w:t>
            </w:r>
          </w:p>
        </w:tc>
        <w:tc>
          <w:tcPr>
            <w:tcW w:w="1984" w:type="dxa"/>
            <w:tcBorders>
              <w:top w:val="nil"/>
              <w:left w:val="nil"/>
              <w:bottom w:val="nil"/>
              <w:right w:val="single" w:sz="8" w:space="0" w:color="auto"/>
            </w:tcBorders>
            <w:shd w:val="clear" w:color="auto" w:fill="auto"/>
            <w:noWrap/>
            <w:vAlign w:val="center"/>
            <w:hideMark/>
          </w:tcPr>
          <w:p>
            <w:pPr>
              <w:jc w:val="center"/>
              <w:outlineLvl w:val="0"/>
              <w:rPr>
                <w:noProof/>
                <w:color w:val="000000"/>
                <w:sz w:val="20"/>
                <w:szCs w:val="20"/>
              </w:rPr>
            </w:pPr>
            <w:r>
              <w:rPr>
                <w:noProof/>
                <w:color w:val="000000"/>
                <w:sz w:val="20"/>
              </w:rPr>
              <w:t>32,9</w:t>
            </w:r>
          </w:p>
        </w:tc>
      </w:tr>
      <w:tr>
        <w:trPr>
          <w:trHeight w:val="480"/>
        </w:trPr>
        <w:tc>
          <w:tcPr>
            <w:tcW w:w="1984" w:type="dxa"/>
            <w:gridSpan w:val="2"/>
            <w:tcBorders>
              <w:top w:val="single" w:sz="4" w:space="0" w:color="auto"/>
              <w:left w:val="single" w:sz="8" w:space="0" w:color="auto"/>
              <w:bottom w:val="nil"/>
              <w:right w:val="single" w:sz="8" w:space="0" w:color="auto"/>
            </w:tcBorders>
            <w:shd w:val="clear" w:color="auto" w:fill="auto"/>
            <w:noWrap/>
            <w:vAlign w:val="center"/>
            <w:hideMark/>
          </w:tcPr>
          <w:p>
            <w:pPr>
              <w:jc w:val="center"/>
              <w:outlineLvl w:val="0"/>
              <w:rPr>
                <w:b/>
                <w:bCs/>
                <w:noProof/>
                <w:color w:val="000000"/>
                <w:sz w:val="20"/>
                <w:szCs w:val="20"/>
              </w:rPr>
            </w:pPr>
            <w:r>
              <w:rPr>
                <w:b/>
                <w:noProof/>
                <w:color w:val="000000"/>
                <w:sz w:val="20"/>
              </w:rPr>
              <w:t>МФР за 2021—2027 г.</w:t>
            </w:r>
          </w:p>
        </w:tc>
        <w:tc>
          <w:tcPr>
            <w:tcW w:w="1988" w:type="dxa"/>
            <w:gridSpan w:val="2"/>
            <w:tcBorders>
              <w:top w:val="single" w:sz="4" w:space="0" w:color="auto"/>
              <w:left w:val="nil"/>
              <w:bottom w:val="nil"/>
              <w:right w:val="single" w:sz="8" w:space="0" w:color="auto"/>
            </w:tcBorders>
            <w:shd w:val="clear" w:color="auto" w:fill="auto"/>
            <w:noWrap/>
            <w:vAlign w:val="center"/>
            <w:hideMark/>
          </w:tcPr>
          <w:p>
            <w:pPr>
              <w:outlineLvl w:val="0"/>
              <w:rPr>
                <w:noProof/>
                <w:color w:val="000000"/>
                <w:sz w:val="20"/>
                <w:szCs w:val="20"/>
              </w:rPr>
            </w:pPr>
            <w:r>
              <w:rPr>
                <w:noProof/>
                <w:color w:val="000000"/>
                <w:sz w:val="20"/>
              </w:rPr>
              <w:t> </w:t>
            </w:r>
          </w:p>
        </w:tc>
        <w:tc>
          <w:tcPr>
            <w:tcW w:w="1984" w:type="dxa"/>
            <w:gridSpan w:val="2"/>
            <w:tcBorders>
              <w:top w:val="single" w:sz="4" w:space="0" w:color="auto"/>
              <w:left w:val="nil"/>
              <w:bottom w:val="nil"/>
              <w:right w:val="single" w:sz="8" w:space="0" w:color="auto"/>
            </w:tcBorders>
            <w:shd w:val="clear" w:color="auto" w:fill="auto"/>
            <w:noWrap/>
            <w:vAlign w:val="center"/>
            <w:hideMark/>
          </w:tcPr>
          <w:p>
            <w:pPr>
              <w:outlineLvl w:val="0"/>
              <w:rPr>
                <w:noProof/>
                <w:color w:val="000000"/>
                <w:sz w:val="20"/>
                <w:szCs w:val="20"/>
              </w:rPr>
            </w:pPr>
            <w:r>
              <w:rPr>
                <w:noProof/>
                <w:color w:val="000000"/>
                <w:sz w:val="20"/>
              </w:rPr>
              <w:t> </w:t>
            </w:r>
          </w:p>
        </w:tc>
        <w:tc>
          <w:tcPr>
            <w:tcW w:w="2037" w:type="dxa"/>
            <w:gridSpan w:val="2"/>
            <w:tcBorders>
              <w:top w:val="single" w:sz="4" w:space="0" w:color="auto"/>
              <w:left w:val="nil"/>
              <w:bottom w:val="nil"/>
              <w:right w:val="single" w:sz="8" w:space="0" w:color="auto"/>
            </w:tcBorders>
            <w:shd w:val="clear" w:color="auto" w:fill="auto"/>
            <w:vAlign w:val="center"/>
            <w:hideMark/>
          </w:tcPr>
          <w:p>
            <w:pPr>
              <w:jc w:val="center"/>
              <w:outlineLvl w:val="0"/>
              <w:rPr>
                <w:noProof/>
                <w:color w:val="000000"/>
                <w:sz w:val="20"/>
                <w:szCs w:val="20"/>
              </w:rPr>
            </w:pPr>
            <w:r>
              <w:rPr>
                <w:noProof/>
                <w:color w:val="000000"/>
                <w:sz w:val="20"/>
              </w:rPr>
              <w:t> </w:t>
            </w:r>
          </w:p>
        </w:tc>
        <w:tc>
          <w:tcPr>
            <w:tcW w:w="1984" w:type="dxa"/>
            <w:tcBorders>
              <w:top w:val="single" w:sz="4" w:space="0" w:color="auto"/>
              <w:left w:val="nil"/>
              <w:bottom w:val="nil"/>
              <w:right w:val="single" w:sz="8" w:space="0" w:color="auto"/>
            </w:tcBorders>
            <w:shd w:val="clear" w:color="auto" w:fill="auto"/>
            <w:noWrap/>
            <w:vAlign w:val="center"/>
            <w:hideMark/>
          </w:tcPr>
          <w:p>
            <w:pPr>
              <w:outlineLvl w:val="0"/>
              <w:rPr>
                <w:noProof/>
                <w:color w:val="FF0000"/>
                <w:sz w:val="20"/>
                <w:szCs w:val="20"/>
              </w:rPr>
            </w:pPr>
            <w:r>
              <w:rPr>
                <w:noProof/>
                <w:color w:val="FF0000"/>
                <w:sz w:val="20"/>
              </w:rPr>
              <w:t> </w:t>
            </w:r>
          </w:p>
        </w:tc>
      </w:tr>
      <w:tr>
        <w:trPr>
          <w:trHeight w:val="510"/>
        </w:trPr>
        <w:tc>
          <w:tcPr>
            <w:tcW w:w="1984" w:type="dxa"/>
            <w:gridSpan w:val="2"/>
            <w:tcBorders>
              <w:top w:val="nil"/>
              <w:left w:val="single" w:sz="8" w:space="0" w:color="auto"/>
              <w:bottom w:val="single" w:sz="8" w:space="0" w:color="auto"/>
              <w:right w:val="single" w:sz="8" w:space="0" w:color="auto"/>
            </w:tcBorders>
            <w:shd w:val="clear" w:color="auto" w:fill="auto"/>
            <w:noWrap/>
            <w:vAlign w:val="center"/>
            <w:hideMark/>
          </w:tcPr>
          <w:p>
            <w:pPr>
              <w:jc w:val="center"/>
              <w:outlineLvl w:val="0"/>
              <w:rPr>
                <w:noProof/>
                <w:color w:val="000000"/>
                <w:sz w:val="20"/>
                <w:szCs w:val="20"/>
              </w:rPr>
            </w:pPr>
            <w:r>
              <w:rPr>
                <w:noProof/>
                <w:color w:val="000000"/>
                <w:sz w:val="20"/>
              </w:rPr>
              <w:t>Не е приложимо</w:t>
            </w:r>
          </w:p>
        </w:tc>
        <w:tc>
          <w:tcPr>
            <w:tcW w:w="1988" w:type="dxa"/>
            <w:gridSpan w:val="2"/>
            <w:tcBorders>
              <w:top w:val="nil"/>
              <w:left w:val="nil"/>
              <w:bottom w:val="single" w:sz="8" w:space="0" w:color="auto"/>
              <w:right w:val="single" w:sz="8" w:space="0" w:color="auto"/>
            </w:tcBorders>
            <w:shd w:val="clear" w:color="auto" w:fill="auto"/>
            <w:noWrap/>
            <w:vAlign w:val="center"/>
            <w:hideMark/>
          </w:tcPr>
          <w:p>
            <w:pPr>
              <w:jc w:val="center"/>
              <w:outlineLvl w:val="0"/>
              <w:rPr>
                <w:noProof/>
                <w:color w:val="000000"/>
                <w:sz w:val="20"/>
                <w:szCs w:val="20"/>
              </w:rPr>
            </w:pPr>
            <w:r>
              <w:rPr>
                <w:noProof/>
                <w:color w:val="000000"/>
                <w:sz w:val="20"/>
              </w:rPr>
              <w:t>702,7</w:t>
            </w:r>
          </w:p>
        </w:tc>
        <w:tc>
          <w:tcPr>
            <w:tcW w:w="1984" w:type="dxa"/>
            <w:gridSpan w:val="2"/>
            <w:tcBorders>
              <w:top w:val="nil"/>
              <w:left w:val="nil"/>
              <w:bottom w:val="single" w:sz="8" w:space="0" w:color="auto"/>
              <w:right w:val="single" w:sz="8" w:space="0" w:color="auto"/>
            </w:tcBorders>
            <w:shd w:val="clear" w:color="auto" w:fill="auto"/>
            <w:noWrap/>
            <w:vAlign w:val="center"/>
            <w:hideMark/>
          </w:tcPr>
          <w:p>
            <w:pPr>
              <w:jc w:val="center"/>
              <w:outlineLvl w:val="0"/>
              <w:rPr>
                <w:noProof/>
                <w:color w:val="000000"/>
                <w:sz w:val="20"/>
                <w:szCs w:val="20"/>
              </w:rPr>
            </w:pPr>
            <w:r>
              <w:rPr>
                <w:noProof/>
                <w:color w:val="000000"/>
                <w:sz w:val="20"/>
              </w:rPr>
              <w:t>422,5</w:t>
            </w:r>
          </w:p>
        </w:tc>
        <w:tc>
          <w:tcPr>
            <w:tcW w:w="2037" w:type="dxa"/>
            <w:gridSpan w:val="2"/>
            <w:tcBorders>
              <w:top w:val="nil"/>
              <w:left w:val="nil"/>
              <w:bottom w:val="single" w:sz="8" w:space="0" w:color="auto"/>
              <w:right w:val="single" w:sz="8" w:space="0" w:color="auto"/>
            </w:tcBorders>
            <w:shd w:val="clear" w:color="auto" w:fill="auto"/>
            <w:noWrap/>
            <w:vAlign w:val="center"/>
            <w:hideMark/>
          </w:tcPr>
          <w:p>
            <w:pPr>
              <w:jc w:val="center"/>
              <w:outlineLvl w:val="0"/>
              <w:rPr>
                <w:noProof/>
                <w:color w:val="000000"/>
                <w:sz w:val="20"/>
                <w:szCs w:val="20"/>
              </w:rPr>
            </w:pPr>
            <w:r>
              <w:rPr>
                <w:noProof/>
                <w:color w:val="000000"/>
                <w:sz w:val="20"/>
              </w:rPr>
              <w:t>-</w:t>
            </w:r>
          </w:p>
        </w:tc>
        <w:tc>
          <w:tcPr>
            <w:tcW w:w="1984" w:type="dxa"/>
            <w:tcBorders>
              <w:top w:val="nil"/>
              <w:left w:val="nil"/>
              <w:bottom w:val="single" w:sz="8" w:space="0" w:color="auto"/>
              <w:right w:val="single" w:sz="8" w:space="0" w:color="auto"/>
            </w:tcBorders>
            <w:shd w:val="clear" w:color="auto" w:fill="auto"/>
            <w:noWrap/>
            <w:vAlign w:val="center"/>
            <w:hideMark/>
          </w:tcPr>
          <w:p>
            <w:pPr>
              <w:jc w:val="center"/>
              <w:outlineLvl w:val="0"/>
              <w:rPr>
                <w:noProof/>
                <w:color w:val="000000"/>
                <w:sz w:val="20"/>
                <w:szCs w:val="20"/>
              </w:rPr>
            </w:pPr>
            <w:r>
              <w:rPr>
                <w:noProof/>
                <w:color w:val="000000"/>
                <w:sz w:val="20"/>
              </w:rPr>
              <w:t>280,2</w:t>
            </w:r>
          </w:p>
        </w:tc>
      </w:tr>
    </w:tbl>
    <w:p>
      <w:pPr>
        <w:rPr>
          <w:noProof/>
        </w:rPr>
      </w:pPr>
    </w:p>
    <w:p>
      <w:pPr>
        <w:rPr>
          <w:i/>
          <w:noProof/>
          <w:sz w:val="20"/>
          <w:lang w:val="en-GB"/>
        </w:rPr>
      </w:pPr>
      <w:r>
        <w:rPr>
          <w:i/>
          <w:noProof/>
          <w:sz w:val="20"/>
        </w:rPr>
        <w:t>* Заделеният през периода 2014—2019 г. резерв за изпълнение е включен в неизпълнените поети задължения (RAL), но не се предвиждат плащания по тези поети задължения преди 2020 г. В RAL не са включени неизпълнените поети задължения, генерирани от доходи от вноски на трети държави.</w:t>
      </w:r>
      <w:r>
        <w:rPr>
          <w:noProof/>
        </w:rPr>
        <w:tab/>
      </w:r>
      <w:r>
        <w:rPr>
          <w:noProof/>
        </w:rPr>
        <w:tab/>
      </w:r>
      <w:r>
        <w:rPr>
          <w:noProof/>
        </w:rPr>
        <w:tab/>
      </w:r>
    </w:p>
    <w:sectPr>
      <w:headerReference w:type="even" r:id="rId19"/>
      <w:headerReference w:type="default" r:id="rId20"/>
      <w:footerReference w:type="even" r:id="rId21"/>
      <w:footerReference w:type="default" r:id="rId22"/>
      <w:headerReference w:type="first" r:id="rId23"/>
      <w:footerReference w:type="first" r:id="rId24"/>
      <w:pgSz w:w="11906" w:h="16838"/>
      <w:pgMar w:top="1320" w:right="1151" w:bottom="1440" w:left="1151" w:header="720" w:footer="720" w:gutter="0"/>
      <w:pgNumType w:fmt="numberInDash"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p/>
  </w:endnote>
  <w:endnote w:type="continuationSeparator" w:id="0">
    <w:p>
      <w:r>
        <w:continuationSeparator/>
      </w:r>
    </w:p>
    <w:p/>
  </w:endnote>
  <w:endnote w:type="continuationNotice" w:id="1">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941691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- 1 -</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p/>
  </w:footnote>
  <w:footnote w:type="continuationSeparator" w:id="0">
    <w:p>
      <w:r>
        <w:continuationSeparator/>
      </w:r>
    </w:p>
    <w:p/>
  </w:footnote>
  <w:footnote w:type="continuationNotice" w:id="1">
    <w:p/>
    <w:p/>
  </w:footnote>
  <w:footnote w:id="2">
    <w:p>
      <w:pPr>
        <w:pStyle w:val="FootnoteText"/>
      </w:pPr>
      <w:r>
        <w:rPr>
          <w:rStyle w:val="FootnoteReference"/>
        </w:rPr>
        <w:footnoteRef/>
      </w:r>
      <w:r>
        <w:t xml:space="preserve"> Финансов регламент, приложим за общия бюджет на Съюза, и правилата за прилагането му, Регламент (ЕС, Евратом) 2018/1046 от 30.7.2018 г.</w:t>
      </w:r>
    </w:p>
  </w:footnote>
  <w:footnote w:id="3">
    <w:p>
      <w:pPr>
        <w:pStyle w:val="FootnoteText"/>
      </w:pPr>
      <w:r>
        <w:rPr>
          <w:vertAlign w:val="superscript"/>
        </w:rPr>
        <w:footnoteRef/>
      </w:r>
      <w:r>
        <w:rPr>
          <w:vertAlign w:val="superscript"/>
        </w:rPr>
        <w:t xml:space="preserve"> </w:t>
      </w:r>
      <w:r>
        <w:t>OВ C66 I, 19.2.2019 г., стр. 1.</w:t>
      </w:r>
    </w:p>
  </w:footnote>
  <w:footnote w:id="4">
    <w:p>
      <w:pPr>
        <w:pStyle w:val="FootnoteText"/>
      </w:pPr>
      <w:r>
        <w:rPr>
          <w:rStyle w:val="FootnoteReference"/>
        </w:rPr>
        <w:footnoteRef/>
      </w:r>
      <w:r>
        <w:t xml:space="preserve"> COM(2018)321 до 328 от 2.5.2018 г.</w:t>
      </w:r>
    </w:p>
  </w:footnote>
  <w:footnote w:id="5">
    <w:p>
      <w:pPr>
        <w:pStyle w:val="FootnoteText"/>
        <w:rPr>
          <w:lang w:val="pt-PT"/>
        </w:rPr>
      </w:pPr>
      <w:r>
        <w:rPr>
          <w:rStyle w:val="FootnoteReference"/>
        </w:rPr>
        <w:footnoteRef/>
      </w:r>
      <w:r>
        <w:t xml:space="preserve"> COM(2018)687 final от 10.10.2018 г.</w:t>
      </w:r>
    </w:p>
  </w:footnote>
  <w:footnote w:id="6">
    <w:p>
      <w:pPr>
        <w:pStyle w:val="FootnoteText"/>
      </w:pPr>
      <w:r>
        <w:rPr>
          <w:rStyle w:val="FootnoteReference"/>
        </w:rPr>
        <w:footnoteRef/>
      </w:r>
      <w:r>
        <w:t xml:space="preserve"> COM(2019)300 final от 15.4.2019 г.</w:t>
      </w:r>
    </w:p>
  </w:footnote>
  <w:footnote w:id="7">
    <w:p>
      <w:pPr>
        <w:pStyle w:val="FootnoteText"/>
      </w:pPr>
      <w:r>
        <w:rPr>
          <w:rStyle w:val="FootnoteReference"/>
        </w:rPr>
        <w:footnoteRef/>
      </w:r>
      <w:r>
        <w:t xml:space="preserve"> COM(2019)320 final от 15.5.2019 г.</w:t>
      </w:r>
    </w:p>
  </w:footnote>
  <w:footnote w:id="8">
    <w:p>
      <w:pPr>
        <w:pStyle w:val="FootnoteText"/>
      </w:pPr>
      <w:r>
        <w:rPr>
          <w:rStyle w:val="FootnoteReference"/>
        </w:rPr>
        <w:footnoteRef/>
      </w:r>
      <w:r>
        <w:t xml:space="preserve"> COM(2019)205 final от 22.5.2019 г.</w:t>
      </w:r>
    </w:p>
  </w:footnote>
  <w:footnote w:id="9">
    <w:p>
      <w:pPr>
        <w:pStyle w:val="FootnoteText"/>
      </w:pPr>
      <w:r>
        <w:rPr>
          <w:rStyle w:val="FootnoteReference"/>
        </w:rPr>
        <w:footnoteRef/>
      </w:r>
      <w:r>
        <w:t xml:space="preserve"> SEC(2019)250 от 5.6.2019 г.</w:t>
      </w:r>
    </w:p>
  </w:footnote>
  <w:footnote w:id="10">
    <w:p>
      <w:pPr>
        <w:pStyle w:val="FootnoteText"/>
        <w:jc w:val="both"/>
      </w:pPr>
      <w:r>
        <w:rPr>
          <w:rStyle w:val="FootnoteReference"/>
        </w:rPr>
        <w:footnoteRef/>
      </w:r>
      <w:r>
        <w:t xml:space="preserve"> Регламент (ЕС) 2018/2000 на Европейския парламент и на Съвета от 12 декември 2018 година за изменение на Регламент (ЕС) № 516/2014 на Европейския парламент и на Съвета по отношение на повторното заделяне на оставащите суми, заделени за подпомагане на изпълнението на решения (ЕС) 2015/1523 и (ЕС) 2015/1601 на Съвета, или разпределянето на тези суми към други действия по националните програми (OВ L 328, 21.12.2018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3F2"/>
    <w:multiLevelType w:val="singleLevel"/>
    <w:tmpl w:val="4190AB00"/>
    <w:name w:val="Tiret 0"/>
    <w:lvl w:ilvl="0">
      <w:start w:val="1"/>
      <w:numFmt w:val="bullet"/>
      <w:lvlText w:val="–"/>
      <w:lvlJc w:val="left"/>
      <w:pPr>
        <w:tabs>
          <w:tab w:val="num" w:pos="850"/>
        </w:tabs>
        <w:ind w:left="850" w:hanging="850"/>
      </w:pPr>
    </w:lvl>
  </w:abstractNum>
  <w:abstractNum w:abstractNumId="1">
    <w:nsid w:val="04421258"/>
    <w:multiLevelType w:val="hybridMultilevel"/>
    <w:tmpl w:val="F3A242C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515780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74D226D"/>
    <w:multiLevelType w:val="hybridMultilevel"/>
    <w:tmpl w:val="B6A093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DED505D"/>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nsid w:val="29572355"/>
    <w:multiLevelType w:val="hybridMultilevel"/>
    <w:tmpl w:val="5608E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A9C68F1"/>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1566"/>
        </w:tabs>
        <w:ind w:left="1566"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8">
    <w:nsid w:val="2CC371E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6AC28B0"/>
    <w:multiLevelType w:val="hybridMultilevel"/>
    <w:tmpl w:val="2136855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nsid w:val="40A54562"/>
    <w:multiLevelType w:val="hybridMultilevel"/>
    <w:tmpl w:val="8286EDAC"/>
    <w:lvl w:ilvl="0" w:tplc="08090001">
      <w:start w:val="1"/>
      <w:numFmt w:val="bullet"/>
      <w:lvlText w:val=""/>
      <w:lvlJc w:val="left"/>
      <w:pPr>
        <w:tabs>
          <w:tab w:val="num" w:pos="720"/>
        </w:tabs>
        <w:ind w:left="720" w:hanging="360"/>
      </w:pPr>
      <w:rPr>
        <w:rFonts w:ascii="Symbol" w:hAnsi="Symbol" w:hint="default"/>
      </w:rPr>
    </w:lvl>
    <w:lvl w:ilvl="1" w:tplc="08090019">
      <w:start w:val="1"/>
      <w:numFmt w:val="bullet"/>
      <w:lvlText w:val=""/>
      <w:lvlJc w:val="left"/>
      <w:pPr>
        <w:tabs>
          <w:tab w:val="num" w:pos="3905"/>
        </w:tabs>
        <w:ind w:left="3905" w:hanging="360"/>
      </w:pPr>
      <w:rPr>
        <w:rFonts w:ascii="Wingdings" w:hAnsi="Wingdings" w:hint="default"/>
      </w:rPr>
    </w:lvl>
    <w:lvl w:ilvl="2" w:tplc="0809001B">
      <w:start w:val="1"/>
      <w:numFmt w:val="decimal"/>
      <w:lvlText w:val="%3."/>
      <w:lvlJc w:val="left"/>
      <w:pPr>
        <w:tabs>
          <w:tab w:val="num" w:pos="2160"/>
        </w:tabs>
        <w:ind w:left="2160" w:hanging="360"/>
      </w:pPr>
      <w:rPr>
        <w:rFonts w:hint="default"/>
      </w:rPr>
    </w:lvl>
    <w:lvl w:ilvl="3" w:tplc="8184259A">
      <w:numFmt w:val="bullet"/>
      <w:lvlText w:val="•"/>
      <w:lvlJc w:val="left"/>
      <w:pPr>
        <w:ind w:left="2880" w:hanging="360"/>
      </w:pPr>
      <w:rPr>
        <w:rFonts w:ascii="Times New Roman" w:eastAsia="Times New Roman" w:hAnsi="Times New Roman" w:cs="Times New Roman"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1">
    <w:nsid w:val="489956A0"/>
    <w:multiLevelType w:val="singleLevel"/>
    <w:tmpl w:val="6520E3F6"/>
    <w:lvl w:ilvl="0">
      <w:start w:val="1"/>
      <w:numFmt w:val="bullet"/>
      <w:lvlRestart w:val="0"/>
      <w:pStyle w:val="Tiret0"/>
      <w:lvlText w:val="–"/>
      <w:lvlJc w:val="left"/>
      <w:pPr>
        <w:tabs>
          <w:tab w:val="num" w:pos="850"/>
        </w:tabs>
        <w:ind w:left="850" w:hanging="850"/>
      </w:pPr>
    </w:lvl>
  </w:abstractNum>
  <w:abstractNum w:abstractNumId="12">
    <w:nsid w:val="4D3527C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F8732B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6913628"/>
    <w:multiLevelType w:val="hybridMultilevel"/>
    <w:tmpl w:val="C5E810C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
      <w:lvlJc w:val="left"/>
      <w:pPr>
        <w:tabs>
          <w:tab w:val="num" w:pos="3905"/>
        </w:tabs>
        <w:ind w:left="3905" w:hanging="360"/>
      </w:pPr>
      <w:rPr>
        <w:rFonts w:ascii="Wingdings" w:hAnsi="Wingdings" w:hint="default"/>
      </w:rPr>
    </w:lvl>
    <w:lvl w:ilvl="2" w:tplc="08090005">
      <w:start w:val="1"/>
      <w:numFmt w:val="decimal"/>
      <w:lvlText w:val="%3."/>
      <w:lvlJc w:val="left"/>
      <w:pPr>
        <w:tabs>
          <w:tab w:val="num" w:pos="2160"/>
        </w:tabs>
        <w:ind w:left="2160" w:hanging="360"/>
      </w:pPr>
      <w:rPr>
        <w:rFont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57BF14D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AD31103"/>
    <w:multiLevelType w:val="hybridMultilevel"/>
    <w:tmpl w:val="9228A87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C3D65A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24C4580"/>
    <w:multiLevelType w:val="hybridMultilevel"/>
    <w:tmpl w:val="0D282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64B0DA2"/>
    <w:multiLevelType w:val="hybridMultilevel"/>
    <w:tmpl w:val="5E5C631A"/>
    <w:name w:val="Heading"/>
    <w:lvl w:ilvl="0" w:tplc="70C0E33E">
      <w:start w:val="1"/>
      <w:numFmt w:val="bullet"/>
      <w:lvlText w:val=""/>
      <w:lvlJc w:val="left"/>
      <w:pPr>
        <w:tabs>
          <w:tab w:val="num" w:pos="720"/>
        </w:tabs>
        <w:ind w:left="720" w:hanging="360"/>
      </w:pPr>
      <w:rPr>
        <w:rFonts w:ascii="Wingdings" w:hAnsi="Wingdings" w:hint="default"/>
      </w:rPr>
    </w:lvl>
    <w:lvl w:ilvl="1" w:tplc="5608EE86" w:tentative="1">
      <w:start w:val="1"/>
      <w:numFmt w:val="bullet"/>
      <w:lvlText w:val="o"/>
      <w:lvlJc w:val="left"/>
      <w:pPr>
        <w:tabs>
          <w:tab w:val="num" w:pos="1440"/>
        </w:tabs>
        <w:ind w:left="1440" w:hanging="360"/>
      </w:pPr>
      <w:rPr>
        <w:rFonts w:ascii="Courier New" w:hAnsi="Courier New" w:cs="Courier New" w:hint="default"/>
      </w:rPr>
    </w:lvl>
    <w:lvl w:ilvl="2" w:tplc="30244C20" w:tentative="1">
      <w:start w:val="1"/>
      <w:numFmt w:val="bullet"/>
      <w:lvlText w:val=""/>
      <w:lvlJc w:val="left"/>
      <w:pPr>
        <w:tabs>
          <w:tab w:val="num" w:pos="2160"/>
        </w:tabs>
        <w:ind w:left="2160" w:hanging="360"/>
      </w:pPr>
      <w:rPr>
        <w:rFonts w:ascii="Wingdings" w:hAnsi="Wingdings" w:hint="default"/>
      </w:rPr>
    </w:lvl>
    <w:lvl w:ilvl="3" w:tplc="E5CE95E6" w:tentative="1">
      <w:start w:val="1"/>
      <w:numFmt w:val="bullet"/>
      <w:lvlText w:val=""/>
      <w:lvlJc w:val="left"/>
      <w:pPr>
        <w:tabs>
          <w:tab w:val="num" w:pos="2880"/>
        </w:tabs>
        <w:ind w:left="2880" w:hanging="360"/>
      </w:pPr>
      <w:rPr>
        <w:rFonts w:ascii="Symbol" w:hAnsi="Symbol" w:hint="default"/>
      </w:rPr>
    </w:lvl>
    <w:lvl w:ilvl="4" w:tplc="0100D990" w:tentative="1">
      <w:start w:val="1"/>
      <w:numFmt w:val="bullet"/>
      <w:lvlText w:val="o"/>
      <w:lvlJc w:val="left"/>
      <w:pPr>
        <w:tabs>
          <w:tab w:val="num" w:pos="3600"/>
        </w:tabs>
        <w:ind w:left="3600" w:hanging="360"/>
      </w:pPr>
      <w:rPr>
        <w:rFonts w:ascii="Courier New" w:hAnsi="Courier New" w:cs="Courier New" w:hint="default"/>
      </w:rPr>
    </w:lvl>
    <w:lvl w:ilvl="5" w:tplc="FC88B498" w:tentative="1">
      <w:start w:val="1"/>
      <w:numFmt w:val="bullet"/>
      <w:lvlText w:val=""/>
      <w:lvlJc w:val="left"/>
      <w:pPr>
        <w:tabs>
          <w:tab w:val="num" w:pos="4320"/>
        </w:tabs>
        <w:ind w:left="4320" w:hanging="360"/>
      </w:pPr>
      <w:rPr>
        <w:rFonts w:ascii="Wingdings" w:hAnsi="Wingdings" w:hint="default"/>
      </w:rPr>
    </w:lvl>
    <w:lvl w:ilvl="6" w:tplc="D4D21692" w:tentative="1">
      <w:start w:val="1"/>
      <w:numFmt w:val="bullet"/>
      <w:lvlText w:val=""/>
      <w:lvlJc w:val="left"/>
      <w:pPr>
        <w:tabs>
          <w:tab w:val="num" w:pos="5040"/>
        </w:tabs>
        <w:ind w:left="5040" w:hanging="360"/>
      </w:pPr>
      <w:rPr>
        <w:rFonts w:ascii="Symbol" w:hAnsi="Symbol" w:hint="default"/>
      </w:rPr>
    </w:lvl>
    <w:lvl w:ilvl="7" w:tplc="3B12B370" w:tentative="1">
      <w:start w:val="1"/>
      <w:numFmt w:val="bullet"/>
      <w:lvlText w:val="o"/>
      <w:lvlJc w:val="left"/>
      <w:pPr>
        <w:tabs>
          <w:tab w:val="num" w:pos="5760"/>
        </w:tabs>
        <w:ind w:left="5760" w:hanging="360"/>
      </w:pPr>
      <w:rPr>
        <w:rFonts w:ascii="Courier New" w:hAnsi="Courier New" w:cs="Courier New" w:hint="default"/>
      </w:rPr>
    </w:lvl>
    <w:lvl w:ilvl="8" w:tplc="46463BCA" w:tentative="1">
      <w:start w:val="1"/>
      <w:numFmt w:val="bullet"/>
      <w:lvlText w:val=""/>
      <w:lvlJc w:val="left"/>
      <w:pPr>
        <w:tabs>
          <w:tab w:val="num" w:pos="6480"/>
        </w:tabs>
        <w:ind w:left="6480" w:hanging="360"/>
      </w:pPr>
      <w:rPr>
        <w:rFonts w:ascii="Wingdings" w:hAnsi="Wingdings" w:hint="default"/>
      </w:rPr>
    </w:lvl>
  </w:abstractNum>
  <w:abstractNum w:abstractNumId="20">
    <w:nsid w:val="66870614"/>
    <w:multiLevelType w:val="hybridMultilevel"/>
    <w:tmpl w:val="995A9EAA"/>
    <w:lvl w:ilvl="0" w:tplc="08090001">
      <w:start w:val="1"/>
      <w:numFmt w:val="bullet"/>
      <w:lvlText w:val=""/>
      <w:lvlJc w:val="left"/>
      <w:pPr>
        <w:ind w:left="1202" w:hanging="360"/>
      </w:pPr>
      <w:rPr>
        <w:rFonts w:ascii="Symbol" w:hAnsi="Symbol" w:hint="default"/>
      </w:rPr>
    </w:lvl>
    <w:lvl w:ilvl="1" w:tplc="08090003" w:tentative="1">
      <w:start w:val="1"/>
      <w:numFmt w:val="bullet"/>
      <w:lvlText w:val="o"/>
      <w:lvlJc w:val="left"/>
      <w:pPr>
        <w:ind w:left="1922" w:hanging="360"/>
      </w:pPr>
      <w:rPr>
        <w:rFonts w:ascii="Courier New" w:hAnsi="Courier New" w:cs="Courier New" w:hint="default"/>
      </w:rPr>
    </w:lvl>
    <w:lvl w:ilvl="2" w:tplc="08090005" w:tentative="1">
      <w:start w:val="1"/>
      <w:numFmt w:val="bullet"/>
      <w:lvlText w:val=""/>
      <w:lvlJc w:val="left"/>
      <w:pPr>
        <w:ind w:left="2642" w:hanging="360"/>
      </w:pPr>
      <w:rPr>
        <w:rFonts w:ascii="Wingdings" w:hAnsi="Wingdings" w:hint="default"/>
      </w:rPr>
    </w:lvl>
    <w:lvl w:ilvl="3" w:tplc="08090001" w:tentative="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cs="Courier New"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cs="Courier New" w:hint="default"/>
      </w:rPr>
    </w:lvl>
    <w:lvl w:ilvl="8" w:tplc="08090005" w:tentative="1">
      <w:start w:val="1"/>
      <w:numFmt w:val="bullet"/>
      <w:lvlText w:val=""/>
      <w:lvlJc w:val="left"/>
      <w:pPr>
        <w:ind w:left="6962" w:hanging="360"/>
      </w:pPr>
      <w:rPr>
        <w:rFonts w:ascii="Wingdings" w:hAnsi="Wingdings" w:hint="default"/>
      </w:rPr>
    </w:lvl>
  </w:abstractNum>
  <w:abstractNum w:abstractNumId="21">
    <w:nsid w:val="6715525B"/>
    <w:multiLevelType w:val="hybridMultilevel"/>
    <w:tmpl w:val="F3905F44"/>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nsid w:val="72DB0EF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5215256"/>
    <w:multiLevelType w:val="hybridMultilevel"/>
    <w:tmpl w:val="F8F0A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7460620"/>
    <w:multiLevelType w:val="hybridMultilevel"/>
    <w:tmpl w:val="6E620E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EC3634E"/>
    <w:multiLevelType w:val="hybridMultilevel"/>
    <w:tmpl w:val="F3905F44"/>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nsid w:val="7F117AE3"/>
    <w:multiLevelType w:val="hybridMultilevel"/>
    <w:tmpl w:val="F7EEF178"/>
    <w:lvl w:ilvl="0" w:tplc="6AAA8028">
      <w:start w:val="1"/>
      <w:numFmt w:val="bullet"/>
      <w:lvlText w:val=""/>
      <w:lvlJc w:val="left"/>
      <w:pPr>
        <w:tabs>
          <w:tab w:val="num" w:pos="720"/>
        </w:tabs>
        <w:ind w:left="720" w:hanging="360"/>
      </w:pPr>
      <w:rPr>
        <w:rFonts w:ascii="Wingdings" w:hAnsi="Wingdings" w:hint="default"/>
      </w:rPr>
    </w:lvl>
    <w:lvl w:ilvl="1" w:tplc="F9AE0BC2">
      <w:start w:val="1"/>
      <w:numFmt w:val="bullet"/>
      <w:lvlText w:val=""/>
      <w:lvlJc w:val="left"/>
      <w:pPr>
        <w:tabs>
          <w:tab w:val="num" w:pos="3905"/>
        </w:tabs>
        <w:ind w:left="3905" w:hanging="360"/>
      </w:pPr>
      <w:rPr>
        <w:rFonts w:ascii="Wingdings" w:hAnsi="Wingdings" w:hint="default"/>
      </w:rPr>
    </w:lvl>
    <w:lvl w:ilvl="2" w:tplc="6FC8AB52">
      <w:start w:val="1"/>
      <w:numFmt w:val="decimal"/>
      <w:lvlText w:val="%3."/>
      <w:lvlJc w:val="left"/>
      <w:pPr>
        <w:tabs>
          <w:tab w:val="num" w:pos="2160"/>
        </w:tabs>
        <w:ind w:left="2160" w:hanging="360"/>
      </w:pPr>
      <w:rPr>
        <w:rFonts w:hint="default"/>
      </w:rPr>
    </w:lvl>
    <w:lvl w:ilvl="3" w:tplc="0E96D468" w:tentative="1">
      <w:start w:val="1"/>
      <w:numFmt w:val="bullet"/>
      <w:lvlText w:val=""/>
      <w:lvlJc w:val="left"/>
      <w:pPr>
        <w:tabs>
          <w:tab w:val="num" w:pos="2880"/>
        </w:tabs>
        <w:ind w:left="2880" w:hanging="360"/>
      </w:pPr>
      <w:rPr>
        <w:rFonts w:ascii="Symbol" w:hAnsi="Symbol" w:hint="default"/>
      </w:rPr>
    </w:lvl>
    <w:lvl w:ilvl="4" w:tplc="2F8C92AC" w:tentative="1">
      <w:start w:val="1"/>
      <w:numFmt w:val="bullet"/>
      <w:lvlText w:val="o"/>
      <w:lvlJc w:val="left"/>
      <w:pPr>
        <w:tabs>
          <w:tab w:val="num" w:pos="3600"/>
        </w:tabs>
        <w:ind w:left="3600" w:hanging="360"/>
      </w:pPr>
      <w:rPr>
        <w:rFonts w:ascii="Courier New" w:hAnsi="Courier New" w:cs="Courier New" w:hint="default"/>
      </w:rPr>
    </w:lvl>
    <w:lvl w:ilvl="5" w:tplc="68BEBA64" w:tentative="1">
      <w:start w:val="1"/>
      <w:numFmt w:val="bullet"/>
      <w:lvlText w:val=""/>
      <w:lvlJc w:val="left"/>
      <w:pPr>
        <w:tabs>
          <w:tab w:val="num" w:pos="4320"/>
        </w:tabs>
        <w:ind w:left="4320" w:hanging="360"/>
      </w:pPr>
      <w:rPr>
        <w:rFonts w:ascii="Wingdings" w:hAnsi="Wingdings" w:hint="default"/>
      </w:rPr>
    </w:lvl>
    <w:lvl w:ilvl="6" w:tplc="466CF938" w:tentative="1">
      <w:start w:val="1"/>
      <w:numFmt w:val="bullet"/>
      <w:lvlText w:val=""/>
      <w:lvlJc w:val="left"/>
      <w:pPr>
        <w:tabs>
          <w:tab w:val="num" w:pos="5040"/>
        </w:tabs>
        <w:ind w:left="5040" w:hanging="360"/>
      </w:pPr>
      <w:rPr>
        <w:rFonts w:ascii="Symbol" w:hAnsi="Symbol" w:hint="default"/>
      </w:rPr>
    </w:lvl>
    <w:lvl w:ilvl="7" w:tplc="8FE826AC" w:tentative="1">
      <w:start w:val="1"/>
      <w:numFmt w:val="bullet"/>
      <w:lvlText w:val="o"/>
      <w:lvlJc w:val="left"/>
      <w:pPr>
        <w:tabs>
          <w:tab w:val="num" w:pos="5760"/>
        </w:tabs>
        <w:ind w:left="5760" w:hanging="360"/>
      </w:pPr>
      <w:rPr>
        <w:rFonts w:ascii="Courier New" w:hAnsi="Courier New" w:cs="Courier New" w:hint="default"/>
      </w:rPr>
    </w:lvl>
    <w:lvl w:ilvl="8" w:tplc="E0524B4E"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
  </w:num>
  <w:num w:numId="3">
    <w:abstractNumId w:val="7"/>
  </w:num>
  <w:num w:numId="4">
    <w:abstractNumId w:val="26"/>
  </w:num>
  <w:num w:numId="5">
    <w:abstractNumId w:val="14"/>
  </w:num>
  <w:num w:numId="6">
    <w:abstractNumId w:val="10"/>
  </w:num>
  <w:num w:numId="7">
    <w:abstractNumId w:val="4"/>
  </w:num>
  <w:num w:numId="8">
    <w:abstractNumId w:val="25"/>
  </w:num>
  <w:num w:numId="9">
    <w:abstractNumId w:val="3"/>
  </w:num>
  <w:num w:numId="10">
    <w:abstractNumId w:val="23"/>
  </w:num>
  <w:num w:numId="11">
    <w:abstractNumId w:val="1"/>
  </w:num>
  <w:num w:numId="12">
    <w:abstractNumId w:val="5"/>
  </w:num>
  <w:num w:numId="13">
    <w:abstractNumId w:val="20"/>
  </w:num>
  <w:num w:numId="14">
    <w:abstractNumId w:val="24"/>
  </w:num>
  <w:num w:numId="15">
    <w:abstractNumId w:val="6"/>
  </w:num>
  <w:num w:numId="16">
    <w:abstractNumId w:val="21"/>
  </w:num>
  <w:num w:numId="17">
    <w:abstractNumId w:val="16"/>
  </w:num>
  <w:num w:numId="18">
    <w:abstractNumId w:val="9"/>
  </w:num>
  <w:num w:numId="19">
    <w:abstractNumId w:val="18"/>
  </w:num>
  <w:num w:numId="20">
    <w:abstractNumId w:val="26"/>
    <w:lvlOverride w:ilvl="0"/>
    <w:lvlOverride w:ilvl="1"/>
    <w:lvlOverride w:ilvl="2">
      <w:startOverride w:val="1"/>
    </w:lvlOverride>
    <w:lvlOverride w:ilvl="3"/>
    <w:lvlOverride w:ilvl="4"/>
    <w:lvlOverride w:ilvl="5"/>
    <w:lvlOverride w:ilvl="6"/>
    <w:lvlOverride w:ilvl="7"/>
    <w:lvlOverride w:ilvl="8"/>
  </w:num>
  <w:num w:numId="21">
    <w:abstractNumId w:val="2"/>
  </w:num>
  <w:num w:numId="22">
    <w:abstractNumId w:val="16"/>
  </w:num>
  <w:num w:numId="23">
    <w:abstractNumId w:val="14"/>
    <w:lvlOverride w:ilvl="0"/>
    <w:lvlOverride w:ilvl="1"/>
    <w:lvlOverride w:ilvl="2">
      <w:startOverride w:val="1"/>
    </w:lvlOverride>
    <w:lvlOverride w:ilvl="3"/>
    <w:lvlOverride w:ilvl="4"/>
    <w:lvlOverride w:ilvl="5"/>
    <w:lvlOverride w:ilvl="6"/>
    <w:lvlOverride w:ilvl="7"/>
    <w:lvlOverride w:ilvl="8"/>
  </w:num>
  <w:num w:numId="24">
    <w:abstractNumId w:val="12"/>
  </w:num>
  <w:num w:numId="25">
    <w:abstractNumId w:val="22"/>
  </w:num>
  <w:num w:numId="26">
    <w:abstractNumId w:val="8"/>
  </w:num>
  <w:num w:numId="27">
    <w:abstractNumId w:val="15"/>
  </w:num>
  <w:num w:numId="28">
    <w:abstractNumId w:val="17"/>
  </w:num>
  <w:num w:numId="29">
    <w:abstractNumId w:val="13"/>
  </w:num>
  <w:num w:numId="30">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hyphenationZone w:val="425"/>
  <w:drawingGridHorizontalSpacing w:val="120"/>
  <w:displayHorizontalDrawingGridEvery w:val="2"/>
  <w:noPunctuationKerning/>
  <w:characterSpacingControl w:val="doNotCompress"/>
  <w:hdrShapeDefaults>
    <o:shapedefaults v:ext="edit" spidmax="65537"/>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DocStatus" w:val="Green"/>
    <w:docVar w:name="LW_CORRIGENDUM" w:val="&lt;UNUSED&gt;"/>
    <w:docVar w:name="LW_COVERPAGE_EXISTS" w:val="True"/>
    <w:docVar w:name="LW_COVERPAGE_GUID" w:val="7619F2E8-0429-463D-A512-1FBD7223A296"/>
    <w:docVar w:name="LW_COVERPAGE_TYPE" w:val="1"/>
    <w:docVar w:name="LW_CROSSREFERENCE" w:val="&lt;UNUSED&gt;"/>
    <w:docVar w:name="LW_DocType" w:val="NORMAL"/>
    <w:docVar w:name="LW_EMISSION" w:val="26.6.2019"/>
    <w:docVar w:name="LW_EMISSION_ISODATE" w:val="2019-06-26"/>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9) 30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u1044?\u1098?\u1083?\u1075?\u1086?\u1089?\u1088?\u1086?\u1095?\u1085?\u1072? \u1087?\u1088?\u1086?\u1075?\u1085?\u1086?\u1079?\u1072? \u1079?\u1072? \u1073?\u1098?\u1076?\u1077?\u1097?\u1080?\u1090?\u1077? \u1074?\u1093?\u1086?\u1076?\u1103?\u1097?\u1080? \u1080? \u1080?\u1079?\u1093?\u1086?\u1076?\u1103?\u1097?\u1080? \u1087?\u1072?\u1088?\u1080?\u1095?\u1085?\u1080? \u1087?\u1086?\u1090?\u1086?\u1094?\u1080? \u1085?\u1072? \u1073?\u1102?\u1076?\u1078?\u1077?\u1090?\u1072? \u1085?\u1072? \u1045?\u1057? (2020\u8212?2024 \u1075?.)_x000b_"/>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qFormat="1"/>
    <w:lsdException w:name="footer" w:uiPriority="99"/>
    <w:lsdException w:name="caption" w:qFormat="1"/>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Text1"/>
    <w:link w:val="Heading1Char"/>
    <w:qFormat/>
    <w:pPr>
      <w:keepNext/>
      <w:tabs>
        <w:tab w:val="num" w:pos="480"/>
      </w:tabs>
      <w:spacing w:before="240" w:after="240"/>
      <w:ind w:left="480" w:hanging="480"/>
      <w:jc w:val="both"/>
      <w:outlineLvl w:val="0"/>
    </w:pPr>
    <w:rPr>
      <w:b/>
      <w:smallCaps/>
      <w:szCs w:val="20"/>
    </w:rPr>
  </w:style>
  <w:style w:type="paragraph" w:styleId="Heading2">
    <w:name w:val="heading 2"/>
    <w:basedOn w:val="Normal"/>
    <w:next w:val="Normal"/>
    <w:link w:val="Heading2Char"/>
    <w:qFormat/>
    <w:pPr>
      <w:keepNext/>
      <w:tabs>
        <w:tab w:val="num" w:pos="1200"/>
      </w:tabs>
      <w:spacing w:after="240"/>
      <w:ind w:left="1200" w:hanging="720"/>
      <w:jc w:val="both"/>
      <w:outlineLvl w:val="1"/>
    </w:pPr>
    <w:rPr>
      <w:b/>
      <w:szCs w:val="20"/>
    </w:rPr>
  </w:style>
  <w:style w:type="paragraph" w:styleId="Heading3">
    <w:name w:val="heading 3"/>
    <w:basedOn w:val="Normal"/>
    <w:next w:val="Normal"/>
    <w:qFormat/>
    <w:pPr>
      <w:keepNext/>
      <w:spacing w:before="240" w:after="60"/>
      <w:outlineLvl w:val="2"/>
    </w:pPr>
    <w:rPr>
      <w:rFonts w:ascii="Arial" w:hAnsi="Arial"/>
      <w:szCs w:val="20"/>
    </w:rPr>
  </w:style>
  <w:style w:type="paragraph" w:styleId="Heading4">
    <w:name w:val="heading 4"/>
    <w:basedOn w:val="Normal"/>
    <w:next w:val="Normal"/>
    <w:qFormat/>
    <w:pPr>
      <w:keepNext/>
      <w:tabs>
        <w:tab w:val="num" w:pos="1920"/>
      </w:tabs>
      <w:spacing w:after="240"/>
      <w:ind w:left="1920" w:hanging="720"/>
      <w:jc w:val="both"/>
      <w:outlineLvl w:val="3"/>
    </w:pPr>
    <w:rPr>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536"/>
        <w:tab w:val="right" w:pos="9072"/>
      </w:tabs>
    </w:pPr>
    <w:rPr>
      <w:szCs w:val="20"/>
    </w:rPr>
  </w:style>
  <w:style w:type="paragraph" w:styleId="Header">
    <w:name w:val="header"/>
    <w:basedOn w:val="Normal"/>
    <w:pPr>
      <w:tabs>
        <w:tab w:val="center" w:pos="4536"/>
        <w:tab w:val="right" w:pos="9072"/>
      </w:tabs>
    </w:pPr>
  </w:style>
  <w:style w:type="paragraph" w:styleId="BalloonText">
    <w:name w:val="Balloon Text"/>
    <w:basedOn w:val="Normal"/>
    <w:semiHidden/>
    <w:rPr>
      <w:rFonts w:ascii="Tahoma" w:hAnsi="Tahoma" w:cs="Tahoma"/>
      <w:sz w:val="16"/>
      <w:szCs w:val="16"/>
    </w:rPr>
  </w:style>
  <w:style w:type="paragraph" w:styleId="FootnoteText">
    <w:name w:val="footnote text"/>
    <w:aliases w:val="fn,footnote text,footnote text Char Char,Car,Footnote Text Char2 Char,Footnote Text Char Char Char1,Footnote Text Char1 Char Char Char,Footnote Text Char2 Char Char Char Char,Footnote Text Char1 Char1 Char Char Char Char,Car Car Ca"/>
    <w:basedOn w:val="Normal"/>
    <w:link w:val="FootnoteTextChar"/>
    <w:uiPriority w:val="99"/>
    <w:qFormat/>
    <w:rPr>
      <w:sz w:val="20"/>
      <w:szCs w:val="20"/>
    </w:rPr>
  </w:style>
  <w:style w:type="character" w:styleId="FootnoteReference">
    <w:name w:val="footnote reference"/>
    <w:aliases w:val="Footnote,Footnote number,Footnote symbol,Footnote Reference Number,Footnote reference number,Times 10 Point,Exposant 3 Point,Voetnootverwijzing,fr,o,Footnotemark,FR,Footnotemark1,Footnotemark2,FR1,Footnotemark3,FR2,Footnotemark4,FR3"/>
    <w:basedOn w:val="DefaultParagraphFont"/>
    <w:uiPriority w:val="99"/>
    <w:qFormat/>
    <w:rPr>
      <w:vertAlign w:val="superscript"/>
    </w:rPr>
  </w:style>
  <w:style w:type="paragraph" w:customStyle="1" w:styleId="ZCom">
    <w:name w:val="Z_Com"/>
    <w:basedOn w:val="Normal"/>
    <w:next w:val="ZDGName"/>
    <w:pPr>
      <w:widowControl w:val="0"/>
      <w:autoSpaceDE w:val="0"/>
      <w:autoSpaceDN w:val="0"/>
      <w:ind w:right="85"/>
      <w:jc w:val="both"/>
    </w:pPr>
    <w:rPr>
      <w:rFonts w:ascii="Arial" w:hAnsi="Arial" w:cs="Arial"/>
    </w:rPr>
  </w:style>
  <w:style w:type="paragraph" w:customStyle="1" w:styleId="ZDGName">
    <w:name w:val="Z_DGName"/>
    <w:basedOn w:val="Normal"/>
    <w:pPr>
      <w:widowControl w:val="0"/>
      <w:autoSpaceDE w:val="0"/>
      <w:autoSpaceDN w:val="0"/>
      <w:ind w:right="85"/>
    </w:pPr>
    <w:rPr>
      <w:rFonts w:ascii="Arial" w:hAnsi="Arial" w:cs="Arial"/>
      <w:sz w:val="16"/>
      <w:szCs w:val="16"/>
    </w:rPr>
  </w:style>
  <w:style w:type="paragraph" w:customStyle="1" w:styleId="NoteHead">
    <w:name w:val="NoteHead"/>
    <w:basedOn w:val="Normal"/>
    <w:next w:val="Normal"/>
    <w:pPr>
      <w:spacing w:before="720" w:after="720"/>
      <w:jc w:val="center"/>
    </w:pPr>
    <w:rPr>
      <w:b/>
      <w:smallCaps/>
      <w:szCs w:val="20"/>
    </w:rPr>
  </w:style>
  <w:style w:type="paragraph" w:customStyle="1" w:styleId="Text3">
    <w:name w:val="Text 3"/>
    <w:basedOn w:val="Normal"/>
    <w:pPr>
      <w:spacing w:before="120" w:after="120"/>
      <w:ind w:left="851"/>
      <w:jc w:val="both"/>
    </w:pPr>
    <w:rPr>
      <w:szCs w:val="20"/>
    </w:rPr>
  </w:style>
  <w:style w:type="paragraph" w:customStyle="1" w:styleId="Tiret0">
    <w:name w:val="Tiret 0"/>
    <w:basedOn w:val="Normal"/>
    <w:link w:val="Tiret0Char"/>
    <w:uiPriority w:val="99"/>
    <w:pPr>
      <w:numPr>
        <w:numId w:val="1"/>
      </w:numPr>
      <w:spacing w:before="120" w:after="120"/>
      <w:jc w:val="both"/>
    </w:pPr>
  </w:style>
  <w:style w:type="character" w:customStyle="1" w:styleId="Tiret0Char">
    <w:name w:val="Tiret 0 Char"/>
    <w:basedOn w:val="DefaultParagraphFont"/>
    <w:link w:val="Tiret0"/>
    <w:rPr>
      <w:sz w:val="24"/>
      <w:szCs w:val="24"/>
    </w:rPr>
  </w:style>
  <w:style w:type="character" w:styleId="PageNumber">
    <w:name w:val="page number"/>
    <w:basedOn w:val="DefaultParagraphFont"/>
  </w:style>
  <w:style w:type="paragraph" w:customStyle="1" w:styleId="Text1">
    <w:name w:val="Text 1"/>
    <w:basedOn w:val="Normal"/>
    <w:link w:val="Text1Char"/>
    <w:pPr>
      <w:spacing w:after="240"/>
      <w:ind w:left="482"/>
      <w:jc w:val="both"/>
    </w:pPr>
    <w:rPr>
      <w:szCs w:val="20"/>
    </w:rPr>
  </w:style>
  <w:style w:type="paragraph" w:customStyle="1" w:styleId="Text2">
    <w:name w:val="Text 2"/>
    <w:basedOn w:val="Normal"/>
    <w:pPr>
      <w:tabs>
        <w:tab w:val="left" w:pos="2160"/>
      </w:tabs>
      <w:spacing w:after="240"/>
      <w:ind w:left="1077"/>
      <w:jc w:val="both"/>
    </w:pPr>
    <w:rPr>
      <w:szCs w:val="20"/>
    </w:rPr>
  </w:style>
  <w:style w:type="paragraph" w:styleId="ListBullet2">
    <w:name w:val="List Bullet 2"/>
    <w:basedOn w:val="Text2"/>
    <w:pPr>
      <w:numPr>
        <w:numId w:val="3"/>
      </w:numPr>
      <w:tabs>
        <w:tab w:val="clear" w:pos="2160"/>
      </w:tabs>
    </w:pPr>
  </w:style>
  <w:style w:type="table" w:styleId="TableGrid">
    <w:name w:val="Table Grid"/>
    <w:basedOn w:val="TableNormal"/>
    <w:uiPriority w:val="59"/>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ject">
    <w:name w:val="Subject"/>
    <w:basedOn w:val="Normal"/>
    <w:next w:val="Normal"/>
    <w:pPr>
      <w:spacing w:after="480"/>
      <w:ind w:left="1191" w:hanging="1191"/>
    </w:pPr>
    <w:rPr>
      <w:b/>
      <w:szCs w:val="20"/>
    </w:rPr>
  </w:style>
  <w:style w:type="character" w:customStyle="1" w:styleId="Text1Char">
    <w:name w:val="Text 1 Char"/>
    <w:basedOn w:val="DefaultParagraphFont"/>
    <w:link w:val="Text1"/>
    <w:rPr>
      <w:sz w:val="24"/>
      <w:lang w:val="bg-BG" w:eastAsia="bg-BG" w:bidi="bg-BG"/>
    </w:rPr>
  </w:style>
  <w:style w:type="paragraph" w:styleId="DocumentMap">
    <w:name w:val="Document Map"/>
    <w:basedOn w:val="Normal"/>
    <w:semiHidden/>
    <w:pPr>
      <w:shd w:val="clear" w:color="auto" w:fill="000080"/>
    </w:pPr>
    <w:rPr>
      <w:rFonts w:ascii="Tahoma" w:hAnsi="Tahoma" w:cs="Tahoma"/>
      <w:sz w:val="20"/>
      <w:szCs w:val="20"/>
    </w:rPr>
  </w:style>
  <w:style w:type="character" w:customStyle="1" w:styleId="Heading1Char">
    <w:name w:val="Heading 1 Char"/>
    <w:basedOn w:val="DefaultParagraphFont"/>
    <w:link w:val="Heading1"/>
    <w:rPr>
      <w:b/>
      <w:smallCaps/>
      <w:sz w:val="24"/>
      <w:lang w:eastAsia="bg-BG"/>
    </w:rPr>
  </w:style>
  <w:style w:type="character" w:customStyle="1" w:styleId="Heading2Char">
    <w:name w:val="Heading 2 Char"/>
    <w:basedOn w:val="DefaultParagraphFont"/>
    <w:link w:val="Heading2"/>
    <w:rPr>
      <w:b/>
      <w:sz w:val="24"/>
      <w:lang w:eastAsia="bg-BG"/>
    </w:rPr>
  </w:style>
  <w:style w:type="character" w:customStyle="1" w:styleId="FootnoteTextChar">
    <w:name w:val="Footnote Text Char"/>
    <w:aliases w:val="fn Char,footnote text Char,footnote text Char Char Char,Car Char,Footnote Text Char2 Char Char,Footnote Text Char Char Char1 Char,Footnote Text Char1 Char Char Char Char,Footnote Text Char2 Char Char Char Char Char,Car Car Ca Char"/>
    <w:basedOn w:val="DefaultParagraphFont"/>
    <w:link w:val="FootnoteText"/>
    <w:uiPriority w:val="99"/>
  </w:style>
  <w:style w:type="paragraph" w:styleId="Revision">
    <w:name w:val="Revision"/>
    <w:hidden/>
    <w:uiPriority w:val="99"/>
    <w:semiHidden/>
    <w:rPr>
      <w:sz w:val="24"/>
      <w:szCs w:val="24"/>
    </w:rPr>
  </w:style>
  <w:style w:type="paragraph" w:styleId="ListParagraph">
    <w:name w:val="List Paragraph"/>
    <w:basedOn w:val="Normal"/>
    <w:uiPriority w:val="34"/>
    <w:qFormat/>
    <w:pPr>
      <w:ind w:left="720"/>
    </w:pPr>
    <w:rPr>
      <w:rFonts w:ascii="Calibri" w:hAnsi="Calibri"/>
      <w:sz w:val="22"/>
      <w:szCs w:val="22"/>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character" w:customStyle="1" w:styleId="FooterChar">
    <w:name w:val="Footer Char"/>
    <w:basedOn w:val="DefaultParagraphFont"/>
    <w:link w:val="Footer"/>
    <w:uiPriority w:val="99"/>
    <w:rPr>
      <w:sz w:val="24"/>
      <w:lang w:val="bg-BG"/>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3">
    <w:name w:val="CM3"/>
    <w:basedOn w:val="Default"/>
    <w:next w:val="Default"/>
    <w:uiPriority w:val="99"/>
    <w:rPr>
      <w:rFonts w:cs="Times New Roman"/>
      <w:color w:val="auto"/>
    </w:rPr>
  </w:style>
  <w:style w:type="paragraph" w:styleId="Caption">
    <w:name w:val="caption"/>
    <w:basedOn w:val="Normal"/>
    <w:next w:val="Normal"/>
    <w:link w:val="CaptionChar"/>
    <w:unhideWhenUsed/>
    <w:qFormat/>
    <w:pPr>
      <w:spacing w:after="200"/>
    </w:pPr>
    <w:rPr>
      <w:b/>
      <w:bCs/>
      <w:color w:val="4F81BD" w:themeColor="accent1"/>
      <w:sz w:val="18"/>
      <w:szCs w:val="18"/>
    </w:rPr>
  </w:style>
  <w:style w:type="character" w:styleId="Strong">
    <w:name w:val="Strong"/>
    <w:basedOn w:val="DefaultParagraphFont"/>
    <w:uiPriority w:val="22"/>
    <w:qFormat/>
    <w:rPr>
      <w:b/>
      <w:bCs/>
    </w:rPr>
  </w:style>
  <w:style w:type="paragraph" w:styleId="TOCHeading">
    <w:name w:val="TOC Heading"/>
    <w:basedOn w:val="Heading1"/>
    <w:next w:val="Normal"/>
    <w:uiPriority w:val="39"/>
    <w:unhideWhenUsed/>
    <w:qFormat/>
    <w:pPr>
      <w:keepLines/>
      <w:tabs>
        <w:tab w:val="clear" w:pos="480"/>
      </w:tabs>
      <w:spacing w:before="480" w:after="0" w:line="276" w:lineRule="auto"/>
      <w:ind w:left="0" w:firstLine="0"/>
      <w:jc w:val="left"/>
      <w:outlineLvl w:val="9"/>
    </w:pPr>
    <w:rPr>
      <w:rFonts w:asciiTheme="majorHAnsi" w:eastAsiaTheme="majorEastAsia" w:hAnsiTheme="majorHAnsi" w:cstheme="majorBidi"/>
      <w:bCs/>
      <w:smallCaps w:val="0"/>
      <w:color w:val="365F91" w:themeColor="accent1" w:themeShade="BF"/>
      <w:sz w:val="28"/>
      <w:szCs w:val="28"/>
    </w:rPr>
  </w:style>
  <w:style w:type="paragraph" w:styleId="TOC1">
    <w:name w:val="toc 1"/>
    <w:basedOn w:val="Normal"/>
    <w:next w:val="Normal"/>
    <w:autoRedefine/>
    <w:uiPriority w:val="39"/>
    <w:qFormat/>
    <w:pPr>
      <w:spacing w:after="100"/>
    </w:pPr>
  </w:style>
  <w:style w:type="paragraph" w:styleId="TOC2">
    <w:name w:val="toc 2"/>
    <w:basedOn w:val="Normal"/>
    <w:next w:val="Normal"/>
    <w:autoRedefine/>
    <w:uiPriority w:val="39"/>
    <w:qFormat/>
    <w:pPr>
      <w:spacing w:after="100"/>
      <w:ind w:left="240"/>
    </w:pPr>
  </w:style>
  <w:style w:type="character" w:styleId="Hyperlink">
    <w:name w:val="Hyperlink"/>
    <w:basedOn w:val="DefaultParagraphFont"/>
    <w:uiPriority w:val="99"/>
    <w:unhideWhenUsed/>
    <w:rPr>
      <w:color w:val="0000FF" w:themeColor="hyperlink"/>
      <w:u w:val="single"/>
    </w:rPr>
  </w:style>
  <w:style w:type="paragraph" w:styleId="TOC3">
    <w:name w:val="toc 3"/>
    <w:basedOn w:val="Normal"/>
    <w:next w:val="Normal"/>
    <w:autoRedefine/>
    <w:uiPriority w:val="39"/>
    <w:unhideWhenUsed/>
    <w:qFormat/>
    <w:pPr>
      <w:spacing w:after="100" w:line="276" w:lineRule="auto"/>
      <w:ind w:left="440"/>
    </w:pPr>
    <w:rPr>
      <w:rFonts w:asciiTheme="minorHAnsi" w:eastAsiaTheme="minorEastAsia" w:hAnsiTheme="minorHAnsi" w:cstheme="minorBidi"/>
      <w:sz w:val="22"/>
      <w:szCs w:val="2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CaptionChar">
    <w:name w:val="Caption Char"/>
    <w:basedOn w:val="DefaultParagraphFont"/>
    <w:link w:val="Caption"/>
    <w:rPr>
      <w:b/>
      <w:bCs/>
      <w:color w:val="4F81BD" w:themeColor="accent1"/>
      <w:sz w:val="18"/>
      <w:szCs w:val="18"/>
    </w:rPr>
  </w:style>
  <w:style w:type="character" w:customStyle="1" w:styleId="FooterCoverPageChar">
    <w:name w:val="Footer Cover Page Char"/>
    <w:basedOn w:val="CaptionChar"/>
    <w:link w:val="FooterCoverPage"/>
    <w:rPr>
      <w:b w:val="0"/>
      <w:bCs w:val="0"/>
      <w:color w:val="4F81BD" w:themeColor="accent1"/>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CaptionChar"/>
    <w:link w:val="FooterSensitivity"/>
    <w:rPr>
      <w:b/>
      <w:bCs w:val="0"/>
      <w:color w:val="4F81BD" w:themeColor="accent1"/>
      <w:sz w:val="32"/>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CaptionChar"/>
    <w:link w:val="HeaderCoverPage"/>
    <w:rPr>
      <w:b w:val="0"/>
      <w:bCs w:val="0"/>
      <w:color w:val="4F81BD" w:themeColor="accent1"/>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CaptionChar"/>
    <w:link w:val="HeaderSensitivity"/>
    <w:rPr>
      <w:b/>
      <w:bCs w:val="0"/>
      <w:color w:val="4F81BD" w:themeColor="accent1"/>
      <w:sz w:val="32"/>
      <w:szCs w:val="24"/>
    </w:rPr>
  </w:style>
  <w:style w:type="character" w:customStyle="1" w:styleId="WW8Num4z1">
    <w:name w:val="WW8Num4z1"/>
    <w:rPr>
      <w:rFonts w:ascii="Wingdings" w:hAnsi="Wingdings" w:cs="Symbol" w:hint="default"/>
    </w:rPr>
  </w:style>
  <w:style w:type="character" w:customStyle="1" w:styleId="footnotereference0">
    <w:name w:val="footnotereference"/>
    <w:basedOn w:val="DefaultParagraphFont"/>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qFormat="1"/>
    <w:lsdException w:name="footer" w:uiPriority="99"/>
    <w:lsdException w:name="caption" w:qFormat="1"/>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Text1"/>
    <w:link w:val="Heading1Char"/>
    <w:qFormat/>
    <w:pPr>
      <w:keepNext/>
      <w:tabs>
        <w:tab w:val="num" w:pos="480"/>
      </w:tabs>
      <w:spacing w:before="240" w:after="240"/>
      <w:ind w:left="480" w:hanging="480"/>
      <w:jc w:val="both"/>
      <w:outlineLvl w:val="0"/>
    </w:pPr>
    <w:rPr>
      <w:b/>
      <w:smallCaps/>
      <w:szCs w:val="20"/>
    </w:rPr>
  </w:style>
  <w:style w:type="paragraph" w:styleId="Heading2">
    <w:name w:val="heading 2"/>
    <w:basedOn w:val="Normal"/>
    <w:next w:val="Normal"/>
    <w:link w:val="Heading2Char"/>
    <w:qFormat/>
    <w:pPr>
      <w:keepNext/>
      <w:tabs>
        <w:tab w:val="num" w:pos="1200"/>
      </w:tabs>
      <w:spacing w:after="240"/>
      <w:ind w:left="1200" w:hanging="720"/>
      <w:jc w:val="both"/>
      <w:outlineLvl w:val="1"/>
    </w:pPr>
    <w:rPr>
      <w:b/>
      <w:szCs w:val="20"/>
    </w:rPr>
  </w:style>
  <w:style w:type="paragraph" w:styleId="Heading3">
    <w:name w:val="heading 3"/>
    <w:basedOn w:val="Normal"/>
    <w:next w:val="Normal"/>
    <w:qFormat/>
    <w:pPr>
      <w:keepNext/>
      <w:spacing w:before="240" w:after="60"/>
      <w:outlineLvl w:val="2"/>
    </w:pPr>
    <w:rPr>
      <w:rFonts w:ascii="Arial" w:hAnsi="Arial"/>
      <w:szCs w:val="20"/>
    </w:rPr>
  </w:style>
  <w:style w:type="paragraph" w:styleId="Heading4">
    <w:name w:val="heading 4"/>
    <w:basedOn w:val="Normal"/>
    <w:next w:val="Normal"/>
    <w:qFormat/>
    <w:pPr>
      <w:keepNext/>
      <w:tabs>
        <w:tab w:val="num" w:pos="1920"/>
      </w:tabs>
      <w:spacing w:after="240"/>
      <w:ind w:left="1920" w:hanging="720"/>
      <w:jc w:val="both"/>
      <w:outlineLvl w:val="3"/>
    </w:pPr>
    <w:rPr>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536"/>
        <w:tab w:val="right" w:pos="9072"/>
      </w:tabs>
    </w:pPr>
    <w:rPr>
      <w:szCs w:val="20"/>
    </w:rPr>
  </w:style>
  <w:style w:type="paragraph" w:styleId="Header">
    <w:name w:val="header"/>
    <w:basedOn w:val="Normal"/>
    <w:pPr>
      <w:tabs>
        <w:tab w:val="center" w:pos="4536"/>
        <w:tab w:val="right" w:pos="9072"/>
      </w:tabs>
    </w:pPr>
  </w:style>
  <w:style w:type="paragraph" w:styleId="BalloonText">
    <w:name w:val="Balloon Text"/>
    <w:basedOn w:val="Normal"/>
    <w:semiHidden/>
    <w:rPr>
      <w:rFonts w:ascii="Tahoma" w:hAnsi="Tahoma" w:cs="Tahoma"/>
      <w:sz w:val="16"/>
      <w:szCs w:val="16"/>
    </w:rPr>
  </w:style>
  <w:style w:type="paragraph" w:styleId="FootnoteText">
    <w:name w:val="footnote text"/>
    <w:aliases w:val="fn,footnote text,footnote text Char Char,Car,Footnote Text Char2 Char,Footnote Text Char Char Char1,Footnote Text Char1 Char Char Char,Footnote Text Char2 Char Char Char Char,Footnote Text Char1 Char1 Char Char Char Char,Car Car Ca"/>
    <w:basedOn w:val="Normal"/>
    <w:link w:val="FootnoteTextChar"/>
    <w:uiPriority w:val="99"/>
    <w:qFormat/>
    <w:rPr>
      <w:sz w:val="20"/>
      <w:szCs w:val="20"/>
    </w:rPr>
  </w:style>
  <w:style w:type="character" w:styleId="FootnoteReference">
    <w:name w:val="footnote reference"/>
    <w:aliases w:val="Footnote,Footnote number,Footnote symbol,Footnote Reference Number,Footnote reference number,Times 10 Point,Exposant 3 Point,Voetnootverwijzing,fr,o,Footnotemark,FR,Footnotemark1,Footnotemark2,FR1,Footnotemark3,FR2,Footnotemark4,FR3"/>
    <w:basedOn w:val="DefaultParagraphFont"/>
    <w:uiPriority w:val="99"/>
    <w:qFormat/>
    <w:rPr>
      <w:vertAlign w:val="superscript"/>
    </w:rPr>
  </w:style>
  <w:style w:type="paragraph" w:customStyle="1" w:styleId="ZCom">
    <w:name w:val="Z_Com"/>
    <w:basedOn w:val="Normal"/>
    <w:next w:val="ZDGName"/>
    <w:pPr>
      <w:widowControl w:val="0"/>
      <w:autoSpaceDE w:val="0"/>
      <w:autoSpaceDN w:val="0"/>
      <w:ind w:right="85"/>
      <w:jc w:val="both"/>
    </w:pPr>
    <w:rPr>
      <w:rFonts w:ascii="Arial" w:hAnsi="Arial" w:cs="Arial"/>
    </w:rPr>
  </w:style>
  <w:style w:type="paragraph" w:customStyle="1" w:styleId="ZDGName">
    <w:name w:val="Z_DGName"/>
    <w:basedOn w:val="Normal"/>
    <w:pPr>
      <w:widowControl w:val="0"/>
      <w:autoSpaceDE w:val="0"/>
      <w:autoSpaceDN w:val="0"/>
      <w:ind w:right="85"/>
    </w:pPr>
    <w:rPr>
      <w:rFonts w:ascii="Arial" w:hAnsi="Arial" w:cs="Arial"/>
      <w:sz w:val="16"/>
      <w:szCs w:val="16"/>
    </w:rPr>
  </w:style>
  <w:style w:type="paragraph" w:customStyle="1" w:styleId="NoteHead">
    <w:name w:val="NoteHead"/>
    <w:basedOn w:val="Normal"/>
    <w:next w:val="Normal"/>
    <w:pPr>
      <w:spacing w:before="720" w:after="720"/>
      <w:jc w:val="center"/>
    </w:pPr>
    <w:rPr>
      <w:b/>
      <w:smallCaps/>
      <w:szCs w:val="20"/>
    </w:rPr>
  </w:style>
  <w:style w:type="paragraph" w:customStyle="1" w:styleId="Text3">
    <w:name w:val="Text 3"/>
    <w:basedOn w:val="Normal"/>
    <w:pPr>
      <w:spacing w:before="120" w:after="120"/>
      <w:ind w:left="851"/>
      <w:jc w:val="both"/>
    </w:pPr>
    <w:rPr>
      <w:szCs w:val="20"/>
    </w:rPr>
  </w:style>
  <w:style w:type="paragraph" w:customStyle="1" w:styleId="Tiret0">
    <w:name w:val="Tiret 0"/>
    <w:basedOn w:val="Normal"/>
    <w:link w:val="Tiret0Char"/>
    <w:uiPriority w:val="99"/>
    <w:pPr>
      <w:numPr>
        <w:numId w:val="1"/>
      </w:numPr>
      <w:spacing w:before="120" w:after="120"/>
      <w:jc w:val="both"/>
    </w:pPr>
  </w:style>
  <w:style w:type="character" w:customStyle="1" w:styleId="Tiret0Char">
    <w:name w:val="Tiret 0 Char"/>
    <w:basedOn w:val="DefaultParagraphFont"/>
    <w:link w:val="Tiret0"/>
    <w:rPr>
      <w:sz w:val="24"/>
      <w:szCs w:val="24"/>
    </w:rPr>
  </w:style>
  <w:style w:type="character" w:styleId="PageNumber">
    <w:name w:val="page number"/>
    <w:basedOn w:val="DefaultParagraphFont"/>
  </w:style>
  <w:style w:type="paragraph" w:customStyle="1" w:styleId="Text1">
    <w:name w:val="Text 1"/>
    <w:basedOn w:val="Normal"/>
    <w:link w:val="Text1Char"/>
    <w:pPr>
      <w:spacing w:after="240"/>
      <w:ind w:left="482"/>
      <w:jc w:val="both"/>
    </w:pPr>
    <w:rPr>
      <w:szCs w:val="20"/>
    </w:rPr>
  </w:style>
  <w:style w:type="paragraph" w:customStyle="1" w:styleId="Text2">
    <w:name w:val="Text 2"/>
    <w:basedOn w:val="Normal"/>
    <w:pPr>
      <w:tabs>
        <w:tab w:val="left" w:pos="2160"/>
      </w:tabs>
      <w:spacing w:after="240"/>
      <w:ind w:left="1077"/>
      <w:jc w:val="both"/>
    </w:pPr>
    <w:rPr>
      <w:szCs w:val="20"/>
    </w:rPr>
  </w:style>
  <w:style w:type="paragraph" w:styleId="ListBullet2">
    <w:name w:val="List Bullet 2"/>
    <w:basedOn w:val="Text2"/>
    <w:pPr>
      <w:numPr>
        <w:numId w:val="3"/>
      </w:numPr>
      <w:tabs>
        <w:tab w:val="clear" w:pos="2160"/>
      </w:tabs>
    </w:pPr>
  </w:style>
  <w:style w:type="table" w:styleId="TableGrid">
    <w:name w:val="Table Grid"/>
    <w:basedOn w:val="TableNormal"/>
    <w:uiPriority w:val="59"/>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ject">
    <w:name w:val="Subject"/>
    <w:basedOn w:val="Normal"/>
    <w:next w:val="Normal"/>
    <w:pPr>
      <w:spacing w:after="480"/>
      <w:ind w:left="1191" w:hanging="1191"/>
    </w:pPr>
    <w:rPr>
      <w:b/>
      <w:szCs w:val="20"/>
    </w:rPr>
  </w:style>
  <w:style w:type="character" w:customStyle="1" w:styleId="Text1Char">
    <w:name w:val="Text 1 Char"/>
    <w:basedOn w:val="DefaultParagraphFont"/>
    <w:link w:val="Text1"/>
    <w:rPr>
      <w:sz w:val="24"/>
      <w:lang w:val="bg-BG" w:eastAsia="bg-BG" w:bidi="bg-BG"/>
    </w:rPr>
  </w:style>
  <w:style w:type="paragraph" w:styleId="DocumentMap">
    <w:name w:val="Document Map"/>
    <w:basedOn w:val="Normal"/>
    <w:semiHidden/>
    <w:pPr>
      <w:shd w:val="clear" w:color="auto" w:fill="000080"/>
    </w:pPr>
    <w:rPr>
      <w:rFonts w:ascii="Tahoma" w:hAnsi="Tahoma" w:cs="Tahoma"/>
      <w:sz w:val="20"/>
      <w:szCs w:val="20"/>
    </w:rPr>
  </w:style>
  <w:style w:type="character" w:customStyle="1" w:styleId="Heading1Char">
    <w:name w:val="Heading 1 Char"/>
    <w:basedOn w:val="DefaultParagraphFont"/>
    <w:link w:val="Heading1"/>
    <w:rPr>
      <w:b/>
      <w:smallCaps/>
      <w:sz w:val="24"/>
      <w:lang w:eastAsia="bg-BG"/>
    </w:rPr>
  </w:style>
  <w:style w:type="character" w:customStyle="1" w:styleId="Heading2Char">
    <w:name w:val="Heading 2 Char"/>
    <w:basedOn w:val="DefaultParagraphFont"/>
    <w:link w:val="Heading2"/>
    <w:rPr>
      <w:b/>
      <w:sz w:val="24"/>
      <w:lang w:eastAsia="bg-BG"/>
    </w:rPr>
  </w:style>
  <w:style w:type="character" w:customStyle="1" w:styleId="FootnoteTextChar">
    <w:name w:val="Footnote Text Char"/>
    <w:aliases w:val="fn Char,footnote text Char,footnote text Char Char Char,Car Char,Footnote Text Char2 Char Char,Footnote Text Char Char Char1 Char,Footnote Text Char1 Char Char Char Char,Footnote Text Char2 Char Char Char Char Char,Car Car Ca Char"/>
    <w:basedOn w:val="DefaultParagraphFont"/>
    <w:link w:val="FootnoteText"/>
    <w:uiPriority w:val="99"/>
  </w:style>
  <w:style w:type="paragraph" w:styleId="Revision">
    <w:name w:val="Revision"/>
    <w:hidden/>
    <w:uiPriority w:val="99"/>
    <w:semiHidden/>
    <w:rPr>
      <w:sz w:val="24"/>
      <w:szCs w:val="24"/>
    </w:rPr>
  </w:style>
  <w:style w:type="paragraph" w:styleId="ListParagraph">
    <w:name w:val="List Paragraph"/>
    <w:basedOn w:val="Normal"/>
    <w:uiPriority w:val="34"/>
    <w:qFormat/>
    <w:pPr>
      <w:ind w:left="720"/>
    </w:pPr>
    <w:rPr>
      <w:rFonts w:ascii="Calibri" w:hAnsi="Calibri"/>
      <w:sz w:val="22"/>
      <w:szCs w:val="22"/>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character" w:customStyle="1" w:styleId="FooterChar">
    <w:name w:val="Footer Char"/>
    <w:basedOn w:val="DefaultParagraphFont"/>
    <w:link w:val="Footer"/>
    <w:uiPriority w:val="99"/>
    <w:rPr>
      <w:sz w:val="24"/>
      <w:lang w:val="bg-BG"/>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3">
    <w:name w:val="CM3"/>
    <w:basedOn w:val="Default"/>
    <w:next w:val="Default"/>
    <w:uiPriority w:val="99"/>
    <w:rPr>
      <w:rFonts w:cs="Times New Roman"/>
      <w:color w:val="auto"/>
    </w:rPr>
  </w:style>
  <w:style w:type="paragraph" w:styleId="Caption">
    <w:name w:val="caption"/>
    <w:basedOn w:val="Normal"/>
    <w:next w:val="Normal"/>
    <w:link w:val="CaptionChar"/>
    <w:unhideWhenUsed/>
    <w:qFormat/>
    <w:pPr>
      <w:spacing w:after="200"/>
    </w:pPr>
    <w:rPr>
      <w:b/>
      <w:bCs/>
      <w:color w:val="4F81BD" w:themeColor="accent1"/>
      <w:sz w:val="18"/>
      <w:szCs w:val="18"/>
    </w:rPr>
  </w:style>
  <w:style w:type="character" w:styleId="Strong">
    <w:name w:val="Strong"/>
    <w:basedOn w:val="DefaultParagraphFont"/>
    <w:uiPriority w:val="22"/>
    <w:qFormat/>
    <w:rPr>
      <w:b/>
      <w:bCs/>
    </w:rPr>
  </w:style>
  <w:style w:type="paragraph" w:styleId="TOCHeading">
    <w:name w:val="TOC Heading"/>
    <w:basedOn w:val="Heading1"/>
    <w:next w:val="Normal"/>
    <w:uiPriority w:val="39"/>
    <w:unhideWhenUsed/>
    <w:qFormat/>
    <w:pPr>
      <w:keepLines/>
      <w:tabs>
        <w:tab w:val="clear" w:pos="480"/>
      </w:tabs>
      <w:spacing w:before="480" w:after="0" w:line="276" w:lineRule="auto"/>
      <w:ind w:left="0" w:firstLine="0"/>
      <w:jc w:val="left"/>
      <w:outlineLvl w:val="9"/>
    </w:pPr>
    <w:rPr>
      <w:rFonts w:asciiTheme="majorHAnsi" w:eastAsiaTheme="majorEastAsia" w:hAnsiTheme="majorHAnsi" w:cstheme="majorBidi"/>
      <w:bCs/>
      <w:smallCaps w:val="0"/>
      <w:color w:val="365F91" w:themeColor="accent1" w:themeShade="BF"/>
      <w:sz w:val="28"/>
      <w:szCs w:val="28"/>
    </w:rPr>
  </w:style>
  <w:style w:type="paragraph" w:styleId="TOC1">
    <w:name w:val="toc 1"/>
    <w:basedOn w:val="Normal"/>
    <w:next w:val="Normal"/>
    <w:autoRedefine/>
    <w:uiPriority w:val="39"/>
    <w:qFormat/>
    <w:pPr>
      <w:spacing w:after="100"/>
    </w:pPr>
  </w:style>
  <w:style w:type="paragraph" w:styleId="TOC2">
    <w:name w:val="toc 2"/>
    <w:basedOn w:val="Normal"/>
    <w:next w:val="Normal"/>
    <w:autoRedefine/>
    <w:uiPriority w:val="39"/>
    <w:qFormat/>
    <w:pPr>
      <w:spacing w:after="100"/>
      <w:ind w:left="240"/>
    </w:pPr>
  </w:style>
  <w:style w:type="character" w:styleId="Hyperlink">
    <w:name w:val="Hyperlink"/>
    <w:basedOn w:val="DefaultParagraphFont"/>
    <w:uiPriority w:val="99"/>
    <w:unhideWhenUsed/>
    <w:rPr>
      <w:color w:val="0000FF" w:themeColor="hyperlink"/>
      <w:u w:val="single"/>
    </w:rPr>
  </w:style>
  <w:style w:type="paragraph" w:styleId="TOC3">
    <w:name w:val="toc 3"/>
    <w:basedOn w:val="Normal"/>
    <w:next w:val="Normal"/>
    <w:autoRedefine/>
    <w:uiPriority w:val="39"/>
    <w:unhideWhenUsed/>
    <w:qFormat/>
    <w:pPr>
      <w:spacing w:after="100" w:line="276" w:lineRule="auto"/>
      <w:ind w:left="440"/>
    </w:pPr>
    <w:rPr>
      <w:rFonts w:asciiTheme="minorHAnsi" w:eastAsiaTheme="minorEastAsia" w:hAnsiTheme="minorHAnsi" w:cstheme="minorBidi"/>
      <w:sz w:val="22"/>
      <w:szCs w:val="2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CaptionChar">
    <w:name w:val="Caption Char"/>
    <w:basedOn w:val="DefaultParagraphFont"/>
    <w:link w:val="Caption"/>
    <w:rPr>
      <w:b/>
      <w:bCs/>
      <w:color w:val="4F81BD" w:themeColor="accent1"/>
      <w:sz w:val="18"/>
      <w:szCs w:val="18"/>
    </w:rPr>
  </w:style>
  <w:style w:type="character" w:customStyle="1" w:styleId="FooterCoverPageChar">
    <w:name w:val="Footer Cover Page Char"/>
    <w:basedOn w:val="CaptionChar"/>
    <w:link w:val="FooterCoverPage"/>
    <w:rPr>
      <w:b w:val="0"/>
      <w:bCs w:val="0"/>
      <w:color w:val="4F81BD" w:themeColor="accent1"/>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CaptionChar"/>
    <w:link w:val="FooterSensitivity"/>
    <w:rPr>
      <w:b/>
      <w:bCs w:val="0"/>
      <w:color w:val="4F81BD" w:themeColor="accent1"/>
      <w:sz w:val="32"/>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CaptionChar"/>
    <w:link w:val="HeaderCoverPage"/>
    <w:rPr>
      <w:b w:val="0"/>
      <w:bCs w:val="0"/>
      <w:color w:val="4F81BD" w:themeColor="accent1"/>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CaptionChar"/>
    <w:link w:val="HeaderSensitivity"/>
    <w:rPr>
      <w:b/>
      <w:bCs w:val="0"/>
      <w:color w:val="4F81BD" w:themeColor="accent1"/>
      <w:sz w:val="32"/>
      <w:szCs w:val="24"/>
    </w:rPr>
  </w:style>
  <w:style w:type="character" w:customStyle="1" w:styleId="WW8Num4z1">
    <w:name w:val="WW8Num4z1"/>
    <w:rPr>
      <w:rFonts w:ascii="Wingdings" w:hAnsi="Wingdings" w:cs="Symbol" w:hint="default"/>
    </w:rPr>
  </w:style>
  <w:style w:type="character" w:customStyle="1" w:styleId="footnotereference0">
    <w:name w:val="footnotereference"/>
    <w:basedOn w:val="DefaultParagraphFont"/>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26312">
      <w:bodyDiv w:val="1"/>
      <w:marLeft w:val="0"/>
      <w:marRight w:val="0"/>
      <w:marTop w:val="0"/>
      <w:marBottom w:val="0"/>
      <w:divBdr>
        <w:top w:val="none" w:sz="0" w:space="0" w:color="auto"/>
        <w:left w:val="none" w:sz="0" w:space="0" w:color="auto"/>
        <w:bottom w:val="none" w:sz="0" w:space="0" w:color="auto"/>
        <w:right w:val="none" w:sz="0" w:space="0" w:color="auto"/>
      </w:divBdr>
    </w:div>
    <w:div w:id="50464669">
      <w:bodyDiv w:val="1"/>
      <w:marLeft w:val="0"/>
      <w:marRight w:val="0"/>
      <w:marTop w:val="0"/>
      <w:marBottom w:val="0"/>
      <w:divBdr>
        <w:top w:val="none" w:sz="0" w:space="0" w:color="auto"/>
        <w:left w:val="none" w:sz="0" w:space="0" w:color="auto"/>
        <w:bottom w:val="none" w:sz="0" w:space="0" w:color="auto"/>
        <w:right w:val="none" w:sz="0" w:space="0" w:color="auto"/>
      </w:divBdr>
    </w:div>
    <w:div w:id="69893873">
      <w:bodyDiv w:val="1"/>
      <w:marLeft w:val="0"/>
      <w:marRight w:val="0"/>
      <w:marTop w:val="0"/>
      <w:marBottom w:val="0"/>
      <w:divBdr>
        <w:top w:val="none" w:sz="0" w:space="0" w:color="auto"/>
        <w:left w:val="none" w:sz="0" w:space="0" w:color="auto"/>
        <w:bottom w:val="none" w:sz="0" w:space="0" w:color="auto"/>
        <w:right w:val="none" w:sz="0" w:space="0" w:color="auto"/>
      </w:divBdr>
    </w:div>
    <w:div w:id="124977635">
      <w:bodyDiv w:val="1"/>
      <w:marLeft w:val="0"/>
      <w:marRight w:val="0"/>
      <w:marTop w:val="0"/>
      <w:marBottom w:val="0"/>
      <w:divBdr>
        <w:top w:val="none" w:sz="0" w:space="0" w:color="auto"/>
        <w:left w:val="none" w:sz="0" w:space="0" w:color="auto"/>
        <w:bottom w:val="none" w:sz="0" w:space="0" w:color="auto"/>
        <w:right w:val="none" w:sz="0" w:space="0" w:color="auto"/>
      </w:divBdr>
    </w:div>
    <w:div w:id="168714907">
      <w:bodyDiv w:val="1"/>
      <w:marLeft w:val="0"/>
      <w:marRight w:val="0"/>
      <w:marTop w:val="0"/>
      <w:marBottom w:val="0"/>
      <w:divBdr>
        <w:top w:val="none" w:sz="0" w:space="0" w:color="auto"/>
        <w:left w:val="none" w:sz="0" w:space="0" w:color="auto"/>
        <w:bottom w:val="none" w:sz="0" w:space="0" w:color="auto"/>
        <w:right w:val="none" w:sz="0" w:space="0" w:color="auto"/>
      </w:divBdr>
    </w:div>
    <w:div w:id="236675874">
      <w:bodyDiv w:val="1"/>
      <w:marLeft w:val="0"/>
      <w:marRight w:val="0"/>
      <w:marTop w:val="0"/>
      <w:marBottom w:val="0"/>
      <w:divBdr>
        <w:top w:val="none" w:sz="0" w:space="0" w:color="auto"/>
        <w:left w:val="none" w:sz="0" w:space="0" w:color="auto"/>
        <w:bottom w:val="none" w:sz="0" w:space="0" w:color="auto"/>
        <w:right w:val="none" w:sz="0" w:space="0" w:color="auto"/>
      </w:divBdr>
    </w:div>
    <w:div w:id="353387099">
      <w:bodyDiv w:val="1"/>
      <w:marLeft w:val="0"/>
      <w:marRight w:val="0"/>
      <w:marTop w:val="0"/>
      <w:marBottom w:val="0"/>
      <w:divBdr>
        <w:top w:val="none" w:sz="0" w:space="0" w:color="auto"/>
        <w:left w:val="none" w:sz="0" w:space="0" w:color="auto"/>
        <w:bottom w:val="none" w:sz="0" w:space="0" w:color="auto"/>
        <w:right w:val="none" w:sz="0" w:space="0" w:color="auto"/>
      </w:divBdr>
    </w:div>
    <w:div w:id="406146174">
      <w:bodyDiv w:val="1"/>
      <w:marLeft w:val="0"/>
      <w:marRight w:val="0"/>
      <w:marTop w:val="0"/>
      <w:marBottom w:val="0"/>
      <w:divBdr>
        <w:top w:val="none" w:sz="0" w:space="0" w:color="auto"/>
        <w:left w:val="none" w:sz="0" w:space="0" w:color="auto"/>
        <w:bottom w:val="none" w:sz="0" w:space="0" w:color="auto"/>
        <w:right w:val="none" w:sz="0" w:space="0" w:color="auto"/>
      </w:divBdr>
    </w:div>
    <w:div w:id="430708809">
      <w:bodyDiv w:val="1"/>
      <w:marLeft w:val="0"/>
      <w:marRight w:val="0"/>
      <w:marTop w:val="0"/>
      <w:marBottom w:val="0"/>
      <w:divBdr>
        <w:top w:val="none" w:sz="0" w:space="0" w:color="auto"/>
        <w:left w:val="none" w:sz="0" w:space="0" w:color="auto"/>
        <w:bottom w:val="none" w:sz="0" w:space="0" w:color="auto"/>
        <w:right w:val="none" w:sz="0" w:space="0" w:color="auto"/>
      </w:divBdr>
    </w:div>
    <w:div w:id="472019001">
      <w:bodyDiv w:val="1"/>
      <w:marLeft w:val="0"/>
      <w:marRight w:val="0"/>
      <w:marTop w:val="0"/>
      <w:marBottom w:val="0"/>
      <w:divBdr>
        <w:top w:val="none" w:sz="0" w:space="0" w:color="auto"/>
        <w:left w:val="none" w:sz="0" w:space="0" w:color="auto"/>
        <w:bottom w:val="none" w:sz="0" w:space="0" w:color="auto"/>
        <w:right w:val="none" w:sz="0" w:space="0" w:color="auto"/>
      </w:divBdr>
    </w:div>
    <w:div w:id="585460266">
      <w:bodyDiv w:val="1"/>
      <w:marLeft w:val="0"/>
      <w:marRight w:val="0"/>
      <w:marTop w:val="0"/>
      <w:marBottom w:val="0"/>
      <w:divBdr>
        <w:top w:val="none" w:sz="0" w:space="0" w:color="auto"/>
        <w:left w:val="none" w:sz="0" w:space="0" w:color="auto"/>
        <w:bottom w:val="none" w:sz="0" w:space="0" w:color="auto"/>
        <w:right w:val="none" w:sz="0" w:space="0" w:color="auto"/>
      </w:divBdr>
    </w:div>
    <w:div w:id="622687901">
      <w:bodyDiv w:val="1"/>
      <w:marLeft w:val="0"/>
      <w:marRight w:val="0"/>
      <w:marTop w:val="0"/>
      <w:marBottom w:val="0"/>
      <w:divBdr>
        <w:top w:val="none" w:sz="0" w:space="0" w:color="auto"/>
        <w:left w:val="none" w:sz="0" w:space="0" w:color="auto"/>
        <w:bottom w:val="none" w:sz="0" w:space="0" w:color="auto"/>
        <w:right w:val="none" w:sz="0" w:space="0" w:color="auto"/>
      </w:divBdr>
    </w:div>
    <w:div w:id="624040646">
      <w:bodyDiv w:val="1"/>
      <w:marLeft w:val="0"/>
      <w:marRight w:val="0"/>
      <w:marTop w:val="0"/>
      <w:marBottom w:val="0"/>
      <w:divBdr>
        <w:top w:val="none" w:sz="0" w:space="0" w:color="auto"/>
        <w:left w:val="none" w:sz="0" w:space="0" w:color="auto"/>
        <w:bottom w:val="none" w:sz="0" w:space="0" w:color="auto"/>
        <w:right w:val="none" w:sz="0" w:space="0" w:color="auto"/>
      </w:divBdr>
    </w:div>
    <w:div w:id="630672173">
      <w:bodyDiv w:val="1"/>
      <w:marLeft w:val="0"/>
      <w:marRight w:val="0"/>
      <w:marTop w:val="0"/>
      <w:marBottom w:val="0"/>
      <w:divBdr>
        <w:top w:val="none" w:sz="0" w:space="0" w:color="auto"/>
        <w:left w:val="none" w:sz="0" w:space="0" w:color="auto"/>
        <w:bottom w:val="none" w:sz="0" w:space="0" w:color="auto"/>
        <w:right w:val="none" w:sz="0" w:space="0" w:color="auto"/>
      </w:divBdr>
    </w:div>
    <w:div w:id="667103096">
      <w:bodyDiv w:val="1"/>
      <w:marLeft w:val="0"/>
      <w:marRight w:val="0"/>
      <w:marTop w:val="0"/>
      <w:marBottom w:val="0"/>
      <w:divBdr>
        <w:top w:val="none" w:sz="0" w:space="0" w:color="auto"/>
        <w:left w:val="none" w:sz="0" w:space="0" w:color="auto"/>
        <w:bottom w:val="none" w:sz="0" w:space="0" w:color="auto"/>
        <w:right w:val="none" w:sz="0" w:space="0" w:color="auto"/>
      </w:divBdr>
    </w:div>
    <w:div w:id="715662890">
      <w:bodyDiv w:val="1"/>
      <w:marLeft w:val="0"/>
      <w:marRight w:val="0"/>
      <w:marTop w:val="0"/>
      <w:marBottom w:val="0"/>
      <w:divBdr>
        <w:top w:val="none" w:sz="0" w:space="0" w:color="auto"/>
        <w:left w:val="none" w:sz="0" w:space="0" w:color="auto"/>
        <w:bottom w:val="none" w:sz="0" w:space="0" w:color="auto"/>
        <w:right w:val="none" w:sz="0" w:space="0" w:color="auto"/>
      </w:divBdr>
    </w:div>
    <w:div w:id="725570813">
      <w:bodyDiv w:val="1"/>
      <w:marLeft w:val="0"/>
      <w:marRight w:val="0"/>
      <w:marTop w:val="0"/>
      <w:marBottom w:val="0"/>
      <w:divBdr>
        <w:top w:val="none" w:sz="0" w:space="0" w:color="auto"/>
        <w:left w:val="none" w:sz="0" w:space="0" w:color="auto"/>
        <w:bottom w:val="none" w:sz="0" w:space="0" w:color="auto"/>
        <w:right w:val="none" w:sz="0" w:space="0" w:color="auto"/>
      </w:divBdr>
    </w:div>
    <w:div w:id="819732435">
      <w:bodyDiv w:val="1"/>
      <w:marLeft w:val="0"/>
      <w:marRight w:val="0"/>
      <w:marTop w:val="0"/>
      <w:marBottom w:val="0"/>
      <w:divBdr>
        <w:top w:val="none" w:sz="0" w:space="0" w:color="auto"/>
        <w:left w:val="none" w:sz="0" w:space="0" w:color="auto"/>
        <w:bottom w:val="none" w:sz="0" w:space="0" w:color="auto"/>
        <w:right w:val="none" w:sz="0" w:space="0" w:color="auto"/>
      </w:divBdr>
    </w:div>
    <w:div w:id="820000942">
      <w:bodyDiv w:val="1"/>
      <w:marLeft w:val="0"/>
      <w:marRight w:val="0"/>
      <w:marTop w:val="0"/>
      <w:marBottom w:val="0"/>
      <w:divBdr>
        <w:top w:val="none" w:sz="0" w:space="0" w:color="auto"/>
        <w:left w:val="none" w:sz="0" w:space="0" w:color="auto"/>
        <w:bottom w:val="none" w:sz="0" w:space="0" w:color="auto"/>
        <w:right w:val="none" w:sz="0" w:space="0" w:color="auto"/>
      </w:divBdr>
    </w:div>
    <w:div w:id="830294736">
      <w:bodyDiv w:val="1"/>
      <w:marLeft w:val="0"/>
      <w:marRight w:val="0"/>
      <w:marTop w:val="0"/>
      <w:marBottom w:val="0"/>
      <w:divBdr>
        <w:top w:val="none" w:sz="0" w:space="0" w:color="auto"/>
        <w:left w:val="none" w:sz="0" w:space="0" w:color="auto"/>
        <w:bottom w:val="none" w:sz="0" w:space="0" w:color="auto"/>
        <w:right w:val="none" w:sz="0" w:space="0" w:color="auto"/>
      </w:divBdr>
    </w:div>
    <w:div w:id="854731241">
      <w:bodyDiv w:val="1"/>
      <w:marLeft w:val="0"/>
      <w:marRight w:val="0"/>
      <w:marTop w:val="0"/>
      <w:marBottom w:val="0"/>
      <w:divBdr>
        <w:top w:val="none" w:sz="0" w:space="0" w:color="auto"/>
        <w:left w:val="none" w:sz="0" w:space="0" w:color="auto"/>
        <w:bottom w:val="none" w:sz="0" w:space="0" w:color="auto"/>
        <w:right w:val="none" w:sz="0" w:space="0" w:color="auto"/>
      </w:divBdr>
    </w:div>
    <w:div w:id="884566238">
      <w:bodyDiv w:val="1"/>
      <w:marLeft w:val="0"/>
      <w:marRight w:val="0"/>
      <w:marTop w:val="0"/>
      <w:marBottom w:val="0"/>
      <w:divBdr>
        <w:top w:val="none" w:sz="0" w:space="0" w:color="auto"/>
        <w:left w:val="none" w:sz="0" w:space="0" w:color="auto"/>
        <w:bottom w:val="none" w:sz="0" w:space="0" w:color="auto"/>
        <w:right w:val="none" w:sz="0" w:space="0" w:color="auto"/>
      </w:divBdr>
    </w:div>
    <w:div w:id="1009984523">
      <w:bodyDiv w:val="1"/>
      <w:marLeft w:val="0"/>
      <w:marRight w:val="0"/>
      <w:marTop w:val="0"/>
      <w:marBottom w:val="0"/>
      <w:divBdr>
        <w:top w:val="none" w:sz="0" w:space="0" w:color="auto"/>
        <w:left w:val="none" w:sz="0" w:space="0" w:color="auto"/>
        <w:bottom w:val="none" w:sz="0" w:space="0" w:color="auto"/>
        <w:right w:val="none" w:sz="0" w:space="0" w:color="auto"/>
      </w:divBdr>
    </w:div>
    <w:div w:id="1012879705">
      <w:bodyDiv w:val="1"/>
      <w:marLeft w:val="0"/>
      <w:marRight w:val="0"/>
      <w:marTop w:val="0"/>
      <w:marBottom w:val="0"/>
      <w:divBdr>
        <w:top w:val="none" w:sz="0" w:space="0" w:color="auto"/>
        <w:left w:val="none" w:sz="0" w:space="0" w:color="auto"/>
        <w:bottom w:val="none" w:sz="0" w:space="0" w:color="auto"/>
        <w:right w:val="none" w:sz="0" w:space="0" w:color="auto"/>
      </w:divBdr>
    </w:div>
    <w:div w:id="1047219610">
      <w:bodyDiv w:val="1"/>
      <w:marLeft w:val="0"/>
      <w:marRight w:val="0"/>
      <w:marTop w:val="0"/>
      <w:marBottom w:val="0"/>
      <w:divBdr>
        <w:top w:val="none" w:sz="0" w:space="0" w:color="auto"/>
        <w:left w:val="none" w:sz="0" w:space="0" w:color="auto"/>
        <w:bottom w:val="none" w:sz="0" w:space="0" w:color="auto"/>
        <w:right w:val="none" w:sz="0" w:space="0" w:color="auto"/>
      </w:divBdr>
    </w:div>
    <w:div w:id="1082143029">
      <w:bodyDiv w:val="1"/>
      <w:marLeft w:val="0"/>
      <w:marRight w:val="0"/>
      <w:marTop w:val="0"/>
      <w:marBottom w:val="0"/>
      <w:divBdr>
        <w:top w:val="none" w:sz="0" w:space="0" w:color="auto"/>
        <w:left w:val="none" w:sz="0" w:space="0" w:color="auto"/>
        <w:bottom w:val="none" w:sz="0" w:space="0" w:color="auto"/>
        <w:right w:val="none" w:sz="0" w:space="0" w:color="auto"/>
      </w:divBdr>
    </w:div>
    <w:div w:id="1172601851">
      <w:bodyDiv w:val="1"/>
      <w:marLeft w:val="0"/>
      <w:marRight w:val="0"/>
      <w:marTop w:val="0"/>
      <w:marBottom w:val="0"/>
      <w:divBdr>
        <w:top w:val="none" w:sz="0" w:space="0" w:color="auto"/>
        <w:left w:val="none" w:sz="0" w:space="0" w:color="auto"/>
        <w:bottom w:val="none" w:sz="0" w:space="0" w:color="auto"/>
        <w:right w:val="none" w:sz="0" w:space="0" w:color="auto"/>
      </w:divBdr>
    </w:div>
    <w:div w:id="1180923783">
      <w:bodyDiv w:val="1"/>
      <w:marLeft w:val="0"/>
      <w:marRight w:val="0"/>
      <w:marTop w:val="0"/>
      <w:marBottom w:val="0"/>
      <w:divBdr>
        <w:top w:val="none" w:sz="0" w:space="0" w:color="auto"/>
        <w:left w:val="none" w:sz="0" w:space="0" w:color="auto"/>
        <w:bottom w:val="none" w:sz="0" w:space="0" w:color="auto"/>
        <w:right w:val="none" w:sz="0" w:space="0" w:color="auto"/>
      </w:divBdr>
    </w:div>
    <w:div w:id="1216624823">
      <w:bodyDiv w:val="1"/>
      <w:marLeft w:val="0"/>
      <w:marRight w:val="0"/>
      <w:marTop w:val="0"/>
      <w:marBottom w:val="0"/>
      <w:divBdr>
        <w:top w:val="none" w:sz="0" w:space="0" w:color="auto"/>
        <w:left w:val="none" w:sz="0" w:space="0" w:color="auto"/>
        <w:bottom w:val="none" w:sz="0" w:space="0" w:color="auto"/>
        <w:right w:val="none" w:sz="0" w:space="0" w:color="auto"/>
      </w:divBdr>
    </w:div>
    <w:div w:id="1249847079">
      <w:bodyDiv w:val="1"/>
      <w:marLeft w:val="0"/>
      <w:marRight w:val="0"/>
      <w:marTop w:val="0"/>
      <w:marBottom w:val="0"/>
      <w:divBdr>
        <w:top w:val="none" w:sz="0" w:space="0" w:color="auto"/>
        <w:left w:val="none" w:sz="0" w:space="0" w:color="auto"/>
        <w:bottom w:val="none" w:sz="0" w:space="0" w:color="auto"/>
        <w:right w:val="none" w:sz="0" w:space="0" w:color="auto"/>
      </w:divBdr>
    </w:div>
    <w:div w:id="1279408014">
      <w:bodyDiv w:val="1"/>
      <w:marLeft w:val="0"/>
      <w:marRight w:val="0"/>
      <w:marTop w:val="0"/>
      <w:marBottom w:val="0"/>
      <w:divBdr>
        <w:top w:val="none" w:sz="0" w:space="0" w:color="auto"/>
        <w:left w:val="none" w:sz="0" w:space="0" w:color="auto"/>
        <w:bottom w:val="none" w:sz="0" w:space="0" w:color="auto"/>
        <w:right w:val="none" w:sz="0" w:space="0" w:color="auto"/>
      </w:divBdr>
    </w:div>
    <w:div w:id="1281035987">
      <w:bodyDiv w:val="1"/>
      <w:marLeft w:val="0"/>
      <w:marRight w:val="0"/>
      <w:marTop w:val="0"/>
      <w:marBottom w:val="0"/>
      <w:divBdr>
        <w:top w:val="none" w:sz="0" w:space="0" w:color="auto"/>
        <w:left w:val="none" w:sz="0" w:space="0" w:color="auto"/>
        <w:bottom w:val="none" w:sz="0" w:space="0" w:color="auto"/>
        <w:right w:val="none" w:sz="0" w:space="0" w:color="auto"/>
      </w:divBdr>
    </w:div>
    <w:div w:id="1303345598">
      <w:bodyDiv w:val="1"/>
      <w:marLeft w:val="0"/>
      <w:marRight w:val="0"/>
      <w:marTop w:val="0"/>
      <w:marBottom w:val="0"/>
      <w:divBdr>
        <w:top w:val="none" w:sz="0" w:space="0" w:color="auto"/>
        <w:left w:val="none" w:sz="0" w:space="0" w:color="auto"/>
        <w:bottom w:val="none" w:sz="0" w:space="0" w:color="auto"/>
        <w:right w:val="none" w:sz="0" w:space="0" w:color="auto"/>
      </w:divBdr>
    </w:div>
    <w:div w:id="1382484313">
      <w:bodyDiv w:val="1"/>
      <w:marLeft w:val="0"/>
      <w:marRight w:val="0"/>
      <w:marTop w:val="0"/>
      <w:marBottom w:val="0"/>
      <w:divBdr>
        <w:top w:val="none" w:sz="0" w:space="0" w:color="auto"/>
        <w:left w:val="none" w:sz="0" w:space="0" w:color="auto"/>
        <w:bottom w:val="none" w:sz="0" w:space="0" w:color="auto"/>
        <w:right w:val="none" w:sz="0" w:space="0" w:color="auto"/>
      </w:divBdr>
    </w:div>
    <w:div w:id="1390685599">
      <w:bodyDiv w:val="1"/>
      <w:marLeft w:val="0"/>
      <w:marRight w:val="0"/>
      <w:marTop w:val="0"/>
      <w:marBottom w:val="0"/>
      <w:divBdr>
        <w:top w:val="none" w:sz="0" w:space="0" w:color="auto"/>
        <w:left w:val="none" w:sz="0" w:space="0" w:color="auto"/>
        <w:bottom w:val="none" w:sz="0" w:space="0" w:color="auto"/>
        <w:right w:val="none" w:sz="0" w:space="0" w:color="auto"/>
      </w:divBdr>
    </w:div>
    <w:div w:id="1494880304">
      <w:bodyDiv w:val="1"/>
      <w:marLeft w:val="0"/>
      <w:marRight w:val="0"/>
      <w:marTop w:val="0"/>
      <w:marBottom w:val="0"/>
      <w:divBdr>
        <w:top w:val="none" w:sz="0" w:space="0" w:color="auto"/>
        <w:left w:val="none" w:sz="0" w:space="0" w:color="auto"/>
        <w:bottom w:val="none" w:sz="0" w:space="0" w:color="auto"/>
        <w:right w:val="none" w:sz="0" w:space="0" w:color="auto"/>
      </w:divBdr>
    </w:div>
    <w:div w:id="1546135416">
      <w:bodyDiv w:val="1"/>
      <w:marLeft w:val="0"/>
      <w:marRight w:val="0"/>
      <w:marTop w:val="0"/>
      <w:marBottom w:val="0"/>
      <w:divBdr>
        <w:top w:val="none" w:sz="0" w:space="0" w:color="auto"/>
        <w:left w:val="none" w:sz="0" w:space="0" w:color="auto"/>
        <w:bottom w:val="none" w:sz="0" w:space="0" w:color="auto"/>
        <w:right w:val="none" w:sz="0" w:space="0" w:color="auto"/>
      </w:divBdr>
    </w:div>
    <w:div w:id="1575428796">
      <w:bodyDiv w:val="1"/>
      <w:marLeft w:val="0"/>
      <w:marRight w:val="0"/>
      <w:marTop w:val="0"/>
      <w:marBottom w:val="0"/>
      <w:divBdr>
        <w:top w:val="none" w:sz="0" w:space="0" w:color="auto"/>
        <w:left w:val="none" w:sz="0" w:space="0" w:color="auto"/>
        <w:bottom w:val="none" w:sz="0" w:space="0" w:color="auto"/>
        <w:right w:val="none" w:sz="0" w:space="0" w:color="auto"/>
      </w:divBdr>
    </w:div>
    <w:div w:id="1581716515">
      <w:bodyDiv w:val="1"/>
      <w:marLeft w:val="0"/>
      <w:marRight w:val="0"/>
      <w:marTop w:val="0"/>
      <w:marBottom w:val="0"/>
      <w:divBdr>
        <w:top w:val="none" w:sz="0" w:space="0" w:color="auto"/>
        <w:left w:val="none" w:sz="0" w:space="0" w:color="auto"/>
        <w:bottom w:val="none" w:sz="0" w:space="0" w:color="auto"/>
        <w:right w:val="none" w:sz="0" w:space="0" w:color="auto"/>
      </w:divBdr>
    </w:div>
    <w:div w:id="1694306379">
      <w:bodyDiv w:val="1"/>
      <w:marLeft w:val="0"/>
      <w:marRight w:val="0"/>
      <w:marTop w:val="0"/>
      <w:marBottom w:val="0"/>
      <w:divBdr>
        <w:top w:val="none" w:sz="0" w:space="0" w:color="auto"/>
        <w:left w:val="none" w:sz="0" w:space="0" w:color="auto"/>
        <w:bottom w:val="none" w:sz="0" w:space="0" w:color="auto"/>
        <w:right w:val="none" w:sz="0" w:space="0" w:color="auto"/>
      </w:divBdr>
    </w:div>
    <w:div w:id="1709836315">
      <w:bodyDiv w:val="1"/>
      <w:marLeft w:val="0"/>
      <w:marRight w:val="0"/>
      <w:marTop w:val="0"/>
      <w:marBottom w:val="0"/>
      <w:divBdr>
        <w:top w:val="none" w:sz="0" w:space="0" w:color="auto"/>
        <w:left w:val="none" w:sz="0" w:space="0" w:color="auto"/>
        <w:bottom w:val="none" w:sz="0" w:space="0" w:color="auto"/>
        <w:right w:val="none" w:sz="0" w:space="0" w:color="auto"/>
      </w:divBdr>
    </w:div>
    <w:div w:id="1736581803">
      <w:bodyDiv w:val="1"/>
      <w:marLeft w:val="0"/>
      <w:marRight w:val="0"/>
      <w:marTop w:val="0"/>
      <w:marBottom w:val="0"/>
      <w:divBdr>
        <w:top w:val="none" w:sz="0" w:space="0" w:color="auto"/>
        <w:left w:val="none" w:sz="0" w:space="0" w:color="auto"/>
        <w:bottom w:val="none" w:sz="0" w:space="0" w:color="auto"/>
        <w:right w:val="none" w:sz="0" w:space="0" w:color="auto"/>
      </w:divBdr>
    </w:div>
    <w:div w:id="1750498497">
      <w:bodyDiv w:val="1"/>
      <w:marLeft w:val="0"/>
      <w:marRight w:val="0"/>
      <w:marTop w:val="0"/>
      <w:marBottom w:val="0"/>
      <w:divBdr>
        <w:top w:val="none" w:sz="0" w:space="0" w:color="auto"/>
        <w:left w:val="none" w:sz="0" w:space="0" w:color="auto"/>
        <w:bottom w:val="none" w:sz="0" w:space="0" w:color="auto"/>
        <w:right w:val="none" w:sz="0" w:space="0" w:color="auto"/>
      </w:divBdr>
    </w:div>
    <w:div w:id="1857382742">
      <w:bodyDiv w:val="1"/>
      <w:marLeft w:val="0"/>
      <w:marRight w:val="0"/>
      <w:marTop w:val="0"/>
      <w:marBottom w:val="0"/>
      <w:divBdr>
        <w:top w:val="none" w:sz="0" w:space="0" w:color="auto"/>
        <w:left w:val="none" w:sz="0" w:space="0" w:color="auto"/>
        <w:bottom w:val="none" w:sz="0" w:space="0" w:color="auto"/>
        <w:right w:val="none" w:sz="0" w:space="0" w:color="auto"/>
      </w:divBdr>
    </w:div>
    <w:div w:id="1870340211">
      <w:bodyDiv w:val="1"/>
      <w:marLeft w:val="0"/>
      <w:marRight w:val="0"/>
      <w:marTop w:val="0"/>
      <w:marBottom w:val="0"/>
      <w:divBdr>
        <w:top w:val="none" w:sz="0" w:space="0" w:color="auto"/>
        <w:left w:val="none" w:sz="0" w:space="0" w:color="auto"/>
        <w:bottom w:val="none" w:sz="0" w:space="0" w:color="auto"/>
        <w:right w:val="none" w:sz="0" w:space="0" w:color="auto"/>
      </w:divBdr>
    </w:div>
    <w:div w:id="1874733109">
      <w:bodyDiv w:val="1"/>
      <w:marLeft w:val="0"/>
      <w:marRight w:val="0"/>
      <w:marTop w:val="0"/>
      <w:marBottom w:val="0"/>
      <w:divBdr>
        <w:top w:val="none" w:sz="0" w:space="0" w:color="auto"/>
        <w:left w:val="none" w:sz="0" w:space="0" w:color="auto"/>
        <w:bottom w:val="none" w:sz="0" w:space="0" w:color="auto"/>
        <w:right w:val="none" w:sz="0" w:space="0" w:color="auto"/>
      </w:divBdr>
    </w:div>
    <w:div w:id="1879659289">
      <w:bodyDiv w:val="1"/>
      <w:marLeft w:val="0"/>
      <w:marRight w:val="0"/>
      <w:marTop w:val="0"/>
      <w:marBottom w:val="0"/>
      <w:divBdr>
        <w:top w:val="none" w:sz="0" w:space="0" w:color="auto"/>
        <w:left w:val="none" w:sz="0" w:space="0" w:color="auto"/>
        <w:bottom w:val="none" w:sz="0" w:space="0" w:color="auto"/>
        <w:right w:val="none" w:sz="0" w:space="0" w:color="auto"/>
      </w:divBdr>
    </w:div>
    <w:div w:id="1920096061">
      <w:bodyDiv w:val="1"/>
      <w:marLeft w:val="0"/>
      <w:marRight w:val="0"/>
      <w:marTop w:val="0"/>
      <w:marBottom w:val="0"/>
      <w:divBdr>
        <w:top w:val="none" w:sz="0" w:space="0" w:color="auto"/>
        <w:left w:val="none" w:sz="0" w:space="0" w:color="auto"/>
        <w:bottom w:val="none" w:sz="0" w:space="0" w:color="auto"/>
        <w:right w:val="none" w:sz="0" w:space="0" w:color="auto"/>
      </w:divBdr>
    </w:div>
    <w:div w:id="1991591538">
      <w:bodyDiv w:val="1"/>
      <w:marLeft w:val="0"/>
      <w:marRight w:val="0"/>
      <w:marTop w:val="0"/>
      <w:marBottom w:val="0"/>
      <w:divBdr>
        <w:top w:val="none" w:sz="0" w:space="0" w:color="auto"/>
        <w:left w:val="none" w:sz="0" w:space="0" w:color="auto"/>
        <w:bottom w:val="none" w:sz="0" w:space="0" w:color="auto"/>
        <w:right w:val="none" w:sz="0" w:space="0" w:color="auto"/>
      </w:divBdr>
    </w:div>
    <w:div w:id="201086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9E377D5BE2854C93CC381DB84F9DF0" ma:contentTypeVersion="0" ma:contentTypeDescription="Create a new document." ma:contentTypeScope="" ma:versionID="4e5ee0dda7aee4e869795e9e71fbdf04">
  <xsd:schema xmlns:xsd="http://www.w3.org/2001/XMLSchema" xmlns:xs="http://www.w3.org/2001/XMLSchema" xmlns:p="http://schemas.microsoft.com/office/2006/metadata/properties" targetNamespace="http://schemas.microsoft.com/office/2006/metadata/properties" ma:root="true" ma:fieldsID="929a7624b9dffaa02f4ebdecb79f49b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F7396-A041-4930-86F0-D4D37D19EF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F616932-97BF-4380-AA52-EC87C9B9D092}">
  <ds:schemaRefs>
    <ds:schemaRef ds:uri="http://schemas.microsoft.com/sharepoint/v3/contenttype/forms"/>
  </ds:schemaRefs>
</ds:datastoreItem>
</file>

<file path=customXml/itemProps3.xml><?xml version="1.0" encoding="utf-8"?>
<ds:datastoreItem xmlns:ds="http://schemas.openxmlformats.org/officeDocument/2006/customXml" ds:itemID="{35F87588-63F7-4CCB-9A5E-721A7E7433A6}">
  <ds:schemaRefs>
    <ds:schemaRef ds:uri="http://purl.org/dc/dcmitype/"/>
    <ds:schemaRef ds:uri="http://www.w3.org/XML/1998/namespace"/>
    <ds:schemaRef ds:uri="http://schemas.microsoft.com/office/infopath/2007/PartnerControl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F6C1FDAE-A601-4706-8176-68CF85748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3555</Words>
  <Characters>19624</Characters>
  <Application>Microsoft Office Word</Application>
  <DocSecurity>0</DocSecurity>
  <Lines>594</Lines>
  <Paragraphs>345</Paragraphs>
  <ScaleCrop>false</ScaleCrop>
  <HeadingPairs>
    <vt:vector size="2" baseType="variant">
      <vt:variant>
        <vt:lpstr>Title</vt:lpstr>
      </vt:variant>
      <vt:variant>
        <vt:i4>1</vt:i4>
      </vt:variant>
    </vt:vector>
  </HeadingPairs>
  <TitlesOfParts>
    <vt:vector size="1" baseType="lpstr">
      <vt:lpstr>Oral question O-0008/05</vt:lpstr>
    </vt:vector>
  </TitlesOfParts>
  <Manager/>
  <Company/>
  <LinksUpToDate>false</LinksUpToDate>
  <CharactersWithSpaces>22834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Oral question O-0008/05</dc:title>
  <dc:creator/>
  <cp:lastModifiedBy>DIGIT/C6</cp:lastModifiedBy>
  <cp:revision>30</cp:revision>
  <cp:lastPrinted>2019-06-04T11:54:00Z</cp:lastPrinted>
  <dcterms:created xsi:type="dcterms:W3CDTF">2019-06-14T13:30:00Z</dcterms:created>
  <dcterms:modified xsi:type="dcterms:W3CDTF">2019-06-28T05:33:00Z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reated using">
    <vt:lpwstr>LW 6.0.1, Build 20180503</vt:lpwstr>
  </property>
  <property fmtid="{D5CDD505-2E9C-101B-9397-08002B2CF9AE}" pid="8" name="Last edited using">
    <vt:lpwstr>LW 6.0.1, Build 20180503</vt:lpwstr>
  </property>
  <property fmtid="{D5CDD505-2E9C-101B-9397-08002B2CF9AE}" pid="9" name="ContentTypeId">
    <vt:lpwstr>0x0101005C9E377D5BE2854C93CC381DB84F9DF0</vt:lpwstr>
  </property>
  <property fmtid="{D5CDD505-2E9C-101B-9397-08002B2CF9AE}" pid="10" name="IsMyDocuments">
    <vt:bool>true</vt:bool>
  </property>
</Properties>
</file>