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20C14B9F-57D4-471E-B305-6F9EBA09DB09" style="width:450.75pt;height:36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  <w:r>
        <w:rPr>
          <w:noProof/>
        </w:rPr>
        <w:t>В Регламент (ЕС, Евратом) № 1311/2013 на Съвета от 2 декември 2013 г. за определяне на многогодишната финансова рамка за годините 2014—2020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е предвидена възможността за мобилизиране на средства по Инструмента за гъвкавост с цел финансиране на ясно определени разходи, които не могат да бъдат финансирани в рамките на наличните тавани за една или повече функции от многогодишната финансова рамка.</w:t>
      </w:r>
    </w:p>
    <w:p>
      <w:pPr>
        <w:rPr>
          <w:noProof/>
        </w:rPr>
      </w:pPr>
      <w:r>
        <w:rPr>
          <w:noProof/>
        </w:rPr>
        <w:t>В съответствие с член 11 от Регламент № 1311/2013 на Съвета и точка 12 от Междуинституционалното споразумение от 2 декември 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след като разгледа всички възможности за преразпределяне на бюджетни кредити и изчерпа неразпределения марж по разходна функция „Сигурност и гражданство“ (функция 3), Комисията предлага Инструментът за гъвкавост да бъде мобилизиран през 2020 г. Наличната годишна сума е в размер на 600 милиона евро (по цени от 2011 г.), съответстващи на 717 милиона евро по текущи цени. Освен това са налични 202 милиона евро в частта за 2019 г. </w:t>
      </w:r>
    </w:p>
    <w:p>
      <w:pPr>
        <w:rPr>
          <w:noProof/>
        </w:rPr>
      </w:pPr>
      <w:r>
        <w:rPr>
          <w:noProof/>
        </w:rPr>
        <w:t>Това мобилизиране на средства се отнася до сума в размер на 778,1 милиона евро над тавана за функция 3 от многогодишната финансова рамка и е предназначено за финансиране на подкрепата за мерки за справяне с кризата с миграцията, бежанците и сигурността.</w:t>
      </w:r>
    </w:p>
    <w:p>
      <w:pPr>
        <w:rPr>
          <w:noProof/>
        </w:rPr>
      </w:pPr>
      <w:r>
        <w:rPr>
          <w:noProof/>
        </w:rPr>
        <w:t>Индикативните бюджетни кредити за плащания, съответстващи на предложеното мобилизиране на Инструмента за гъвкавост, са изчислени въз основа на правилата, приложими за предварителното финансиране, изчистването на предварителното финансиране и окончателните плащания по различните видове мерки, които следва да се финансират. Тези индикативни бюджетни кредити за плащания са представени в таблицата по-долу:</w:t>
      </w:r>
    </w:p>
    <w:p>
      <w:pPr>
        <w:ind w:left="5040" w:firstLine="720"/>
        <w:jc w:val="left"/>
        <w:rPr>
          <w:noProof/>
        </w:rPr>
      </w:pPr>
      <w:r>
        <w:rPr>
          <w:i/>
          <w:iCs/>
          <w:noProof/>
          <w:sz w:val="16"/>
          <w:szCs w:val="16"/>
        </w:rPr>
        <w:t>(в милиони евро по текущи цени)</w:t>
      </w:r>
    </w:p>
    <w:tbl>
      <w:tblPr>
        <w:tblW w:w="7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04"/>
      </w:tblGrid>
      <w:tr>
        <w:trPr>
          <w:jc w:val="center"/>
        </w:trPr>
        <w:tc>
          <w:tcPr>
            <w:tcW w:w="1560" w:type="dxa"/>
            <w:shd w:val="clear" w:color="auto" w:fill="D9D9D9"/>
          </w:tcPr>
          <w:p>
            <w:pPr>
              <w:spacing w:before="30" w:after="3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Година</w:t>
            </w:r>
          </w:p>
        </w:tc>
        <w:tc>
          <w:tcPr>
            <w:tcW w:w="5604" w:type="dxa"/>
            <w:shd w:val="clear" w:color="auto" w:fill="D9D9D9"/>
          </w:tcPr>
          <w:p>
            <w:pPr>
              <w:spacing w:before="30" w:after="3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Бюджетни кредити за плащания, свързани с мобилизирането на Инструмента за гъвкавост през 2020 г.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2020 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407,4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2021 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312,2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2022 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42,4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2023 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16,1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D9D9D9"/>
          </w:tcPr>
          <w:p>
            <w:pPr>
              <w:spacing w:before="30" w:after="3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Общо</w:t>
            </w:r>
          </w:p>
        </w:tc>
        <w:tc>
          <w:tcPr>
            <w:tcW w:w="5604" w:type="dxa"/>
            <w:shd w:val="clear" w:color="auto" w:fill="D9D9D9"/>
          </w:tcPr>
          <w:p>
            <w:pPr>
              <w:spacing w:before="30" w:after="3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778,1</w:t>
            </w:r>
          </w:p>
        </w:tc>
      </w:tr>
    </w:tbl>
    <w:p>
      <w:pPr>
        <w:rPr>
          <w:noProof/>
        </w:rPr>
        <w:sectPr>
          <w:footerReference w:type="default" r:id="rId16"/>
          <w:footerReference w:type="first" r:id="rId17"/>
          <w:footnotePr>
            <w:numRestart w:val="eachSect"/>
          </w:footnote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мобилизирането на средства по линия на Инструмента за гъвкавост за финансиране на незабавни бюджетни мерки за справяне с текущите предизвикателства на миграцията, притоците на бежанци и заплахите за сигурността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Междуинституционалното споразумение от 2 декември 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3"/>
      </w:r>
      <w:r>
        <w:rPr>
          <w:noProof/>
        </w:rPr>
        <w:t>, и по-специално точка 12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 xml:space="preserve">като имат предвид, че: </w:t>
      </w:r>
    </w:p>
    <w:p>
      <w:pPr>
        <w:pStyle w:val="Point0number"/>
        <w:numPr>
          <w:ilvl w:val="0"/>
          <w:numId w:val="6"/>
        </w:numPr>
        <w:spacing w:before="0" w:after="0"/>
        <w:rPr>
          <w:noProof/>
        </w:rPr>
      </w:pPr>
      <w:r>
        <w:rPr>
          <w:noProof/>
        </w:rPr>
        <w:t>Инструментът за гъвкавост е предназначен да осигурява финансирането на ясно определени разходи, които не могат да бъдат финансирани в рамките на наличните тавани за една или повече функции.</w:t>
      </w:r>
    </w:p>
    <w:p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Таванът на годишната сума, предоставена за Инструмента за гъвкавост, е 600 000 000 евро (по цени от 2011 г.), както е посочено в член 11 от Регламент (ЕС, Евратом) № 1311/2013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, увеличен, когато е приложимо, с освободените суми, предоставени в съответствие с параграф 1, втора алинея от този член. </w:t>
      </w:r>
    </w:p>
    <w:p>
      <w:pPr>
        <w:pStyle w:val="Point0number"/>
        <w:numPr>
          <w:ilvl w:val="0"/>
          <w:numId w:val="6"/>
        </w:numPr>
        <w:spacing w:before="0" w:after="0"/>
        <w:rPr>
          <w:noProof/>
        </w:rPr>
      </w:pPr>
      <w:r>
        <w:rPr>
          <w:noProof/>
        </w:rPr>
        <w:t>За справяне с текущите предизвикателства на миграцията, притоците на бежанци и заплахите за сигурността е необходимо да се мобилизират значителни по размер допълнителни суми с цел спешно финансиране на такива мерки.</w:t>
      </w:r>
    </w:p>
    <w:p>
      <w:pPr>
        <w:pStyle w:val="Point0number"/>
        <w:rPr>
          <w:noProof/>
        </w:rPr>
      </w:pPr>
      <w:r>
        <w:rPr>
          <w:noProof/>
        </w:rPr>
        <w:t>След като бяха разгледани всички възможности за преразпределяне на бюджетни кредити под тавана за разходите по функция 3 (Сигурност и гражданство), е необходимо да се мобилизира Инструментът за гъвкавост, за да се допълни финансирането, предвидено в общия бюджет на Съюза за 2020 финансова година, над тавана по функция 3 със 778 074 489 EUR с цел финансиране на мерки в сферата на миграцията, бежанците и сигурността.</w:t>
      </w:r>
    </w:p>
    <w:p>
      <w:pPr>
        <w:pStyle w:val="Point0number"/>
        <w:rPr>
          <w:noProof/>
        </w:rPr>
      </w:pPr>
      <w:r>
        <w:rPr>
          <w:noProof/>
        </w:rPr>
        <w:t>Въз основа на очаквания профил на плащанията бюджетните кредити за плащания, съответстващи на мобилизираните средства по линия на Инструмента за гъвкавост, следва да бъдат разпределени за няколко финансови години.</w:t>
      </w:r>
    </w:p>
    <w:p>
      <w:pPr>
        <w:pStyle w:val="Point0number"/>
        <w:rPr>
          <w:noProof/>
        </w:rPr>
      </w:pPr>
      <w:r>
        <w:rPr>
          <w:noProof/>
        </w:rPr>
        <w:t>За да се даде възможност за бързо усвояване на средствата, настоящото решение следва да се прилага от началото на 2020 финансова година,</w:t>
      </w:r>
    </w:p>
    <w:p>
      <w:pPr>
        <w:pStyle w:val="Formuledadoption"/>
        <w:rPr>
          <w:noProof/>
        </w:rPr>
      </w:pPr>
      <w:r>
        <w:rPr>
          <w:noProof/>
        </w:rPr>
        <w:t>ПРИЕХА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Point0number"/>
        <w:numPr>
          <w:ilvl w:val="0"/>
          <w:numId w:val="5"/>
        </w:numPr>
        <w:spacing w:before="0" w:after="0"/>
        <w:rPr>
          <w:noProof/>
        </w:rPr>
      </w:pPr>
      <w:r>
        <w:rPr>
          <w:noProof/>
        </w:rPr>
        <w:t>Инструментът за гъвкавост се мобилизира за осигуряване на сума в размер на 778 074 489 EUR под формата на бюджетни кредити за поети задължения по функция 3 (Сигурност и гражданство) за общия бюджет на Съюза за 2020 финансова година.</w:t>
      </w:r>
    </w:p>
    <w:p>
      <w:pPr>
        <w:rPr>
          <w:noProof/>
        </w:rPr>
      </w:pPr>
      <w:r>
        <w:rPr>
          <w:noProof/>
        </w:rPr>
        <w:t>Сумата, посочена в първата алинея, се използва за финансиране на мерки за справяне с текущите предизвикателства на миграцията, притоците на бежанци и заплахите за сигурността.</w:t>
      </w:r>
    </w:p>
    <w:p>
      <w:pPr>
        <w:pStyle w:val="Point0number"/>
        <w:numPr>
          <w:ilvl w:val="0"/>
          <w:numId w:val="5"/>
        </w:numPr>
        <w:spacing w:before="0" w:after="0"/>
        <w:rPr>
          <w:noProof/>
        </w:rPr>
      </w:pPr>
      <w:r>
        <w:rPr>
          <w:noProof/>
        </w:rPr>
        <w:t>Въз основа на очаквания профил на плащанията бюджетните кредити за плащания, съответстващи на мобилизираните средства по линия на Инструмента за гъвкавост, са както следва: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407 402 108 EUR през 2020 г.;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312 205 134 EUR през 2021 г.;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42 336 587 EUR през 2022 г.;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16 130 660 EUR през 2023 г.;</w:t>
      </w:r>
    </w:p>
    <w:p>
      <w:pPr>
        <w:rPr>
          <w:noProof/>
        </w:rPr>
      </w:pPr>
      <w:r>
        <w:rPr>
          <w:noProof/>
        </w:rPr>
        <w:t>Конкретните суми бюджетни кредити за плащания за всяка финансова година се разрешават в съответствие с годишната бюджетна процедура.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i/>
          <w:noProof/>
        </w:rPr>
      </w:pPr>
      <w:r>
        <w:rPr>
          <w:noProof/>
        </w:rPr>
        <w:t xml:space="preserve">Настоящото решение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То се прилага от 1 януари 2020 г.</w:t>
      </w:r>
    </w:p>
    <w:p>
      <w:pPr>
        <w:rPr>
          <w:i/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884.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 C 373, 20.12.2013 г., стр. 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 C 373, 20.12.2013 г., стр. 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(ЕС, Евратом) № 1311/2013 на Съвета от 2 декември 2013 г. за определяне на многогодишната финансова рамка за годините 2014—2020 (ОВ L 347, 20.12.2013 г., стр. 884).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F5A3E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B2AA3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A8E05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34694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C0C6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88095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95617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A8AB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01 09:21:2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20C14B9F-57D4-471E-B305-6F9EBA09DB09"/>
    <w:docVar w:name="LW_COVERPAGE_TYPE" w:val="1"/>
    <w:docVar w:name="LW_CROSSREFERENCE" w:val="&lt;UNUSED&gt;"/>
    <w:docVar w:name="LW_DocType" w:val="COM"/>
    <w:docVar w:name="LW_EMISSION" w:val="5.6.2019"/>
    <w:docVar w:name="LW_EMISSION_ISODATE" w:val="2019-06-05"/>
    <w:docVar w:name="LW_EMISSION_LOCATION" w:val="BRX"/>
    <w:docVar w:name="LW_EMISSION_PREFIX" w:val="Брюксел, "/>
    <w:docVar w:name="LW_EMISSION_SUFFIX" w:val="&lt;EMPTY&gt;"/>
    <w:docVar w:name="LW_ID_DOCMODEL" w:val="SJ-026"/>
    <w:docVar w:name="LW_ID_DOCSIGNATURE" w:val="SJ-026"/>
    <w:docVar w:name="LW_ID_DOCSTRUCTURE" w:val="COM/PL/ORG"/>
    <w:docVar w:name="LW_ID_DOCTYPE" w:val="SJ-026"/>
    <w:docVar w:name="LW_ID_EXP.MOTIFS.NEW" w:val="EM_PL_"/>
    <w:docVar w:name="LW_ID_STATUT" w:val="SJ-02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25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4?\u1086?\u1073?\u1080?\u1083?\u1080?\u1079?\u1080?\u1088?\u1072?\u1085?\u1077?\u1090?\u1086? \u1085?\u1072? \u1089?\u1088?\u1077?\u1076?\u1089?\u1090?\u1074?\u1072? \u1087?\u1086? \u1083?\u1080?\u1085?\u1080?\u1103? \u1085?\u1072? \u1048?\u1085?\u1089?\u1090?\u1088?\u1091?\u1084?\u1077?\u1085?\u1090?\u1072? \u1079?\u1072? \u1075?\u1098?\u1074?\u1082?\u1072?\u1074?\u1086?\u1089?\u1090? \u1079?\u1072? \u1092?\u1080?\u1085?\u1072?\u1085?\u1089?\u1080?\u1088?\u1072?\u1085?\u1077? \u1085?\u1072? \u1085?\u1077?\u1079?\u1072?\u1073?\u1072?\u1074?\u1085?\u1080? \u1073?\u1102?\u1076?\u1078?\u1077?\u1090?\u1085?\u1080? \u1084?\u1077?\u1088?\u1082?\u1080? \u1079?\u1072? \u1089?\u1087?\u1088?\u1072?\u1074?\u1103?\u1085?\u1077? \u1089? \u1090?\u1077?\u1082?\u1091?\u1097?\u1080?\u1090?\u1077? \u1087?\u1088?\u1077?\u1076?\u1080?\u1079?\u1074?\u1080?\u1082?\u1072?\u1090?\u1077?\u1083?\u1089?\u1090?\u1074?\u1072? \u1085?\u1072? \u1084?\u1080?\u1075?\u1088?\u1072?\u1094?\u1080?\u1103?\u1090?\u1072?, \u1087?\u1088?\u1080?\u1090?\u1086?\u1094?\u1080?\u1090?\u1077? \u1085?\u1072? \u1073?\u1077?\u1078?\u1072?\u1085?\u1094?\u1080? \u1080? \u1079?\u1072?\u1087?\u1083?\u1072?\u1093?\u1080?\u1090?\u1077? \u1079?\u1072? \u1089?\u1080?\u1075?\u1091?\u1088?\u1085?\u1086?\u1089?\u1090?\u1090?\u1072?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80C0C3-7CFD-415D-B642-E8B2FD28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4</Pages>
  <Words>812</Words>
  <Characters>4533</Characters>
  <Application>Microsoft Office Word</Application>
  <DocSecurity>0</DocSecurity>
  <Lines>107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19</cp:revision>
  <dcterms:created xsi:type="dcterms:W3CDTF">2019-06-27T15:48:00Z</dcterms:created>
  <dcterms:modified xsi:type="dcterms:W3CDTF">2019-07-01T07:21:00Z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SJ-026</vt:lpwstr>
  </property>
  <property fmtid="{D5CDD505-2E9C-101B-9397-08002B2CF9AE}" pid="10" name="DQCStatus">
    <vt:lpwstr>Green (DQC version 03)</vt:lpwstr>
  </property>
</Properties>
</file>