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CA455FB-B727-439E-9016-6957B3201999" style="width:450.65pt;height:379.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Комитета по публично управление към ОИСР и на Съвета на ОИСР във връзка с предвиденото приемане на проекта на препоръка относно борбата с незаконната търговия: повишаване на прозрачността в зоните за свободна търговия.</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Проектът на препоръка относно борбата с незаконната търговия</w:t>
      </w:r>
    </w:p>
    <w:p>
      <w:pPr>
        <w:rPr>
          <w:noProof/>
        </w:rPr>
      </w:pPr>
      <w:r>
        <w:rPr>
          <w:noProof/>
        </w:rPr>
        <w:t xml:space="preserve">Проектът на препоръка относно борбата с незаконната търговия: повишаване на прозрачността в зоните за свободна търговия („проектът на препоръка“) бе разработен от работната група на ОИСР за борба с незаконната търговия — спомагателен орган към Форума на високо равнище по въпросите на риска, организиран от Комитета по публично управление към ОИСР, въз основа на продължили шест години анализи и консултации с експерти, благодарение на които бяха набелязани ключови предизвикателства, пораждащи риск от незаконна търговия в зоните за свободна търговия (ЗСТ). </w:t>
      </w:r>
    </w:p>
    <w:p>
      <w:pPr>
        <w:rPr>
          <w:noProof/>
        </w:rPr>
      </w:pPr>
      <w:r>
        <w:rPr>
          <w:noProof/>
        </w:rPr>
        <w:t>Основната цел на проекта на препоръка е повишаване на прозрачността в ЗСТ, така щото престъпните организации да не могат да се възползват от тях. За тази цел в проекта на препоръка държавите, независимо дали са членки или не на ОИСР, се призовават: i) да осигурят подходящи равнища на надзор и контрол на ЗСТ; и ii) да насърчат операторите на ЗСТ да спазват кодекса за поведение за чисти зони за свободна търговия, който се съдържа в допълнението към проекта на препоръка и представлява неразделна част от него.</w:t>
      </w:r>
    </w:p>
    <w:p>
      <w:pPr>
        <w:rPr>
          <w:noProof/>
        </w:rPr>
      </w:pPr>
      <w:r>
        <w:rPr>
          <w:noProof/>
        </w:rPr>
        <w:t>В първия стълб на проекта на препоръка се очертават областите, в които участващите държави се призовават да предприемат допълнителни действия, включително чрез международно сътрудничество, с цел засилване на наблюдението и контрола на ЗСТ в рамките на своите юрисдикции. Такива дейности включват установяването на нормативна рамка за ЗСТ, позволяваща на компетентните органи да извършват ефективни разследвания, проверки или инспекции на място и да привеждат в действие приложимите забрани и ограничения в рамките на ЗСТ. С проекта на препоръка се цели също така да се увеличи наличието на обобщени статистически данни за стоките, въвеждани в ЗСТ и напускащи такива зони, въз основа на тяхното тарифно класиране.</w:t>
      </w:r>
    </w:p>
    <w:p>
      <w:pPr>
        <w:rPr>
          <w:noProof/>
        </w:rPr>
      </w:pPr>
      <w:r>
        <w:rPr>
          <w:noProof/>
        </w:rPr>
        <w:t>Във втория стълб на проекта на препоръка се отправят съвети към участващите държави относно мерките, които да предприемат, за да насърчат операторите на ЗСТ да спазват доброволно кодекса за поведение. Такива мерки може да включват по-строг контрол на пратките, пристигащи от неспазващи кодекса ЗСТ. Спазването ще се оценява и наблюдава с помощта на механизъм, който ще бъда разработен след приемането на проекта на препоръка. На практика кодексът за поведение задължава ЗСТ да осъществяват надзор върху икономическите оператори, установени в тяхната зона, да си сътрудничат с митниците и да осигуряват подходящи условия за наличието на информация за целите на разследванията. Всичко това има за цел повишаване на отчетността и създаване на еднакви условия на конкуренция, нетният положителен резултат от което ще бъде намаляване на незаконната търговия.</w:t>
      </w:r>
    </w:p>
    <w:p>
      <w:pPr>
        <w:pStyle w:val="ManualHeading2"/>
        <w:rPr>
          <w:noProof/>
        </w:rPr>
      </w:pPr>
      <w:r>
        <w:t>2.2.</w:t>
      </w:r>
      <w:r>
        <w:tab/>
      </w:r>
      <w:r>
        <w:rPr>
          <w:noProof/>
        </w:rPr>
        <w:t>Съветът на ОИСР и Комитетът по публично управление към ОИСР</w:t>
      </w:r>
    </w:p>
    <w:p>
      <w:pPr>
        <w:rPr>
          <w:noProof/>
        </w:rPr>
      </w:pPr>
      <w:r>
        <w:rPr>
          <w:noProof/>
        </w:rPr>
        <w:t>Съветът на ОИСР е органът с правомощие за вземане на решения в рамките на ОИСР. Той се състои от по един представител на всяка държава членка и един представител на Европейската комисия. Съветът заседава редовно на равнището на постоянните представители към ОИСР, а решенията се вземат с консенсус. Тези заседания се председателстват от генералния секретар на ОИСР. Двадесет и три държави — членки на Съюза, са членки на ОИСР и съответно разполагат с право на глас в Съвета на ОИСР. Съюзът не е член на ОИСР и следователно няма право да гласува, когато Съветът на ОИСР приема законодателни актове. Комитетът по публично управление към ОИСР работи по силата на мандат, предоставен от Съвета на ОИСР. Макар Европейската комисия да изразява позицията на Съюза в рамките на Комитета по публично управление към ОИСР и на Съвета на ОИСР въз основа на настоящото решение на Съвета, държавите — членки на Съюза, които са членки и на ОИСР, трябва да използват своето право на глас, за да заемат позиция от името на Съюза, като действат съвместно.</w:t>
      </w:r>
    </w:p>
    <w:p>
      <w:pPr>
        <w:pStyle w:val="ManualHeading2"/>
        <w:rPr>
          <w:noProof/>
        </w:rPr>
      </w:pPr>
      <w:r>
        <w:t>2.3.</w:t>
      </w:r>
      <w:r>
        <w:tab/>
      </w:r>
      <w:r>
        <w:rPr>
          <w:noProof/>
        </w:rPr>
        <w:t>Предвиденият акт на Съвета на ОИСР</w:t>
      </w:r>
    </w:p>
    <w:p>
      <w:pPr>
        <w:rPr>
          <w:noProof/>
        </w:rPr>
      </w:pPr>
      <w:r>
        <w:rPr>
          <w:noProof/>
        </w:rPr>
        <w:t xml:space="preserve">Текстът на проекта на препоръката, който е правно необвързващ правен инструмент на ОИСР, беше завършен на 29 март 2019 г. от ръководния комитет на работната група на ОИСР за борба с незаконната търговия и беше представен на Комитета по публично управление към ОИСР за обсъждане по време на заседанието му на 16 април 2019 г. С влизането в сила на настоящото решение на Съвета проектът на препоръка ще бъде предаден на Комитета по публично управление към ОИСР за одобрение чрез писмена процедура. Ако комитетът даде своето одобрение, проектът на препоръка ще бъде представен на Съвета на ОИСР за приемане. </w:t>
      </w:r>
    </w:p>
    <w:p>
      <w:pPr>
        <w:pStyle w:val="ManualHeading1"/>
        <w:rPr>
          <w:noProof/>
        </w:rPr>
      </w:pPr>
      <w:r>
        <w:t>3.</w:t>
      </w:r>
      <w:r>
        <w:tab/>
      </w:r>
      <w:r>
        <w:rPr>
          <w:noProof/>
        </w:rPr>
        <w:t>Позиция, която трябва да се заеме от името на Съюза</w:t>
      </w:r>
    </w:p>
    <w:p>
      <w:pPr>
        <w:rPr>
          <w:noProof/>
        </w:rPr>
      </w:pPr>
      <w:r>
        <w:rPr>
          <w:noProof/>
        </w:rPr>
        <w:t>Съюзът играе активна роля в борбата с незаконната търговия, включително чрез разпоредбите, съдържащи се в Митническия кодекс на Съюза, и чрез правилата относно защитата на правата върху интелектуалната собственост, осъществявана от митническите органи.</w:t>
      </w:r>
    </w:p>
    <w:p>
      <w:pPr>
        <w:rPr>
          <w:noProof/>
        </w:rPr>
      </w:pPr>
      <w:r>
        <w:rPr>
          <w:noProof/>
        </w:rPr>
        <w:t xml:space="preserve">През изминалите десетилетия много държави от целия свят обособиха ЗСТ като начин за стимулиране на икономическото развитие. Това развитие обаче изпревари приемането на стандарти и разпоредби, уреждащи ефективния надзор върху дейностите в ЗСТ в някои държави. В резултат на това престъпните мрежи откриха начини да се възползват от пропуските в надзора в някои ЗСТ, за да внасят тайно или да отклоняват незаконни продукти към вътрешните пазари, да изграждат производствени съоръжения за фалшиви и контрабандни стоки, да превозват транзитно незаконни стоки и да улесняват извършването на незаконни услуги. В някои държави ЗСТ се третират за всякакви цели като зони, намиращи се извън митническата територия на държавата, поради което стоките се въвеждат или извеждат от тях с минимален митнически контрол. </w:t>
      </w:r>
    </w:p>
    <w:p>
      <w:pPr>
        <w:rPr>
          <w:noProof/>
        </w:rPr>
      </w:pPr>
      <w:r>
        <w:rPr>
          <w:noProof/>
        </w:rPr>
        <w:t>С цел да даде отговор на тези предизвикателства Европейската комисия предприе действия в тясно сътрудничество с работната група на ОИСР за борба с незаконната търговия, за да изготви указания, с които да се помогне на правителствата и на създателите на политики да намалят и да възпрепятстват незаконната търговия, извършвана чрез ЗСТ и вътре в тях. В изготвения в резултат на тези усилия проект на препоръка се определят мерки за повишаване на прозрачността, за насърчаване на „чистата“ и справедлива търговия в ЗСТ и за превръщането им в непривлекателни обекти за престъпните организации, които понастоящем се възползват от тях.</w:t>
      </w:r>
    </w:p>
    <w:p>
      <w:pPr>
        <w:rPr>
          <w:noProof/>
        </w:rPr>
      </w:pPr>
      <w:r>
        <w:rPr>
          <w:noProof/>
        </w:rPr>
        <w:t>Предвид на факта, че незаконната търговия има широко отрицателно социално-икономическо, екологично, а дори и политическо въздействие, подкрепата на Съюза за приемането на проекта на препоръка в Съвета на ОИСР ще изпрати силно положително послание на останалите държави — членки на ОИСР, както и на нечленуващите в организацията държави.</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 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p>
    <w:p>
      <w:pPr>
        <w:pStyle w:val="ManualHeading3"/>
        <w:rPr>
          <w:noProof/>
        </w:rPr>
      </w:pPr>
      <w:r>
        <w:t>4.1.2.</w:t>
      </w:r>
      <w:r>
        <w:tab/>
      </w:r>
      <w:r>
        <w:rPr>
          <w:noProof/>
        </w:rPr>
        <w:t>Приложение в конкретния случай</w:t>
      </w:r>
    </w:p>
    <w:p>
      <w:pPr>
        <w:rPr>
          <w:noProof/>
        </w:rPr>
      </w:pPr>
      <w:r>
        <w:rPr>
          <w:noProof/>
        </w:rPr>
        <w:t xml:space="preserve">Съветът на ОИСР е орган, създаден по силата на споразумение, а именно Конвенцията за ОИСР. Макар Съюзът сам по себе си да не е член на ОИСР, представител на Европейската комисия участва в заседанията на Съвета на ОИСР и изразява позицията на Съюза. Позицията на Съюза по въпроси от компетентността на Съюза се изразява въз основа на решение на Съвета, а държавите — членки на Съюза, които са членки и на ОИСР, трябва да използват своето право на глас, за да заемат позиция от името на Съюза, като действат съвместно. </w:t>
      </w:r>
    </w:p>
    <w:p>
      <w:pPr>
        <w:rPr>
          <w:noProof/>
        </w:rPr>
      </w:pPr>
      <w:r>
        <w:rPr>
          <w:noProof/>
        </w:rPr>
        <w:t>Проектът на препоръка, който Съветът на ОИСР може да приеме след одобрението на Комитета по публично управление към ОИСР, е в състояние да окаже въздействие върху анализа на риска, извършван от митническите органи на държавите членки в съответствие с Регламент (ЕС) № 952/2013 за създаване на Митнически кодекс на Съюза и във връзка с рамката за управление на риска в областта на митниците. Причината за това е, че неспазването на кодекса за поведение е показател за риск, който митническите органи на държавите членки могат да използват в рамките на своята свобода на преценка относно подбора на стоки или икономически оператори за митнически контрол в контекста на пратките, които пристигат от съответните ЗСТ или преминават транзитно през тях. 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 Както е посочено в точка 1, замисълът на проекта на препоръка е да се помогне на правителствата и на създателите на политики да намалят и да възпрепятстват незаконната търговия, извършвана чрез ЗСТ и вътре в тях. От това следва, че проектът на препоръка има за цел да насърчава и защитава законната търговия по смисъла на член 207 от ДФЕС.</w:t>
      </w:r>
    </w:p>
    <w:p>
      <w:pPr>
        <w:pStyle w:val="ManualHeading2"/>
        <w:rPr>
          <w:noProof/>
        </w:rPr>
      </w:pPr>
      <w:r>
        <w:t>4.3.</w:t>
      </w:r>
      <w:r>
        <w:tab/>
      </w:r>
      <w:r>
        <w:rPr>
          <w:noProof/>
        </w:rPr>
        <w:t>Заключение</w:t>
      </w:r>
    </w:p>
    <w:p>
      <w:pPr>
        <w:rPr>
          <w:noProof/>
        </w:rPr>
      </w:pPr>
      <w:r>
        <w:rPr>
          <w:noProof/>
        </w:rPr>
        <w:t xml:space="preserve">Ето защо, с цел да се установи позицията, която трябва да се заеме от името на Съюза в рамките на Комитета по публично управление към ОИСР и на Съвета на ОИСР, е необходимо решение на Съвета на основание на член 207 от ДФЕС във връзка с член 218, параграф 9 от ДФЕС. Макар Европейската комисия да изразява позицията на Съюза в рамките на Комитета по публично управление към ОИСР и на Съвета на ОИСР въз основа на настоящото решение на Съвета, държавите — членки на Съюза, които са членки и на ОИСР, трябва да използват своето право на глас, за да заемат позиция от името на Съюза, като действат съвместно.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2019/0140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публично управление към ОИСР и на Съвета на ОИСР по проекта на препоръка относно борбата с незаконната търговия: повишаване на прозрачността в зоните за свободна търговия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Международните стандарти за борба с незаконната търговия са от ключово значение за осигуряването на еднакви условия на конкуренция в света и за насърчаването на законната търговия. Тези стандарти следва да включват указания, с които да се подпомагат правителствата и създателите на политики в усилията им да намалят и да възпрепятстват незаконната търговия, извършвана чрез зоните за свободна търговия и вътре в тях, каквито указания се съдържат в проекта на препоръка на ОИСР относно борбата с незаконната търговия: повишаване на прозрачността в зоните за свободна търговия („проекта на препоръка“).</w:t>
      </w:r>
    </w:p>
    <w:p>
      <w:pPr>
        <w:pStyle w:val="ManualConsidrant"/>
        <w:rPr>
          <w:noProof/>
        </w:rPr>
      </w:pPr>
      <w:r>
        <w:t>(2)</w:t>
      </w:r>
      <w:r>
        <w:tab/>
      </w:r>
      <w:r>
        <w:rPr>
          <w:noProof/>
        </w:rPr>
        <w:t>Проектът на препоръка беше предмет на широки обсъждания в работната група на ОИСР за борба с незаконната търговия — спомагателен орган към Форума на високо равнище по въпросите на риска, организиран от Комитета по публично управление към ОИСР, въз основа на продължили шест години анализи и консултации с експерти, включително със СМО и СТО.</w:t>
      </w:r>
    </w:p>
    <w:p>
      <w:pPr>
        <w:pStyle w:val="ManualConsidrant"/>
        <w:rPr>
          <w:noProof/>
        </w:rPr>
      </w:pPr>
      <w:r>
        <w:t>(3)</w:t>
      </w:r>
      <w:r>
        <w:tab/>
      </w:r>
      <w:r>
        <w:rPr>
          <w:noProof/>
        </w:rPr>
        <w:t xml:space="preserve">Предвижда се проектът на препоръка да бъде представен най-напред на Комитета по публично управление към ОИСР за одобрение и след това — на Съвета на ОИСР за приемане. </w:t>
      </w:r>
    </w:p>
    <w:p>
      <w:pPr>
        <w:pStyle w:val="ManualConsidrant"/>
        <w:rPr>
          <w:noProof/>
        </w:rPr>
      </w:pPr>
      <w:r>
        <w:t>(4)</w:t>
      </w:r>
      <w:r>
        <w:tab/>
      </w:r>
      <w:r>
        <w:rPr>
          <w:noProof/>
        </w:rPr>
        <w:t>Целесъобразно е да се установи позицията, която трябва да се заеме от името на Съюза в рамките на Комитета по публично управление към ОИСР и на Съвета на ОИСР в съответствие с член 218, параграф 9 от ДФЕС, тъй като проектът на препоръка е в състояние да окаже въздействие върху анализа на риска, извършван от митническите органи на държавите членки в съответствие с Регламент (ЕС) № 952/2013 за създаване на Митнически кодекс на Съюза и във връзка с рамката за управление на риска в областта на митниците. Причината за това е, че неспазването на кодекса за поведение е показател за риск, който митническите органи на държавите членки могат да използват в рамките на своята свобода на преценка относно подбора на стоки или икономически оператори за митнически контрол в контекста на пратките, които пристигат от съответните ЗСТ или преминават транзитно през тях. Незаконната търговия има широко отрицателно социално-икономическо, екологично, а дори и политическо въздействие и затова е особено важно Съюзът да подкрепи приемането на проекта на препоръка в рамките на Съвета на ОИСР.</w:t>
      </w:r>
    </w:p>
    <w:p>
      <w:pPr>
        <w:pStyle w:val="ManualConsidrant"/>
        <w:rPr>
          <w:noProof/>
        </w:rPr>
      </w:pPr>
      <w:r>
        <w:t>(5)</w:t>
      </w:r>
      <w:r>
        <w:tab/>
      </w:r>
      <w:r>
        <w:rPr>
          <w:noProof/>
        </w:rPr>
        <w:t>Съветът на ОИСР е орган, създаден по силата на споразумение, а именно Конвенцията за ОИСР. Двадесет и три държави — членки на Съюза, са членки на ОИСР и разполагат с право на глас в Съвета на ОИСР. Съюзът не е член на ОИСР и следователно няма право да гласува, когато Съветът на ОИСР приема законодателни актове. Макар Европейската комисия да изразява позицията на Съюза в рамките на Комитета по публично управление към ОИСР и на Съвета на ОИСР, държавите — членки на Съюза, които са членки и на ОИСР, трябва да използват своето право на глас, за да заемат позиция от името на Съюза, като действат съвместно в съгласие с позицията на Съюза,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Комитета по публично управление към ОИСР и на Съвета на ОИСР във връзка с повишаването на прозрачността в зоните за свободна търговия, се основава на проекта на препоръка относно борбата с незаконната търговия: повишаване на прозрачността в зоните за свободна търговия, приложен към настоящото решение.</w:t>
      </w:r>
    </w:p>
    <w:p>
      <w:pPr>
        <w:rPr>
          <w:noProof/>
        </w:rPr>
      </w:pPr>
      <w:r>
        <w:rPr>
          <w:noProof/>
        </w:rPr>
        <w:t>Представителите на Съюза в Комитета по публично управление към ОИСР и в Съвета на ОИСР могат да договарят незначителни промени в проекта на препоръка, без да е необходимо допълнително решение на Съвета.</w:t>
      </w:r>
    </w:p>
    <w:p>
      <w:pPr>
        <w:pStyle w:val="Titrearticle"/>
        <w:rPr>
          <w:noProof/>
        </w:rPr>
      </w:pPr>
      <w:r>
        <w:rPr>
          <w:noProof/>
        </w:rPr>
        <w:t>Член 2</w:t>
      </w:r>
    </w:p>
    <w:p>
      <w:pPr>
        <w:rPr>
          <w:noProof/>
        </w:rPr>
      </w:pPr>
      <w:r>
        <w:rPr>
          <w:noProof/>
        </w:rPr>
        <w:t>Позицията, посочена в член 1, се заема от държавите — членки на Съюза, които са членове на ОИСР, действащи съвместно.</w:t>
      </w:r>
    </w:p>
    <w:p>
      <w:pPr>
        <w:pStyle w:val="Titrearticle"/>
        <w:rPr>
          <w:noProof/>
        </w:rPr>
      </w:pPr>
      <w:r>
        <w:rPr>
          <w:noProof/>
        </w:rPr>
        <w:t>Член 3</w:t>
      </w:r>
    </w:p>
    <w:p>
      <w:pPr>
        <w:keepLines/>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9E88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6AF1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9E85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D677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3AA9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2C71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96DE18"/>
    <w:lvl w:ilvl="0">
      <w:start w:val="1"/>
      <w:numFmt w:val="decimal"/>
      <w:pStyle w:val="ListNumber"/>
      <w:lvlText w:val="%1."/>
      <w:lvlJc w:val="left"/>
      <w:pPr>
        <w:tabs>
          <w:tab w:val="num" w:pos="360"/>
        </w:tabs>
        <w:ind w:left="360" w:hanging="360"/>
      </w:pPr>
    </w:lvl>
  </w:abstractNum>
  <w:abstractNum w:abstractNumId="7">
    <w:nsid w:val="FFFFFF89"/>
    <w:multiLevelType w:val="singleLevel"/>
    <w:tmpl w:val="F75E74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3"/>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4 07:40: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CA455FB-B727-439E-9016-6957B3201999"/>
    <w:docVar w:name="LW_COVERPAGE_TYPE" w:val="1"/>
    <w:docVar w:name="LW_CROSSREFERENCE" w:val="&lt;UNUSED&gt;"/>
    <w:docVar w:name="LW_DocType" w:val="COM"/>
    <w:docVar w:name="LW_EMISSION" w:val="1.7.2019"/>
    <w:docVar w:name="LW_EMISSION_ISODATE" w:val="2019-07-0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0"/>
    <w:docVar w:name="LW_REF.II.NEW.CP_YEAR" w:val="2019"/>
    <w:docVar w:name="LW_REF.INST.NEW" w:val="COM"/>
    <w:docVar w:name="LW_REF.INST.NEW_ADOPTED" w:val="final"/>
    <w:docVar w:name="LW_REF.INST.NEW_TEXT" w:val="(2019) 2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87?\u1091?\u1073?\u1083?\u1080?\u1095?\u1085?\u1086? \u1091?\u1087?\u1088?\u1072?\u1074?\u1083?\u1077?\u1085?\u1080?\u1077? \u1082?\u1098?\u1084? \u1054?\u1048?\u1057?\u1056? \u1080? \u1085?\u1072? \u1057?\u1098?\u1074?\u1077?\u1090?\u1072? \u1085?\u1072? \u1054?\u1048?\u1057?\u1056? \u1087?\u1086? \u1087?\u1088?\u1086?\u1077?\u1082?\u1090?\u1072? \u1085?\u1072? \u1087?\u1088?\u1077?\u1087?\u1086?\u1088?\u1098?\u1082?\u1072? \u1086?\u1090?\u1085?\u1086?\u1089?\u1085?\u1086? \u1073?\u1086?\u1088?\u1073?\u1072?\u1090?\u1072? \u1089? \u1085?\u1077?\u1079?\u1072?\u1082?\u1086?\u1085?\u1085?\u1072?\u1090?\u1072? \u1090?\u1098?\u1088?\u1075?\u1086?\u1074?\u1080?\u1103?: \u1087?\u1086?\u1074?\u1080?\u1096?\u1072?\u1074?\u1072?\u1085?\u1077? \u1085?\u1072? \u1087?\u1088?\u1086?\u1079?\u1088?\u1072?\u1095?\u1085?\u1086?\u1089?\u1090?\u1090?\u1072? \u1074? \u1079?\u1086?\u1085?\u1080?\u1090?\u1077? \u1079?\u1072? \u1089?\u1074?\u1086?\u1073?\u1086?\u1076?\u1085?\u1072? \u1090?\u1098?\u1088?\u1075?\u1086?\u107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C3B1-E665-44CD-9A87-44D2F2A9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2377</Words>
  <Characters>12814</Characters>
  <Application>Microsoft Office Word</Application>
  <DocSecurity>0</DocSecurity>
  <Lines>228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2019-05-07T13:39:00Z</cp:lastPrinted>
  <dcterms:created xsi:type="dcterms:W3CDTF">2019-06-11T10:05:00Z</dcterms:created>
  <dcterms:modified xsi:type="dcterms:W3CDTF">2019-06-24T05:40:00Z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