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4C99C63-6DE5-429E-A6AD-88A575BF4627" style="width:450.4pt;height:361.65pt">
            <v:imagedata r:id="rId9" o:title=""/>
          </v:shape>
        </w:pict>
      </w:r>
    </w:p>
    <w:bookmarkEnd w:id="0"/>
    <w:p>
      <w:pPr>
        <w:jc w:val="both"/>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cs="Times New Roman"/>
          <w:b/>
          <w:noProof/>
          <w:sz w:val="24"/>
          <w:lang w:eastAsia="en-GB"/>
        </w:rPr>
      </w:pPr>
      <w:bookmarkStart w:id="1" w:name="_GoBack"/>
      <w:bookmarkEnd w:id="1"/>
      <w:r>
        <w:rPr>
          <w:rFonts w:ascii="Times New Roman" w:hAnsi="Times New Roman" w:cs="Times New Roman"/>
          <w:b/>
          <w:noProof/>
          <w:sz w:val="24"/>
          <w:lang w:eastAsia="en-GB"/>
        </w:rPr>
        <w:lastRenderedPageBreak/>
        <w:t>REPORT FROM THE COMMISSION TO THE EUROPEAN PARLIAMENT AND THE COUNCIL</w:t>
      </w:r>
    </w:p>
    <w:p>
      <w:pPr>
        <w:spacing w:before="360" w:after="36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eastAsia="en-GB"/>
        </w:rPr>
        <w:t xml:space="preserve">on the exercise of the power to adopt delegated acts conferred on the Commission under </w:t>
      </w:r>
      <w:r>
        <w:rPr>
          <w:rFonts w:ascii="Times New Roman" w:hAnsi="Times New Roman" w:cs="Times New Roman"/>
          <w:b/>
          <w:bCs/>
          <w:noProof/>
          <w:sz w:val="24"/>
          <w:szCs w:val="24"/>
        </w:rPr>
        <w:t>Council Regulation (EC) No 577/98</w:t>
      </w:r>
      <w:r>
        <w:rPr>
          <w:rFonts w:ascii="Times New Roman" w:hAnsi="Times New Roman" w:cs="Times New Roman"/>
          <w:b/>
          <w:noProof/>
          <w:sz w:val="24"/>
          <w:szCs w:val="24"/>
        </w:rPr>
        <w:t xml:space="preserve"> on the organisation of a labour force sample survey in the Community</w:t>
      </w:r>
    </w:p>
    <w:p>
      <w:pPr>
        <w:pStyle w:val="ListParagraph"/>
        <w:numPr>
          <w:ilvl w:val="0"/>
          <w:numId w:val="15"/>
        </w:numPr>
        <w:spacing w:before="360" w:after="360" w:line="240" w:lineRule="auto"/>
        <w:jc w:val="both"/>
        <w:rPr>
          <w:rFonts w:ascii="Times New Roman" w:hAnsi="Times New Roman" w:cs="Times New Roman"/>
          <w:b/>
          <w:noProof/>
          <w:sz w:val="24"/>
          <w:szCs w:val="24"/>
        </w:rPr>
      </w:pPr>
      <w:r>
        <w:rPr>
          <w:rFonts w:ascii="Times New Roman" w:hAnsi="Times New Roman" w:cs="Times New Roman"/>
          <w:b/>
          <w:bCs/>
          <w:smallCaps/>
          <w:noProof/>
          <w:sz w:val="24"/>
          <w:szCs w:val="28"/>
        </w:rPr>
        <w:t>Background</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No 545/2014 of the European Parliament and of the Council of 15 May 2014 (</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modified Council Regulation (EC) No 577/98 on the organisation of a labour force sample survey in the Community (</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in order to align it with the distinction between delegated and implementing acts introduced under the Lisbon Treaty, and introduced a provision on the financing of ad hoc modules.</w:t>
      </w:r>
    </w:p>
    <w:p>
      <w:pPr>
        <w:spacing w:after="0" w:line="240" w:lineRule="auto"/>
        <w:jc w:val="both"/>
        <w:rPr>
          <w:rFonts w:ascii="Times New Roman" w:hAnsi="Times New Roman" w:cs="Times New Roman"/>
          <w:noProof/>
          <w:sz w:val="24"/>
          <w:szCs w:val="24"/>
        </w:rPr>
      </w:pPr>
    </w:p>
    <w:p>
      <w:pPr>
        <w:pStyle w:val="NormalWeb"/>
        <w:spacing w:before="0" w:beforeAutospacing="0" w:after="0" w:afterAutospacing="0"/>
        <w:jc w:val="both"/>
        <w:rPr>
          <w:noProof/>
        </w:rPr>
      </w:pPr>
      <w:r>
        <w:rPr>
          <w:noProof/>
        </w:rPr>
        <w:t>Article 4(2) and Article 7a of Council Regulation (EC) No 577/98 as amended, empower the Commission to adopt delegated acts in accordance with Article 7c :</w:t>
      </w:r>
    </w:p>
    <w:p>
      <w:pPr>
        <w:pStyle w:val="NormalWeb"/>
        <w:spacing w:before="0" w:beforeAutospacing="0" w:after="0" w:afterAutospacing="0"/>
        <w:jc w:val="both"/>
        <w:rPr>
          <w:noProof/>
        </w:rPr>
      </w:pPr>
    </w:p>
    <w:p>
      <w:pPr>
        <w:pStyle w:val="ListParagraph"/>
        <w:numPr>
          <w:ilvl w:val="0"/>
          <w:numId w:val="5"/>
        </w:numPr>
        <w:spacing w:after="0" w:line="240" w:lineRule="auto"/>
        <w:jc w:val="both"/>
        <w:rPr>
          <w:rFonts w:ascii="Times New Roman" w:eastAsia="Times New Roman" w:hAnsi="Times New Roman" w:cs="Times New Roman"/>
          <w:noProof/>
          <w:sz w:val="24"/>
          <w:szCs w:val="24"/>
          <w:lang w:val="en-US" w:eastAsia="fr-BE"/>
        </w:rPr>
      </w:pPr>
      <w:r>
        <w:rPr>
          <w:rFonts w:ascii="Times New Roman" w:eastAsia="Times New Roman" w:hAnsi="Times New Roman" w:cs="Times New Roman"/>
          <w:noProof/>
          <w:sz w:val="24"/>
          <w:szCs w:val="24"/>
          <w:lang w:val="en-US" w:eastAsia="fr-BE"/>
        </w:rPr>
        <w:t xml:space="preserve">with regard to the adjustment of the list of survey variables, specified in the list of 14 groups of survey characteristics warranted by the evolution of techniques and concepts </w:t>
      </w:r>
      <w:r>
        <w:rPr>
          <w:rFonts w:ascii="ECSquareSansProLight" w:hAnsi="ECSquareSansProLight" w:cs="ECSquareSansProLight"/>
          <w:noProof/>
          <w:color w:val="4A4A49"/>
          <w:sz w:val="20"/>
          <w:szCs w:val="20"/>
        </w:rPr>
        <w:t>—</w:t>
      </w:r>
      <w:r>
        <w:rPr>
          <w:rFonts w:ascii="Times New Roman" w:eastAsia="Times New Roman" w:hAnsi="Times New Roman" w:cs="Times New Roman"/>
          <w:noProof/>
          <w:sz w:val="24"/>
          <w:szCs w:val="24"/>
          <w:lang w:val="en-US" w:eastAsia="fr-BE"/>
        </w:rPr>
        <w:t xml:space="preserve">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4</w:t>
      </w:r>
      <w:r>
        <w:rPr>
          <w:rFonts w:ascii="Times New Roman" w:hAnsi="Times New Roman" w:cs="Times New Roman"/>
          <w:noProof/>
          <w:sz w:val="24"/>
          <w:szCs w:val="24"/>
          <w:lang w:eastAsia="en-GB"/>
        </w:rPr>
        <w:t>(</w:t>
      </w:r>
      <w:r>
        <w:rPr>
          <w:rFonts w:ascii="Times New Roman" w:hAnsi="Times New Roman" w:cs="Times New Roman"/>
          <w:noProof/>
          <w:sz w:val="24"/>
          <w:szCs w:val="24"/>
        </w:rPr>
        <w:t>2</w:t>
      </w:r>
      <w:r>
        <w:rPr>
          <w:rFonts w:ascii="Times New Roman" w:hAnsi="Times New Roman" w:cs="Times New Roman"/>
          <w:noProof/>
          <w:sz w:val="24"/>
          <w:szCs w:val="24"/>
          <w:lang w:eastAsia="en-GB"/>
        </w:rPr>
        <w:t>);</w:t>
      </w:r>
    </w:p>
    <w:p>
      <w:pPr>
        <w:pStyle w:val="ListParagraph"/>
        <w:spacing w:after="0" w:line="240" w:lineRule="auto"/>
        <w:jc w:val="both"/>
        <w:rPr>
          <w:rFonts w:ascii="Times New Roman" w:eastAsia="Times New Roman" w:hAnsi="Times New Roman" w:cs="Times New Roman"/>
          <w:noProof/>
          <w:sz w:val="24"/>
          <w:szCs w:val="24"/>
          <w:lang w:val="en-US" w:eastAsia="fr-BE"/>
        </w:rPr>
      </w:pPr>
    </w:p>
    <w:p>
      <w:pPr>
        <w:pStyle w:val="ListParagraph"/>
        <w:numPr>
          <w:ilvl w:val="0"/>
          <w:numId w:val="5"/>
        </w:numPr>
        <w:spacing w:after="0" w:line="240" w:lineRule="auto"/>
        <w:jc w:val="both"/>
        <w:rPr>
          <w:rFonts w:ascii="Times New Roman" w:eastAsia="Times New Roman" w:hAnsi="Times New Roman" w:cs="Times New Roman"/>
          <w:noProof/>
          <w:sz w:val="24"/>
          <w:szCs w:val="24"/>
          <w:lang w:val="en-US" w:eastAsia="fr-BE"/>
        </w:rPr>
      </w:pPr>
      <w:r>
        <w:rPr>
          <w:rFonts w:ascii="Times New Roman" w:eastAsia="Times New Roman" w:hAnsi="Times New Roman" w:cs="Times New Roman"/>
          <w:noProof/>
          <w:sz w:val="24"/>
          <w:szCs w:val="24"/>
          <w:lang w:val="en-US" w:eastAsia="fr-BE"/>
        </w:rPr>
        <w:t xml:space="preserve">establishing a programme of ad hoc modules covering 3 years </w:t>
      </w:r>
      <w:r>
        <w:rPr>
          <w:rFonts w:ascii="ECSquareSansProLight" w:hAnsi="ECSquareSansProLight" w:cs="ECSquareSansProLight"/>
          <w:noProof/>
          <w:color w:val="4A4A49"/>
          <w:sz w:val="20"/>
          <w:szCs w:val="20"/>
        </w:rPr>
        <w:t>—</w:t>
      </w:r>
      <w:r>
        <w:rPr>
          <w:rFonts w:ascii="Times New Roman" w:eastAsia="Times New Roman" w:hAnsi="Times New Roman" w:cs="Times New Roman"/>
          <w:noProof/>
          <w:sz w:val="24"/>
          <w:szCs w:val="24"/>
          <w:lang w:val="en-US" w:eastAsia="fr-BE"/>
        </w:rPr>
        <w:t xml:space="preserve"> </w:t>
      </w:r>
      <w:r>
        <w:rPr>
          <w:rFonts w:ascii="Times New Roman" w:hAnsi="Times New Roman" w:cs="Times New Roman"/>
          <w:noProof/>
          <w:sz w:val="24"/>
          <w:szCs w:val="24"/>
          <w:lang w:eastAsia="en-GB"/>
        </w:rPr>
        <w:t>Article 7a</w:t>
      </w:r>
      <w:r>
        <w:rPr>
          <w:rFonts w:ascii="Times New Roman" w:eastAsia="Times New Roman" w:hAnsi="Times New Roman" w:cs="Times New Roman"/>
          <w:noProof/>
          <w:sz w:val="24"/>
          <w:szCs w:val="24"/>
          <w:lang w:val="en-US" w:eastAsia="fr-BE"/>
        </w:rPr>
        <w:t xml:space="preserve">. </w:t>
      </w:r>
    </w:p>
    <w:p>
      <w:pPr>
        <w:pStyle w:val="NormalWeb"/>
        <w:spacing w:before="0" w:beforeAutospacing="0" w:after="0" w:afterAutospacing="0"/>
        <w:jc w:val="both"/>
        <w:rPr>
          <w:noProof/>
        </w:rPr>
      </w:pPr>
    </w:p>
    <w:p>
      <w:pPr>
        <w:pStyle w:val="NormalWeb"/>
        <w:spacing w:before="0" w:beforeAutospacing="0" w:after="0" w:afterAutospacing="0"/>
        <w:jc w:val="both"/>
        <w:rPr>
          <w:noProof/>
        </w:rPr>
      </w:pPr>
    </w:p>
    <w:p>
      <w:pPr>
        <w:pStyle w:val="ListParagraph"/>
        <w:numPr>
          <w:ilvl w:val="0"/>
          <w:numId w:val="15"/>
        </w:numPr>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 xml:space="preserve">Legal basis </w:t>
      </w:r>
    </w:p>
    <w:p>
      <w:pPr>
        <w:spacing w:after="0" w:line="240" w:lineRule="auto"/>
        <w:jc w:val="both"/>
        <w:rPr>
          <w:rFonts w:ascii="Times New Roman" w:eastAsia="Times New Roman" w:hAnsi="Times New Roman" w:cs="Times New Roman"/>
          <w:noProof/>
          <w:sz w:val="24"/>
          <w:szCs w:val="24"/>
          <w:lang w:val="en-US" w:eastAsia="fr-BE"/>
        </w:rPr>
      </w:pPr>
      <w:r>
        <w:rPr>
          <w:rFonts w:ascii="Times New Roman" w:hAnsi="Times New Roman" w:cs="Times New Roman"/>
          <w:noProof/>
          <w:sz w:val="24"/>
          <w:lang w:eastAsia="en-GB"/>
        </w:rPr>
        <w:t xml:space="preserve">Under Article 7c of Regulation </w:t>
      </w:r>
      <w:r>
        <w:rPr>
          <w:rFonts w:ascii="Times New Roman" w:hAnsi="Times New Roman" w:cs="Times New Roman"/>
          <w:bCs/>
          <w:noProof/>
          <w:sz w:val="24"/>
          <w:szCs w:val="24"/>
        </w:rPr>
        <w:t>(EC) No 577/98</w:t>
      </w:r>
      <w:r>
        <w:rPr>
          <w:rFonts w:ascii="Times New Roman" w:hAnsi="Times New Roman" w:cs="Times New Roman"/>
          <w:noProof/>
          <w:sz w:val="24"/>
          <w:lang w:eastAsia="en-GB"/>
        </w:rPr>
        <w:t xml:space="preserve">, the power to adopt delegated acts is conferred for a period of 5 years from 18 June 2014. This power is to be tacitly extended for periods of 5 years unless the European Parliament or the Council </w:t>
      </w:r>
      <w:r>
        <w:rPr>
          <w:rFonts w:ascii="Times New Roman" w:eastAsia="Times New Roman" w:hAnsi="Times New Roman" w:cs="Times New Roman"/>
          <w:noProof/>
          <w:sz w:val="24"/>
          <w:szCs w:val="24"/>
          <w:lang w:val="en-US" w:eastAsia="fr-BE"/>
        </w:rPr>
        <w:t>opposes such extension no later than three months before the end of each period.</w:t>
      </w:r>
    </w:p>
    <w:p>
      <w:pPr>
        <w:spacing w:after="0" w:line="240" w:lineRule="auto"/>
        <w:jc w:val="both"/>
        <w:rPr>
          <w:rFonts w:ascii="Times New Roman" w:hAnsi="Times New Roman" w:cs="Times New Roman"/>
          <w:noProof/>
          <w:sz w:val="24"/>
          <w:lang w:eastAsia="en-GB"/>
        </w:rPr>
      </w:pPr>
    </w:p>
    <w:p>
      <w:pPr>
        <w:spacing w:after="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The Commission is required to draw up a report on the delegation of power no later than 9 months before the end of the five-year period.</w:t>
      </w:r>
    </w:p>
    <w:p>
      <w:pPr>
        <w:spacing w:after="0" w:line="240" w:lineRule="auto"/>
        <w:jc w:val="both"/>
        <w:rPr>
          <w:rFonts w:ascii="Times New Roman" w:hAnsi="Times New Roman" w:cs="Times New Roman"/>
          <w:noProof/>
          <w:sz w:val="24"/>
          <w:lang w:eastAsia="en-GB"/>
        </w:rPr>
      </w:pPr>
    </w:p>
    <w:p>
      <w:pPr>
        <w:spacing w:after="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This report fulfils this requirement.</w:t>
      </w:r>
    </w:p>
    <w:p>
      <w:pPr>
        <w:pStyle w:val="ListParagraph"/>
        <w:keepNext/>
        <w:numPr>
          <w:ilvl w:val="0"/>
          <w:numId w:val="15"/>
        </w:numPr>
        <w:shd w:val="clear" w:color="auto" w:fill="FFFFFF"/>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hAnsi="Times New Roman" w:cs="Times New Roman"/>
          <w:b/>
          <w:bCs/>
          <w:smallCaps/>
          <w:noProof/>
          <w:sz w:val="24"/>
          <w:szCs w:val="28"/>
        </w:rPr>
        <w:lastRenderedPageBreak/>
        <w:t xml:space="preserve">Commission exercise of delegated powers under </w:t>
      </w:r>
      <w:r>
        <w:rPr>
          <w:rFonts w:ascii="Times New Roman" w:eastAsia="Times New Roman" w:hAnsi="Times New Roman" w:cs="Times New Roman"/>
          <w:b/>
          <w:bCs/>
          <w:smallCaps/>
          <w:noProof/>
          <w:sz w:val="24"/>
          <w:szCs w:val="28"/>
          <w:lang w:eastAsia="en-GB"/>
        </w:rPr>
        <w:t>Regulation (EC) No </w:t>
      </w:r>
      <w:r>
        <w:rPr>
          <w:rFonts w:ascii="Times New Roman" w:hAnsi="Times New Roman" w:cs="Times New Roman"/>
          <w:b/>
          <w:bCs/>
          <w:smallCaps/>
          <w:noProof/>
          <w:sz w:val="24"/>
          <w:szCs w:val="24"/>
        </w:rPr>
        <w:t>577/98</w:t>
      </w:r>
    </w:p>
    <w:p>
      <w:pPr>
        <w:keepNext/>
        <w:shd w:val="clear" w:color="auto" w:fill="FFFFFF"/>
        <w:spacing w:before="360" w:after="120"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The Commission has adopted the following two delegated acts: Commission Delegated Regulation (EU) No 1397/2014 (</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w:t>
      </w:r>
      <w:r>
        <w:rPr>
          <w:rFonts w:ascii="Times New Roman" w:hAnsi="Times New Roman" w:cs="Times New Roman"/>
          <w:noProof/>
          <w:sz w:val="24"/>
          <w:szCs w:val="24"/>
          <w:lang w:val="en"/>
        </w:rPr>
        <w:t>Commission Delegated Regulation (EU) 2016/1851 (</w:t>
      </w:r>
      <w:r>
        <w:rPr>
          <w:rStyle w:val="FootnoteReference"/>
          <w:rFonts w:ascii="Times New Roman" w:hAnsi="Times New Roman" w:cs="Times New Roman"/>
          <w:noProof/>
          <w:sz w:val="24"/>
          <w:szCs w:val="24"/>
          <w:lang w:val="en"/>
        </w:rPr>
        <w:footnoteReference w:id="4"/>
      </w:r>
      <w:r>
        <w:rPr>
          <w:rFonts w:ascii="Times New Roman" w:hAnsi="Times New Roman" w:cs="Times New Roman"/>
          <w:noProof/>
          <w:sz w:val="24"/>
          <w:szCs w:val="24"/>
          <w:lang w:val="en"/>
        </w:rPr>
        <w:t>).</w:t>
      </w:r>
    </w:p>
    <w:p>
      <w:pPr>
        <w:pStyle w:val="ListParagraph"/>
        <w:keepNext/>
        <w:numPr>
          <w:ilvl w:val="0"/>
          <w:numId w:val="14"/>
        </w:numPr>
        <w:shd w:val="clear" w:color="auto" w:fill="FFFFFF"/>
        <w:spacing w:before="360" w:after="120" w:line="240" w:lineRule="auto"/>
        <w:jc w:val="both"/>
        <w:outlineLvl w:val="0"/>
        <w:rPr>
          <w:rFonts w:ascii="Times New Roman" w:hAnsi="Times New Roman" w:cs="Times New Roman"/>
          <w:b/>
          <w:smallCaps/>
          <w:noProof/>
          <w:sz w:val="24"/>
          <w:szCs w:val="24"/>
          <w:lang w:val="en"/>
        </w:rPr>
      </w:pPr>
      <w:r>
        <w:rPr>
          <w:rFonts w:ascii="Times New Roman" w:hAnsi="Times New Roman" w:cs="Times New Roman"/>
          <w:b/>
          <w:smallCaps/>
          <w:noProof/>
          <w:sz w:val="24"/>
          <w:szCs w:val="24"/>
        </w:rPr>
        <w:t>Commission Delegated Regulation (EU) No 1397/2014</w:t>
      </w:r>
    </w:p>
    <w:p>
      <w:pPr>
        <w:spacing w:after="0" w:line="240" w:lineRule="auto"/>
        <w:jc w:val="both"/>
        <w:rPr>
          <w:rFonts w:ascii="Times New Roman" w:hAnsi="Times New Roman" w:cs="Times New Roman"/>
          <w:bCs/>
          <w:iCs/>
          <w:noProof/>
          <w:color w:val="000000"/>
          <w:sz w:val="24"/>
          <w:szCs w:val="24"/>
        </w:rPr>
      </w:pPr>
      <w:r>
        <w:rPr>
          <w:rFonts w:ascii="Times New Roman" w:hAnsi="Times New Roman" w:cs="Times New Roman"/>
          <w:bCs/>
          <w:iCs/>
          <w:noProof/>
          <w:sz w:val="24"/>
          <w:szCs w:val="24"/>
        </w:rPr>
        <w:t xml:space="preserve">Article 7a(4) of Regulation (EC) No 577/98, as amended by Regulation (EU) No 545/2014, empowers the Commission to adopt </w:t>
      </w:r>
      <w:r>
        <w:rPr>
          <w:rFonts w:ascii="Times New Roman" w:hAnsi="Times New Roman" w:cs="Times New Roman"/>
          <w:bCs/>
          <w:iCs/>
          <w:noProof/>
          <w:color w:val="000000"/>
          <w:sz w:val="24"/>
          <w:szCs w:val="24"/>
        </w:rPr>
        <w:t xml:space="preserve">a three-year programme of </w:t>
      </w:r>
      <w:r>
        <w:rPr>
          <w:rFonts w:ascii="Times New Roman" w:hAnsi="Times New Roman" w:cs="Times New Roman"/>
          <w:bCs/>
          <w:noProof/>
          <w:color w:val="000000"/>
          <w:sz w:val="24"/>
          <w:szCs w:val="24"/>
        </w:rPr>
        <w:t>ad hoc</w:t>
      </w:r>
      <w:r>
        <w:rPr>
          <w:rFonts w:ascii="Times New Roman" w:hAnsi="Times New Roman" w:cs="Times New Roman"/>
          <w:bCs/>
          <w:iCs/>
          <w:noProof/>
          <w:color w:val="000000"/>
          <w:sz w:val="24"/>
          <w:szCs w:val="24"/>
        </w:rPr>
        <w:t xml:space="preserve"> modules. For each </w:t>
      </w:r>
      <w:r>
        <w:rPr>
          <w:rFonts w:ascii="Times New Roman" w:hAnsi="Times New Roman" w:cs="Times New Roman"/>
          <w:bCs/>
          <w:noProof/>
          <w:color w:val="000000"/>
          <w:sz w:val="24"/>
          <w:szCs w:val="24"/>
        </w:rPr>
        <w:t>ad hoc</w:t>
      </w:r>
      <w:r>
        <w:rPr>
          <w:rFonts w:ascii="Times New Roman" w:hAnsi="Times New Roman" w:cs="Times New Roman"/>
          <w:bCs/>
          <w:iCs/>
          <w:noProof/>
          <w:color w:val="000000"/>
          <w:sz w:val="24"/>
          <w:szCs w:val="24"/>
        </w:rPr>
        <w:t xml:space="preserve"> module, the programme shall stipulate its subject and reference period, and shall list its sub-modules, with a description of the specific area each one covers.</w:t>
      </w:r>
    </w:p>
    <w:p>
      <w:pPr>
        <w:spacing w:after="0" w:line="240" w:lineRule="auto"/>
        <w:jc w:val="both"/>
        <w:rPr>
          <w:rFonts w:ascii="Times New Roman" w:hAnsi="Times New Roman" w:cs="Times New Roman"/>
          <w:bCs/>
          <w:iCs/>
          <w:noProof/>
          <w:color w:val="000000"/>
          <w:sz w:val="24"/>
          <w:szCs w:val="24"/>
        </w:rPr>
      </w:pPr>
    </w:p>
    <w:p>
      <w:pPr>
        <w:spacing w:after="0" w:line="240" w:lineRule="auto"/>
        <w:jc w:val="both"/>
        <w:rPr>
          <w:rFonts w:ascii="Times New Roman" w:hAnsi="Times New Roman" w:cs="Times New Roman"/>
          <w:bCs/>
          <w:iCs/>
          <w:noProof/>
          <w:color w:val="000000"/>
          <w:sz w:val="24"/>
          <w:szCs w:val="24"/>
        </w:rPr>
      </w:pPr>
      <w:r>
        <w:rPr>
          <w:rFonts w:ascii="Times New Roman" w:hAnsi="Times New Roman" w:cs="Times New Roman"/>
          <w:noProof/>
          <w:sz w:val="24"/>
          <w:szCs w:val="24"/>
        </w:rPr>
        <w:t>Commission Regulation (EU) No 318/2013 (</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adopted the programme of ad hoc modules for the labour force sample survey from 2016 to 2018. It </w:t>
      </w:r>
      <w:r>
        <w:rPr>
          <w:rFonts w:ascii="Times New Roman" w:hAnsi="Times New Roman" w:cs="Times New Roman"/>
          <w:bCs/>
          <w:iCs/>
          <w:noProof/>
          <w:color w:val="000000"/>
          <w:sz w:val="24"/>
          <w:szCs w:val="24"/>
        </w:rPr>
        <w:t>stipulates the subject and the reference period for each of the three ad hoc modules.</w:t>
      </w:r>
    </w:p>
    <w:p>
      <w:pPr>
        <w:spacing w:after="0" w:line="240" w:lineRule="auto"/>
        <w:jc w:val="both"/>
        <w:rPr>
          <w:rFonts w:ascii="Times New Roman" w:hAnsi="Times New Roman" w:cs="Times New Roman"/>
          <w:bCs/>
          <w:iCs/>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aligning the powers conferred on the Commission in Regulation (EC) No 577/98 with the new institutional context, the legislator, among other things, stipulated additional information to be included in the programme of ad hoc modules. As a result, the Commission was required to include additional information in its programme of ad hoc modules. The programme of 2016 to 2018 ad hoc modules was therefore amended.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Cs/>
          <w:iCs/>
          <w:noProof/>
          <w:color w:val="000000"/>
          <w:sz w:val="24"/>
          <w:szCs w:val="24"/>
        </w:rPr>
      </w:pPr>
      <w:r>
        <w:rPr>
          <w:rFonts w:ascii="Times New Roman" w:hAnsi="Times New Roman" w:cs="Times New Roman"/>
          <w:noProof/>
          <w:sz w:val="24"/>
          <w:szCs w:val="24"/>
        </w:rPr>
        <w:t xml:space="preserve">Commission Delegated Regulation (EU) No 1397/2014 </w:t>
      </w:r>
      <w:r>
        <w:rPr>
          <w:rFonts w:ascii="Times New Roman" w:hAnsi="Times New Roman" w:cs="Times New Roman"/>
          <w:bCs/>
          <w:iCs/>
          <w:noProof/>
          <w:color w:val="000000"/>
          <w:sz w:val="24"/>
          <w:szCs w:val="24"/>
        </w:rPr>
        <w:t xml:space="preserve">amends </w:t>
      </w:r>
      <w:r>
        <w:rPr>
          <w:rFonts w:ascii="Times New Roman" w:hAnsi="Times New Roman" w:cs="Times New Roman"/>
          <w:noProof/>
          <w:sz w:val="24"/>
          <w:szCs w:val="24"/>
        </w:rPr>
        <w:t xml:space="preserve">Regulation (EU) No 318/2013, </w:t>
      </w:r>
      <w:r>
        <w:rPr>
          <w:rFonts w:ascii="Times New Roman" w:hAnsi="Times New Roman" w:cs="Times New Roman"/>
          <w:bCs/>
          <w:iCs/>
          <w:noProof/>
          <w:color w:val="000000"/>
          <w:sz w:val="24"/>
          <w:szCs w:val="24"/>
        </w:rPr>
        <w:t xml:space="preserve">providing the additional information that now has to be included in the </w:t>
      </w:r>
      <w:r>
        <w:rPr>
          <w:rFonts w:ascii="Times New Roman" w:hAnsi="Times New Roman" w:cs="Times New Roman"/>
          <w:noProof/>
          <w:sz w:val="24"/>
          <w:szCs w:val="24"/>
        </w:rPr>
        <w:t>programme of ad hoc modules,</w:t>
      </w:r>
      <w:r>
        <w:rPr>
          <w:rFonts w:ascii="Times New Roman" w:hAnsi="Times New Roman" w:cs="Times New Roman"/>
          <w:bCs/>
          <w:iCs/>
          <w:noProof/>
          <w:color w:val="000000"/>
          <w:sz w:val="24"/>
          <w:szCs w:val="24"/>
        </w:rPr>
        <w:t xml:space="preserve"> specifically the list of sub-modules and a description of each of them.</w:t>
      </w:r>
    </w:p>
    <w:p>
      <w:pPr>
        <w:pStyle w:val="ti-grseq-1"/>
        <w:jc w:val="both"/>
        <w:rPr>
          <w:rStyle w:val="bold"/>
          <w:noProof/>
          <w:lang w:val="en-US"/>
        </w:rPr>
      </w:pPr>
      <w:r>
        <w:rPr>
          <w:rStyle w:val="bold"/>
          <w:noProof/>
          <w:lang w:val="en-US"/>
        </w:rPr>
        <w:t>The three ad hoc modules are the following:</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lang w:val="en-US" w:eastAsia="fr-BE"/>
        </w:rPr>
      </w:pPr>
      <w:r>
        <w:rPr>
          <w:rFonts w:ascii="Times New Roman" w:eastAsia="Times New Roman" w:hAnsi="Times New Roman" w:cs="Times New Roman"/>
          <w:noProof/>
          <w:sz w:val="24"/>
          <w:szCs w:val="24"/>
          <w:lang w:val="en-US" w:eastAsia="fr-BE"/>
        </w:rPr>
        <w:t>Young people on the labour market (Reference period: 2016);</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lang w:val="en-US" w:eastAsia="fr-BE"/>
        </w:rPr>
      </w:pPr>
      <w:r>
        <w:rPr>
          <w:rFonts w:ascii="Times New Roman" w:eastAsia="Times New Roman" w:hAnsi="Times New Roman" w:cs="Times New Roman"/>
          <w:noProof/>
          <w:sz w:val="24"/>
          <w:szCs w:val="24"/>
          <w:lang w:val="en-US" w:eastAsia="fr-BE"/>
        </w:rPr>
        <w:t>Self-employment (Reference period: 2017);</w:t>
      </w:r>
    </w:p>
    <w:p>
      <w:pPr>
        <w:pStyle w:val="ListParagraph"/>
        <w:numPr>
          <w:ilvl w:val="0"/>
          <w:numId w:val="11"/>
        </w:numPr>
        <w:spacing w:before="100" w:beforeAutospacing="1" w:after="100" w:afterAutospacing="1" w:line="240" w:lineRule="auto"/>
        <w:jc w:val="both"/>
        <w:rPr>
          <w:rFonts w:ascii="Times New Roman" w:eastAsia="Times New Roman" w:hAnsi="Times New Roman" w:cs="Times New Roman"/>
          <w:noProof/>
          <w:sz w:val="24"/>
          <w:szCs w:val="24"/>
          <w:lang w:val="en-US" w:eastAsia="fr-BE"/>
        </w:rPr>
      </w:pPr>
      <w:r>
        <w:rPr>
          <w:rFonts w:ascii="Times New Roman" w:eastAsia="Times New Roman" w:hAnsi="Times New Roman" w:cs="Times New Roman"/>
          <w:noProof/>
          <w:sz w:val="24"/>
          <w:szCs w:val="24"/>
          <w:lang w:val="en-US" w:eastAsia="fr-BE"/>
        </w:rPr>
        <w:t>Reconciliation between work and family life (Reference period: 2018).</w:t>
      </w:r>
    </w:p>
    <w:p>
      <w:pPr>
        <w:spacing w:after="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The Commission has carried out appropriate consultations as part of the preparation of this Delegated Regulation. National experts were invited to the June 2014 meeting of the Labour Market Statistics working group, the conclusions of which were circulated amongst those who attended the meeting.</w:t>
      </w:r>
    </w:p>
    <w:p>
      <w:pPr>
        <w:spacing w:after="0" w:line="240" w:lineRule="auto"/>
        <w:jc w:val="both"/>
        <w:rPr>
          <w:rFonts w:ascii="Times New Roman" w:hAnsi="Times New Roman" w:cs="Times New Roman"/>
          <w:noProof/>
          <w:sz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lang w:eastAsia="en-GB"/>
        </w:rPr>
        <w:t>The Commission has informed both the European Parliament and the Council about the consultation results.</w:t>
      </w:r>
      <w:r>
        <w:rPr>
          <w:rFonts w:ascii="Times New Roman" w:hAnsi="Times New Roman" w:cs="Times New Roman"/>
          <w:noProof/>
          <w:sz w:val="24"/>
          <w:szCs w:val="24"/>
        </w:rPr>
        <w:br w:type="page"/>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adopted the Delegated Regulation on 22 October 2014 and notified the European Parliament and the Council. Neither the European Parliament nor the Council issued any objection to the Delegated Regulation within the standard two-month period allowed. At the end of the two-month period, the Delegated Regulation was published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on 30 December 2014 and entered into force on 19 January 2015.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ListParagraph"/>
        <w:numPr>
          <w:ilvl w:val="0"/>
          <w:numId w:val="8"/>
        </w:numPr>
        <w:jc w:val="both"/>
        <w:rPr>
          <w:rFonts w:ascii="Times New Roman" w:hAnsi="Times New Roman" w:cs="Times New Roman"/>
          <w:b/>
          <w:smallCaps/>
          <w:noProof/>
          <w:szCs w:val="24"/>
        </w:rPr>
      </w:pPr>
      <w:r>
        <w:rPr>
          <w:rFonts w:ascii="Times New Roman" w:hAnsi="Times New Roman" w:cs="Times New Roman"/>
          <w:b/>
          <w:smallCaps/>
          <w:noProof/>
          <w:sz w:val="24"/>
          <w:szCs w:val="24"/>
          <w:lang w:val="en"/>
        </w:rPr>
        <w:t>Commission Delegated Regulation (EU) 2016/1851</w:t>
      </w:r>
    </w:p>
    <w:p>
      <w:pPr>
        <w:spacing w:after="0" w:line="240" w:lineRule="auto"/>
        <w:jc w:val="both"/>
        <w:rPr>
          <w:rFonts w:ascii="Times New Roman" w:eastAsia="Times New Roman" w:hAnsi="Times New Roman" w:cs="Times New Roman"/>
          <w:noProof/>
          <w:sz w:val="24"/>
          <w:szCs w:val="24"/>
          <w:lang w:val="en-US" w:eastAsia="fr-BE"/>
        </w:rPr>
      </w:pPr>
      <w:r>
        <w:rPr>
          <w:rFonts w:ascii="Times New Roman" w:eastAsia="Times New Roman" w:hAnsi="Times New Roman" w:cs="Times New Roman"/>
          <w:noProof/>
          <w:sz w:val="24"/>
          <w:szCs w:val="24"/>
          <w:lang w:eastAsia="fr-BE"/>
        </w:rPr>
        <w:t>The second Commission Delegated Regulation was adopted in order t</w:t>
      </w:r>
      <w:r>
        <w:rPr>
          <w:rFonts w:ascii="Times New Roman" w:eastAsia="Times New Roman" w:hAnsi="Times New Roman" w:cs="Times New Roman"/>
          <w:noProof/>
          <w:sz w:val="24"/>
          <w:szCs w:val="24"/>
          <w:lang w:val="en-US" w:eastAsia="fr-BE"/>
        </w:rPr>
        <w:t>o specify the components of the new programme of ad hoc modules covering 2019, 2020 and 2021.</w:t>
      </w:r>
    </w:p>
    <w:p>
      <w:pPr>
        <w:spacing w:after="0" w:line="240" w:lineRule="auto"/>
        <w:jc w:val="both"/>
        <w:rPr>
          <w:rFonts w:ascii="Times New Roman" w:eastAsia="Times New Roman" w:hAnsi="Times New Roman" w:cs="Times New Roman"/>
          <w:noProof/>
          <w:sz w:val="24"/>
          <w:szCs w:val="24"/>
          <w:lang w:val="en-US" w:eastAsia="fr-BE"/>
        </w:rPr>
      </w:pPr>
    </w:p>
    <w:p>
      <w:pPr>
        <w:spacing w:after="0" w:line="240" w:lineRule="auto"/>
        <w:jc w:val="both"/>
        <w:rPr>
          <w:rFonts w:ascii="Times New Roman" w:eastAsia="Times New Roman" w:hAnsi="Times New Roman" w:cs="Times New Roman"/>
          <w:noProof/>
          <w:sz w:val="24"/>
          <w:szCs w:val="24"/>
          <w:lang w:val="en-US" w:eastAsia="fr-BE"/>
        </w:rPr>
      </w:pPr>
      <w:r>
        <w:rPr>
          <w:rFonts w:ascii="Times New Roman" w:eastAsia="Times New Roman" w:hAnsi="Times New Roman" w:cs="Times New Roman"/>
          <w:noProof/>
          <w:sz w:val="24"/>
          <w:szCs w:val="24"/>
          <w:lang w:val="en-US" w:eastAsia="fr-BE"/>
        </w:rPr>
        <w:t xml:space="preserve">The subjects answer the need for a comprehensive and comparable set of data on work organisation and working time arrangements, and more detailed data on labour market participation, to monitor progress towards achieving the common objectives of the Europe 2020 strategy. </w:t>
      </w:r>
      <w:r>
        <w:rPr>
          <w:rFonts w:ascii="Times New Roman" w:hAnsi="Times New Roman" w:cs="Times New Roman"/>
          <w:bCs/>
          <w:iCs/>
          <w:noProof/>
          <w:color w:val="000000"/>
          <w:sz w:val="24"/>
          <w:szCs w:val="24"/>
        </w:rPr>
        <w:t xml:space="preserve">For each </w:t>
      </w:r>
      <w:r>
        <w:rPr>
          <w:rFonts w:ascii="Times New Roman" w:hAnsi="Times New Roman" w:cs="Times New Roman"/>
          <w:bCs/>
          <w:noProof/>
          <w:color w:val="000000"/>
          <w:sz w:val="24"/>
          <w:szCs w:val="24"/>
        </w:rPr>
        <w:t>ad hoc</w:t>
      </w:r>
      <w:r>
        <w:rPr>
          <w:rFonts w:ascii="Times New Roman" w:hAnsi="Times New Roman" w:cs="Times New Roman"/>
          <w:bCs/>
          <w:iCs/>
          <w:noProof/>
          <w:color w:val="000000"/>
          <w:sz w:val="24"/>
          <w:szCs w:val="24"/>
        </w:rPr>
        <w:t xml:space="preserve"> module, the programme stipulated the subjects and reference period, and listed its sub-modules, with a description of the specific area each one covers.</w:t>
      </w:r>
    </w:p>
    <w:p>
      <w:pPr>
        <w:pStyle w:val="ti-grseq-1"/>
        <w:jc w:val="both"/>
        <w:rPr>
          <w:rStyle w:val="bold"/>
          <w:noProof/>
          <w:lang w:val="en-US"/>
        </w:rPr>
      </w:pPr>
      <w:r>
        <w:rPr>
          <w:rStyle w:val="bold"/>
          <w:noProof/>
          <w:lang w:val="en-US"/>
        </w:rPr>
        <w:t>The three ad hoc modules are the following:</w:t>
      </w:r>
    </w:p>
    <w:p>
      <w:pPr>
        <w:pStyle w:val="ti-grseq-1"/>
        <w:numPr>
          <w:ilvl w:val="0"/>
          <w:numId w:val="10"/>
        </w:numPr>
        <w:jc w:val="both"/>
        <w:rPr>
          <w:noProof/>
          <w:lang w:val="en-US"/>
        </w:rPr>
      </w:pPr>
      <w:r>
        <w:rPr>
          <w:rStyle w:val="bold"/>
          <w:noProof/>
          <w:lang w:val="en-US"/>
        </w:rPr>
        <w:t>Work organisation and working time arrangements</w:t>
      </w:r>
      <w:r>
        <w:rPr>
          <w:noProof/>
          <w:lang w:val="en-US"/>
        </w:rPr>
        <w:t xml:space="preserve"> (</w:t>
      </w:r>
      <w:r>
        <w:rPr>
          <w:rStyle w:val="italic"/>
          <w:noProof/>
          <w:lang w:val="en-US"/>
        </w:rPr>
        <w:t>Reference period:</w:t>
      </w:r>
      <w:r>
        <w:rPr>
          <w:noProof/>
          <w:lang w:val="en-US"/>
        </w:rPr>
        <w:t xml:space="preserve"> 2019)</w:t>
      </w:r>
    </w:p>
    <w:p>
      <w:pPr>
        <w:pStyle w:val="ti-grseq-1"/>
        <w:numPr>
          <w:ilvl w:val="0"/>
          <w:numId w:val="10"/>
        </w:numPr>
        <w:jc w:val="both"/>
        <w:rPr>
          <w:noProof/>
          <w:lang w:val="en-US"/>
        </w:rPr>
      </w:pPr>
      <w:r>
        <w:rPr>
          <w:rStyle w:val="bold"/>
          <w:noProof/>
          <w:lang w:val="en-US"/>
        </w:rPr>
        <w:t>Accidents at work and other work-related health problems</w:t>
      </w:r>
      <w:r>
        <w:rPr>
          <w:noProof/>
          <w:lang w:val="en-US"/>
        </w:rPr>
        <w:t xml:space="preserve"> (</w:t>
      </w:r>
      <w:r>
        <w:rPr>
          <w:rStyle w:val="italic"/>
          <w:noProof/>
          <w:lang w:val="en-US"/>
        </w:rPr>
        <w:t>Reference period:</w:t>
      </w:r>
      <w:r>
        <w:rPr>
          <w:noProof/>
          <w:lang w:val="en-US"/>
        </w:rPr>
        <w:t xml:space="preserve"> 2020)</w:t>
      </w:r>
    </w:p>
    <w:p>
      <w:pPr>
        <w:pStyle w:val="ti-grseq-1"/>
        <w:numPr>
          <w:ilvl w:val="0"/>
          <w:numId w:val="10"/>
        </w:numPr>
        <w:jc w:val="both"/>
        <w:rPr>
          <w:noProof/>
          <w:lang w:val="en-US"/>
        </w:rPr>
      </w:pPr>
      <w:r>
        <w:rPr>
          <w:rStyle w:val="bold"/>
          <w:noProof/>
          <w:lang w:val="en-US"/>
        </w:rPr>
        <w:t>Labour situation of migrants and their immediate descendants</w:t>
      </w:r>
      <w:r>
        <w:rPr>
          <w:noProof/>
          <w:lang w:val="en-US"/>
        </w:rPr>
        <w:t xml:space="preserve"> (</w:t>
      </w:r>
      <w:r>
        <w:rPr>
          <w:rStyle w:val="italic"/>
          <w:noProof/>
          <w:lang w:val="en-US"/>
        </w:rPr>
        <w:t xml:space="preserve">Reference period: </w:t>
      </w:r>
      <w:r>
        <w:rPr>
          <w:noProof/>
          <w:lang w:val="en-US"/>
        </w:rPr>
        <w:t>2021).</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carried out appropriate consultations as part of the preparation of this Delegated Regulation. It consulted national experts invited to expert meetings to discuss the draft delegated act. The consultation took place at the meetings of the Labour Market Statistics working group on 24-25 June 2014, 10-11 December 2014 and 7-8 December 2015.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Directors of Social Statistics were also consulted during their meeting on 23-24 February 2016.</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Directors-General of the Member States’ national statistical institutes were also consulted during a meeting held to discuss this matter on 18 May 2016.</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informed both the European Parliament and the Council </w:t>
      </w:r>
      <w:r>
        <w:rPr>
          <w:rFonts w:ascii="Times New Roman" w:hAnsi="Times New Roman" w:cs="Times New Roman"/>
          <w:noProof/>
          <w:sz w:val="24"/>
          <w:lang w:eastAsia="en-GB"/>
        </w:rPr>
        <w:t>about the consultation results</w:t>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adopted the Delegated Regulation on 14 June 2016 and notified the European Parliament and the Council. Neither the European Parliament nor the Council issued any objection to the Delegated Regulation within the standard two-month period allowed. At the end of the two-month period, the Delegated Regulation was published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on 20 October 2016 and entered into force on 9 November 2016.</w:t>
      </w:r>
    </w:p>
    <w:p>
      <w:pPr>
        <w:rPr>
          <w:rFonts w:ascii="Times New Roman" w:eastAsia="Times New Roman" w:hAnsi="Times New Roman" w:cs="Times New Roman"/>
          <w:b/>
          <w:bCs/>
          <w:smallCaps/>
          <w:noProof/>
          <w:sz w:val="24"/>
          <w:szCs w:val="28"/>
          <w:lang w:val="en-US" w:eastAsia="fr-BE"/>
        </w:rPr>
      </w:pPr>
      <w:r>
        <w:rPr>
          <w:b/>
          <w:bCs/>
          <w:smallCaps/>
          <w:noProof/>
          <w:szCs w:val="28"/>
          <w:lang w:val="en-US"/>
        </w:rPr>
        <w:br w:type="page"/>
      </w:r>
    </w:p>
    <w:p>
      <w:pPr>
        <w:pStyle w:val="ti-grseq-1"/>
        <w:jc w:val="both"/>
        <w:rPr>
          <w:noProof/>
          <w:lang w:val="en-US"/>
        </w:rPr>
      </w:pPr>
      <w:r>
        <w:rPr>
          <w:b/>
          <w:bCs/>
          <w:smallCaps/>
          <w:noProof/>
          <w:szCs w:val="28"/>
          <w:lang w:val="en-US"/>
        </w:rPr>
        <w:t>Conclusion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exercised its delegated powers correctly and invites the European Parliament and the Council to take note of this report.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rPr>
      </w:pPr>
      <w:r>
        <w:rPr>
          <w:rFonts w:ascii="Times New Roman" w:hAnsi="Times New Roman" w:cs="Times New Roman"/>
          <w:noProof/>
          <w:sz w:val="24"/>
          <w:szCs w:val="24"/>
        </w:rPr>
        <w:t>The Commission believes that it should continue to have these powers, as in the future it may need to adopt delegated acts for additional ad hoc modules according to Article 4(2) and Article 7a of Council Regulation (EC) No 577/98.</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CSquareSansProLight">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2865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163, 29.5.2014, p. 10.</w:t>
      </w:r>
    </w:p>
  </w:footnote>
  <w:footnote w:id="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Council Regulation (EC) No 577/98</w:t>
      </w:r>
      <w:r>
        <w:rPr>
          <w:rFonts w:ascii="Times New Roman" w:hAnsi="Times New Roman" w:cs="Times New Roman"/>
        </w:rPr>
        <w:t xml:space="preserve"> </w:t>
      </w:r>
      <w:r>
        <w:rPr>
          <w:rFonts w:ascii="Times New Roman" w:hAnsi="Times New Roman" w:cs="Times New Roman"/>
          <w:color w:val="000000"/>
          <w:lang w:val="en-US"/>
        </w:rPr>
        <w:t xml:space="preserve">on </w:t>
      </w:r>
      <w:r>
        <w:rPr>
          <w:rFonts w:ascii="Times New Roman" w:hAnsi="Times New Roman" w:cs="Times New Roman"/>
        </w:rPr>
        <w:t>the organisation of a labour force sample survey in the Community (OJ L 77, 14.3.1998, p. 3).</w:t>
      </w:r>
    </w:p>
  </w:footnote>
  <w:footnote w:id="3">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rPr>
        <w:footnoteRef/>
      </w:r>
      <w:r>
        <w:t xml:space="preserve"> </w:t>
      </w:r>
      <w:r>
        <w:tab/>
      </w:r>
      <w:r>
        <w:rPr>
          <w:rFonts w:ascii="Times New Roman" w:hAnsi="Times New Roman" w:cs="Times New Roman"/>
          <w:sz w:val="20"/>
          <w:szCs w:val="20"/>
        </w:rPr>
        <w:t>Commission Delegated Regulation (EU) No 1397/2014 of 22 October 2014 amending Regulation (EU) No 318/2013 adopting the programme of ad hoc modules, covering the years 2016 to 2018, for the labour force sample survey provided for by Council Regulation (EC) No 577/98 (OJ L 3</w:t>
      </w:r>
      <w:r>
        <w:rPr>
          <w:rFonts w:ascii="Times New Roman" w:hAnsi="Times New Roman" w:cs="Times New Roman"/>
          <w:bCs/>
          <w:sz w:val="20"/>
          <w:szCs w:val="20"/>
        </w:rPr>
        <w:t>70, 30.12.2014, p. 42).</w:t>
      </w:r>
    </w:p>
  </w:footnote>
  <w:footnote w:id="4">
    <w:p>
      <w:pPr>
        <w:pStyle w:val="NormalWeb"/>
        <w:spacing w:before="0" w:beforeAutospacing="0" w:after="0" w:afterAutospacing="0"/>
        <w:jc w:val="both"/>
        <w:rPr>
          <w:bCs/>
          <w:sz w:val="20"/>
          <w:szCs w:val="20"/>
          <w:lang w:val="en"/>
        </w:rPr>
      </w:pPr>
      <w:r>
        <w:rPr>
          <w:rStyle w:val="FootnoteReference"/>
          <w:sz w:val="20"/>
          <w:szCs w:val="20"/>
        </w:rPr>
        <w:footnoteRef/>
      </w:r>
      <w:r>
        <w:rPr>
          <w:sz w:val="20"/>
          <w:szCs w:val="20"/>
        </w:rPr>
        <w:t xml:space="preserve"> </w:t>
      </w:r>
      <w:r>
        <w:rPr>
          <w:sz w:val="20"/>
          <w:szCs w:val="20"/>
        </w:rPr>
        <w:tab/>
      </w:r>
      <w:r>
        <w:rPr>
          <w:sz w:val="20"/>
          <w:szCs w:val="20"/>
          <w:lang w:val="en"/>
        </w:rPr>
        <w:t>Commission Delegated Regulation (EU) 2016/1851</w:t>
      </w:r>
      <w:r>
        <w:rPr>
          <w:bCs/>
          <w:sz w:val="20"/>
          <w:szCs w:val="20"/>
          <w:lang w:val="en"/>
        </w:rPr>
        <w:t xml:space="preserve"> of 14 June 2016 adopting the programme of ad hoc modules, covering the years 2019, 2020 and 2021, for the labour force sample survey provided for by Council Regulation (EC) No 577/98 (</w:t>
      </w:r>
      <w:r>
        <w:rPr>
          <w:bCs/>
          <w:sz w:val="20"/>
          <w:szCs w:val="20"/>
        </w:rPr>
        <w:t>OJ L 284, 20.10.2016, p. 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Regulation (EU) No 318/2013 of 8 April 2013 adopting the programme of ad hoc modules, covering the years 2016 to 2018, for the labour force sample survey provided for by Council Regulation (EC) No 577/98 (OJ L 99, 9.4.2013,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C75"/>
    <w:multiLevelType w:val="hybridMultilevel"/>
    <w:tmpl w:val="EAF20E20"/>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DE53440"/>
    <w:multiLevelType w:val="hybridMultilevel"/>
    <w:tmpl w:val="8694805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16A15000"/>
    <w:multiLevelType w:val="hybridMultilevel"/>
    <w:tmpl w:val="6C36F12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481246A"/>
    <w:multiLevelType w:val="hybridMultilevel"/>
    <w:tmpl w:val="03A4E3E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53E6314"/>
    <w:multiLevelType w:val="hybridMultilevel"/>
    <w:tmpl w:val="6EB447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AD56696"/>
    <w:multiLevelType w:val="hybridMultilevel"/>
    <w:tmpl w:val="A8043C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01606F0"/>
    <w:multiLevelType w:val="hybridMultilevel"/>
    <w:tmpl w:val="998653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19D0F83"/>
    <w:multiLevelType w:val="hybridMultilevel"/>
    <w:tmpl w:val="0F80E9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7609F2"/>
    <w:multiLevelType w:val="hybridMultilevel"/>
    <w:tmpl w:val="0FFA5DC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B3A5948"/>
    <w:multiLevelType w:val="hybridMultilevel"/>
    <w:tmpl w:val="CB76FE6E"/>
    <w:lvl w:ilvl="0" w:tplc="3D30A7E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8C74AD5"/>
    <w:multiLevelType w:val="hybridMultilevel"/>
    <w:tmpl w:val="424A605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1"/>
  </w:num>
  <w:num w:numId="5">
    <w:abstractNumId w:val="6"/>
  </w:num>
  <w:num w:numId="6">
    <w:abstractNumId w:val="8"/>
    <w:lvlOverride w:ilvl="0">
      <w:startOverride w:val="1"/>
    </w:lvlOverride>
  </w:num>
  <w:num w:numId="7">
    <w:abstractNumId w:val="8"/>
  </w:num>
  <w:num w:numId="8">
    <w:abstractNumId w:val="5"/>
  </w:num>
  <w:num w:numId="9">
    <w:abstractNumId w:val="2"/>
  </w:num>
  <w:num w:numId="10">
    <w:abstractNumId w:val="10"/>
  </w:num>
  <w:num w:numId="11">
    <w:abstractNumId w:val="3"/>
  </w:num>
  <w:num w:numId="12">
    <w:abstractNumId w:val="7"/>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C99C63-6DE5-429E-A6AD-88A575BF4627"/>
    <w:docVar w:name="LW_COVERPAGE_TYPE" w:val="1"/>
    <w:docVar w:name="LW_CROSSREFERENCE" w:val="&lt;UNUSED&gt;"/>
    <w:docVar w:name="LW_DocType" w:val="NORMAL"/>
    <w:docVar w:name="LW_EMISSION" w:val="1.7.2019"/>
    <w:docVar w:name="LW_EMISSION_ISODATE" w:val="2019-07-01"/>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ercise of the power to adopt delegated acts conferred on the Commission under Council Regulation (EC) No 577/98 on the organisation of a labour force sample survey in the Community_x000d__x000d__x000d__x000b__x000d_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val="de-DE" w:eastAsia="de-DE"/>
    </w:rPr>
  </w:style>
  <w:style w:type="paragraph" w:customStyle="1" w:styleId="Tiret1">
    <w:name w:val="Tiret 1"/>
    <w:basedOn w:val="Normal"/>
    <w:pPr>
      <w:numPr>
        <w:numId w:val="6"/>
      </w:numPr>
      <w:spacing w:before="120" w:after="120" w:line="240" w:lineRule="auto"/>
      <w:jc w:val="both"/>
    </w:pPr>
    <w:rPr>
      <w:rFonts w:ascii="Times New Roman" w:eastAsia="Calibri" w:hAnsi="Times New Roman" w:cs="Times New Roman"/>
      <w:sz w:val="24"/>
      <w:szCs w:val="20"/>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bold">
    <w:name w:val="bold"/>
    <w:basedOn w:val="DefaultParagraphFont"/>
  </w:style>
  <w:style w:type="character" w:customStyle="1" w:styleId="italic">
    <w:name w:val="italic"/>
    <w:basedOn w:val="DefaultParagraphFont"/>
  </w:style>
  <w:style w:type="character" w:customStyle="1" w:styleId="super">
    <w:name w:val="super"/>
    <w:basedOn w:val="DefaultParagraphFont"/>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val="de-DE" w:eastAsia="de-DE"/>
    </w:rPr>
  </w:style>
  <w:style w:type="paragraph" w:customStyle="1" w:styleId="Tiret1">
    <w:name w:val="Tiret 1"/>
    <w:basedOn w:val="Normal"/>
    <w:pPr>
      <w:numPr>
        <w:numId w:val="6"/>
      </w:numPr>
      <w:spacing w:before="120" w:after="120" w:line="240" w:lineRule="auto"/>
      <w:jc w:val="both"/>
    </w:pPr>
    <w:rPr>
      <w:rFonts w:ascii="Times New Roman" w:eastAsia="Calibri" w:hAnsi="Times New Roman" w:cs="Times New Roman"/>
      <w:sz w:val="24"/>
      <w:szCs w:val="20"/>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bold">
    <w:name w:val="bold"/>
    <w:basedOn w:val="DefaultParagraphFont"/>
  </w:style>
  <w:style w:type="character" w:customStyle="1" w:styleId="italic">
    <w:name w:val="italic"/>
    <w:basedOn w:val="DefaultParagraphFont"/>
  </w:style>
  <w:style w:type="character" w:customStyle="1" w:styleId="super">
    <w:name w:val="super"/>
    <w:basedOn w:val="DefaultParagraphFont"/>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277">
      <w:bodyDiv w:val="1"/>
      <w:marLeft w:val="0"/>
      <w:marRight w:val="0"/>
      <w:marTop w:val="0"/>
      <w:marBottom w:val="0"/>
      <w:divBdr>
        <w:top w:val="none" w:sz="0" w:space="0" w:color="auto"/>
        <w:left w:val="none" w:sz="0" w:space="0" w:color="auto"/>
        <w:bottom w:val="none" w:sz="0" w:space="0" w:color="auto"/>
        <w:right w:val="none" w:sz="0" w:space="0" w:color="auto"/>
      </w:divBdr>
      <w:divsChild>
        <w:div w:id="689455017">
          <w:marLeft w:val="0"/>
          <w:marRight w:val="0"/>
          <w:marTop w:val="0"/>
          <w:marBottom w:val="0"/>
          <w:divBdr>
            <w:top w:val="none" w:sz="0" w:space="0" w:color="auto"/>
            <w:left w:val="none" w:sz="0" w:space="0" w:color="auto"/>
            <w:bottom w:val="none" w:sz="0" w:space="0" w:color="auto"/>
            <w:right w:val="none" w:sz="0" w:space="0" w:color="auto"/>
          </w:divBdr>
        </w:div>
        <w:div w:id="1093354736">
          <w:marLeft w:val="0"/>
          <w:marRight w:val="0"/>
          <w:marTop w:val="0"/>
          <w:marBottom w:val="0"/>
          <w:divBdr>
            <w:top w:val="none" w:sz="0" w:space="0" w:color="auto"/>
            <w:left w:val="none" w:sz="0" w:space="0" w:color="auto"/>
            <w:bottom w:val="none" w:sz="0" w:space="0" w:color="auto"/>
            <w:right w:val="none" w:sz="0" w:space="0" w:color="auto"/>
          </w:divBdr>
        </w:div>
        <w:div w:id="1248270025">
          <w:marLeft w:val="0"/>
          <w:marRight w:val="0"/>
          <w:marTop w:val="0"/>
          <w:marBottom w:val="0"/>
          <w:divBdr>
            <w:top w:val="none" w:sz="0" w:space="0" w:color="auto"/>
            <w:left w:val="none" w:sz="0" w:space="0" w:color="auto"/>
            <w:bottom w:val="none" w:sz="0" w:space="0" w:color="auto"/>
            <w:right w:val="none" w:sz="0" w:space="0" w:color="auto"/>
          </w:divBdr>
        </w:div>
        <w:div w:id="971593078">
          <w:marLeft w:val="0"/>
          <w:marRight w:val="0"/>
          <w:marTop w:val="0"/>
          <w:marBottom w:val="0"/>
          <w:divBdr>
            <w:top w:val="none" w:sz="0" w:space="0" w:color="auto"/>
            <w:left w:val="none" w:sz="0" w:space="0" w:color="auto"/>
            <w:bottom w:val="none" w:sz="0" w:space="0" w:color="auto"/>
            <w:right w:val="none" w:sz="0" w:space="0" w:color="auto"/>
          </w:divBdr>
        </w:div>
        <w:div w:id="1019160978">
          <w:marLeft w:val="0"/>
          <w:marRight w:val="0"/>
          <w:marTop w:val="0"/>
          <w:marBottom w:val="0"/>
          <w:divBdr>
            <w:top w:val="none" w:sz="0" w:space="0" w:color="auto"/>
            <w:left w:val="none" w:sz="0" w:space="0" w:color="auto"/>
            <w:bottom w:val="none" w:sz="0" w:space="0" w:color="auto"/>
            <w:right w:val="none" w:sz="0" w:space="0" w:color="auto"/>
          </w:divBdr>
        </w:div>
        <w:div w:id="1203834034">
          <w:marLeft w:val="0"/>
          <w:marRight w:val="0"/>
          <w:marTop w:val="0"/>
          <w:marBottom w:val="0"/>
          <w:divBdr>
            <w:top w:val="none" w:sz="0" w:space="0" w:color="auto"/>
            <w:left w:val="none" w:sz="0" w:space="0" w:color="auto"/>
            <w:bottom w:val="none" w:sz="0" w:space="0" w:color="auto"/>
            <w:right w:val="none" w:sz="0" w:space="0" w:color="auto"/>
          </w:divBdr>
        </w:div>
        <w:div w:id="139155847">
          <w:marLeft w:val="0"/>
          <w:marRight w:val="0"/>
          <w:marTop w:val="0"/>
          <w:marBottom w:val="0"/>
          <w:divBdr>
            <w:top w:val="none" w:sz="0" w:space="0" w:color="auto"/>
            <w:left w:val="none" w:sz="0" w:space="0" w:color="auto"/>
            <w:bottom w:val="none" w:sz="0" w:space="0" w:color="auto"/>
            <w:right w:val="none" w:sz="0" w:space="0" w:color="auto"/>
          </w:divBdr>
        </w:div>
        <w:div w:id="861209080">
          <w:marLeft w:val="0"/>
          <w:marRight w:val="0"/>
          <w:marTop w:val="0"/>
          <w:marBottom w:val="0"/>
          <w:divBdr>
            <w:top w:val="none" w:sz="0" w:space="0" w:color="auto"/>
            <w:left w:val="none" w:sz="0" w:space="0" w:color="auto"/>
            <w:bottom w:val="none" w:sz="0" w:space="0" w:color="auto"/>
            <w:right w:val="none" w:sz="0" w:space="0" w:color="auto"/>
          </w:divBdr>
        </w:div>
        <w:div w:id="516358608">
          <w:marLeft w:val="0"/>
          <w:marRight w:val="0"/>
          <w:marTop w:val="0"/>
          <w:marBottom w:val="0"/>
          <w:divBdr>
            <w:top w:val="none" w:sz="0" w:space="0" w:color="auto"/>
            <w:left w:val="none" w:sz="0" w:space="0" w:color="auto"/>
            <w:bottom w:val="none" w:sz="0" w:space="0" w:color="auto"/>
            <w:right w:val="none" w:sz="0" w:space="0" w:color="auto"/>
          </w:divBdr>
        </w:div>
      </w:divsChild>
    </w:div>
    <w:div w:id="195973144">
      <w:bodyDiv w:val="1"/>
      <w:marLeft w:val="0"/>
      <w:marRight w:val="0"/>
      <w:marTop w:val="0"/>
      <w:marBottom w:val="0"/>
      <w:divBdr>
        <w:top w:val="none" w:sz="0" w:space="0" w:color="auto"/>
        <w:left w:val="none" w:sz="0" w:space="0" w:color="auto"/>
        <w:bottom w:val="none" w:sz="0" w:space="0" w:color="auto"/>
        <w:right w:val="none" w:sz="0" w:space="0" w:color="auto"/>
      </w:divBdr>
      <w:divsChild>
        <w:div w:id="1921013290">
          <w:marLeft w:val="0"/>
          <w:marRight w:val="0"/>
          <w:marTop w:val="0"/>
          <w:marBottom w:val="0"/>
          <w:divBdr>
            <w:top w:val="none" w:sz="0" w:space="0" w:color="auto"/>
            <w:left w:val="none" w:sz="0" w:space="0" w:color="auto"/>
            <w:bottom w:val="none" w:sz="0" w:space="0" w:color="auto"/>
            <w:right w:val="none" w:sz="0" w:space="0" w:color="auto"/>
          </w:divBdr>
        </w:div>
        <w:div w:id="721178943">
          <w:marLeft w:val="0"/>
          <w:marRight w:val="0"/>
          <w:marTop w:val="0"/>
          <w:marBottom w:val="0"/>
          <w:divBdr>
            <w:top w:val="none" w:sz="0" w:space="0" w:color="auto"/>
            <w:left w:val="none" w:sz="0" w:space="0" w:color="auto"/>
            <w:bottom w:val="none" w:sz="0" w:space="0" w:color="auto"/>
            <w:right w:val="none" w:sz="0" w:space="0" w:color="auto"/>
          </w:divBdr>
        </w:div>
        <w:div w:id="899569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 w:id="688946825">
          <w:marLeft w:val="0"/>
          <w:marRight w:val="0"/>
          <w:marTop w:val="0"/>
          <w:marBottom w:val="0"/>
          <w:divBdr>
            <w:top w:val="none" w:sz="0" w:space="0" w:color="auto"/>
            <w:left w:val="none" w:sz="0" w:space="0" w:color="auto"/>
            <w:bottom w:val="none" w:sz="0" w:space="0" w:color="auto"/>
            <w:right w:val="none" w:sz="0" w:space="0" w:color="auto"/>
          </w:divBdr>
        </w:div>
      </w:divsChild>
    </w:div>
    <w:div w:id="294525683">
      <w:bodyDiv w:val="1"/>
      <w:marLeft w:val="0"/>
      <w:marRight w:val="0"/>
      <w:marTop w:val="0"/>
      <w:marBottom w:val="0"/>
      <w:divBdr>
        <w:top w:val="none" w:sz="0" w:space="0" w:color="auto"/>
        <w:left w:val="none" w:sz="0" w:space="0" w:color="auto"/>
        <w:bottom w:val="none" w:sz="0" w:space="0" w:color="auto"/>
        <w:right w:val="none" w:sz="0" w:space="0" w:color="auto"/>
      </w:divBdr>
    </w:div>
    <w:div w:id="776677408">
      <w:bodyDiv w:val="1"/>
      <w:marLeft w:val="0"/>
      <w:marRight w:val="0"/>
      <w:marTop w:val="0"/>
      <w:marBottom w:val="0"/>
      <w:divBdr>
        <w:top w:val="none" w:sz="0" w:space="0" w:color="auto"/>
        <w:left w:val="none" w:sz="0" w:space="0" w:color="auto"/>
        <w:bottom w:val="none" w:sz="0" w:space="0" w:color="auto"/>
        <w:right w:val="none" w:sz="0" w:space="0" w:color="auto"/>
      </w:divBdr>
    </w:div>
    <w:div w:id="1180923854">
      <w:bodyDiv w:val="1"/>
      <w:marLeft w:val="0"/>
      <w:marRight w:val="0"/>
      <w:marTop w:val="0"/>
      <w:marBottom w:val="0"/>
      <w:divBdr>
        <w:top w:val="none" w:sz="0" w:space="0" w:color="auto"/>
        <w:left w:val="none" w:sz="0" w:space="0" w:color="auto"/>
        <w:bottom w:val="none" w:sz="0" w:space="0" w:color="auto"/>
        <w:right w:val="none" w:sz="0" w:space="0" w:color="auto"/>
      </w:divBdr>
      <w:divsChild>
        <w:div w:id="1581717964">
          <w:marLeft w:val="0"/>
          <w:marRight w:val="0"/>
          <w:marTop w:val="0"/>
          <w:marBottom w:val="0"/>
          <w:divBdr>
            <w:top w:val="none" w:sz="0" w:space="0" w:color="auto"/>
            <w:left w:val="none" w:sz="0" w:space="0" w:color="auto"/>
            <w:bottom w:val="none" w:sz="0" w:space="0" w:color="auto"/>
            <w:right w:val="none" w:sz="0" w:space="0" w:color="auto"/>
          </w:divBdr>
        </w:div>
        <w:div w:id="920680103">
          <w:marLeft w:val="0"/>
          <w:marRight w:val="0"/>
          <w:marTop w:val="0"/>
          <w:marBottom w:val="0"/>
          <w:divBdr>
            <w:top w:val="none" w:sz="0" w:space="0" w:color="auto"/>
            <w:left w:val="none" w:sz="0" w:space="0" w:color="auto"/>
            <w:bottom w:val="none" w:sz="0" w:space="0" w:color="auto"/>
            <w:right w:val="none" w:sz="0" w:space="0" w:color="auto"/>
          </w:divBdr>
        </w:div>
        <w:div w:id="493034969">
          <w:marLeft w:val="0"/>
          <w:marRight w:val="0"/>
          <w:marTop w:val="0"/>
          <w:marBottom w:val="0"/>
          <w:divBdr>
            <w:top w:val="none" w:sz="0" w:space="0" w:color="auto"/>
            <w:left w:val="none" w:sz="0" w:space="0" w:color="auto"/>
            <w:bottom w:val="none" w:sz="0" w:space="0" w:color="auto"/>
            <w:right w:val="none" w:sz="0" w:space="0" w:color="auto"/>
          </w:divBdr>
        </w:div>
        <w:div w:id="407000560">
          <w:marLeft w:val="0"/>
          <w:marRight w:val="0"/>
          <w:marTop w:val="0"/>
          <w:marBottom w:val="0"/>
          <w:divBdr>
            <w:top w:val="none" w:sz="0" w:space="0" w:color="auto"/>
            <w:left w:val="none" w:sz="0" w:space="0" w:color="auto"/>
            <w:bottom w:val="none" w:sz="0" w:space="0" w:color="auto"/>
            <w:right w:val="none" w:sz="0" w:space="0" w:color="auto"/>
          </w:divBdr>
        </w:div>
        <w:div w:id="1729526929">
          <w:marLeft w:val="0"/>
          <w:marRight w:val="0"/>
          <w:marTop w:val="0"/>
          <w:marBottom w:val="0"/>
          <w:divBdr>
            <w:top w:val="none" w:sz="0" w:space="0" w:color="auto"/>
            <w:left w:val="none" w:sz="0" w:space="0" w:color="auto"/>
            <w:bottom w:val="none" w:sz="0" w:space="0" w:color="auto"/>
            <w:right w:val="none" w:sz="0" w:space="0" w:color="auto"/>
          </w:divBdr>
        </w:div>
        <w:div w:id="2055276406">
          <w:marLeft w:val="0"/>
          <w:marRight w:val="0"/>
          <w:marTop w:val="0"/>
          <w:marBottom w:val="0"/>
          <w:divBdr>
            <w:top w:val="none" w:sz="0" w:space="0" w:color="auto"/>
            <w:left w:val="none" w:sz="0" w:space="0" w:color="auto"/>
            <w:bottom w:val="none" w:sz="0" w:space="0" w:color="auto"/>
            <w:right w:val="none" w:sz="0" w:space="0" w:color="auto"/>
          </w:divBdr>
        </w:div>
      </w:divsChild>
    </w:div>
    <w:div w:id="1872953483">
      <w:bodyDiv w:val="1"/>
      <w:marLeft w:val="0"/>
      <w:marRight w:val="0"/>
      <w:marTop w:val="0"/>
      <w:marBottom w:val="0"/>
      <w:divBdr>
        <w:top w:val="none" w:sz="0" w:space="0" w:color="auto"/>
        <w:left w:val="none" w:sz="0" w:space="0" w:color="auto"/>
        <w:bottom w:val="none" w:sz="0" w:space="0" w:color="auto"/>
        <w:right w:val="none" w:sz="0" w:space="0" w:color="auto"/>
      </w:divBdr>
    </w:div>
    <w:div w:id="2092969198">
      <w:bodyDiv w:val="1"/>
      <w:marLeft w:val="0"/>
      <w:marRight w:val="0"/>
      <w:marTop w:val="0"/>
      <w:marBottom w:val="0"/>
      <w:divBdr>
        <w:top w:val="none" w:sz="0" w:space="0" w:color="auto"/>
        <w:left w:val="none" w:sz="0" w:space="0" w:color="auto"/>
        <w:bottom w:val="none" w:sz="0" w:space="0" w:color="auto"/>
        <w:right w:val="none" w:sz="0" w:space="0" w:color="auto"/>
      </w:divBdr>
      <w:divsChild>
        <w:div w:id="399867812">
          <w:marLeft w:val="0"/>
          <w:marRight w:val="0"/>
          <w:marTop w:val="0"/>
          <w:marBottom w:val="0"/>
          <w:divBdr>
            <w:top w:val="none" w:sz="0" w:space="0" w:color="auto"/>
            <w:left w:val="none" w:sz="0" w:space="0" w:color="auto"/>
            <w:bottom w:val="none" w:sz="0" w:space="0" w:color="auto"/>
            <w:right w:val="none" w:sz="0" w:space="0" w:color="auto"/>
          </w:divBdr>
        </w:div>
        <w:div w:id="1731805792">
          <w:marLeft w:val="0"/>
          <w:marRight w:val="0"/>
          <w:marTop w:val="0"/>
          <w:marBottom w:val="0"/>
          <w:divBdr>
            <w:top w:val="none" w:sz="0" w:space="0" w:color="auto"/>
            <w:left w:val="none" w:sz="0" w:space="0" w:color="auto"/>
            <w:bottom w:val="none" w:sz="0" w:space="0" w:color="auto"/>
            <w:right w:val="none" w:sz="0" w:space="0" w:color="auto"/>
          </w:divBdr>
        </w:div>
        <w:div w:id="2143231344">
          <w:marLeft w:val="0"/>
          <w:marRight w:val="0"/>
          <w:marTop w:val="0"/>
          <w:marBottom w:val="0"/>
          <w:divBdr>
            <w:top w:val="none" w:sz="0" w:space="0" w:color="auto"/>
            <w:left w:val="none" w:sz="0" w:space="0" w:color="auto"/>
            <w:bottom w:val="none" w:sz="0" w:space="0" w:color="auto"/>
            <w:right w:val="none" w:sz="0" w:space="0" w:color="auto"/>
          </w:divBdr>
        </w:div>
        <w:div w:id="1770084867">
          <w:marLeft w:val="0"/>
          <w:marRight w:val="0"/>
          <w:marTop w:val="0"/>
          <w:marBottom w:val="0"/>
          <w:divBdr>
            <w:top w:val="none" w:sz="0" w:space="0" w:color="auto"/>
            <w:left w:val="none" w:sz="0" w:space="0" w:color="auto"/>
            <w:bottom w:val="none" w:sz="0" w:space="0" w:color="auto"/>
            <w:right w:val="none" w:sz="0" w:space="0" w:color="auto"/>
          </w:divBdr>
        </w:div>
        <w:div w:id="997727076">
          <w:marLeft w:val="0"/>
          <w:marRight w:val="0"/>
          <w:marTop w:val="0"/>
          <w:marBottom w:val="0"/>
          <w:divBdr>
            <w:top w:val="none" w:sz="0" w:space="0" w:color="auto"/>
            <w:left w:val="none" w:sz="0" w:space="0" w:color="auto"/>
            <w:bottom w:val="none" w:sz="0" w:space="0" w:color="auto"/>
            <w:right w:val="none" w:sz="0" w:space="0" w:color="auto"/>
          </w:divBdr>
        </w:div>
        <w:div w:id="1669216005">
          <w:marLeft w:val="0"/>
          <w:marRight w:val="0"/>
          <w:marTop w:val="0"/>
          <w:marBottom w:val="0"/>
          <w:divBdr>
            <w:top w:val="none" w:sz="0" w:space="0" w:color="auto"/>
            <w:left w:val="none" w:sz="0" w:space="0" w:color="auto"/>
            <w:bottom w:val="none" w:sz="0" w:space="0" w:color="auto"/>
            <w:right w:val="none" w:sz="0" w:space="0" w:color="auto"/>
          </w:divBdr>
        </w:div>
        <w:div w:id="1344236084">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996832168">
          <w:marLeft w:val="0"/>
          <w:marRight w:val="0"/>
          <w:marTop w:val="0"/>
          <w:marBottom w:val="0"/>
          <w:divBdr>
            <w:top w:val="none" w:sz="0" w:space="0" w:color="auto"/>
            <w:left w:val="none" w:sz="0" w:space="0" w:color="auto"/>
            <w:bottom w:val="none" w:sz="0" w:space="0" w:color="auto"/>
            <w:right w:val="none" w:sz="0" w:space="0" w:color="auto"/>
          </w:divBdr>
        </w:div>
        <w:div w:id="1850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CE9E5-1857-4423-8FD7-F1C2C857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1063</Words>
  <Characters>5658</Characters>
  <Application>Microsoft Office Word</Application>
  <DocSecurity>0</DocSecurity>
  <Lines>120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2018-07-25T07:34:00Z</cp:lastPrinted>
  <dcterms:created xsi:type="dcterms:W3CDTF">2019-05-23T14:09:00Z</dcterms:created>
  <dcterms:modified xsi:type="dcterms:W3CDTF">2019-06-24T10:22:00Z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