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1D950F-9606-4DE4-A2B9-59B33B469D59" style="width:451pt;height:348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hAnsi="Times New Roman" w:cs="Times New Roman"/>
          <w:b/>
          <w:noProof/>
          <w:sz w:val="24"/>
          <w:szCs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по силата на Регламент (ЕО) № 577/98 на Съвета относно организацията на извадково изследване на работната сила в Общността</w:t>
      </w:r>
    </w:p>
    <w:p>
      <w:pPr>
        <w:pStyle w:val="ListParagraph"/>
        <w:numPr>
          <w:ilvl w:val="0"/>
          <w:numId w:val="15"/>
        </w:numPr>
        <w:spacing w:before="360" w:after="360" w:line="240" w:lineRule="auto"/>
        <w:jc w:val="both"/>
        <w:rPr>
          <w:rFonts w:ascii="Times New Roman" w:hAnsi="Times New Roman" w:cs="Times New Roman"/>
          <w:b/>
          <w:noProof/>
          <w:sz w:val="24"/>
          <w:szCs w:val="24"/>
        </w:rPr>
      </w:pPr>
      <w:r>
        <w:rPr>
          <w:rFonts w:ascii="Times New Roman" w:hAnsi="Times New Roman"/>
          <w:b/>
          <w:smallCaps/>
          <w:noProof/>
          <w:sz w:val="24"/>
        </w:rPr>
        <w:t>Контекст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С Регламент (ЕС) № 545/2014 на Европейския парламент и на Съвета от 15 май 2014 г. (</w:t>
      </w:r>
      <w:r>
        <w:rPr>
          <w:rStyle w:val="FootnoteReference"/>
          <w:rFonts w:ascii="Times New Roman" w:hAnsi="Times New Roman"/>
          <w:noProof/>
          <w:sz w:val="24"/>
        </w:rPr>
        <w:footnoteReference w:id="1"/>
      </w:r>
      <w:r>
        <w:rPr>
          <w:rFonts w:ascii="Times New Roman" w:hAnsi="Times New Roman"/>
          <w:noProof/>
          <w:sz w:val="24"/>
        </w:rPr>
        <w:t>) беше изменен Регламент (ЕО) № 577/98 на Съвета относно организацията на извадково изследване на работната сила в Общността (</w:t>
      </w:r>
      <w:r>
        <w:rPr>
          <w:rStyle w:val="FootnoteReference"/>
          <w:rFonts w:ascii="Times New Roman" w:hAnsi="Times New Roman"/>
          <w:noProof/>
          <w:sz w:val="24"/>
        </w:rPr>
        <w:footnoteReference w:id="2"/>
      </w:r>
      <w:r>
        <w:rPr>
          <w:rFonts w:ascii="Times New Roman" w:hAnsi="Times New Roman"/>
          <w:noProof/>
          <w:sz w:val="24"/>
        </w:rPr>
        <w:t>) с цел привеждането му в съответствие с разграничението между делегирани актове и актове за изпълнение, въведено с Договора от Лисабон, и бе въведена разпоредба за финансирането на ad hoc модули.</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С член 4, параграф 2 и член 7а от изменения Регламент (EО) № 577/98 на Съвета на Комисията се предоставят правомощия да приема делегирани актове в съответствие с член 7в:</w:t>
      </w:r>
    </w:p>
    <w:p>
      <w:pPr>
        <w:pStyle w:val="NormalWeb"/>
        <w:spacing w:before="0" w:beforeAutospacing="0" w:after="0" w:afterAutospacing="0"/>
        <w:jc w:val="both"/>
        <w:rPr>
          <w:noProof/>
        </w:rPr>
      </w:pPr>
    </w:p>
    <w:p>
      <w:pPr>
        <w:pStyle w:val="ListParagraph"/>
        <w:numPr>
          <w:ilvl w:val="0"/>
          <w:numId w:val="5"/>
        </w:num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rPr>
        <w:t>във връзка с коригирането на списъка с променливите на изследването, посочен в списъка от 14 групи от характеристики в изследването, обусловено от развитието на техниките и концепциите — член 4, параграф 2;</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5"/>
        </w:num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rPr>
        <w:t>за съставяне на тригодишна програма от ad hoc модули — член 7а.</w:t>
      </w:r>
      <w:r>
        <w:rPr>
          <w:rFonts w:ascii="Times New Roman" w:hAnsi="Times New Roman" w:cs="Times New Roman"/>
          <w:noProof/>
          <w:sz w:val="24"/>
        </w:rPr>
        <w:t xml:space="preserve"> </w:t>
      </w:r>
    </w:p>
    <w:p>
      <w:pPr>
        <w:pStyle w:val="NormalWeb"/>
        <w:spacing w:before="0" w:beforeAutospacing="0" w:after="0" w:afterAutospacing="0"/>
        <w:jc w:val="both"/>
        <w:rPr>
          <w:noProof/>
        </w:rPr>
      </w:pPr>
    </w:p>
    <w:p>
      <w:pPr>
        <w:pStyle w:val="NormalWeb"/>
        <w:spacing w:before="0" w:beforeAutospacing="0" w:after="0" w:afterAutospacing="0"/>
        <w:jc w:val="both"/>
        <w:rPr>
          <w:noProof/>
        </w:rPr>
      </w:pPr>
    </w:p>
    <w:p>
      <w:pPr>
        <w:pStyle w:val="ListParagraph"/>
        <w:numPr>
          <w:ilvl w:val="0"/>
          <w:numId w:val="15"/>
        </w:numPr>
        <w:jc w:val="both"/>
        <w:rPr>
          <w:rFonts w:ascii="Times New Roman Bold" w:hAnsi="Times New Roman Bold" w:cs="Times New Roman"/>
          <w:b/>
          <w:smallCaps/>
          <w:noProof/>
          <w:sz w:val="24"/>
          <w:szCs w:val="24"/>
        </w:rPr>
      </w:pPr>
      <w:r>
        <w:rPr>
          <w:rFonts w:ascii="Times New Roman Bold" w:hAnsi="Times New Roman Bold"/>
          <w:b/>
          <w:smallCaps/>
          <w:noProof/>
          <w:sz w:val="24"/>
        </w:rPr>
        <w:t xml:space="preserve">Правно основание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член 7в от Регламент (EО) № 577/98 правомощието за приемане на делегирани актове се предоставя за срок от 5 години, считано от 18 юни 2014 г. Това правомощие се продължава мълчаливо за срокове от 5 години, освен ако Европейският парламент или Съветът не възразят срещу подобно продължаване не по-късно от три месеца преди изтичането на всеки срок.</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Комисията има задължението да изготви доклад относно делегирането на правомощия не по-късно от 9 месеца преди изтичането на петгодишния срок.</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Настоящият доклад е изготвен в изпълнение на това изискване.</w:t>
      </w:r>
    </w:p>
    <w:p>
      <w:pPr>
        <w:pStyle w:val="ListParagraph"/>
        <w:keepNext/>
        <w:numPr>
          <w:ilvl w:val="0"/>
          <w:numId w:val="15"/>
        </w:numPr>
        <w:shd w:val="clear" w:color="auto" w:fill="FFFFFF"/>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Упражняване на делегирани правомощия от страна на Комисията съгласно Регламент (ЕС) № 577/98</w:t>
      </w:r>
    </w:p>
    <w:p>
      <w:pPr>
        <w:keepNext/>
        <w:shd w:val="clear" w:color="auto" w:fill="FFFFFF"/>
        <w:spacing w:before="360" w:after="120" w:line="240" w:lineRule="auto"/>
        <w:jc w:val="both"/>
        <w:outlineLvl w:val="0"/>
        <w:rPr>
          <w:rFonts w:ascii="Times New Roman" w:hAnsi="Times New Roman" w:cs="Times New Roman"/>
          <w:noProof/>
          <w:sz w:val="24"/>
          <w:szCs w:val="24"/>
        </w:rPr>
      </w:pPr>
      <w:r>
        <w:rPr>
          <w:rFonts w:ascii="Times New Roman" w:hAnsi="Times New Roman"/>
          <w:noProof/>
          <w:sz w:val="24"/>
        </w:rPr>
        <w:t>Комисията прие следните два делегирани акта: Делегиран регламент (ЕС) № 1397/2014 на Комисията (</w:t>
      </w:r>
      <w:r>
        <w:rPr>
          <w:rStyle w:val="FootnoteReference"/>
          <w:rFonts w:ascii="Times New Roman" w:hAnsi="Times New Roman"/>
          <w:noProof/>
          <w:sz w:val="24"/>
        </w:rPr>
        <w:footnoteReference w:id="3"/>
      </w:r>
      <w:r>
        <w:rPr>
          <w:rFonts w:ascii="Times New Roman" w:hAnsi="Times New Roman"/>
          <w:noProof/>
          <w:sz w:val="24"/>
        </w:rPr>
        <w:t>) и Делегиран регламент (ЕС) 2016/1851 на Комисията (</w:t>
      </w:r>
      <w:r>
        <w:rPr>
          <w:rStyle w:val="FootnoteReference"/>
          <w:rFonts w:ascii="Times New Roman" w:hAnsi="Times New Roman"/>
          <w:noProof/>
          <w:sz w:val="24"/>
        </w:rPr>
        <w:footnoteReference w:id="4"/>
      </w:r>
      <w:r>
        <w:rPr>
          <w:rFonts w:ascii="Times New Roman" w:hAnsi="Times New Roman"/>
          <w:noProof/>
          <w:sz w:val="24"/>
        </w:rPr>
        <w:t>).</w:t>
      </w:r>
    </w:p>
    <w:p>
      <w:pPr>
        <w:pStyle w:val="ListParagraph"/>
        <w:keepNext/>
        <w:numPr>
          <w:ilvl w:val="0"/>
          <w:numId w:val="14"/>
        </w:numPr>
        <w:shd w:val="clear" w:color="auto" w:fill="FFFFFF"/>
        <w:spacing w:before="360" w:after="120" w:line="240" w:lineRule="auto"/>
        <w:jc w:val="both"/>
        <w:outlineLvl w:val="0"/>
        <w:rPr>
          <w:rFonts w:ascii="Times New Roman" w:hAnsi="Times New Roman" w:cs="Times New Roman"/>
          <w:b/>
          <w:smallCaps/>
          <w:noProof/>
          <w:sz w:val="24"/>
          <w:szCs w:val="24"/>
        </w:rPr>
      </w:pPr>
      <w:r>
        <w:rPr>
          <w:rFonts w:ascii="Times New Roman" w:hAnsi="Times New Roman"/>
          <w:b/>
          <w:smallCaps/>
          <w:noProof/>
          <w:sz w:val="24"/>
        </w:rPr>
        <w:t>Делегиран регламент (EС) № 1397/2014 на Комисията</w:t>
      </w:r>
    </w:p>
    <w:p>
      <w:pPr>
        <w:spacing w:after="0" w:line="240" w:lineRule="auto"/>
        <w:jc w:val="both"/>
        <w:rPr>
          <w:rFonts w:ascii="Times New Roman" w:hAnsi="Times New Roman" w:cs="Times New Roman"/>
          <w:bCs/>
          <w:iCs/>
          <w:noProof/>
          <w:color w:val="000000"/>
          <w:sz w:val="24"/>
          <w:szCs w:val="24"/>
        </w:rPr>
      </w:pPr>
      <w:r>
        <w:rPr>
          <w:rFonts w:ascii="Times New Roman" w:hAnsi="Times New Roman"/>
          <w:noProof/>
          <w:sz w:val="24"/>
        </w:rPr>
        <w:t>С член 7а, параграф 4 от Регламент (ЕО) № 577/98, изменен с Регламент (ЕС) № 545/2014, на Комисията се предоставят правомощия да приеме тригодишна програма от ad hoc модули.</w:t>
      </w:r>
      <w:r>
        <w:rPr>
          <w:rFonts w:ascii="Times New Roman" w:hAnsi="Times New Roman"/>
          <w:noProof/>
          <w:color w:val="000000"/>
          <w:sz w:val="24"/>
        </w:rPr>
        <w:t xml:space="preserve"> За всеки ad hoc модул в програмата се определя неговият предмет и референтен период и се изброяват подмодулите в него, с описание на конкретната област, за която се отнася всеки от тях.</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noProof/>
          <w:sz w:val="24"/>
        </w:rPr>
        <w:t>С Регламент (ЕС) № 318/2013 на Комисията (</w:t>
      </w:r>
      <w:r>
        <w:rPr>
          <w:rStyle w:val="FootnoteReference"/>
          <w:rFonts w:ascii="Times New Roman" w:hAnsi="Times New Roman"/>
          <w:noProof/>
          <w:sz w:val="24"/>
        </w:rPr>
        <w:footnoteReference w:id="5"/>
      </w:r>
      <w:r>
        <w:rPr>
          <w:rFonts w:ascii="Times New Roman" w:hAnsi="Times New Roman"/>
          <w:noProof/>
          <w:sz w:val="24"/>
        </w:rPr>
        <w:t xml:space="preserve">) бе приета програмата от ad hoc модули за извадковото изследване на работната сила за периода 2016—2018 г. В него се определя предметът и референтния период за всеки от трите ad hoc модула. </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При привеждането на правомощията, предоставени на Комисията с Регламент (ЕО) № 577/98, в съответствие с новия институционален контекст законодателят, наред с другото, определи, че в програмата от ad hoc модули следва да бъде включена допълнителна информация. В резултат на това от Комисията беше поискано да включи допълнителна информация в своята програма от ad hoc модули. Поради това програмата от ad hoc модули за периода от 2016 до 2018 г. беше изменена.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noProof/>
          <w:sz w:val="24"/>
        </w:rPr>
        <w:t>С Делегиран регламент (ЕС) № 1397/2014 на Комисията се изменя Регламент (ЕС) № 318/2013 и се предоставя допълнителната информация, която сега трябва да бъде включена в програмата от ad hoc модули, по-специално списъкът и описанието на всеки от ad hoc подмодулите.</w:t>
      </w:r>
    </w:p>
    <w:p>
      <w:pPr>
        <w:pStyle w:val="ti-grseq-1"/>
        <w:jc w:val="both"/>
        <w:rPr>
          <w:rStyle w:val="bold"/>
          <w:noProof/>
        </w:rPr>
      </w:pPr>
      <w:r>
        <w:rPr>
          <w:rStyle w:val="bold"/>
          <w:noProof/>
        </w:rPr>
        <w:t>Трите ad hoc модула са, както следва:</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Модул „Младите хора на пазара на труда“ (референтен период: 2016 г.);</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Модул „Самостоятелна заетост“ (референтен период: 2017 г.);</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Модул „Съвместяване на професионалния и семейния живот“ (референтен период: 2018 г.).</w:t>
      </w:r>
    </w:p>
    <w:p>
      <w:pPr>
        <w:spacing w:after="0" w:line="240" w:lineRule="auto"/>
        <w:jc w:val="both"/>
        <w:rPr>
          <w:rFonts w:ascii="Times New Roman" w:hAnsi="Times New Roman" w:cs="Times New Roman"/>
          <w:noProof/>
          <w:sz w:val="24"/>
        </w:rPr>
      </w:pPr>
      <w:r>
        <w:rPr>
          <w:rFonts w:ascii="Times New Roman" w:hAnsi="Times New Roman"/>
          <w:noProof/>
          <w:sz w:val="24"/>
        </w:rPr>
        <w:t>Комисията проведе съответните консултации като част от подготовката на този делегиран регламент. Националните експерти бяха поканени на среща на работната група за статистика на пазара на труда, проведена през юни 2014 г. Заключенията от срещата бяха разпространени сред участниците.</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информираше Европейския парламент и Съвета за резултатите от консултациите.</w:t>
      </w:r>
      <w:r>
        <w:rPr>
          <w:noProof/>
        </w:rPr>
        <w:br w:type="page"/>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прие делегирания регламент на 22 октомври 2014 г. и съответно нотифицира Европейския парламент и Съвета. Нито Европейският парламент, нито Съветът представиха възражение срещу делегирания регламент в предвидения обичаен двумесечен срок. При изтичането на двумесечния срок делегираният регламент бе публикуван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на 30 декември 2014 г. и влезе в сила на 19 януари 2015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8"/>
        </w:numPr>
        <w:jc w:val="both"/>
        <w:rPr>
          <w:rFonts w:ascii="Times New Roman" w:hAnsi="Times New Roman" w:cs="Times New Roman"/>
          <w:b/>
          <w:smallCaps/>
          <w:noProof/>
          <w:szCs w:val="24"/>
        </w:rPr>
      </w:pPr>
      <w:r>
        <w:rPr>
          <w:rFonts w:ascii="Times New Roman" w:hAnsi="Times New Roman"/>
          <w:b/>
          <w:smallCaps/>
          <w:noProof/>
          <w:sz w:val="24"/>
        </w:rPr>
        <w:t>Делегиран регламент (ЕС) 2016/1851 на Комисията</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Вторият Делегиран регламент на Комисията беше приет, за да се посочат компонентите на новата програма от ad hoc модули, обхващаща 2019, 2020 и 2021 г.</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Темите отговарят на нуждата от цялостен и сравним набор от данни за организацията на работата и работното време и по-подробни данни за участието в пазара на труда, за да се проследява напредъкът към постигането на общите цели по стратегията „Европа 2020“. </w:t>
      </w:r>
      <w:r>
        <w:rPr>
          <w:rFonts w:ascii="Times New Roman" w:hAnsi="Times New Roman"/>
          <w:noProof/>
          <w:color w:val="000000"/>
          <w:sz w:val="24"/>
        </w:rPr>
        <w:t>За всеки ad hoc модул в програмата се определя неговият предмет и референтен период и се изброяват подмодулите в него, с описание на конкретната област, за която се отнася всеки от тях.</w:t>
      </w:r>
    </w:p>
    <w:p>
      <w:pPr>
        <w:pStyle w:val="ti-grseq-1"/>
        <w:jc w:val="both"/>
        <w:rPr>
          <w:rStyle w:val="bold"/>
          <w:noProof/>
        </w:rPr>
      </w:pPr>
      <w:r>
        <w:rPr>
          <w:rStyle w:val="bold"/>
          <w:noProof/>
        </w:rPr>
        <w:t>Трите ad hoc модула са, както следва:</w:t>
      </w:r>
    </w:p>
    <w:p>
      <w:pPr>
        <w:pStyle w:val="ti-grseq-1"/>
        <w:numPr>
          <w:ilvl w:val="0"/>
          <w:numId w:val="10"/>
        </w:numPr>
        <w:jc w:val="both"/>
        <w:rPr>
          <w:noProof/>
        </w:rPr>
      </w:pPr>
      <w:r>
        <w:rPr>
          <w:rStyle w:val="bold"/>
          <w:noProof/>
        </w:rPr>
        <w:t>организация на работата и работно време</w:t>
      </w:r>
      <w:r>
        <w:rPr>
          <w:noProof/>
        </w:rPr>
        <w:t xml:space="preserve"> (</w:t>
      </w:r>
      <w:r>
        <w:rPr>
          <w:rStyle w:val="italic"/>
          <w:noProof/>
        </w:rPr>
        <w:t>референтен период:</w:t>
      </w:r>
      <w:r>
        <w:rPr>
          <w:noProof/>
        </w:rPr>
        <w:t xml:space="preserve"> 2019 г.).</w:t>
      </w:r>
    </w:p>
    <w:p>
      <w:pPr>
        <w:pStyle w:val="ti-grseq-1"/>
        <w:numPr>
          <w:ilvl w:val="0"/>
          <w:numId w:val="10"/>
        </w:numPr>
        <w:jc w:val="both"/>
        <w:rPr>
          <w:noProof/>
        </w:rPr>
      </w:pPr>
      <w:r>
        <w:rPr>
          <w:rStyle w:val="bold"/>
          <w:noProof/>
        </w:rPr>
        <w:t>трудови злополуки и други свързани с работата здравословни проблеми</w:t>
      </w:r>
      <w:r>
        <w:rPr>
          <w:noProof/>
        </w:rPr>
        <w:t xml:space="preserve"> (</w:t>
      </w:r>
      <w:r>
        <w:rPr>
          <w:rStyle w:val="italic"/>
          <w:noProof/>
        </w:rPr>
        <w:t>референтен период:</w:t>
      </w:r>
      <w:r>
        <w:rPr>
          <w:noProof/>
        </w:rPr>
        <w:t xml:space="preserve"> 2020 г.).</w:t>
      </w:r>
    </w:p>
    <w:p>
      <w:pPr>
        <w:pStyle w:val="ti-grseq-1"/>
        <w:numPr>
          <w:ilvl w:val="0"/>
          <w:numId w:val="10"/>
        </w:numPr>
        <w:jc w:val="both"/>
        <w:rPr>
          <w:noProof/>
        </w:rPr>
      </w:pPr>
      <w:r>
        <w:rPr>
          <w:rStyle w:val="bold"/>
          <w:noProof/>
        </w:rPr>
        <w:t>положение на пазара на труда на мигрантите и техните преки потомци</w:t>
      </w:r>
      <w:r>
        <w:rPr>
          <w:noProof/>
        </w:rPr>
        <w:t xml:space="preserve"> (</w:t>
      </w:r>
      <w:r>
        <w:rPr>
          <w:rStyle w:val="italic"/>
          <w:noProof/>
        </w:rPr>
        <w:t xml:space="preserve">референтен период: </w:t>
      </w:r>
      <w:r>
        <w:rPr>
          <w:noProof/>
        </w:rPr>
        <w:t>2021 г.).</w:t>
      </w: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проведе съответните консултации като част от подготовката на този акт. Комисията се консултира с националните експерти, поканени на експертни срещи за обсъждане на проекта на делегирания акт. Консултацията се осъществи на заседания на работната група по статистиката на пазара на труда на 24—25 юни 2014 г., 10—11 декември 2014 г. и на 7—8 декември 2015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Европейските директори по въпросите на социалната статистика също бяха консултирани на срещата им на 23—24 февруари 2016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На последно място, директорите на националните статистически институти на държавите членки бяха също консултирани на предвидена за това среща, проведена на 18 май 2016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информираше Европейския парламент и Съвета за резултатите от консултациите.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прие делегирания регламент на 14 юни 2016 г. и съответно нотифицира Европейския парламент и Съвета. Нито Европейският парламент, нито Съветът представиха възражение срещу делегирания регламент в предвидения обичаен двумесечен срок. При изтичането на двумесечния срок делегираният регламент бе публикуван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на 20 октомври 2016 г. и влезе в сила на 9 ноември 2016 г.</w:t>
      </w:r>
      <w:r>
        <w:rPr>
          <w:noProof/>
        </w:rPr>
        <w:br w:type="page"/>
      </w:r>
    </w:p>
    <w:p>
      <w:pPr>
        <w:pStyle w:val="ti-grseq-1"/>
        <w:jc w:val="both"/>
        <w:rPr>
          <w:noProof/>
        </w:rPr>
      </w:pPr>
      <w:r>
        <w:rPr>
          <w:b/>
          <w:smallCaps/>
          <w:noProof/>
        </w:rPr>
        <w:t>Заключение</w:t>
      </w: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е упражнила правомерно делегираните ѝ правомощия и приканва Европейския парламент и Съвета да вземат предвид настоящия доклад.</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rPr>
      </w:pPr>
      <w:r>
        <w:rPr>
          <w:rFonts w:ascii="Times New Roman" w:hAnsi="Times New Roman"/>
          <w:noProof/>
          <w:sz w:val="24"/>
        </w:rPr>
        <w:t>Комисията вярва, че следва да продължи да разполага с тези правомощия, тъй като в бъдеще може да бъде необходимо да приема делегирани актове за допълнителни ad hoc модули съгласно член 4, параграф 2 и член 7а от Регламент (EО) № 577/98 на Съвета.</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163, 29.5.2014 г., стр. 10.</w:t>
      </w:r>
    </w:p>
  </w:footnote>
  <w:footnote w:id="2">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577/98 на Съвета относно организацията на извадково изследване на работната сила в Общността (ОВ L 77, 14.3.1998 г., стр. 3).</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rPr>
        <w:footnoteRef/>
      </w:r>
      <w:r>
        <w:t xml:space="preserve"> </w:t>
      </w:r>
      <w:r>
        <w:tab/>
      </w:r>
      <w:r>
        <w:rPr>
          <w:rFonts w:ascii="Times New Roman" w:hAnsi="Times New Roman"/>
          <w:sz w:val="20"/>
        </w:rPr>
        <w:t>Делегиран регламент (ЕС) № 1397/2014 на Комисията от 22 октомври 2014 г. за изменение на Регламент (ЕС) № 318/2013 за приемане на програмата от ad hoc модули за 2016—2018 г. за извадковото изследване на работната сила, предвидено в Регламент (ЕО) № 577/98 на Съвета (OB L 370, 30.12.2014 г., стр. 42).</w:t>
      </w:r>
    </w:p>
  </w:footnote>
  <w:footnote w:id="4">
    <w:p>
      <w:pPr>
        <w:pStyle w:val="NormalWeb"/>
        <w:spacing w:before="0" w:beforeAutospacing="0" w:after="0" w:afterAutospacing="0"/>
        <w:jc w:val="both"/>
        <w:rPr>
          <w:bCs/>
          <w:sz w:val="20"/>
          <w:szCs w:val="20"/>
        </w:rPr>
      </w:pPr>
      <w:r>
        <w:rPr>
          <w:rStyle w:val="FootnoteReference"/>
          <w:sz w:val="20"/>
        </w:rPr>
        <w:footnoteRef/>
      </w:r>
      <w:r>
        <w:rPr>
          <w:sz w:val="20"/>
        </w:rPr>
        <w:t xml:space="preserve"> </w:t>
      </w:r>
      <w:r>
        <w:tab/>
      </w:r>
      <w:r>
        <w:rPr>
          <w:sz w:val="20"/>
        </w:rPr>
        <w:t>Делегиран регламент (ЕС) 2016/1851 на Комисията от 14 юни 2016 г. за приемане на програмата от ad hoc модули за 2019, 2020 и 2021 г. за извадковото изследване на работната сила, предвидено в Регламент (ЕО) № 577/98 на Съвета (OВ L 284, 20.10.2016 г., стр.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318/2013 на Комисията от 8 април 2013 г. за приемане на програмата от ad hoc модули за 2016 — 2018 г. за извадковото изследване на работната сила, предвидено в Регламент (ЕО) № 577/98 на Съвета (ОВ L 99, 9.4.2013 г.,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C75"/>
    <w:multiLevelType w:val="hybridMultilevel"/>
    <w:tmpl w:val="EAF20E20"/>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6A15000"/>
    <w:multiLevelType w:val="hybridMultilevel"/>
    <w:tmpl w:val="6C36F12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481246A"/>
    <w:multiLevelType w:val="hybridMultilevel"/>
    <w:tmpl w:val="8C96D604"/>
    <w:lvl w:ilvl="0" w:tplc="F51836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53E6314"/>
    <w:multiLevelType w:val="hybridMultilevel"/>
    <w:tmpl w:val="6EB447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19D0F83"/>
    <w:multiLevelType w:val="hybridMultilevel"/>
    <w:tmpl w:val="0F80E9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7609F2"/>
    <w:multiLevelType w:val="hybridMultilevel"/>
    <w:tmpl w:val="B1D0F4F2"/>
    <w:lvl w:ilvl="0" w:tplc="F51836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B3A5948"/>
    <w:multiLevelType w:val="hybridMultilevel"/>
    <w:tmpl w:val="CB76FE6E"/>
    <w:lvl w:ilvl="0" w:tplc="3D30A7E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6"/>
  </w:num>
  <w:num w:numId="6">
    <w:abstractNumId w:val="8"/>
    <w:lvlOverride w:ilvl="0">
      <w:startOverride w:val="1"/>
    </w:lvlOverride>
  </w:num>
  <w:num w:numId="7">
    <w:abstractNumId w:val="8"/>
  </w:num>
  <w:num w:numId="8">
    <w:abstractNumId w:val="5"/>
  </w:num>
  <w:num w:numId="9">
    <w:abstractNumId w:val="2"/>
  </w:num>
  <w:num w:numId="10">
    <w:abstractNumId w:val="10"/>
  </w:num>
  <w:num w:numId="11">
    <w:abstractNumId w:val="3"/>
  </w:num>
  <w:num w:numId="12">
    <w:abstractNumId w:val="7"/>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1D950F-9606-4DE4-A2B9-59B33B469D59"/>
    <w:docVar w:name="LW_COVERPAGE_TYPE" w:val="1"/>
    <w:docVar w:name="LW_CROSSREFERENCE" w:val="&lt;UNUSED&gt;"/>
    <w:docVar w:name="LW_DocType" w:val="NORMAL"/>
    <w:docVar w:name="LW_EMISSION" w:val="1.7.2019"/>
    <w:docVar w:name="LW_EMISSION_ISODATE" w:val="2019-07-0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4?) \u8470? 577/98 \u1085?\u1072? \u1057?\u1098?\u1074?\u1077?\u1090?\u1072? \u1086?\u1090?\u1085?\u1086?\u1089?\u1085?\u1086? \u1086?\u1088?\u1075?\u1072?\u1085?\u1080?\u1079?\u1072?\u1094?\u1080?\u1103?\u1090?\u1072? \u1085?\u1072? \u1080?\u1079?\u1074?\u1072?\u1076?\u1082?\u1086?\u1074?\u1086? \u1080?\u1079?\u1089?\u1083?\u1077?\u1076?\u1074?\u1072?\u1085?\u1077? \u1085?\u1072? \u1088?\u1072?\u1073?\u1086?\u1090?\u1085?\u1072?\u1090?\u1072? \u1089?\u1080?\u1083?\u1072? \u1074? \u1054?\u1073?\u1097?\u1085?\u1086?\u1089?\u1090?\u1090?a_x000d__x000d__x000d__x000d__x000d_&lt;/FMT&gt;_x000b_&lt;FMT:Bold&gt;_x000d__x000d__x000d__x000d__x000d__x000d__x000d__x000d_&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277">
      <w:bodyDiv w:val="1"/>
      <w:marLeft w:val="0"/>
      <w:marRight w:val="0"/>
      <w:marTop w:val="0"/>
      <w:marBottom w:val="0"/>
      <w:divBdr>
        <w:top w:val="none" w:sz="0" w:space="0" w:color="auto"/>
        <w:left w:val="none" w:sz="0" w:space="0" w:color="auto"/>
        <w:bottom w:val="none" w:sz="0" w:space="0" w:color="auto"/>
        <w:right w:val="none" w:sz="0" w:space="0" w:color="auto"/>
      </w:divBdr>
      <w:divsChild>
        <w:div w:id="689455017">
          <w:marLeft w:val="0"/>
          <w:marRight w:val="0"/>
          <w:marTop w:val="0"/>
          <w:marBottom w:val="0"/>
          <w:divBdr>
            <w:top w:val="none" w:sz="0" w:space="0" w:color="auto"/>
            <w:left w:val="none" w:sz="0" w:space="0" w:color="auto"/>
            <w:bottom w:val="none" w:sz="0" w:space="0" w:color="auto"/>
            <w:right w:val="none" w:sz="0" w:space="0" w:color="auto"/>
          </w:divBdr>
        </w:div>
        <w:div w:id="1093354736">
          <w:marLeft w:val="0"/>
          <w:marRight w:val="0"/>
          <w:marTop w:val="0"/>
          <w:marBottom w:val="0"/>
          <w:divBdr>
            <w:top w:val="none" w:sz="0" w:space="0" w:color="auto"/>
            <w:left w:val="none" w:sz="0" w:space="0" w:color="auto"/>
            <w:bottom w:val="none" w:sz="0" w:space="0" w:color="auto"/>
            <w:right w:val="none" w:sz="0" w:space="0" w:color="auto"/>
          </w:divBdr>
        </w:div>
        <w:div w:id="1248270025">
          <w:marLeft w:val="0"/>
          <w:marRight w:val="0"/>
          <w:marTop w:val="0"/>
          <w:marBottom w:val="0"/>
          <w:divBdr>
            <w:top w:val="none" w:sz="0" w:space="0" w:color="auto"/>
            <w:left w:val="none" w:sz="0" w:space="0" w:color="auto"/>
            <w:bottom w:val="none" w:sz="0" w:space="0" w:color="auto"/>
            <w:right w:val="none" w:sz="0" w:space="0" w:color="auto"/>
          </w:divBdr>
        </w:div>
        <w:div w:id="971593078">
          <w:marLeft w:val="0"/>
          <w:marRight w:val="0"/>
          <w:marTop w:val="0"/>
          <w:marBottom w:val="0"/>
          <w:divBdr>
            <w:top w:val="none" w:sz="0" w:space="0" w:color="auto"/>
            <w:left w:val="none" w:sz="0" w:space="0" w:color="auto"/>
            <w:bottom w:val="none" w:sz="0" w:space="0" w:color="auto"/>
            <w:right w:val="none" w:sz="0" w:space="0" w:color="auto"/>
          </w:divBdr>
        </w:div>
        <w:div w:id="1019160978">
          <w:marLeft w:val="0"/>
          <w:marRight w:val="0"/>
          <w:marTop w:val="0"/>
          <w:marBottom w:val="0"/>
          <w:divBdr>
            <w:top w:val="none" w:sz="0" w:space="0" w:color="auto"/>
            <w:left w:val="none" w:sz="0" w:space="0" w:color="auto"/>
            <w:bottom w:val="none" w:sz="0" w:space="0" w:color="auto"/>
            <w:right w:val="none" w:sz="0" w:space="0" w:color="auto"/>
          </w:divBdr>
        </w:div>
        <w:div w:id="1203834034">
          <w:marLeft w:val="0"/>
          <w:marRight w:val="0"/>
          <w:marTop w:val="0"/>
          <w:marBottom w:val="0"/>
          <w:divBdr>
            <w:top w:val="none" w:sz="0" w:space="0" w:color="auto"/>
            <w:left w:val="none" w:sz="0" w:space="0" w:color="auto"/>
            <w:bottom w:val="none" w:sz="0" w:space="0" w:color="auto"/>
            <w:right w:val="none" w:sz="0" w:space="0" w:color="auto"/>
          </w:divBdr>
        </w:div>
        <w:div w:id="139155847">
          <w:marLeft w:val="0"/>
          <w:marRight w:val="0"/>
          <w:marTop w:val="0"/>
          <w:marBottom w:val="0"/>
          <w:divBdr>
            <w:top w:val="none" w:sz="0" w:space="0" w:color="auto"/>
            <w:left w:val="none" w:sz="0" w:space="0" w:color="auto"/>
            <w:bottom w:val="none" w:sz="0" w:space="0" w:color="auto"/>
            <w:right w:val="none" w:sz="0" w:space="0" w:color="auto"/>
          </w:divBdr>
        </w:div>
        <w:div w:id="861209080">
          <w:marLeft w:val="0"/>
          <w:marRight w:val="0"/>
          <w:marTop w:val="0"/>
          <w:marBottom w:val="0"/>
          <w:divBdr>
            <w:top w:val="none" w:sz="0" w:space="0" w:color="auto"/>
            <w:left w:val="none" w:sz="0" w:space="0" w:color="auto"/>
            <w:bottom w:val="none" w:sz="0" w:space="0" w:color="auto"/>
            <w:right w:val="none" w:sz="0" w:space="0" w:color="auto"/>
          </w:divBdr>
        </w:div>
        <w:div w:id="516358608">
          <w:marLeft w:val="0"/>
          <w:marRight w:val="0"/>
          <w:marTop w:val="0"/>
          <w:marBottom w:val="0"/>
          <w:divBdr>
            <w:top w:val="none" w:sz="0" w:space="0" w:color="auto"/>
            <w:left w:val="none" w:sz="0" w:space="0" w:color="auto"/>
            <w:bottom w:val="none" w:sz="0" w:space="0" w:color="auto"/>
            <w:right w:val="none" w:sz="0" w:space="0" w:color="auto"/>
          </w:divBdr>
        </w:div>
      </w:divsChild>
    </w:div>
    <w:div w:id="195973144">
      <w:bodyDiv w:val="1"/>
      <w:marLeft w:val="0"/>
      <w:marRight w:val="0"/>
      <w:marTop w:val="0"/>
      <w:marBottom w:val="0"/>
      <w:divBdr>
        <w:top w:val="none" w:sz="0" w:space="0" w:color="auto"/>
        <w:left w:val="none" w:sz="0" w:space="0" w:color="auto"/>
        <w:bottom w:val="none" w:sz="0" w:space="0" w:color="auto"/>
        <w:right w:val="none" w:sz="0" w:space="0" w:color="auto"/>
      </w:divBdr>
      <w:divsChild>
        <w:div w:id="1921013290">
          <w:marLeft w:val="0"/>
          <w:marRight w:val="0"/>
          <w:marTop w:val="0"/>
          <w:marBottom w:val="0"/>
          <w:divBdr>
            <w:top w:val="none" w:sz="0" w:space="0" w:color="auto"/>
            <w:left w:val="none" w:sz="0" w:space="0" w:color="auto"/>
            <w:bottom w:val="none" w:sz="0" w:space="0" w:color="auto"/>
            <w:right w:val="none" w:sz="0" w:space="0" w:color="auto"/>
          </w:divBdr>
        </w:div>
        <w:div w:id="721178943">
          <w:marLeft w:val="0"/>
          <w:marRight w:val="0"/>
          <w:marTop w:val="0"/>
          <w:marBottom w:val="0"/>
          <w:divBdr>
            <w:top w:val="none" w:sz="0" w:space="0" w:color="auto"/>
            <w:left w:val="none" w:sz="0" w:space="0" w:color="auto"/>
            <w:bottom w:val="none" w:sz="0" w:space="0" w:color="auto"/>
            <w:right w:val="none" w:sz="0" w:space="0" w:color="auto"/>
          </w:divBdr>
        </w:div>
        <w:div w:id="899569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 w:id="688946825">
          <w:marLeft w:val="0"/>
          <w:marRight w:val="0"/>
          <w:marTop w:val="0"/>
          <w:marBottom w:val="0"/>
          <w:divBdr>
            <w:top w:val="none" w:sz="0" w:space="0" w:color="auto"/>
            <w:left w:val="none" w:sz="0" w:space="0" w:color="auto"/>
            <w:bottom w:val="none" w:sz="0" w:space="0" w:color="auto"/>
            <w:right w:val="none" w:sz="0" w:space="0" w:color="auto"/>
          </w:divBdr>
        </w:div>
      </w:divsChild>
    </w:div>
    <w:div w:id="294525683">
      <w:bodyDiv w:val="1"/>
      <w:marLeft w:val="0"/>
      <w:marRight w:val="0"/>
      <w:marTop w:val="0"/>
      <w:marBottom w:val="0"/>
      <w:divBdr>
        <w:top w:val="none" w:sz="0" w:space="0" w:color="auto"/>
        <w:left w:val="none" w:sz="0" w:space="0" w:color="auto"/>
        <w:bottom w:val="none" w:sz="0" w:space="0" w:color="auto"/>
        <w:right w:val="none" w:sz="0" w:space="0" w:color="auto"/>
      </w:divBdr>
    </w:div>
    <w:div w:id="776677408">
      <w:bodyDiv w:val="1"/>
      <w:marLeft w:val="0"/>
      <w:marRight w:val="0"/>
      <w:marTop w:val="0"/>
      <w:marBottom w:val="0"/>
      <w:divBdr>
        <w:top w:val="none" w:sz="0" w:space="0" w:color="auto"/>
        <w:left w:val="none" w:sz="0" w:space="0" w:color="auto"/>
        <w:bottom w:val="none" w:sz="0" w:space="0" w:color="auto"/>
        <w:right w:val="none" w:sz="0" w:space="0" w:color="auto"/>
      </w:divBdr>
    </w:div>
    <w:div w:id="1180923854">
      <w:bodyDiv w:val="1"/>
      <w:marLeft w:val="0"/>
      <w:marRight w:val="0"/>
      <w:marTop w:val="0"/>
      <w:marBottom w:val="0"/>
      <w:divBdr>
        <w:top w:val="none" w:sz="0" w:space="0" w:color="auto"/>
        <w:left w:val="none" w:sz="0" w:space="0" w:color="auto"/>
        <w:bottom w:val="none" w:sz="0" w:space="0" w:color="auto"/>
        <w:right w:val="none" w:sz="0" w:space="0" w:color="auto"/>
      </w:divBdr>
      <w:divsChild>
        <w:div w:id="1581717964">
          <w:marLeft w:val="0"/>
          <w:marRight w:val="0"/>
          <w:marTop w:val="0"/>
          <w:marBottom w:val="0"/>
          <w:divBdr>
            <w:top w:val="none" w:sz="0" w:space="0" w:color="auto"/>
            <w:left w:val="none" w:sz="0" w:space="0" w:color="auto"/>
            <w:bottom w:val="none" w:sz="0" w:space="0" w:color="auto"/>
            <w:right w:val="none" w:sz="0" w:space="0" w:color="auto"/>
          </w:divBdr>
        </w:div>
        <w:div w:id="920680103">
          <w:marLeft w:val="0"/>
          <w:marRight w:val="0"/>
          <w:marTop w:val="0"/>
          <w:marBottom w:val="0"/>
          <w:divBdr>
            <w:top w:val="none" w:sz="0" w:space="0" w:color="auto"/>
            <w:left w:val="none" w:sz="0" w:space="0" w:color="auto"/>
            <w:bottom w:val="none" w:sz="0" w:space="0" w:color="auto"/>
            <w:right w:val="none" w:sz="0" w:space="0" w:color="auto"/>
          </w:divBdr>
        </w:div>
        <w:div w:id="493034969">
          <w:marLeft w:val="0"/>
          <w:marRight w:val="0"/>
          <w:marTop w:val="0"/>
          <w:marBottom w:val="0"/>
          <w:divBdr>
            <w:top w:val="none" w:sz="0" w:space="0" w:color="auto"/>
            <w:left w:val="none" w:sz="0" w:space="0" w:color="auto"/>
            <w:bottom w:val="none" w:sz="0" w:space="0" w:color="auto"/>
            <w:right w:val="none" w:sz="0" w:space="0" w:color="auto"/>
          </w:divBdr>
        </w:div>
        <w:div w:id="407000560">
          <w:marLeft w:val="0"/>
          <w:marRight w:val="0"/>
          <w:marTop w:val="0"/>
          <w:marBottom w:val="0"/>
          <w:divBdr>
            <w:top w:val="none" w:sz="0" w:space="0" w:color="auto"/>
            <w:left w:val="none" w:sz="0" w:space="0" w:color="auto"/>
            <w:bottom w:val="none" w:sz="0" w:space="0" w:color="auto"/>
            <w:right w:val="none" w:sz="0" w:space="0" w:color="auto"/>
          </w:divBdr>
        </w:div>
        <w:div w:id="1729526929">
          <w:marLeft w:val="0"/>
          <w:marRight w:val="0"/>
          <w:marTop w:val="0"/>
          <w:marBottom w:val="0"/>
          <w:divBdr>
            <w:top w:val="none" w:sz="0" w:space="0" w:color="auto"/>
            <w:left w:val="none" w:sz="0" w:space="0" w:color="auto"/>
            <w:bottom w:val="none" w:sz="0" w:space="0" w:color="auto"/>
            <w:right w:val="none" w:sz="0" w:space="0" w:color="auto"/>
          </w:divBdr>
        </w:div>
        <w:div w:id="2055276406">
          <w:marLeft w:val="0"/>
          <w:marRight w:val="0"/>
          <w:marTop w:val="0"/>
          <w:marBottom w:val="0"/>
          <w:divBdr>
            <w:top w:val="none" w:sz="0" w:space="0" w:color="auto"/>
            <w:left w:val="none" w:sz="0" w:space="0" w:color="auto"/>
            <w:bottom w:val="none" w:sz="0" w:space="0" w:color="auto"/>
            <w:right w:val="none" w:sz="0" w:space="0" w:color="auto"/>
          </w:divBdr>
        </w:div>
      </w:divsChild>
    </w:div>
    <w:div w:id="1872953483">
      <w:bodyDiv w:val="1"/>
      <w:marLeft w:val="0"/>
      <w:marRight w:val="0"/>
      <w:marTop w:val="0"/>
      <w:marBottom w:val="0"/>
      <w:divBdr>
        <w:top w:val="none" w:sz="0" w:space="0" w:color="auto"/>
        <w:left w:val="none" w:sz="0" w:space="0" w:color="auto"/>
        <w:bottom w:val="none" w:sz="0" w:space="0" w:color="auto"/>
        <w:right w:val="none" w:sz="0" w:space="0" w:color="auto"/>
      </w:divBdr>
    </w:div>
    <w:div w:id="2092969198">
      <w:bodyDiv w:val="1"/>
      <w:marLeft w:val="0"/>
      <w:marRight w:val="0"/>
      <w:marTop w:val="0"/>
      <w:marBottom w:val="0"/>
      <w:divBdr>
        <w:top w:val="none" w:sz="0" w:space="0" w:color="auto"/>
        <w:left w:val="none" w:sz="0" w:space="0" w:color="auto"/>
        <w:bottom w:val="none" w:sz="0" w:space="0" w:color="auto"/>
        <w:right w:val="none" w:sz="0" w:space="0" w:color="auto"/>
      </w:divBdr>
      <w:divsChild>
        <w:div w:id="399867812">
          <w:marLeft w:val="0"/>
          <w:marRight w:val="0"/>
          <w:marTop w:val="0"/>
          <w:marBottom w:val="0"/>
          <w:divBdr>
            <w:top w:val="none" w:sz="0" w:space="0" w:color="auto"/>
            <w:left w:val="none" w:sz="0" w:space="0" w:color="auto"/>
            <w:bottom w:val="none" w:sz="0" w:space="0" w:color="auto"/>
            <w:right w:val="none" w:sz="0" w:space="0" w:color="auto"/>
          </w:divBdr>
        </w:div>
        <w:div w:id="1731805792">
          <w:marLeft w:val="0"/>
          <w:marRight w:val="0"/>
          <w:marTop w:val="0"/>
          <w:marBottom w:val="0"/>
          <w:divBdr>
            <w:top w:val="none" w:sz="0" w:space="0" w:color="auto"/>
            <w:left w:val="none" w:sz="0" w:space="0" w:color="auto"/>
            <w:bottom w:val="none" w:sz="0" w:space="0" w:color="auto"/>
            <w:right w:val="none" w:sz="0" w:space="0" w:color="auto"/>
          </w:divBdr>
        </w:div>
        <w:div w:id="2143231344">
          <w:marLeft w:val="0"/>
          <w:marRight w:val="0"/>
          <w:marTop w:val="0"/>
          <w:marBottom w:val="0"/>
          <w:divBdr>
            <w:top w:val="none" w:sz="0" w:space="0" w:color="auto"/>
            <w:left w:val="none" w:sz="0" w:space="0" w:color="auto"/>
            <w:bottom w:val="none" w:sz="0" w:space="0" w:color="auto"/>
            <w:right w:val="none" w:sz="0" w:space="0" w:color="auto"/>
          </w:divBdr>
        </w:div>
        <w:div w:id="1770084867">
          <w:marLeft w:val="0"/>
          <w:marRight w:val="0"/>
          <w:marTop w:val="0"/>
          <w:marBottom w:val="0"/>
          <w:divBdr>
            <w:top w:val="none" w:sz="0" w:space="0" w:color="auto"/>
            <w:left w:val="none" w:sz="0" w:space="0" w:color="auto"/>
            <w:bottom w:val="none" w:sz="0" w:space="0" w:color="auto"/>
            <w:right w:val="none" w:sz="0" w:space="0" w:color="auto"/>
          </w:divBdr>
        </w:div>
        <w:div w:id="997727076">
          <w:marLeft w:val="0"/>
          <w:marRight w:val="0"/>
          <w:marTop w:val="0"/>
          <w:marBottom w:val="0"/>
          <w:divBdr>
            <w:top w:val="none" w:sz="0" w:space="0" w:color="auto"/>
            <w:left w:val="none" w:sz="0" w:space="0" w:color="auto"/>
            <w:bottom w:val="none" w:sz="0" w:space="0" w:color="auto"/>
            <w:right w:val="none" w:sz="0" w:space="0" w:color="auto"/>
          </w:divBdr>
        </w:div>
        <w:div w:id="1669216005">
          <w:marLeft w:val="0"/>
          <w:marRight w:val="0"/>
          <w:marTop w:val="0"/>
          <w:marBottom w:val="0"/>
          <w:divBdr>
            <w:top w:val="none" w:sz="0" w:space="0" w:color="auto"/>
            <w:left w:val="none" w:sz="0" w:space="0" w:color="auto"/>
            <w:bottom w:val="none" w:sz="0" w:space="0" w:color="auto"/>
            <w:right w:val="none" w:sz="0" w:space="0" w:color="auto"/>
          </w:divBdr>
        </w:div>
        <w:div w:id="1344236084">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996832168">
          <w:marLeft w:val="0"/>
          <w:marRight w:val="0"/>
          <w:marTop w:val="0"/>
          <w:marBottom w:val="0"/>
          <w:divBdr>
            <w:top w:val="none" w:sz="0" w:space="0" w:color="auto"/>
            <w:left w:val="none" w:sz="0" w:space="0" w:color="auto"/>
            <w:bottom w:val="none" w:sz="0" w:space="0" w:color="auto"/>
            <w:right w:val="none" w:sz="0" w:space="0" w:color="auto"/>
          </w:divBdr>
        </w:div>
        <w:div w:id="1850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9C05-F248-4E81-ACE9-B50B7AAF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1065</Words>
  <Characters>5831</Characters>
  <Application>Microsoft Office Word</Application>
  <DocSecurity>0</DocSecurity>
  <Lines>129</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2018-07-25T07:34:00Z</cp:lastPrinted>
  <dcterms:created xsi:type="dcterms:W3CDTF">2019-05-23T14:09:00Z</dcterms:created>
  <dcterms:modified xsi:type="dcterms:W3CDTF">2019-06-24T10:24:00Z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