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61B6310B-1BF4-48CE-8B51-B19BBC97DC22" style="width:450.75pt;height:320.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44 thereof,</w:t>
      </w:r>
    </w:p>
    <w:p>
      <w:pPr>
        <w:pStyle w:val="Tiret0"/>
        <w:tabs>
          <w:tab w:val="clear" w:pos="850"/>
          <w:tab w:val="num" w:pos="927"/>
        </w:tabs>
        <w:rPr>
          <w:noProof/>
        </w:rPr>
      </w:pPr>
      <w:r>
        <w:rPr>
          <w:noProof/>
        </w:rPr>
        <w:t>the general budget of the European Union for the financial year 2019, as adopted on 12 December 2018</w:t>
      </w:r>
      <w:r>
        <w:rPr>
          <w:rStyle w:val="FootnoteReference"/>
          <w:noProof/>
        </w:rPr>
        <w:footnoteReference w:id="3"/>
      </w:r>
      <w:r>
        <w:rPr>
          <w:noProof/>
        </w:rPr>
        <w:t>,</w:t>
      </w:r>
    </w:p>
    <w:p>
      <w:pPr>
        <w:pStyle w:val="Tiret0"/>
        <w:tabs>
          <w:tab w:val="clear" w:pos="850"/>
          <w:tab w:val="num" w:pos="927"/>
        </w:tabs>
        <w:rPr>
          <w:noProof/>
        </w:rPr>
      </w:pPr>
      <w:r>
        <w:rPr>
          <w:noProof/>
        </w:rPr>
        <w:t>draft amending budget No°1/2019</w:t>
      </w:r>
      <w:r>
        <w:rPr>
          <w:rStyle w:val="FootnoteReference"/>
          <w:noProof/>
        </w:rPr>
        <w:footnoteReference w:id="4"/>
      </w:r>
      <w:r>
        <w:rPr>
          <w:noProof/>
        </w:rPr>
        <w:t>, adopted on 15 April 2019,</w:t>
      </w:r>
    </w:p>
    <w:p>
      <w:pPr>
        <w:pStyle w:val="Tiret0"/>
        <w:tabs>
          <w:tab w:val="clear" w:pos="850"/>
          <w:tab w:val="num" w:pos="927"/>
        </w:tabs>
        <w:rPr>
          <w:noProof/>
        </w:rPr>
      </w:pPr>
      <w:r>
        <w:rPr>
          <w:noProof/>
        </w:rPr>
        <w:t>draft amending budget No°2/2019</w:t>
      </w:r>
      <w:r>
        <w:rPr>
          <w:rStyle w:val="FootnoteReference"/>
          <w:noProof/>
        </w:rPr>
        <w:footnoteReference w:id="5"/>
      </w:r>
      <w:r>
        <w:rPr>
          <w:noProof/>
        </w:rPr>
        <w:t>, adopted on 15 May 2019,</w:t>
      </w:r>
    </w:p>
    <w:p>
      <w:pPr>
        <w:pStyle w:val="Tiret0"/>
        <w:tabs>
          <w:tab w:val="clear" w:pos="850"/>
          <w:tab w:val="num" w:pos="927"/>
        </w:tabs>
        <w:rPr>
          <w:noProof/>
        </w:rPr>
      </w:pPr>
      <w:r>
        <w:rPr>
          <w:noProof/>
        </w:rPr>
        <w:t>draft amending budget No°3/2019</w:t>
      </w:r>
      <w:r>
        <w:rPr>
          <w:rStyle w:val="FootnoteReference"/>
          <w:noProof/>
        </w:rPr>
        <w:footnoteReference w:id="6"/>
      </w:r>
      <w:r>
        <w:rPr>
          <w:noProof/>
        </w:rPr>
        <w:t>, adopted on 22 May 2019,</w:t>
      </w:r>
    </w:p>
    <w:p>
      <w:pPr>
        <w:jc w:val="both"/>
        <w:rPr>
          <w:noProof/>
        </w:rPr>
      </w:pPr>
      <w:r>
        <w:rPr>
          <w:noProof/>
        </w:rPr>
        <w:t>The European Commission hereby presents to the European Parliament and to the Council Draft Amending Budget No 4 to the 2019 budget.</w:t>
      </w:r>
    </w:p>
    <w:p>
      <w:pPr>
        <w:rPr>
          <w:b/>
          <w:noProof/>
          <w:u w:val="single"/>
        </w:rPr>
      </w:pPr>
    </w:p>
    <w:p>
      <w:pPr>
        <w:jc w:val="both"/>
        <w:rPr>
          <w:b/>
          <w:noProof/>
          <w:u w:val="single"/>
          <w:lang w:eastAsia="ko-KR"/>
        </w:rPr>
      </w:pPr>
      <w:r>
        <w:rPr>
          <w:b/>
          <w:noProof/>
          <w:u w:val="single"/>
          <w:lang w:eastAsia="ko-KR"/>
        </w:rPr>
        <w:t>CHANGES TO THE STATEMENT OF REVENUE AND EXPENDITURE BY SECTION</w:t>
      </w:r>
    </w:p>
    <w:p>
      <w:pPr>
        <w:rPr>
          <w:b/>
          <w:noProof/>
          <w:u w:val="single"/>
          <w:lang w:eastAsia="ko-KR"/>
        </w:rPr>
      </w:pPr>
    </w:p>
    <w:p>
      <w:pPr>
        <w:jc w:val="both"/>
        <w:rPr>
          <w:noProof/>
          <w:lang w:eastAsia="ko-KR"/>
        </w:rPr>
      </w:pPr>
      <w:r>
        <w:rPr>
          <w:noProof/>
        </w:rPr>
        <w:t>The changes to the general statement of revenue and to the individual sections (I, III, V and X) are available on EUR-Lex (</w:t>
      </w:r>
      <w:hyperlink r:id="rId19" w:history="1">
        <w:r>
          <w:rPr>
            <w:rStyle w:val="Hyperlink"/>
            <w:noProof/>
            <w:color w:val="auto"/>
          </w:rPr>
          <w:t>http://eur-lex.europa.eu/budget/www/index-en.htm</w:t>
        </w:r>
      </w:hyperlink>
      <w:r>
        <w:rPr>
          <w:noProof/>
        </w:rPr>
        <w:t>).</w:t>
      </w:r>
    </w:p>
    <w:p>
      <w:pPr>
        <w:rPr>
          <w:noProof/>
        </w:rPr>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p>
      <w:pPr>
        <w:pStyle w:val="TOCHeading"/>
        <w:rPr>
          <w:noProof/>
        </w:rPr>
      </w:pPr>
      <w:bookmarkStart w:id="2" w:name="_Toc194220890"/>
      <w:bookmarkStart w:id="3" w:name="_Toc294675429"/>
      <w:bookmarkStart w:id="4" w:name="_Toc378575883"/>
      <w:r>
        <w:rPr>
          <w:noProof/>
        </w:rPr>
        <w:t>TABLE OF CONTENTS</w:t>
      </w:r>
    </w:p>
    <w:sdt>
      <w:sdtPr>
        <w:rPr>
          <w:b w:val="0"/>
          <w:bCs w:val="0"/>
          <w:caps w:val="0"/>
          <w:smallCaps/>
          <w:noProof/>
          <w:sz w:val="24"/>
          <w:szCs w:val="24"/>
          <w:lang w:eastAsia="de-DE"/>
        </w:rPr>
        <w:id w:val="2029912794"/>
        <w:docPartObj>
          <w:docPartGallery w:val="Table of Contents"/>
          <w:docPartUnique/>
        </w:docPartObj>
      </w:sdtPr>
      <w:sdtEndPr>
        <w:rPr>
          <w: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12620994"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_Toc12620994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12620995" w:history="1">
            <w:r>
              <w:rPr>
                <w:rStyle w:val="Hyperlink"/>
                <w:smallCaps/>
                <w:noProof/>
                <w:lang w:eastAsia="de-DE"/>
              </w:rPr>
              <w:t>2.</w:t>
            </w:r>
            <w:r>
              <w:rPr>
                <w:rFonts w:asciiTheme="minorHAnsi" w:eastAsiaTheme="minorEastAsia" w:hAnsiTheme="minorHAnsi" w:cstheme="minorBidi"/>
                <w:b w:val="0"/>
                <w:bCs w:val="0"/>
                <w:caps w:val="0"/>
                <w:noProof/>
                <w:sz w:val="22"/>
                <w:szCs w:val="22"/>
              </w:rPr>
              <w:tab/>
            </w:r>
            <w:r>
              <w:rPr>
                <w:rStyle w:val="Hyperlink"/>
                <w:smallCaps/>
                <w:noProof/>
                <w:lang w:eastAsia="de-DE"/>
              </w:rPr>
              <w:t>Update of expenditure</w:t>
            </w:r>
            <w:r>
              <w:rPr>
                <w:noProof/>
                <w:webHidden/>
              </w:rPr>
              <w:tab/>
            </w:r>
            <w:r>
              <w:rPr>
                <w:noProof/>
                <w:webHidden/>
              </w:rPr>
              <w:fldChar w:fldCharType="begin"/>
            </w:r>
            <w:r>
              <w:rPr>
                <w:noProof/>
                <w:webHidden/>
              </w:rPr>
              <w:instrText xml:space="preserve"> PAGEREF _Toc12620995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0996" w:history="1">
            <w:r>
              <w:rPr>
                <w:rStyle w:val="Hyperlink"/>
                <w:rFonts w:eastAsia="Calibri"/>
                <w:b/>
                <w:noProof/>
                <w:lang w:eastAsia="de-DE"/>
              </w:rPr>
              <w:t>2.1.</w:t>
            </w:r>
            <w:r>
              <w:rPr>
                <w:rFonts w:asciiTheme="minorHAnsi" w:eastAsiaTheme="minorEastAsia" w:hAnsiTheme="minorHAnsi" w:cstheme="minorBidi"/>
                <w:smallCaps w:val="0"/>
                <w:noProof/>
                <w:sz w:val="22"/>
                <w:szCs w:val="22"/>
              </w:rPr>
              <w:tab/>
            </w:r>
            <w:r>
              <w:rPr>
                <w:rStyle w:val="Hyperlink"/>
                <w:rFonts w:eastAsia="Calibri"/>
                <w:b/>
                <w:noProof/>
                <w:lang w:eastAsia="de-DE"/>
              </w:rPr>
              <w:t>Decreases of commitment and payment appropriations</w:t>
            </w:r>
            <w:r>
              <w:rPr>
                <w:noProof/>
                <w:webHidden/>
              </w:rPr>
              <w:tab/>
            </w:r>
            <w:r>
              <w:rPr>
                <w:noProof/>
                <w:webHidden/>
              </w:rPr>
              <w:fldChar w:fldCharType="begin"/>
            </w:r>
            <w:r>
              <w:rPr>
                <w:noProof/>
                <w:webHidden/>
              </w:rPr>
              <w:instrText xml:space="preserve"> PAGEREF _Toc12620996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0997" w:history="1">
            <w:r>
              <w:rPr>
                <w:rStyle w:val="Hyperlink"/>
                <w:rFonts w:eastAsia="Calibri"/>
                <w:i/>
                <w:noProof/>
                <w:lang w:eastAsia="de-DE"/>
              </w:rPr>
              <w:t>2.1.1</w:t>
            </w:r>
            <w:r>
              <w:rPr>
                <w:rFonts w:asciiTheme="minorHAnsi" w:eastAsiaTheme="minorEastAsia" w:hAnsiTheme="minorHAnsi" w:cstheme="minorBidi"/>
                <w:smallCaps w:val="0"/>
                <w:noProof/>
                <w:sz w:val="22"/>
                <w:szCs w:val="22"/>
              </w:rPr>
              <w:tab/>
            </w:r>
            <w:r>
              <w:rPr>
                <w:rStyle w:val="Hyperlink"/>
                <w:rFonts w:eastAsia="Calibri"/>
                <w:i/>
                <w:noProof/>
                <w:lang w:eastAsia="de-DE"/>
              </w:rPr>
              <w:t>Financial supervision authorities (EBA, EIOPA and ESMA)</w:t>
            </w:r>
            <w:r>
              <w:rPr>
                <w:noProof/>
                <w:webHidden/>
              </w:rPr>
              <w:tab/>
            </w:r>
            <w:r>
              <w:rPr>
                <w:noProof/>
                <w:webHidden/>
              </w:rPr>
              <w:fldChar w:fldCharType="begin"/>
            </w:r>
            <w:r>
              <w:rPr>
                <w:noProof/>
                <w:webHidden/>
              </w:rPr>
              <w:instrText xml:space="preserve"> PAGEREF _Toc12620997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0998" w:history="1">
            <w:r>
              <w:rPr>
                <w:rStyle w:val="Hyperlink"/>
                <w:rFonts w:eastAsia="Calibri"/>
                <w:i/>
                <w:noProof/>
                <w:lang w:eastAsia="de-DE"/>
              </w:rPr>
              <w:t>2.1.2</w:t>
            </w:r>
            <w:r>
              <w:rPr>
                <w:rFonts w:asciiTheme="minorHAnsi" w:eastAsiaTheme="minorEastAsia" w:hAnsiTheme="minorHAnsi" w:cstheme="minorBidi"/>
                <w:smallCaps w:val="0"/>
                <w:noProof/>
                <w:sz w:val="22"/>
                <w:szCs w:val="22"/>
              </w:rPr>
              <w:tab/>
            </w:r>
            <w:r>
              <w:rPr>
                <w:rStyle w:val="Hyperlink"/>
                <w:rFonts w:eastAsia="Calibri"/>
                <w:i/>
                <w:noProof/>
                <w:lang w:eastAsia="de-DE"/>
              </w:rPr>
              <w:t>European Border and Coast Guard Agency (Frontex)</w:t>
            </w:r>
            <w:r>
              <w:rPr>
                <w:noProof/>
                <w:webHidden/>
              </w:rPr>
              <w:tab/>
            </w:r>
            <w:r>
              <w:rPr>
                <w:noProof/>
                <w:webHidden/>
              </w:rPr>
              <w:fldChar w:fldCharType="begin"/>
            </w:r>
            <w:r>
              <w:rPr>
                <w:noProof/>
                <w:webHidden/>
              </w:rPr>
              <w:instrText xml:space="preserve"> PAGEREF _Toc12620998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0999" w:history="1">
            <w:r>
              <w:rPr>
                <w:rStyle w:val="Hyperlink"/>
                <w:rFonts w:eastAsia="Calibri"/>
                <w:i/>
                <w:noProof/>
                <w:lang w:eastAsia="de-DE"/>
              </w:rPr>
              <w:t>2.1.3</w:t>
            </w:r>
            <w:r>
              <w:rPr>
                <w:rFonts w:asciiTheme="minorHAnsi" w:eastAsiaTheme="minorEastAsia" w:hAnsiTheme="minorHAnsi" w:cstheme="minorBidi"/>
                <w:smallCaps w:val="0"/>
                <w:noProof/>
                <w:sz w:val="22"/>
                <w:szCs w:val="22"/>
              </w:rPr>
              <w:tab/>
            </w:r>
            <w:r>
              <w:rPr>
                <w:rStyle w:val="Hyperlink"/>
                <w:rFonts w:eastAsia="Calibri"/>
                <w:i/>
                <w:noProof/>
                <w:lang w:eastAsia="de-DE"/>
              </w:rPr>
              <w:t>Recast Dublin III Regulation</w:t>
            </w:r>
            <w:r>
              <w:rPr>
                <w:noProof/>
                <w:webHidden/>
              </w:rPr>
              <w:tab/>
            </w:r>
            <w:r>
              <w:rPr>
                <w:noProof/>
                <w:webHidden/>
              </w:rPr>
              <w:fldChar w:fldCharType="begin"/>
            </w:r>
            <w:r>
              <w:rPr>
                <w:noProof/>
                <w:webHidden/>
              </w:rPr>
              <w:instrText xml:space="preserve"> PAGEREF _Toc12620999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0" w:history="1">
            <w:r>
              <w:rPr>
                <w:rStyle w:val="Hyperlink"/>
                <w:rFonts w:eastAsia="Calibri"/>
                <w:i/>
                <w:noProof/>
                <w:lang w:eastAsia="de-DE"/>
              </w:rPr>
              <w:t>2.1.4.</w:t>
            </w:r>
            <w:r>
              <w:rPr>
                <w:rFonts w:asciiTheme="minorHAnsi" w:eastAsiaTheme="minorEastAsia" w:hAnsiTheme="minorHAnsi" w:cstheme="minorBidi"/>
                <w:smallCaps w:val="0"/>
                <w:noProof/>
                <w:sz w:val="22"/>
                <w:szCs w:val="22"/>
              </w:rPr>
              <w:tab/>
            </w:r>
            <w:r>
              <w:rPr>
                <w:rStyle w:val="Hyperlink"/>
                <w:rFonts w:eastAsia="Calibri"/>
                <w:i/>
                <w:noProof/>
                <w:lang w:eastAsia="de-DE"/>
              </w:rPr>
              <w:t>European Public Prosecutor’s Office (EPPO)</w:t>
            </w:r>
            <w:r>
              <w:rPr>
                <w:noProof/>
                <w:webHidden/>
              </w:rPr>
              <w:tab/>
            </w:r>
            <w:r>
              <w:rPr>
                <w:noProof/>
                <w:webHidden/>
              </w:rPr>
              <w:fldChar w:fldCharType="begin"/>
            </w:r>
            <w:r>
              <w:rPr>
                <w:noProof/>
                <w:webHidden/>
              </w:rPr>
              <w:instrText xml:space="preserve"> PAGEREF _Toc12621000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1" w:history="1">
            <w:r>
              <w:rPr>
                <w:rStyle w:val="Hyperlink"/>
                <w:rFonts w:eastAsia="Calibri"/>
                <w:i/>
                <w:noProof/>
                <w:lang w:eastAsia="de-DE"/>
              </w:rPr>
              <w:t>2.1.5.</w:t>
            </w:r>
            <w:r>
              <w:rPr>
                <w:rFonts w:asciiTheme="minorHAnsi" w:eastAsiaTheme="minorEastAsia" w:hAnsiTheme="minorHAnsi" w:cstheme="minorBidi"/>
                <w:smallCaps w:val="0"/>
                <w:noProof/>
                <w:sz w:val="22"/>
                <w:szCs w:val="22"/>
              </w:rPr>
              <w:tab/>
            </w:r>
            <w:r>
              <w:rPr>
                <w:rStyle w:val="Hyperlink"/>
                <w:rFonts w:eastAsia="Calibri"/>
                <w:i/>
                <w:noProof/>
                <w:lang w:eastAsia="de-DE"/>
              </w:rPr>
              <w:t>European Social Fund – Operational technical Assistance</w:t>
            </w:r>
            <w:r>
              <w:rPr>
                <w:noProof/>
                <w:webHidden/>
              </w:rPr>
              <w:tab/>
            </w:r>
            <w:r>
              <w:rPr>
                <w:noProof/>
                <w:webHidden/>
              </w:rPr>
              <w:fldChar w:fldCharType="begin"/>
            </w:r>
            <w:r>
              <w:rPr>
                <w:noProof/>
                <w:webHidden/>
              </w:rPr>
              <w:instrText xml:space="preserve"> PAGEREF _Toc12621001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2" w:history="1">
            <w:r>
              <w:rPr>
                <w:rStyle w:val="Hyperlink"/>
                <w:rFonts w:eastAsia="Calibri"/>
                <w:i/>
                <w:noProof/>
                <w:lang w:eastAsia="de-DE"/>
              </w:rPr>
              <w:t>2.1.6.</w:t>
            </w:r>
            <w:r>
              <w:rPr>
                <w:rFonts w:asciiTheme="minorHAnsi" w:eastAsiaTheme="minorEastAsia" w:hAnsiTheme="minorHAnsi" w:cstheme="minorBidi"/>
                <w:smallCaps w:val="0"/>
                <w:noProof/>
                <w:sz w:val="22"/>
                <w:szCs w:val="22"/>
              </w:rPr>
              <w:tab/>
            </w:r>
            <w:r>
              <w:rPr>
                <w:rStyle w:val="Hyperlink"/>
                <w:rFonts w:eastAsia="Calibri"/>
                <w:i/>
                <w:noProof/>
                <w:lang w:eastAsia="de-DE"/>
              </w:rPr>
              <w:t>Emergency Support Instrument (ESI)</w:t>
            </w:r>
            <w:r>
              <w:rPr>
                <w:noProof/>
                <w:webHidden/>
              </w:rPr>
              <w:tab/>
            </w:r>
            <w:r>
              <w:rPr>
                <w:noProof/>
                <w:webHidden/>
              </w:rPr>
              <w:fldChar w:fldCharType="begin"/>
            </w:r>
            <w:r>
              <w:rPr>
                <w:noProof/>
                <w:webHidden/>
              </w:rPr>
              <w:instrText xml:space="preserve"> PAGEREF _Toc12621002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3" w:history="1">
            <w:r>
              <w:rPr>
                <w:rStyle w:val="Hyperlink"/>
                <w:rFonts w:eastAsia="Calibri"/>
                <w:i/>
                <w:noProof/>
                <w:lang w:eastAsia="de-DE"/>
              </w:rPr>
              <w:t>2.1.7.</w:t>
            </w:r>
            <w:r>
              <w:rPr>
                <w:rFonts w:asciiTheme="minorHAnsi" w:eastAsiaTheme="minorEastAsia" w:hAnsiTheme="minorHAnsi" w:cstheme="minorBidi"/>
                <w:smallCaps w:val="0"/>
                <w:noProof/>
                <w:sz w:val="22"/>
                <w:szCs w:val="22"/>
              </w:rPr>
              <w:tab/>
            </w:r>
            <w:r>
              <w:rPr>
                <w:rStyle w:val="Hyperlink"/>
                <w:rFonts w:eastAsia="Calibri"/>
                <w:i/>
                <w:noProof/>
                <w:lang w:eastAsia="de-DE"/>
              </w:rPr>
              <w:t>Union Civil Protection Mechanism (UCPM)</w:t>
            </w:r>
            <w:r>
              <w:rPr>
                <w:noProof/>
                <w:webHidden/>
              </w:rPr>
              <w:tab/>
            </w:r>
            <w:r>
              <w:rPr>
                <w:noProof/>
                <w:webHidden/>
              </w:rPr>
              <w:fldChar w:fldCharType="begin"/>
            </w:r>
            <w:r>
              <w:rPr>
                <w:noProof/>
                <w:webHidden/>
              </w:rPr>
              <w:instrText xml:space="preserve"> PAGEREF _Toc12621003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4" w:history="1">
            <w:r>
              <w:rPr>
                <w:rStyle w:val="Hyperlink"/>
                <w:rFonts w:eastAsia="Calibri"/>
                <w:i/>
                <w:noProof/>
                <w:lang w:eastAsia="de-DE"/>
              </w:rPr>
              <w:t>2.1.8.</w:t>
            </w:r>
            <w:r>
              <w:rPr>
                <w:rFonts w:asciiTheme="minorHAnsi" w:eastAsiaTheme="minorEastAsia" w:hAnsiTheme="minorHAnsi" w:cstheme="minorBidi"/>
                <w:smallCaps w:val="0"/>
                <w:noProof/>
                <w:sz w:val="22"/>
                <w:szCs w:val="22"/>
              </w:rPr>
              <w:tab/>
            </w:r>
            <w:r>
              <w:rPr>
                <w:rStyle w:val="Hyperlink"/>
                <w:rFonts w:eastAsia="Calibri"/>
                <w:i/>
                <w:noProof/>
                <w:lang w:eastAsia="de-DE"/>
              </w:rPr>
              <w:t>European Union Solidarity Fund (EUSF)</w:t>
            </w:r>
            <w:r>
              <w:rPr>
                <w:noProof/>
                <w:webHidden/>
              </w:rPr>
              <w:tab/>
            </w:r>
            <w:r>
              <w:rPr>
                <w:noProof/>
                <w:webHidden/>
              </w:rPr>
              <w:fldChar w:fldCharType="begin"/>
            </w:r>
            <w:r>
              <w:rPr>
                <w:noProof/>
                <w:webHidden/>
              </w:rPr>
              <w:instrText xml:space="preserve"> PAGEREF _Toc12621004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5" w:history="1">
            <w:r>
              <w:rPr>
                <w:rStyle w:val="Hyperlink"/>
                <w:rFonts w:eastAsia="Calibri"/>
                <w:i/>
                <w:noProof/>
                <w:lang w:eastAsia="de-DE"/>
              </w:rPr>
              <w:t>2.1.9.</w:t>
            </w:r>
            <w:r>
              <w:rPr>
                <w:rFonts w:asciiTheme="minorHAnsi" w:eastAsiaTheme="minorEastAsia" w:hAnsiTheme="minorHAnsi" w:cstheme="minorBidi"/>
                <w:smallCaps w:val="0"/>
                <w:noProof/>
                <w:sz w:val="22"/>
                <w:szCs w:val="22"/>
              </w:rPr>
              <w:tab/>
            </w:r>
            <w:r>
              <w:rPr>
                <w:rStyle w:val="Hyperlink"/>
                <w:rFonts w:eastAsia="Calibri"/>
                <w:i/>
                <w:noProof/>
                <w:lang w:eastAsia="de-DE"/>
              </w:rPr>
              <w:t>Adjustment of the mobilisation of the special instruments</w:t>
            </w:r>
            <w:r>
              <w:rPr>
                <w:noProof/>
                <w:webHidden/>
              </w:rPr>
              <w:tab/>
            </w:r>
            <w:r>
              <w:rPr>
                <w:noProof/>
                <w:webHidden/>
              </w:rPr>
              <w:fldChar w:fldCharType="begin"/>
            </w:r>
            <w:r>
              <w:rPr>
                <w:noProof/>
                <w:webHidden/>
              </w:rPr>
              <w:instrText xml:space="preserve"> PAGEREF _Toc12621005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6" w:history="1">
            <w:r>
              <w:rPr>
                <w:rStyle w:val="Hyperlink"/>
                <w:rFonts w:eastAsia="Calibri"/>
                <w:b/>
                <w:noProof/>
                <w:lang w:eastAsia="de-DE"/>
              </w:rPr>
              <w:t>2.2.</w:t>
            </w:r>
            <w:r>
              <w:rPr>
                <w:rFonts w:asciiTheme="minorHAnsi" w:eastAsiaTheme="minorEastAsia" w:hAnsiTheme="minorHAnsi" w:cstheme="minorBidi"/>
                <w:smallCaps w:val="0"/>
                <w:noProof/>
                <w:sz w:val="22"/>
                <w:szCs w:val="22"/>
              </w:rPr>
              <w:tab/>
            </w:r>
            <w:r>
              <w:rPr>
                <w:rStyle w:val="Hyperlink"/>
                <w:rFonts w:eastAsia="Calibri"/>
                <w:b/>
                <w:noProof/>
                <w:lang w:eastAsia="de-DE"/>
              </w:rPr>
              <w:t>Postponement of the UK withdrawal from the European Union: impact on EU institutions</w:t>
            </w:r>
            <w:r>
              <w:rPr>
                <w:noProof/>
                <w:webHidden/>
              </w:rPr>
              <w:tab/>
            </w:r>
            <w:r>
              <w:rPr>
                <w:noProof/>
                <w:webHidden/>
              </w:rPr>
              <w:fldChar w:fldCharType="begin"/>
            </w:r>
            <w:r>
              <w:rPr>
                <w:noProof/>
                <w:webHidden/>
              </w:rPr>
              <w:instrText xml:space="preserve"> PAGEREF _Toc12621006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7" w:history="1">
            <w:r>
              <w:rPr>
                <w:rStyle w:val="Hyperlink"/>
                <w:rFonts w:eastAsia="Calibri"/>
                <w:i/>
                <w:noProof/>
                <w:lang w:eastAsia="de-DE"/>
              </w:rPr>
              <w:t>2.2.1</w:t>
            </w:r>
            <w:r>
              <w:rPr>
                <w:rFonts w:asciiTheme="minorHAnsi" w:eastAsiaTheme="minorEastAsia" w:hAnsiTheme="minorHAnsi" w:cstheme="minorBidi"/>
                <w:smallCaps w:val="0"/>
                <w:noProof/>
                <w:sz w:val="22"/>
                <w:szCs w:val="22"/>
              </w:rPr>
              <w:tab/>
            </w:r>
            <w:r>
              <w:rPr>
                <w:rStyle w:val="Hyperlink"/>
                <w:rFonts w:eastAsia="Calibri"/>
                <w:i/>
                <w:noProof/>
                <w:lang w:eastAsia="de-DE"/>
              </w:rPr>
              <w:t>European Parliament (EP)</w:t>
            </w:r>
            <w:r>
              <w:rPr>
                <w:noProof/>
                <w:webHidden/>
              </w:rPr>
              <w:tab/>
            </w:r>
            <w:r>
              <w:rPr>
                <w:noProof/>
                <w:webHidden/>
              </w:rPr>
              <w:fldChar w:fldCharType="begin"/>
            </w:r>
            <w:r>
              <w:rPr>
                <w:noProof/>
                <w:webHidden/>
              </w:rPr>
              <w:instrText xml:space="preserve"> PAGEREF _Toc12621007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8" w:history="1">
            <w:r>
              <w:rPr>
                <w:rStyle w:val="Hyperlink"/>
                <w:rFonts w:eastAsia="Calibri"/>
                <w:i/>
                <w:noProof/>
                <w:lang w:eastAsia="de-DE"/>
              </w:rPr>
              <w:t>2.2.1</w:t>
            </w:r>
            <w:r>
              <w:rPr>
                <w:rFonts w:asciiTheme="minorHAnsi" w:eastAsiaTheme="minorEastAsia" w:hAnsiTheme="minorHAnsi" w:cstheme="minorBidi"/>
                <w:smallCaps w:val="0"/>
                <w:noProof/>
                <w:sz w:val="22"/>
                <w:szCs w:val="22"/>
              </w:rPr>
              <w:tab/>
            </w:r>
            <w:r>
              <w:rPr>
                <w:rStyle w:val="Hyperlink"/>
                <w:rFonts w:eastAsia="Calibri"/>
                <w:i/>
                <w:noProof/>
                <w:lang w:eastAsia="de-DE"/>
              </w:rPr>
              <w:t>European Court of Auditors (ECA)</w:t>
            </w:r>
            <w:r>
              <w:rPr>
                <w:noProof/>
                <w:webHidden/>
              </w:rPr>
              <w:tab/>
            </w:r>
            <w:r>
              <w:rPr>
                <w:noProof/>
                <w:webHidden/>
              </w:rPr>
              <w:fldChar w:fldCharType="begin"/>
            </w:r>
            <w:r>
              <w:rPr>
                <w:noProof/>
                <w:webHidden/>
              </w:rPr>
              <w:instrText xml:space="preserve"> PAGEREF _Toc12621008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09" w:history="1">
            <w:r>
              <w:rPr>
                <w:rStyle w:val="Hyperlink"/>
                <w:rFonts w:eastAsia="Calibri"/>
                <w:i/>
                <w:noProof/>
                <w:lang w:eastAsia="de-DE"/>
              </w:rPr>
              <w:t>2.2.3</w:t>
            </w:r>
            <w:r>
              <w:rPr>
                <w:rFonts w:asciiTheme="minorHAnsi" w:eastAsiaTheme="minorEastAsia" w:hAnsiTheme="minorHAnsi" w:cstheme="minorBidi"/>
                <w:smallCaps w:val="0"/>
                <w:noProof/>
                <w:sz w:val="22"/>
                <w:szCs w:val="22"/>
              </w:rPr>
              <w:tab/>
            </w:r>
            <w:r>
              <w:rPr>
                <w:rStyle w:val="Hyperlink"/>
                <w:rFonts w:eastAsia="Calibri"/>
                <w:i/>
                <w:noProof/>
                <w:lang w:eastAsia="de-DE"/>
              </w:rPr>
              <w:t>European External Action Service (EEAS)</w:t>
            </w:r>
            <w:r>
              <w:rPr>
                <w:noProof/>
                <w:webHidden/>
              </w:rPr>
              <w:tab/>
            </w:r>
            <w:r>
              <w:rPr>
                <w:noProof/>
                <w:webHidden/>
              </w:rPr>
              <w:fldChar w:fldCharType="begin"/>
            </w:r>
            <w:r>
              <w:rPr>
                <w:noProof/>
                <w:webHidden/>
              </w:rPr>
              <w:instrText xml:space="preserve"> PAGEREF _Toc12621009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10" w:history="1">
            <w:r>
              <w:rPr>
                <w:rStyle w:val="Hyperlink"/>
                <w:rFonts w:eastAsia="Calibri"/>
                <w:i/>
                <w:noProof/>
                <w:lang w:eastAsia="de-DE"/>
              </w:rPr>
              <w:t>2.2.4</w:t>
            </w:r>
            <w:r>
              <w:rPr>
                <w:rFonts w:asciiTheme="minorHAnsi" w:eastAsiaTheme="minorEastAsia" w:hAnsiTheme="minorHAnsi" w:cstheme="minorBidi"/>
                <w:smallCaps w:val="0"/>
                <w:noProof/>
                <w:sz w:val="22"/>
                <w:szCs w:val="22"/>
              </w:rPr>
              <w:tab/>
            </w:r>
            <w:r>
              <w:rPr>
                <w:rStyle w:val="Hyperlink"/>
                <w:rFonts w:eastAsia="Calibri"/>
                <w:i/>
                <w:noProof/>
                <w:lang w:eastAsia="de-DE"/>
              </w:rPr>
              <w:t xml:space="preserve"> Overview</w:t>
            </w:r>
            <w:r>
              <w:rPr>
                <w:noProof/>
                <w:webHidden/>
              </w:rPr>
              <w:tab/>
            </w:r>
            <w:r>
              <w:rPr>
                <w:noProof/>
                <w:webHidden/>
              </w:rPr>
              <w:fldChar w:fldCharType="begin"/>
            </w:r>
            <w:r>
              <w:rPr>
                <w:noProof/>
                <w:webHidden/>
              </w:rPr>
              <w:instrText xml:space="preserve"> PAGEREF _Toc12621010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12621011" w:history="1">
            <w:r>
              <w:rPr>
                <w:rStyle w:val="Hyperlink"/>
                <w:smallCaps/>
                <w:noProof/>
                <w:lang w:eastAsia="de-DE"/>
              </w:rPr>
              <w:t>3.</w:t>
            </w:r>
            <w:r>
              <w:rPr>
                <w:rFonts w:asciiTheme="minorHAnsi" w:eastAsiaTheme="minorEastAsia" w:hAnsiTheme="minorHAnsi" w:cstheme="minorBidi"/>
                <w:b w:val="0"/>
                <w:bCs w:val="0"/>
                <w:caps w:val="0"/>
                <w:noProof/>
                <w:sz w:val="22"/>
                <w:szCs w:val="22"/>
              </w:rPr>
              <w:tab/>
            </w:r>
            <w:r>
              <w:rPr>
                <w:rStyle w:val="Hyperlink"/>
                <w:smallCaps/>
                <w:noProof/>
                <w:lang w:eastAsia="de-DE"/>
              </w:rPr>
              <w:t>Update of revenue</w:t>
            </w:r>
            <w:r>
              <w:rPr>
                <w:noProof/>
                <w:webHidden/>
              </w:rPr>
              <w:tab/>
            </w:r>
            <w:r>
              <w:rPr>
                <w:noProof/>
                <w:webHidden/>
              </w:rPr>
              <w:fldChar w:fldCharType="begin"/>
            </w:r>
            <w:r>
              <w:rPr>
                <w:noProof/>
                <w:webHidden/>
              </w:rPr>
              <w:instrText xml:space="preserve"> PAGEREF _Toc12621011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rPr>
          </w:pPr>
          <w:hyperlink w:anchor="_Toc12621012" w:history="1">
            <w:r>
              <w:rPr>
                <w:rStyle w:val="Hyperlink"/>
                <w:rFonts w:eastAsia="Calibri"/>
                <w:b/>
                <w:noProof/>
                <w:lang w:eastAsia="de-DE"/>
              </w:rPr>
              <w:t>3.1</w:t>
            </w:r>
            <w:r>
              <w:rPr>
                <w:rFonts w:asciiTheme="minorHAnsi" w:eastAsiaTheme="minorEastAsia" w:hAnsiTheme="minorHAnsi" w:cstheme="minorBidi"/>
                <w:smallCaps w:val="0"/>
                <w:noProof/>
                <w:sz w:val="22"/>
                <w:szCs w:val="22"/>
              </w:rPr>
              <w:tab/>
            </w:r>
            <w:r>
              <w:rPr>
                <w:rStyle w:val="Hyperlink"/>
                <w:rFonts w:eastAsia="Calibri"/>
                <w:b/>
                <w:noProof/>
                <w:lang w:eastAsia="de-DE"/>
              </w:rPr>
              <w:t>Overall impact of DAB 4/2019 on the distribution of total own resources payments between Member States</w:t>
            </w:r>
            <w:r>
              <w:rPr>
                <w:noProof/>
                <w:webHidden/>
              </w:rPr>
              <w:tab/>
            </w:r>
            <w:r>
              <w:rPr>
                <w:noProof/>
                <w:webHidden/>
              </w:rPr>
              <w:fldChar w:fldCharType="begin"/>
            </w:r>
            <w:r>
              <w:rPr>
                <w:noProof/>
                <w:webHidden/>
              </w:rPr>
              <w:instrText xml:space="preserve"> PAGEREF _Toc12621012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rPr>
          </w:pPr>
          <w:hyperlink w:anchor="_Toc12621013" w:history="1">
            <w:r>
              <w:rPr>
                <w:rStyle w:val="Hyperlink"/>
                <w:rFonts w:eastAsia="Calibri"/>
                <w:b/>
                <w:noProof/>
                <w:lang w:eastAsia="de-DE"/>
              </w:rPr>
              <w:t>3.2</w:t>
            </w:r>
            <w:r>
              <w:rPr>
                <w:rFonts w:asciiTheme="minorHAnsi" w:eastAsiaTheme="minorEastAsia" w:hAnsiTheme="minorHAnsi" w:cstheme="minorBidi"/>
                <w:smallCaps w:val="0"/>
                <w:noProof/>
                <w:sz w:val="22"/>
                <w:szCs w:val="22"/>
              </w:rPr>
              <w:tab/>
            </w:r>
            <w:r>
              <w:rPr>
                <w:rStyle w:val="Hyperlink"/>
                <w:rFonts w:eastAsia="Calibri"/>
                <w:b/>
                <w:noProof/>
                <w:lang w:eastAsia="de-DE"/>
              </w:rPr>
              <w:t>Revision of the forecast of TOR, VAT and GNI bases</w:t>
            </w:r>
            <w:r>
              <w:rPr>
                <w:noProof/>
                <w:webHidden/>
              </w:rPr>
              <w:tab/>
            </w:r>
            <w:r>
              <w:rPr>
                <w:noProof/>
                <w:webHidden/>
              </w:rPr>
              <w:fldChar w:fldCharType="begin"/>
            </w:r>
            <w:r>
              <w:rPr>
                <w:noProof/>
                <w:webHidden/>
              </w:rPr>
              <w:instrText xml:space="preserve"> PAGEREF _Toc12621013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rPr>
          </w:pPr>
          <w:hyperlink w:anchor="_Toc12621014" w:history="1">
            <w:r>
              <w:rPr>
                <w:rStyle w:val="Hyperlink"/>
                <w:rFonts w:eastAsia="Calibri"/>
                <w:b/>
                <w:noProof/>
                <w:lang w:eastAsia="de-DE"/>
              </w:rPr>
              <w:t>3.3</w:t>
            </w:r>
            <w:r>
              <w:rPr>
                <w:rFonts w:asciiTheme="minorHAnsi" w:eastAsiaTheme="minorEastAsia" w:hAnsiTheme="minorHAnsi" w:cstheme="minorBidi"/>
                <w:smallCaps w:val="0"/>
                <w:noProof/>
                <w:sz w:val="22"/>
                <w:szCs w:val="22"/>
              </w:rPr>
              <w:tab/>
            </w:r>
            <w:r>
              <w:rPr>
                <w:rStyle w:val="Hyperlink"/>
                <w:rFonts w:eastAsia="Calibri"/>
                <w:b/>
                <w:noProof/>
                <w:lang w:eastAsia="de-DE"/>
              </w:rPr>
              <w:t>2018 and 2015 UK correction</w:t>
            </w:r>
            <w:r>
              <w:rPr>
                <w:noProof/>
                <w:webHidden/>
              </w:rPr>
              <w:tab/>
            </w:r>
            <w:r>
              <w:rPr>
                <w:noProof/>
                <w:webHidden/>
              </w:rPr>
              <w:fldChar w:fldCharType="begin"/>
            </w:r>
            <w:r>
              <w:rPr>
                <w:noProof/>
                <w:webHidden/>
              </w:rPr>
              <w:instrText xml:space="preserve"> PAGEREF _Toc12621014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15" w:history="1">
            <w:r>
              <w:rPr>
                <w:rStyle w:val="Hyperlink"/>
                <w:rFonts w:eastAsia="Calibri"/>
                <w:i/>
                <w:noProof/>
                <w:lang w:eastAsia="de-DE"/>
              </w:rPr>
              <w:t>3.3.1</w:t>
            </w:r>
            <w:r>
              <w:rPr>
                <w:rFonts w:asciiTheme="minorHAnsi" w:eastAsiaTheme="minorEastAsia" w:hAnsiTheme="minorHAnsi" w:cstheme="minorBidi"/>
                <w:smallCaps w:val="0"/>
                <w:noProof/>
                <w:sz w:val="22"/>
                <w:szCs w:val="22"/>
              </w:rPr>
              <w:tab/>
            </w:r>
            <w:r>
              <w:rPr>
                <w:rStyle w:val="Hyperlink"/>
                <w:rFonts w:eastAsia="Calibri"/>
                <w:i/>
                <w:noProof/>
                <w:lang w:eastAsia="de-DE"/>
              </w:rPr>
              <w:t>Introduction</w:t>
            </w:r>
            <w:r>
              <w:rPr>
                <w:noProof/>
                <w:webHidden/>
              </w:rPr>
              <w:tab/>
            </w:r>
            <w:r>
              <w:rPr>
                <w:noProof/>
                <w:webHidden/>
              </w:rPr>
              <w:fldChar w:fldCharType="begin"/>
            </w:r>
            <w:r>
              <w:rPr>
                <w:noProof/>
                <w:webHidden/>
              </w:rPr>
              <w:instrText xml:space="preserve"> PAGEREF _Toc12621015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16" w:history="1">
            <w:r>
              <w:rPr>
                <w:rStyle w:val="Hyperlink"/>
                <w:rFonts w:eastAsia="Calibri"/>
                <w:i/>
                <w:noProof/>
                <w:lang w:eastAsia="de-DE"/>
              </w:rPr>
              <w:t>3.3.2</w:t>
            </w:r>
            <w:r>
              <w:rPr>
                <w:rFonts w:asciiTheme="minorHAnsi" w:eastAsiaTheme="minorEastAsia" w:hAnsiTheme="minorHAnsi" w:cstheme="minorBidi"/>
                <w:smallCaps w:val="0"/>
                <w:noProof/>
                <w:sz w:val="22"/>
                <w:szCs w:val="22"/>
              </w:rPr>
              <w:tab/>
            </w:r>
            <w:r>
              <w:rPr>
                <w:rStyle w:val="Hyperlink"/>
                <w:rFonts w:eastAsia="Calibri"/>
                <w:i/>
                <w:noProof/>
                <w:lang w:eastAsia="de-DE"/>
              </w:rPr>
              <w:t>Calculation of the corrections</w:t>
            </w:r>
            <w:r>
              <w:rPr>
                <w:noProof/>
                <w:webHidden/>
              </w:rPr>
              <w:tab/>
            </w:r>
            <w:r>
              <w:rPr>
                <w:noProof/>
                <w:webHidden/>
              </w:rPr>
              <w:fldChar w:fldCharType="begin"/>
            </w:r>
            <w:r>
              <w:rPr>
                <w:noProof/>
                <w:webHidden/>
              </w:rPr>
              <w:instrText xml:space="preserve"> PAGEREF _Toc12621016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12621017" w:history="1">
            <w:r>
              <w:rPr>
                <w:rStyle w:val="Hyperlink"/>
                <w:rFonts w:eastAsia="Calibri"/>
                <w:i/>
                <w:noProof/>
                <w:lang w:eastAsia="de-DE"/>
              </w:rPr>
              <w:t>3.3.3</w:t>
            </w:r>
            <w:r>
              <w:rPr>
                <w:rFonts w:asciiTheme="minorHAnsi" w:eastAsiaTheme="minorEastAsia" w:hAnsiTheme="minorHAnsi" w:cstheme="minorBidi"/>
                <w:smallCaps w:val="0"/>
                <w:noProof/>
                <w:sz w:val="22"/>
                <w:szCs w:val="22"/>
              </w:rPr>
              <w:tab/>
            </w:r>
            <w:r>
              <w:rPr>
                <w:rStyle w:val="Hyperlink"/>
                <w:rFonts w:eastAsia="Calibri"/>
                <w:i/>
                <w:noProof/>
                <w:lang w:eastAsia="de-DE"/>
              </w:rPr>
              <w:t>Entry in DAB 4/2019 of the 1st update of the 2018 UK correction and definitive amount of the 2015 UK correction</w:t>
            </w:r>
            <w:r>
              <w:rPr>
                <w:noProof/>
                <w:webHidden/>
              </w:rPr>
              <w:tab/>
            </w:r>
            <w:r>
              <w:rPr>
                <w:noProof/>
                <w:webHidden/>
              </w:rPr>
              <w:fldChar w:fldCharType="begin"/>
            </w:r>
            <w:r>
              <w:rPr>
                <w:noProof/>
                <w:webHidden/>
              </w:rPr>
              <w:instrText xml:space="preserve"> PAGEREF _Toc12621017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12621018"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_Toc12621018 \h </w:instrText>
            </w:r>
            <w:r>
              <w:rPr>
                <w:noProof/>
                <w:webHidden/>
              </w:rPr>
            </w:r>
            <w:r>
              <w:rPr>
                <w:noProof/>
                <w:webHidden/>
              </w:rPr>
              <w:fldChar w:fldCharType="separate"/>
            </w:r>
            <w:r>
              <w:rPr>
                <w:noProof/>
                <w:webHidden/>
              </w:rPr>
              <w:t>17</w:t>
            </w:r>
            <w:r>
              <w:rPr>
                <w:noProof/>
                <w:webHidden/>
              </w:rPr>
              <w:fldChar w:fldCharType="end"/>
            </w:r>
          </w:hyperlink>
        </w:p>
        <w:p>
          <w:pPr>
            <w:pStyle w:val="ManualHeading1"/>
            <w:ind w:left="0" w:firstLine="0"/>
            <w:rPr>
              <w:bCs/>
              <w:noProof/>
            </w:rPr>
          </w:pPr>
          <w:r>
            <w:rPr>
              <w:b w:val="0"/>
              <w:bCs/>
              <w:noProof/>
            </w:rPr>
            <w:fldChar w:fldCharType="end"/>
          </w:r>
        </w:p>
      </w:sdtContent>
    </w:sdt>
    <w:p>
      <w:pPr>
        <w:rPr>
          <w:b/>
          <w:noProof/>
          <w:u w:val="single"/>
          <w:lang w:eastAsia="de-DE"/>
        </w:rPr>
        <w:sectPr>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pPr>
        <w:pStyle w:val="Exposdesmotifstitre"/>
        <w:rPr>
          <w:noProof/>
        </w:rPr>
      </w:pPr>
      <w:r>
        <w:rPr>
          <w:noProof/>
        </w:rPr>
        <w:t>EXPLANATORY MEMORANDUM</w:t>
      </w:r>
    </w:p>
    <w:p>
      <w:pPr>
        <w:pStyle w:val="ManualHeading1"/>
        <w:rPr>
          <w:noProof/>
        </w:rPr>
      </w:pPr>
      <w:bookmarkStart w:id="5" w:name="_Toc385506031"/>
      <w:bookmarkStart w:id="6" w:name="_Toc430865946"/>
      <w:bookmarkStart w:id="7" w:name="_Toc430867524"/>
      <w:bookmarkStart w:id="8" w:name="_Toc514181799"/>
      <w:bookmarkStart w:id="9" w:name="_Toc12620994"/>
      <w:bookmarkStart w:id="10" w:name="_Toc351469332"/>
      <w:bookmarkStart w:id="11" w:name="_Toc361649879"/>
      <w:bookmarkEnd w:id="2"/>
      <w:r>
        <w:rPr>
          <w:noProof/>
        </w:rPr>
        <w:t>1.</w:t>
      </w:r>
      <w:r>
        <w:rPr>
          <w:noProof/>
        </w:rPr>
        <w:tab/>
        <w:t>Introduction</w:t>
      </w:r>
      <w:bookmarkEnd w:id="5"/>
      <w:bookmarkEnd w:id="6"/>
      <w:bookmarkEnd w:id="7"/>
      <w:bookmarkEnd w:id="8"/>
      <w:bookmarkEnd w:id="9"/>
    </w:p>
    <w:p>
      <w:pPr>
        <w:pStyle w:val="ListDash"/>
        <w:numPr>
          <w:ilvl w:val="0"/>
          <w:numId w:val="0"/>
        </w:numPr>
        <w:rPr>
          <w:noProof/>
        </w:rPr>
      </w:pPr>
      <w:bookmarkStart w:id="12" w:name="_Toc514181800"/>
      <w:bookmarkStart w:id="13" w:name="_Toc462410050"/>
      <w:bookmarkStart w:id="14" w:name="_Toc430865947"/>
      <w:bookmarkStart w:id="15" w:name="_Toc430867525"/>
      <w:r>
        <w:rPr>
          <w:noProof/>
        </w:rPr>
        <w:t>The purpose of Draft Amending Budget (DAB) No 4 for the year 2019 is to update both the expenditure and the revenue sides of the budget to take account of the latest developments:</w:t>
      </w:r>
    </w:p>
    <w:p>
      <w:pPr>
        <w:pStyle w:val="Tiret0"/>
        <w:rPr>
          <w:noProof/>
        </w:rPr>
      </w:pPr>
      <w:r>
        <w:rPr>
          <w:noProof/>
        </w:rPr>
        <w:t>on the expenditure side:</w:t>
      </w:r>
    </w:p>
    <w:p>
      <w:pPr>
        <w:pStyle w:val="Tiret0"/>
        <w:tabs>
          <w:tab w:val="clear" w:pos="850"/>
          <w:tab w:val="num" w:pos="1570"/>
        </w:tabs>
        <w:ind w:left="1570"/>
        <w:rPr>
          <w:noProof/>
        </w:rPr>
      </w:pPr>
      <w:r>
        <w:rPr>
          <w:noProof/>
        </w:rPr>
        <w:t xml:space="preserve">to release commitment and payment appropriations of budget lines for headings 1a </w:t>
      </w:r>
      <w:r>
        <w:rPr>
          <w:i/>
          <w:noProof/>
        </w:rPr>
        <w:t>Competitiveness for growth and jobs</w:t>
      </w:r>
      <w:r>
        <w:rPr>
          <w:noProof/>
        </w:rPr>
        <w:t xml:space="preserve">, 1b </w:t>
      </w:r>
      <w:r>
        <w:rPr>
          <w:i/>
          <w:noProof/>
        </w:rPr>
        <w:t>Economic, Social and Territorial Cohesion</w:t>
      </w:r>
      <w:r>
        <w:rPr>
          <w:noProof/>
        </w:rPr>
        <w:t xml:space="preserve">, 3 </w:t>
      </w:r>
      <w:r>
        <w:rPr>
          <w:i/>
          <w:noProof/>
        </w:rPr>
        <w:t>Security and Citizenship</w:t>
      </w:r>
      <w:r>
        <w:rPr>
          <w:noProof/>
        </w:rPr>
        <w:t xml:space="preserve">, 4 </w:t>
      </w:r>
      <w:r>
        <w:rPr>
          <w:i/>
          <w:noProof/>
        </w:rPr>
        <w:t>Global Europe</w:t>
      </w:r>
      <w:r>
        <w:rPr>
          <w:noProof/>
        </w:rPr>
        <w:t xml:space="preserve"> as well as the European Union solidarity fund;</w:t>
      </w:r>
    </w:p>
    <w:p>
      <w:pPr>
        <w:pStyle w:val="Tiret0"/>
        <w:tabs>
          <w:tab w:val="clear" w:pos="850"/>
          <w:tab w:val="num" w:pos="1570"/>
        </w:tabs>
        <w:ind w:left="1570"/>
        <w:rPr>
          <w:noProof/>
        </w:rPr>
      </w:pPr>
      <w:r>
        <w:rPr>
          <w:noProof/>
        </w:rPr>
        <w:t>to adjust the budget 2019 of some institutions as a result of the postponement of the withdrawal of the United Kingdom from the European Union to 31 October 2019.</w:t>
      </w:r>
    </w:p>
    <w:p>
      <w:pPr>
        <w:pStyle w:val="Tiret0"/>
        <w:rPr>
          <w:noProof/>
        </w:rPr>
      </w:pPr>
      <w:r>
        <w:rPr>
          <w:noProof/>
        </w:rPr>
        <w:t>on the revenue side, to revise the forecast of Traditional Own Resources (i.e. customs duties and sugar sector levies), value-added tax (VAT) and gross national income (GNI) bases, and to budget the relevant UK corrections and their financing, which all affect the distribution of own resources contributions from Member States to the EU budget.</w:t>
      </w:r>
    </w:p>
    <w:p>
      <w:pPr>
        <w:keepNext/>
        <w:tabs>
          <w:tab w:val="left" w:pos="850"/>
        </w:tabs>
        <w:spacing w:before="240" w:after="120"/>
        <w:ind w:left="851" w:hanging="851"/>
        <w:jc w:val="both"/>
        <w:outlineLvl w:val="0"/>
        <w:rPr>
          <w:b/>
          <w:smallCaps/>
          <w:noProof/>
          <w:lang w:eastAsia="de-DE"/>
        </w:rPr>
      </w:pPr>
      <w:bookmarkStart w:id="16" w:name="_Toc12620995"/>
      <w:r>
        <w:rPr>
          <w:b/>
          <w:smallCaps/>
          <w:noProof/>
          <w:lang w:eastAsia="de-DE"/>
        </w:rPr>
        <w:t>2.</w:t>
      </w:r>
      <w:r>
        <w:rPr>
          <w:b/>
          <w:smallCaps/>
          <w:noProof/>
          <w:lang w:eastAsia="de-DE"/>
        </w:rPr>
        <w:tab/>
        <w:t>Update of expenditure</w:t>
      </w:r>
      <w:bookmarkEnd w:id="16"/>
    </w:p>
    <w:p>
      <w:pPr>
        <w:keepNext/>
        <w:tabs>
          <w:tab w:val="left" w:pos="850"/>
        </w:tabs>
        <w:spacing w:before="360" w:after="120"/>
        <w:ind w:left="850" w:hanging="850"/>
        <w:jc w:val="both"/>
        <w:outlineLvl w:val="1"/>
        <w:rPr>
          <w:rFonts w:eastAsia="Calibri"/>
          <w:b/>
          <w:noProof/>
          <w:lang w:eastAsia="de-DE"/>
        </w:rPr>
      </w:pPr>
      <w:bookmarkStart w:id="17" w:name="_Toc12620996"/>
      <w:r>
        <w:rPr>
          <w:rFonts w:eastAsia="Calibri"/>
          <w:b/>
          <w:noProof/>
          <w:lang w:eastAsia="de-DE"/>
        </w:rPr>
        <w:t>2.1.</w:t>
      </w:r>
      <w:r>
        <w:rPr>
          <w:rFonts w:eastAsia="Calibri"/>
          <w:b/>
          <w:noProof/>
          <w:lang w:eastAsia="de-DE"/>
        </w:rPr>
        <w:tab/>
        <w:t>Decreases of commitment and payment appropriations</w:t>
      </w:r>
      <w:bookmarkEnd w:id="17"/>
    </w:p>
    <w:p>
      <w:pPr>
        <w:keepNext/>
        <w:tabs>
          <w:tab w:val="left" w:pos="850"/>
        </w:tabs>
        <w:spacing w:before="240" w:after="120"/>
        <w:ind w:left="850" w:hanging="850"/>
        <w:jc w:val="both"/>
        <w:outlineLvl w:val="1"/>
        <w:rPr>
          <w:rFonts w:eastAsia="Calibri"/>
          <w:i/>
          <w:noProof/>
          <w:lang w:eastAsia="de-DE"/>
        </w:rPr>
      </w:pPr>
      <w:bookmarkStart w:id="18" w:name="_Toc12620997"/>
      <w:r>
        <w:rPr>
          <w:rFonts w:eastAsia="Calibri"/>
          <w:i/>
          <w:noProof/>
          <w:lang w:eastAsia="de-DE"/>
        </w:rPr>
        <w:t>2.1.1</w:t>
      </w:r>
      <w:r>
        <w:rPr>
          <w:rFonts w:eastAsia="Calibri"/>
          <w:i/>
          <w:noProof/>
          <w:lang w:eastAsia="de-DE"/>
        </w:rPr>
        <w:tab/>
        <w:t>Financial supervision authorities (EBA, EIOPA and ESMA)</w:t>
      </w:r>
      <w:bookmarkEnd w:id="18"/>
    </w:p>
    <w:p>
      <w:pPr>
        <w:spacing w:before="120" w:after="240"/>
        <w:jc w:val="both"/>
        <w:rPr>
          <w:noProof/>
          <w:lang w:eastAsia="de-DE"/>
        </w:rPr>
      </w:pPr>
      <w:r>
        <w:rPr>
          <w:noProof/>
          <w:lang w:eastAsia="de-DE"/>
        </w:rPr>
        <w:t>In September 2017</w:t>
      </w:r>
      <w:r>
        <w:rPr>
          <w:rStyle w:val="FootnoteReference"/>
          <w:noProof/>
          <w:lang w:eastAsia="de-DE"/>
        </w:rPr>
        <w:footnoteReference w:id="7"/>
      </w:r>
      <w:r>
        <w:rPr>
          <w:noProof/>
          <w:lang w:eastAsia="de-DE"/>
        </w:rPr>
        <w:t>, the Commission proposed a major revision of the mandates of the European Banking Authority (EBA), the European Insurance and Occupational Pensions Authority (EIOPA) and the European Securities and Markets Authority (ESMA), requiring a substantial increase in human and financial resources, in particular for ESMA. A key element of the proposal was a shift to a new funding model, whereby the current funding key between the EU budget contribution (40 %) and the contribution from the national supervisory authorities (60 %), would be replaced by a combination of fee-financing and a balancing contribution from the EU budget. In parallel</w:t>
      </w:r>
      <w:r>
        <w:rPr>
          <w:rStyle w:val="FootnoteReference"/>
          <w:noProof/>
          <w:lang w:eastAsia="de-DE"/>
        </w:rPr>
        <w:footnoteReference w:id="8"/>
      </w:r>
      <w:r>
        <w:rPr>
          <w:noProof/>
          <w:lang w:eastAsia="de-DE"/>
        </w:rPr>
        <w:t>, the Commission also proposed a new mandate for ESMA in relation to the supervision of Central Counterparties (CCPs), requiring an increase in human resources as well as a pre-financing of these fee-financed activities, taking into account the time needed to put in place the fee system.</w:t>
      </w:r>
    </w:p>
    <w:p>
      <w:pPr>
        <w:spacing w:before="120" w:after="240"/>
        <w:jc w:val="both"/>
        <w:rPr>
          <w:noProof/>
          <w:lang w:eastAsia="de-DE"/>
        </w:rPr>
      </w:pPr>
      <w:r>
        <w:rPr>
          <w:noProof/>
          <w:lang w:eastAsia="de-DE"/>
        </w:rPr>
        <w:t>Political agreement on these proposals was reached in March 2019. As regards the revision of the mandates of EBA, EIOPA and ESMA, the compromise essentially entailed a more limited extension of the scope of the mandates, with a corresponding impact on the resources needs, whereas the current funding model (40 / 60 share between the EU budget and the national authorities) was retained. ESMA’s mandate in relation to the CCPs will be slightly reduced as compared to the Commission proposal. For both proposals, the budgetary impact will occur with a delay of one year. The Statement of Estimates for year 2020</w:t>
      </w:r>
      <w:r>
        <w:rPr>
          <w:rStyle w:val="FootnoteReference"/>
          <w:noProof/>
          <w:lang w:eastAsia="de-DE"/>
        </w:rPr>
        <w:footnoteReference w:id="9"/>
      </w:r>
      <w:r>
        <w:rPr>
          <w:noProof/>
          <w:lang w:eastAsia="de-DE"/>
        </w:rPr>
        <w:t xml:space="preserve"> already reflects the budgetary consequences for 2020. It is proposed to update in this DAB the 2019 budget both for the human and financial resources. </w:t>
      </w:r>
    </w:p>
    <w:p>
      <w:pPr>
        <w:spacing w:before="120" w:after="240"/>
        <w:jc w:val="both"/>
        <w:rPr>
          <w:noProof/>
          <w:lang w:eastAsia="de-DE"/>
        </w:rPr>
      </w:pPr>
      <w:r>
        <w:rPr>
          <w:noProof/>
          <w:lang w:eastAsia="de-DE"/>
        </w:rPr>
        <w:t>The proposed reduction in the EU contribution to EBA, EIOPA and ESMA is shown in the table below.</w:t>
      </w:r>
    </w:p>
    <w:p>
      <w:pPr>
        <w:rPr>
          <w:noProof/>
          <w:lang w:eastAsia="de-DE"/>
        </w:rPr>
      </w:pPr>
      <w:r>
        <w:rPr>
          <w:noProof/>
          <w:lang w:eastAsia="de-DE"/>
        </w:rPr>
        <w:br w:type="page"/>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rPr>
                <w:noProof/>
                <w:sz w:val="20"/>
                <w:szCs w:val="20"/>
              </w:rPr>
            </w:pPr>
            <w:r>
              <w:rPr>
                <w:noProof/>
                <w:color w:val="000000"/>
                <w:sz w:val="20"/>
                <w:szCs w:val="20"/>
              </w:rPr>
              <w:t>12 02 04</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European Banking Authority (EBA)</w:t>
            </w:r>
          </w:p>
        </w:tc>
        <w:tc>
          <w:tcPr>
            <w:tcW w:w="1701" w:type="dxa"/>
            <w:vAlign w:val="center"/>
          </w:tcPr>
          <w:p>
            <w:pPr>
              <w:widowControl w:val="0"/>
              <w:spacing w:before="15" w:after="15"/>
              <w:jc w:val="right"/>
              <w:rPr>
                <w:noProof/>
                <w:sz w:val="20"/>
                <w:szCs w:val="20"/>
              </w:rPr>
            </w:pPr>
            <w:r>
              <w:rPr>
                <w:noProof/>
                <w:color w:val="000000"/>
                <w:sz w:val="20"/>
                <w:szCs w:val="20"/>
              </w:rPr>
              <w:t>-2 490 000</w:t>
            </w:r>
          </w:p>
        </w:tc>
        <w:tc>
          <w:tcPr>
            <w:tcW w:w="1701" w:type="dxa"/>
            <w:vAlign w:val="center"/>
          </w:tcPr>
          <w:p>
            <w:pPr>
              <w:widowControl w:val="0"/>
              <w:spacing w:before="15" w:after="15"/>
              <w:jc w:val="right"/>
              <w:rPr>
                <w:noProof/>
                <w:sz w:val="20"/>
                <w:szCs w:val="20"/>
              </w:rPr>
            </w:pPr>
            <w:r>
              <w:rPr>
                <w:noProof/>
                <w:color w:val="000000"/>
                <w:sz w:val="20"/>
                <w:szCs w:val="20"/>
              </w:rPr>
              <w:t>-2 490 000</w:t>
            </w:r>
          </w:p>
        </w:tc>
      </w:tr>
      <w:tr>
        <w:trPr>
          <w:jc w:val="center"/>
        </w:trPr>
        <w:tc>
          <w:tcPr>
            <w:tcW w:w="1276" w:type="dxa"/>
            <w:vAlign w:val="center"/>
          </w:tcPr>
          <w:p>
            <w:pPr>
              <w:widowControl w:val="0"/>
              <w:spacing w:before="15" w:after="15"/>
              <w:ind w:right="-113"/>
              <w:rPr>
                <w:noProof/>
                <w:sz w:val="20"/>
                <w:szCs w:val="20"/>
              </w:rPr>
            </w:pPr>
            <w:r>
              <w:rPr>
                <w:noProof/>
                <w:color w:val="000000"/>
                <w:sz w:val="20"/>
                <w:szCs w:val="20"/>
              </w:rPr>
              <w:t>12 02 05</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European Insurance and Occupational Pensions Authority (EIOPA)</w:t>
            </w:r>
          </w:p>
        </w:tc>
        <w:tc>
          <w:tcPr>
            <w:tcW w:w="1701" w:type="dxa"/>
            <w:vAlign w:val="center"/>
          </w:tcPr>
          <w:p>
            <w:pPr>
              <w:widowControl w:val="0"/>
              <w:spacing w:before="15" w:after="15"/>
              <w:jc w:val="right"/>
              <w:rPr>
                <w:noProof/>
                <w:sz w:val="20"/>
                <w:szCs w:val="20"/>
              </w:rPr>
            </w:pPr>
            <w:r>
              <w:rPr>
                <w:noProof/>
                <w:color w:val="000000"/>
                <w:sz w:val="20"/>
                <w:szCs w:val="20"/>
              </w:rPr>
              <w:t>-2 360 000</w:t>
            </w:r>
          </w:p>
        </w:tc>
        <w:tc>
          <w:tcPr>
            <w:tcW w:w="1701" w:type="dxa"/>
            <w:vAlign w:val="center"/>
          </w:tcPr>
          <w:p>
            <w:pPr>
              <w:widowControl w:val="0"/>
              <w:spacing w:before="15" w:after="15"/>
              <w:jc w:val="right"/>
              <w:rPr>
                <w:noProof/>
                <w:sz w:val="20"/>
                <w:szCs w:val="20"/>
              </w:rPr>
            </w:pPr>
            <w:r>
              <w:rPr>
                <w:noProof/>
                <w:color w:val="000000"/>
                <w:sz w:val="20"/>
                <w:szCs w:val="20"/>
              </w:rPr>
              <w:t>-2 360 000</w:t>
            </w:r>
          </w:p>
        </w:tc>
      </w:tr>
      <w:tr>
        <w:trPr>
          <w:jc w:val="center"/>
        </w:trPr>
        <w:tc>
          <w:tcPr>
            <w:tcW w:w="1276" w:type="dxa"/>
            <w:vAlign w:val="center"/>
          </w:tcPr>
          <w:p>
            <w:pPr>
              <w:widowControl w:val="0"/>
              <w:spacing w:before="15" w:after="15"/>
              <w:ind w:right="-113"/>
              <w:rPr>
                <w:noProof/>
                <w:sz w:val="20"/>
                <w:szCs w:val="20"/>
              </w:rPr>
            </w:pPr>
            <w:r>
              <w:rPr>
                <w:noProof/>
                <w:color w:val="000000"/>
                <w:sz w:val="20"/>
                <w:szCs w:val="20"/>
              </w:rPr>
              <w:t>12 02 06</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European Securities and Markets Authority (ESMA)</w:t>
            </w:r>
          </w:p>
        </w:tc>
        <w:tc>
          <w:tcPr>
            <w:tcW w:w="1701" w:type="dxa"/>
            <w:vAlign w:val="center"/>
          </w:tcPr>
          <w:p>
            <w:pPr>
              <w:widowControl w:val="0"/>
              <w:spacing w:before="15" w:after="15"/>
              <w:jc w:val="right"/>
              <w:rPr>
                <w:noProof/>
                <w:sz w:val="20"/>
                <w:szCs w:val="20"/>
              </w:rPr>
            </w:pPr>
            <w:r>
              <w:rPr>
                <w:noProof/>
                <w:color w:val="000000"/>
                <w:sz w:val="20"/>
                <w:szCs w:val="20"/>
              </w:rPr>
              <w:t>-13 670 000</w:t>
            </w:r>
          </w:p>
        </w:tc>
        <w:tc>
          <w:tcPr>
            <w:tcW w:w="1701" w:type="dxa"/>
            <w:vAlign w:val="center"/>
          </w:tcPr>
          <w:p>
            <w:pPr>
              <w:widowControl w:val="0"/>
              <w:spacing w:before="15" w:after="15"/>
              <w:jc w:val="right"/>
              <w:rPr>
                <w:noProof/>
                <w:sz w:val="20"/>
                <w:szCs w:val="20"/>
              </w:rPr>
            </w:pPr>
            <w:r>
              <w:rPr>
                <w:noProof/>
                <w:color w:val="000000"/>
                <w:sz w:val="20"/>
                <w:szCs w:val="20"/>
              </w:rPr>
              <w:t>-13 670 000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-18 520 000</w:t>
            </w:r>
          </w:p>
        </w:tc>
        <w:tc>
          <w:tcPr>
            <w:tcW w:w="1701" w:type="dxa"/>
            <w:shd w:val="clear" w:color="auto" w:fill="D9D9D9"/>
          </w:tcPr>
          <w:p>
            <w:pPr>
              <w:widowControl w:val="0"/>
              <w:spacing w:before="15" w:after="15"/>
              <w:jc w:val="right"/>
              <w:rPr>
                <w:b/>
                <w:noProof/>
                <w:sz w:val="20"/>
                <w:szCs w:val="20"/>
              </w:rPr>
            </w:pPr>
            <w:r>
              <w:rPr>
                <w:b/>
                <w:noProof/>
                <w:sz w:val="20"/>
                <w:szCs w:val="20"/>
              </w:rPr>
              <w:t>-18 520 000</w:t>
            </w:r>
          </w:p>
        </w:tc>
      </w:tr>
    </w:tbl>
    <w:p>
      <w:pPr>
        <w:spacing w:before="120" w:after="240"/>
        <w:jc w:val="both"/>
        <w:rPr>
          <w:noProof/>
          <w:lang w:eastAsia="de-DE"/>
        </w:rPr>
      </w:pPr>
      <w:r>
        <w:rPr>
          <w:noProof/>
          <w:lang w:eastAsia="de-DE"/>
        </w:rPr>
        <w:t>The updated establishment plans of EBA (-10 posts), EIOPA (-9 posts) and ESMA (-27 posts) are set out in the budgetary annex.</w:t>
      </w:r>
    </w:p>
    <w:p>
      <w:pPr>
        <w:keepNext/>
        <w:tabs>
          <w:tab w:val="left" w:pos="850"/>
        </w:tabs>
        <w:spacing w:before="240" w:after="120"/>
        <w:ind w:left="850" w:hanging="850"/>
        <w:jc w:val="both"/>
        <w:outlineLvl w:val="1"/>
        <w:rPr>
          <w:rFonts w:eastAsia="Calibri"/>
          <w:i/>
          <w:noProof/>
          <w:lang w:eastAsia="de-DE"/>
        </w:rPr>
      </w:pPr>
      <w:bookmarkStart w:id="19" w:name="_Toc12620998"/>
      <w:r>
        <w:rPr>
          <w:rFonts w:eastAsia="Calibri"/>
          <w:i/>
          <w:noProof/>
          <w:lang w:eastAsia="de-DE"/>
        </w:rPr>
        <w:t>2.1.2</w:t>
      </w:r>
      <w:r>
        <w:rPr>
          <w:rFonts w:eastAsia="Calibri"/>
          <w:i/>
          <w:noProof/>
          <w:lang w:eastAsia="de-DE"/>
        </w:rPr>
        <w:tab/>
        <w:t>European Border and Coast Guard Agency (Frontex)</w:t>
      </w:r>
      <w:bookmarkEnd w:id="19"/>
    </w:p>
    <w:p>
      <w:pPr>
        <w:spacing w:before="120" w:after="240"/>
        <w:jc w:val="both"/>
        <w:rPr>
          <w:noProof/>
          <w:lang w:eastAsia="de-DE"/>
        </w:rPr>
      </w:pPr>
      <w:r>
        <w:rPr>
          <w:noProof/>
          <w:lang w:eastAsia="de-DE"/>
        </w:rPr>
        <w:t>In September 2018</w:t>
      </w:r>
      <w:r>
        <w:rPr>
          <w:noProof/>
          <w:vertAlign w:val="superscript"/>
          <w:lang w:eastAsia="de-DE"/>
        </w:rPr>
        <w:footnoteReference w:id="10"/>
      </w:r>
      <w:r>
        <w:rPr>
          <w:noProof/>
          <w:lang w:eastAsia="de-DE"/>
        </w:rPr>
        <w:t xml:space="preserve">, the Commission proposed to extend the mandate of the European Border and Coast Guard Agency (Frontex) to create a standing corps of 10 000 border guards by 2020. Awaiting the adoption of the legislative proposal, an amount of EUR 19,3 million was put in reserve in the 2019 budget to cover the costs of the planned recruitment of the first wave of border guards (375 posts and 375 contract agents) in the final quarter of 2019. </w:t>
      </w:r>
    </w:p>
    <w:p>
      <w:pPr>
        <w:spacing w:before="120" w:after="240"/>
        <w:jc w:val="both"/>
        <w:rPr>
          <w:noProof/>
          <w:lang w:eastAsia="de-DE"/>
        </w:rPr>
      </w:pPr>
      <w:r>
        <w:rPr>
          <w:noProof/>
          <w:lang w:eastAsia="de-DE"/>
        </w:rPr>
        <w:t xml:space="preserve">Political agreement was reached in March 2019 on the gradual creation of a standing corps of 10 000 border guards by 2027. Taking into account the expected entry into force of the Regulation around 1 November 2019, as the formal starting point for the actual recruitment of the standing corps of border guards, the Commission considers it prudent to keep an amount of EUR 7,2 million in the reserve to cover the salary expenditure for the first recruitments of the border guards in 2019. Consequently, the remaining amount in the reserve can be cancelled in this DAB. .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Differentiated appropriations (</w:t>
            </w:r>
            <w:r>
              <w:rPr>
                <w:i/>
                <w:noProof/>
                <w:sz w:val="16"/>
                <w:szCs w:val="16"/>
              </w:rPr>
              <w:t>Reserve for budget article 18 02 03 – European Border and Coast Guard Agency (FRONTEX)</w:t>
            </w:r>
          </w:p>
        </w:tc>
        <w:tc>
          <w:tcPr>
            <w:tcW w:w="1701" w:type="dxa"/>
          </w:tcPr>
          <w:p>
            <w:pPr>
              <w:widowControl w:val="0"/>
              <w:spacing w:before="15" w:after="15"/>
              <w:jc w:val="right"/>
              <w:rPr>
                <w:noProof/>
                <w:sz w:val="20"/>
                <w:szCs w:val="20"/>
              </w:rPr>
            </w:pPr>
            <w:r>
              <w:rPr>
                <w:noProof/>
                <w:sz w:val="20"/>
                <w:szCs w:val="20"/>
              </w:rPr>
              <w:t>-12 121 000</w:t>
            </w:r>
          </w:p>
        </w:tc>
        <w:tc>
          <w:tcPr>
            <w:tcW w:w="1701" w:type="dxa"/>
          </w:tcPr>
          <w:p>
            <w:pPr>
              <w:widowControl w:val="0"/>
              <w:spacing w:before="15" w:after="15"/>
              <w:jc w:val="right"/>
              <w:rPr>
                <w:noProof/>
                <w:sz w:val="20"/>
                <w:szCs w:val="20"/>
              </w:rPr>
            </w:pPr>
            <w:r>
              <w:rPr>
                <w:noProof/>
                <w:sz w:val="20"/>
                <w:szCs w:val="20"/>
              </w:rPr>
              <w:t>-12 121 000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-12 121 000</w:t>
            </w:r>
          </w:p>
        </w:tc>
        <w:tc>
          <w:tcPr>
            <w:tcW w:w="1701" w:type="dxa"/>
            <w:shd w:val="clear" w:color="auto" w:fill="D9D9D9"/>
          </w:tcPr>
          <w:p>
            <w:pPr>
              <w:widowControl w:val="0"/>
              <w:spacing w:before="15" w:after="15"/>
              <w:jc w:val="right"/>
              <w:rPr>
                <w:b/>
                <w:noProof/>
                <w:sz w:val="20"/>
                <w:szCs w:val="20"/>
              </w:rPr>
            </w:pPr>
            <w:r>
              <w:rPr>
                <w:b/>
                <w:noProof/>
                <w:sz w:val="20"/>
                <w:szCs w:val="20"/>
              </w:rPr>
              <w:t>-12 121 000</w:t>
            </w:r>
          </w:p>
        </w:tc>
      </w:tr>
    </w:tbl>
    <w:p>
      <w:pPr>
        <w:keepNext/>
        <w:tabs>
          <w:tab w:val="left" w:pos="850"/>
        </w:tabs>
        <w:spacing w:before="240" w:after="120"/>
        <w:ind w:left="850" w:hanging="850"/>
        <w:jc w:val="both"/>
        <w:outlineLvl w:val="1"/>
        <w:rPr>
          <w:rFonts w:eastAsia="Calibri"/>
          <w:i/>
          <w:noProof/>
          <w:lang w:eastAsia="de-DE"/>
        </w:rPr>
      </w:pPr>
      <w:bookmarkStart w:id="20" w:name="_Toc12620999"/>
      <w:r>
        <w:rPr>
          <w:rFonts w:eastAsia="Calibri"/>
          <w:i/>
          <w:noProof/>
          <w:lang w:eastAsia="de-DE"/>
        </w:rPr>
        <w:t>2.1.3</w:t>
      </w:r>
      <w:r>
        <w:rPr>
          <w:rFonts w:eastAsia="Calibri"/>
          <w:i/>
          <w:noProof/>
          <w:lang w:eastAsia="de-DE"/>
        </w:rPr>
        <w:tab/>
        <w:t>Recast Dublin III Regulation</w:t>
      </w:r>
      <w:bookmarkEnd w:id="20"/>
    </w:p>
    <w:p>
      <w:pPr>
        <w:spacing w:before="120" w:after="240"/>
        <w:jc w:val="both"/>
        <w:rPr>
          <w:noProof/>
          <w:lang w:eastAsia="de-DE"/>
        </w:rPr>
      </w:pPr>
      <w:r>
        <w:rPr>
          <w:noProof/>
          <w:lang w:eastAsia="de-DE"/>
        </w:rPr>
        <w:t xml:space="preserve">The voted budget 2019 contained EUR 460 million in commitment appropriations as a reserve related to the Commission proposal to recast the Dublin III Regulation, pending the adoption of the legal basis. In case the legal act is not adopted by 1 February 2019, the Commission may present one or more proposals for transfers in accordance with Article 31 of the Financial Regulation. </w:t>
      </w:r>
    </w:p>
    <w:p>
      <w:pPr>
        <w:spacing w:before="120" w:after="240"/>
        <w:jc w:val="both"/>
        <w:rPr>
          <w:noProof/>
          <w:lang w:eastAsia="de-DE"/>
        </w:rPr>
      </w:pPr>
      <w:r>
        <w:rPr>
          <w:noProof/>
          <w:lang w:eastAsia="de-DE"/>
        </w:rPr>
        <w:t xml:space="preserve">The first tranche of EUR 370 million was released in April 2019. In parallel with this draft amending budget, the Commission presents a second and final transfer request (DEC 15/2019) covering an amount of EUR 82,8 million, of which EUR 62,8 million to address additional funding needs for Greece in 2019 and EUR 20 million to prepare the next resettlement pledging exercise. Based on the Commission’s assessment of the related year-end needs in this area, the remaining amount in the reserve can be cancelled in this DAB. Nonetheless, the Commission will keep the developments on the ground under close review, and it may propose further correcting measures as necessary. </w:t>
      </w:r>
    </w:p>
    <w:p>
      <w:pPr>
        <w:rPr>
          <w:noProof/>
          <w:lang w:eastAsia="de-DE"/>
        </w:rPr>
      </w:pPr>
      <w:r>
        <w:rPr>
          <w:noProof/>
          <w:lang w:eastAsia="de-DE"/>
        </w:rPr>
        <w:br w:type="page"/>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Differentiated appropriations (</w:t>
            </w:r>
            <w:r>
              <w:rPr>
                <w:i/>
                <w:noProof/>
                <w:sz w:val="16"/>
                <w:szCs w:val="16"/>
              </w:rPr>
              <w:t>Reserve for budget article 18 03 01 01 – Strengthening and developing the common European asylum system and enhancing solidarity and responsibility-sharing between the Member States</w:t>
            </w:r>
          </w:p>
        </w:tc>
        <w:tc>
          <w:tcPr>
            <w:tcW w:w="1701" w:type="dxa"/>
          </w:tcPr>
          <w:p>
            <w:pPr>
              <w:widowControl w:val="0"/>
              <w:spacing w:before="15" w:after="15"/>
              <w:jc w:val="right"/>
              <w:rPr>
                <w:noProof/>
                <w:sz w:val="20"/>
                <w:szCs w:val="20"/>
              </w:rPr>
            </w:pPr>
            <w:r>
              <w:rPr>
                <w:noProof/>
                <w:sz w:val="20"/>
                <w:szCs w:val="20"/>
              </w:rPr>
              <w:t>-7 200 000</w:t>
            </w:r>
          </w:p>
        </w:tc>
        <w:tc>
          <w:tcPr>
            <w:tcW w:w="1701" w:type="dxa"/>
          </w:tcPr>
          <w:p>
            <w:pPr>
              <w:widowControl w:val="0"/>
              <w:spacing w:before="15" w:after="15"/>
              <w:jc w:val="right"/>
              <w:rPr>
                <w:noProof/>
                <w:sz w:val="20"/>
                <w:szCs w:val="20"/>
              </w:rPr>
            </w:pPr>
            <w:r>
              <w:rPr>
                <w:noProof/>
                <w:sz w:val="20"/>
                <w:szCs w:val="20"/>
              </w:rPr>
              <w:t>-7 200 000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-7 200 000</w:t>
            </w:r>
          </w:p>
        </w:tc>
        <w:tc>
          <w:tcPr>
            <w:tcW w:w="1701" w:type="dxa"/>
            <w:shd w:val="clear" w:color="auto" w:fill="D9D9D9"/>
          </w:tcPr>
          <w:p>
            <w:pPr>
              <w:widowControl w:val="0"/>
              <w:spacing w:before="15" w:after="15"/>
              <w:jc w:val="right"/>
              <w:rPr>
                <w:b/>
                <w:noProof/>
                <w:sz w:val="20"/>
                <w:szCs w:val="20"/>
              </w:rPr>
            </w:pPr>
            <w:r>
              <w:rPr>
                <w:b/>
                <w:noProof/>
                <w:sz w:val="20"/>
                <w:szCs w:val="20"/>
              </w:rPr>
              <w:t>-7 200 000</w:t>
            </w:r>
          </w:p>
        </w:tc>
      </w:tr>
    </w:tbl>
    <w:p>
      <w:pPr>
        <w:keepNext/>
        <w:tabs>
          <w:tab w:val="left" w:pos="850"/>
        </w:tabs>
        <w:spacing w:before="240" w:after="120"/>
        <w:ind w:left="850" w:hanging="850"/>
        <w:jc w:val="both"/>
        <w:outlineLvl w:val="1"/>
        <w:rPr>
          <w:rFonts w:eastAsia="Calibri"/>
          <w:i/>
          <w:noProof/>
          <w:lang w:eastAsia="de-DE"/>
        </w:rPr>
      </w:pPr>
      <w:bookmarkStart w:id="21" w:name="_Toc12621000"/>
      <w:r>
        <w:rPr>
          <w:rFonts w:eastAsia="Calibri"/>
          <w:i/>
          <w:noProof/>
          <w:lang w:eastAsia="de-DE"/>
        </w:rPr>
        <w:t>2.1.4.</w:t>
      </w:r>
      <w:r>
        <w:rPr>
          <w:rFonts w:eastAsia="Calibri"/>
          <w:i/>
          <w:noProof/>
          <w:lang w:eastAsia="de-DE"/>
        </w:rPr>
        <w:tab/>
        <w:t>European Public Prosecutor’s Office (EPPO)</w:t>
      </w:r>
      <w:bookmarkEnd w:id="21"/>
    </w:p>
    <w:p>
      <w:pPr>
        <w:spacing w:before="120" w:after="240"/>
        <w:jc w:val="both"/>
        <w:rPr>
          <w:noProof/>
          <w:lang w:eastAsia="de-DE"/>
        </w:rPr>
      </w:pPr>
      <w:r>
        <w:rPr>
          <w:noProof/>
          <w:lang w:eastAsia="de-DE"/>
        </w:rPr>
        <w:t>In October 2017, agreement was reached on the creation of the European Public Prosecutor’s Office (EPPO)</w:t>
      </w:r>
      <w:r>
        <w:rPr>
          <w:rFonts w:eastAsiaTheme="minorEastAsia"/>
          <w:noProof/>
          <w:vertAlign w:val="superscript"/>
        </w:rPr>
        <w:footnoteReference w:id="11"/>
      </w:r>
      <w:r>
        <w:rPr>
          <w:noProof/>
          <w:lang w:eastAsia="de-DE"/>
        </w:rPr>
        <w:t>. While the administrative set-up of the Office is well on its way, the appointment of the Chief Prosecutor of the EPPO has taken more time, and is currently expected to take place in the second half of 2019. This has a knock-on effect on certain other recruitments and some of the expenditure originally planned for 2019 will occur in 2020. As a consequence, the appropriation included in the 2019 budget can be reduced by EUR 1 million in 2019. The Statement of Estimates for year 2020 already reflects the budgetary consequences for 2020</w:t>
      </w:r>
      <w:r>
        <w:rPr>
          <w:rStyle w:val="FootnoteReference"/>
          <w:noProof/>
          <w:lang w:eastAsia="de-DE"/>
        </w:rPr>
        <w:footnoteReference w:id="12"/>
      </w:r>
      <w:r>
        <w:rPr>
          <w:noProof/>
          <w:lang w:eastAsia="de-DE"/>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szCs w:val="20"/>
              </w:rPr>
              <w:t>33 03 05</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European Public Prosecutor’s Office (EPPO)</w:t>
            </w:r>
          </w:p>
        </w:tc>
        <w:tc>
          <w:tcPr>
            <w:tcW w:w="1701" w:type="dxa"/>
            <w:vAlign w:val="center"/>
          </w:tcPr>
          <w:p>
            <w:pPr>
              <w:widowControl w:val="0"/>
              <w:spacing w:before="15" w:after="15"/>
              <w:jc w:val="right"/>
              <w:rPr>
                <w:noProof/>
                <w:sz w:val="20"/>
                <w:szCs w:val="20"/>
              </w:rPr>
            </w:pPr>
            <w:r>
              <w:rPr>
                <w:noProof/>
                <w:color w:val="000000"/>
                <w:sz w:val="20"/>
                <w:szCs w:val="20"/>
              </w:rPr>
              <w:t>-1 000 000</w:t>
            </w:r>
          </w:p>
        </w:tc>
        <w:tc>
          <w:tcPr>
            <w:tcW w:w="1701" w:type="dxa"/>
            <w:vAlign w:val="center"/>
          </w:tcPr>
          <w:p>
            <w:pPr>
              <w:widowControl w:val="0"/>
              <w:spacing w:before="15" w:after="15"/>
              <w:jc w:val="right"/>
              <w:rPr>
                <w:noProof/>
                <w:sz w:val="20"/>
                <w:szCs w:val="20"/>
              </w:rPr>
            </w:pPr>
            <w:r>
              <w:rPr>
                <w:noProof/>
                <w:color w:val="000000"/>
                <w:sz w:val="20"/>
                <w:szCs w:val="20"/>
              </w:rPr>
              <w:t>-1 000 000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-1 000 000</w:t>
            </w:r>
          </w:p>
        </w:tc>
        <w:tc>
          <w:tcPr>
            <w:tcW w:w="1701" w:type="dxa"/>
            <w:shd w:val="clear" w:color="auto" w:fill="D9D9D9"/>
          </w:tcPr>
          <w:p>
            <w:pPr>
              <w:widowControl w:val="0"/>
              <w:spacing w:before="15" w:after="15"/>
              <w:jc w:val="right"/>
              <w:rPr>
                <w:b/>
                <w:noProof/>
                <w:sz w:val="20"/>
                <w:szCs w:val="20"/>
              </w:rPr>
            </w:pPr>
            <w:r>
              <w:rPr>
                <w:b/>
                <w:noProof/>
                <w:sz w:val="20"/>
                <w:szCs w:val="20"/>
              </w:rPr>
              <w:t>-1 000 000</w:t>
            </w:r>
          </w:p>
        </w:tc>
      </w:tr>
    </w:tbl>
    <w:p>
      <w:pPr>
        <w:keepNext/>
        <w:tabs>
          <w:tab w:val="left" w:pos="850"/>
        </w:tabs>
        <w:spacing w:before="240" w:after="120"/>
        <w:ind w:left="850" w:hanging="850"/>
        <w:jc w:val="both"/>
        <w:outlineLvl w:val="1"/>
        <w:rPr>
          <w:rFonts w:eastAsia="Calibri"/>
          <w:i/>
          <w:noProof/>
          <w:lang w:eastAsia="de-DE"/>
        </w:rPr>
      </w:pPr>
      <w:bookmarkStart w:id="22" w:name="_Toc12621001"/>
      <w:r>
        <w:rPr>
          <w:rFonts w:eastAsia="Calibri"/>
          <w:i/>
          <w:noProof/>
          <w:lang w:eastAsia="de-DE"/>
        </w:rPr>
        <w:t>2.1.5.</w:t>
      </w:r>
      <w:r>
        <w:rPr>
          <w:rFonts w:eastAsia="Calibri"/>
          <w:i/>
          <w:noProof/>
          <w:lang w:eastAsia="de-DE"/>
        </w:rPr>
        <w:tab/>
        <w:t>European Social Fund – Operational technical Assistance</w:t>
      </w:r>
      <w:bookmarkEnd w:id="22"/>
    </w:p>
    <w:p>
      <w:pPr>
        <w:spacing w:before="120" w:after="240"/>
        <w:jc w:val="both"/>
        <w:rPr>
          <w:noProof/>
          <w:lang w:eastAsia="de-DE"/>
        </w:rPr>
      </w:pPr>
      <w:r>
        <w:rPr>
          <w:noProof/>
          <w:lang w:eastAsia="de-DE"/>
        </w:rPr>
        <w:t>Taking into account the latest assessment of actual needs in terms of commitment appropriations on budget item 04 02 63 01, EUR 8,3 million can be cancelled without jeopardising the smooth implementation of technical assistance activities under the European Social Fund.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szCs w:val="20"/>
              </w:rPr>
              <w:t>04 02 63 01</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European Social Fund – Operational technical assistance</w:t>
            </w:r>
          </w:p>
        </w:tc>
        <w:tc>
          <w:tcPr>
            <w:tcW w:w="1701" w:type="dxa"/>
            <w:vAlign w:val="center"/>
          </w:tcPr>
          <w:p>
            <w:pPr>
              <w:widowControl w:val="0"/>
              <w:spacing w:before="15" w:after="15"/>
              <w:jc w:val="right"/>
              <w:rPr>
                <w:noProof/>
                <w:sz w:val="20"/>
                <w:szCs w:val="20"/>
              </w:rPr>
            </w:pPr>
            <w:r>
              <w:rPr>
                <w:noProof/>
                <w:color w:val="000000"/>
                <w:sz w:val="20"/>
                <w:szCs w:val="20"/>
              </w:rPr>
              <w:t>-8 300 000</w:t>
            </w:r>
          </w:p>
        </w:tc>
        <w:tc>
          <w:tcPr>
            <w:tcW w:w="1701" w:type="dxa"/>
            <w:vAlign w:val="center"/>
          </w:tcPr>
          <w:p>
            <w:pPr>
              <w:widowControl w:val="0"/>
              <w:spacing w:before="15" w:after="15"/>
              <w:jc w:val="right"/>
              <w:rPr>
                <w:noProof/>
                <w:sz w:val="20"/>
                <w:szCs w:val="20"/>
              </w:rPr>
            </w:pPr>
            <w:r>
              <w:rPr>
                <w:noProof/>
                <w:color w:val="000000"/>
                <w:sz w:val="20"/>
                <w:szCs w:val="20"/>
              </w:rPr>
              <w:t>-</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-8 300 000</w:t>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w:t>
            </w:r>
          </w:p>
        </w:tc>
      </w:tr>
    </w:tbl>
    <w:p>
      <w:pPr>
        <w:keepNext/>
        <w:tabs>
          <w:tab w:val="left" w:pos="850"/>
        </w:tabs>
        <w:spacing w:before="240" w:after="120"/>
        <w:ind w:left="850" w:hanging="850"/>
        <w:jc w:val="both"/>
        <w:outlineLvl w:val="1"/>
        <w:rPr>
          <w:rFonts w:eastAsia="Calibri"/>
          <w:i/>
          <w:noProof/>
          <w:lang w:eastAsia="de-DE"/>
        </w:rPr>
      </w:pPr>
      <w:bookmarkStart w:id="23" w:name="_Toc12621002"/>
      <w:r>
        <w:rPr>
          <w:rFonts w:eastAsia="Calibri"/>
          <w:i/>
          <w:noProof/>
          <w:lang w:eastAsia="de-DE"/>
        </w:rPr>
        <w:t>2.1.6.</w:t>
      </w:r>
      <w:r>
        <w:rPr>
          <w:rFonts w:eastAsia="Calibri"/>
          <w:i/>
          <w:noProof/>
          <w:lang w:eastAsia="de-DE"/>
        </w:rPr>
        <w:tab/>
        <w:t>Emergency Support Instrument (ESI)</w:t>
      </w:r>
      <w:bookmarkEnd w:id="23"/>
    </w:p>
    <w:p>
      <w:pPr>
        <w:spacing w:before="120" w:after="240"/>
        <w:jc w:val="both"/>
        <w:rPr>
          <w:noProof/>
          <w:lang w:eastAsia="de-DE"/>
        </w:rPr>
      </w:pPr>
      <w:r>
        <w:rPr>
          <w:noProof/>
          <w:lang w:eastAsia="de-DE"/>
        </w:rPr>
        <w:t>The Emergency Support Instrument provides needs-based emergency support aimed at preserving life, preventing and alleviating human suffering, and maintaining human dignity, complementing the response of the affected Member States. The first intervention under the ESI started in 2016 and it is currently being phased out.</w:t>
      </w:r>
    </w:p>
    <w:p>
      <w:pPr>
        <w:spacing w:before="120" w:after="240"/>
        <w:jc w:val="both"/>
        <w:rPr>
          <w:noProof/>
          <w:lang w:eastAsia="de-DE"/>
        </w:rPr>
      </w:pPr>
      <w:r>
        <w:rPr>
          <w:noProof/>
          <w:lang w:eastAsia="de-DE"/>
        </w:rPr>
        <w:t>The current allocation for the support expenditure of ESI is EUR 250 000. In line with the revised forecast of required appropriations, EUR 120 000 may be cancelled.</w:t>
      </w:r>
    </w:p>
    <w:p>
      <w:pPr>
        <w:rPr>
          <w:noProof/>
          <w:lang w:eastAsia="de-DE"/>
        </w:rPr>
      </w:pPr>
      <w:r>
        <w:rPr>
          <w:noProof/>
          <w:lang w:eastAsia="de-DE"/>
        </w:rPr>
        <w:br w:type="page"/>
      </w:r>
    </w:p>
    <w:p>
      <w:pPr>
        <w:spacing w:before="120" w:after="240"/>
        <w:jc w:val="both"/>
        <w:rPr>
          <w:noProof/>
          <w:lang w:eastAsia="de-DE"/>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szCs w:val="20"/>
              </w:rPr>
              <w:t>18 01 04 05</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Support expenditure for emergency support within the Union</w:t>
            </w:r>
          </w:p>
        </w:tc>
        <w:tc>
          <w:tcPr>
            <w:tcW w:w="1701" w:type="dxa"/>
            <w:vAlign w:val="center"/>
          </w:tcPr>
          <w:p>
            <w:pPr>
              <w:widowControl w:val="0"/>
              <w:spacing w:before="15" w:after="15"/>
              <w:jc w:val="right"/>
              <w:rPr>
                <w:noProof/>
                <w:sz w:val="20"/>
                <w:szCs w:val="20"/>
              </w:rPr>
            </w:pPr>
            <w:r>
              <w:rPr>
                <w:noProof/>
                <w:color w:val="000000"/>
                <w:sz w:val="20"/>
                <w:szCs w:val="20"/>
              </w:rPr>
              <w:t>-120 000</w:t>
            </w:r>
          </w:p>
        </w:tc>
        <w:tc>
          <w:tcPr>
            <w:tcW w:w="1701" w:type="dxa"/>
            <w:vAlign w:val="center"/>
          </w:tcPr>
          <w:p>
            <w:pPr>
              <w:widowControl w:val="0"/>
              <w:spacing w:before="15" w:after="15"/>
              <w:jc w:val="right"/>
              <w:rPr>
                <w:noProof/>
                <w:sz w:val="20"/>
                <w:szCs w:val="20"/>
              </w:rPr>
            </w:pPr>
            <w:r>
              <w:rPr>
                <w:noProof/>
                <w:color w:val="000000"/>
                <w:sz w:val="20"/>
                <w:szCs w:val="20"/>
              </w:rPr>
              <w:t>-120 000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-120 000</w:t>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-120 000</w:t>
            </w:r>
          </w:p>
        </w:tc>
      </w:tr>
    </w:tbl>
    <w:p>
      <w:pPr>
        <w:keepNext/>
        <w:tabs>
          <w:tab w:val="left" w:pos="850"/>
        </w:tabs>
        <w:spacing w:before="240" w:after="120"/>
        <w:ind w:left="850" w:hanging="850"/>
        <w:jc w:val="both"/>
        <w:outlineLvl w:val="1"/>
        <w:rPr>
          <w:rFonts w:eastAsia="Calibri"/>
          <w:i/>
          <w:noProof/>
          <w:lang w:eastAsia="de-DE"/>
        </w:rPr>
      </w:pPr>
      <w:bookmarkStart w:id="24" w:name="_Toc12621003"/>
      <w:r>
        <w:rPr>
          <w:rFonts w:eastAsia="Calibri"/>
          <w:i/>
          <w:noProof/>
          <w:lang w:eastAsia="de-DE"/>
        </w:rPr>
        <w:t>2.1.7.</w:t>
      </w:r>
      <w:r>
        <w:rPr>
          <w:rFonts w:eastAsia="Calibri"/>
          <w:i/>
          <w:noProof/>
          <w:lang w:eastAsia="de-DE"/>
        </w:rPr>
        <w:tab/>
        <w:t>Union Civil Protection Mechanism (UCPM)</w:t>
      </w:r>
      <w:bookmarkEnd w:id="24"/>
    </w:p>
    <w:p>
      <w:pPr>
        <w:spacing w:before="120" w:after="240"/>
        <w:jc w:val="both"/>
        <w:rPr>
          <w:noProof/>
          <w:lang w:eastAsia="de-DE"/>
        </w:rPr>
      </w:pPr>
      <w:r>
        <w:rPr>
          <w:noProof/>
          <w:lang w:eastAsia="de-DE"/>
        </w:rPr>
        <w:t>The Union Civil Protection Mechanism aims at strengthening cooperation between participating states in the field of civil protection, with a view to improving prevention, preparedness and response to disasters.</w:t>
      </w:r>
    </w:p>
    <w:p>
      <w:pPr>
        <w:spacing w:before="120" w:after="240"/>
        <w:jc w:val="both"/>
        <w:rPr>
          <w:noProof/>
          <w:lang w:eastAsia="de-DE"/>
        </w:rPr>
      </w:pPr>
      <w:r>
        <w:rPr>
          <w:noProof/>
          <w:lang w:eastAsia="de-DE"/>
        </w:rPr>
        <w:t>Decision 2019/420 of the European Parliament and of the Council of 13 March 2019</w:t>
      </w:r>
      <w:r>
        <w:rPr>
          <w:rFonts w:eastAsiaTheme="minorEastAsia"/>
          <w:noProof/>
          <w:vertAlign w:val="superscript"/>
        </w:rPr>
        <w:footnoteReference w:id="13"/>
      </w:r>
      <w:r>
        <w:rPr>
          <w:noProof/>
          <w:lang w:eastAsia="de-DE"/>
        </w:rPr>
        <w:t xml:space="preserve"> has increased the 2014-2020 financial envelope for the Union Civil Protection Mechanism to EUR 574 million. Following the political agreement between the Council and the European Parliament and taking into account the later than foreseen adoption of the aforementioned amending decision, the 2019 allocations for the Union Civil Protection Mechanism should be reduced accordingly. The amounts in reserve exceeding the agreed allocations for 2019 may be cancelled.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tblHeade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rPr>
          <w:tblHeade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Differentiated appropriations (</w:t>
            </w:r>
            <w:r>
              <w:rPr>
                <w:i/>
                <w:noProof/>
                <w:sz w:val="16"/>
                <w:szCs w:val="16"/>
              </w:rPr>
              <w:t>Reserve for budget item 23 03 01 01 – Disaster prevention and preparedness within the Union</w:t>
            </w:r>
          </w:p>
        </w:tc>
        <w:tc>
          <w:tcPr>
            <w:tcW w:w="1701" w:type="dxa"/>
          </w:tcPr>
          <w:p>
            <w:pPr>
              <w:widowControl w:val="0"/>
              <w:spacing w:before="15" w:after="15"/>
              <w:jc w:val="right"/>
              <w:rPr>
                <w:noProof/>
                <w:sz w:val="20"/>
                <w:szCs w:val="20"/>
              </w:rPr>
            </w:pPr>
            <w:r>
              <w:rPr>
                <w:noProof/>
                <w:sz w:val="20"/>
                <w:szCs w:val="20"/>
              </w:rPr>
              <w:t>-35 000 000</w:t>
            </w:r>
          </w:p>
        </w:tc>
        <w:tc>
          <w:tcPr>
            <w:tcW w:w="1701" w:type="dxa"/>
          </w:tcPr>
          <w:p>
            <w:pPr>
              <w:widowControl w:val="0"/>
              <w:spacing w:before="15" w:after="15"/>
              <w:jc w:val="right"/>
              <w:rPr>
                <w:noProof/>
                <w:sz w:val="20"/>
                <w:szCs w:val="20"/>
              </w:rPr>
            </w:pPr>
            <w:r>
              <w:rPr>
                <w:noProof/>
                <w:color w:val="000000"/>
                <w:sz w:val="20"/>
                <w:szCs w:val="20"/>
              </w:rPr>
              <w:t>-26 390 000</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Differentiated appropriations (</w:t>
            </w:r>
            <w:r>
              <w:rPr>
                <w:i/>
                <w:noProof/>
                <w:sz w:val="16"/>
                <w:szCs w:val="16"/>
              </w:rPr>
              <w:t xml:space="preserve">Reserve for budget item 23 03 02 01 – </w:t>
            </w:r>
            <w:r>
              <w:rPr>
                <w:i/>
                <w:noProof/>
                <w:color w:val="000000"/>
                <w:sz w:val="16"/>
                <w:szCs w:val="16"/>
              </w:rPr>
              <w:t>Rapid and efficient emergency response interventions in the event of major disasters within the Union</w:t>
            </w:r>
          </w:p>
        </w:tc>
        <w:tc>
          <w:tcPr>
            <w:tcW w:w="1701" w:type="dxa"/>
          </w:tcPr>
          <w:p>
            <w:pPr>
              <w:widowControl w:val="0"/>
              <w:spacing w:before="15" w:after="15"/>
              <w:jc w:val="right"/>
              <w:rPr>
                <w:noProof/>
                <w:sz w:val="20"/>
                <w:szCs w:val="20"/>
              </w:rPr>
            </w:pPr>
            <w:r>
              <w:rPr>
                <w:noProof/>
                <w:sz w:val="20"/>
                <w:szCs w:val="20"/>
              </w:rPr>
              <w:t>-</w:t>
            </w:r>
          </w:p>
        </w:tc>
        <w:tc>
          <w:tcPr>
            <w:tcW w:w="1701" w:type="dxa"/>
          </w:tcPr>
          <w:p>
            <w:pPr>
              <w:widowControl w:val="0"/>
              <w:spacing w:before="15" w:after="15"/>
              <w:jc w:val="right"/>
              <w:rPr>
                <w:noProof/>
                <w:sz w:val="20"/>
                <w:szCs w:val="20"/>
              </w:rPr>
            </w:pPr>
            <w:r>
              <w:rPr>
                <w:noProof/>
                <w:sz w:val="20"/>
                <w:szCs w:val="20"/>
              </w:rPr>
              <w:t>-170 514</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Differentiated appropriations (</w:t>
            </w:r>
            <w:r>
              <w:rPr>
                <w:i/>
                <w:noProof/>
                <w:sz w:val="16"/>
                <w:szCs w:val="16"/>
              </w:rPr>
              <w:t xml:space="preserve">Reserve for budget item 23 03 02 02 – </w:t>
            </w:r>
            <w:r>
              <w:rPr>
                <w:i/>
                <w:noProof/>
                <w:color w:val="000000"/>
                <w:sz w:val="16"/>
                <w:szCs w:val="16"/>
              </w:rPr>
              <w:t>Rapid and efficient emergency response interventions in the event of major disasters in third countries</w:t>
            </w:r>
          </w:p>
        </w:tc>
        <w:tc>
          <w:tcPr>
            <w:tcW w:w="1701" w:type="dxa"/>
          </w:tcPr>
          <w:p>
            <w:pPr>
              <w:widowControl w:val="0"/>
              <w:spacing w:before="15" w:after="15"/>
              <w:jc w:val="right"/>
              <w:rPr>
                <w:noProof/>
                <w:sz w:val="20"/>
                <w:szCs w:val="20"/>
              </w:rPr>
            </w:pPr>
            <w:r>
              <w:rPr>
                <w:noProof/>
                <w:sz w:val="20"/>
                <w:szCs w:val="20"/>
              </w:rPr>
              <w:t>-</w:t>
            </w:r>
          </w:p>
        </w:tc>
        <w:tc>
          <w:tcPr>
            <w:tcW w:w="1701" w:type="dxa"/>
          </w:tcPr>
          <w:p>
            <w:pPr>
              <w:widowControl w:val="0"/>
              <w:spacing w:before="15" w:after="15"/>
              <w:jc w:val="right"/>
              <w:rPr>
                <w:noProof/>
                <w:sz w:val="20"/>
                <w:szCs w:val="20"/>
              </w:rPr>
            </w:pPr>
            <w:r>
              <w:rPr>
                <w:noProof/>
                <w:color w:val="000000"/>
                <w:sz w:val="20"/>
                <w:szCs w:val="20"/>
              </w:rPr>
              <w:t>-2 000 000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-35 000 000</w:t>
            </w:r>
          </w:p>
        </w:tc>
        <w:tc>
          <w:tcPr>
            <w:tcW w:w="1701" w:type="dxa"/>
            <w:shd w:val="clear" w:color="auto" w:fill="D9D9D9"/>
          </w:tcPr>
          <w:p>
            <w:pPr>
              <w:widowControl w:val="0"/>
              <w:spacing w:before="15" w:after="15"/>
              <w:jc w:val="right"/>
              <w:rPr>
                <w:b/>
                <w:noProof/>
                <w:sz w:val="20"/>
                <w:szCs w:val="20"/>
              </w:rPr>
            </w:pPr>
            <w:r>
              <w:rPr>
                <w:b/>
                <w:noProof/>
                <w:sz w:val="20"/>
                <w:szCs w:val="20"/>
              </w:rPr>
              <w:t>-28 560 514</w:t>
            </w:r>
          </w:p>
        </w:tc>
      </w:tr>
    </w:tbl>
    <w:p>
      <w:pPr>
        <w:keepNext/>
        <w:tabs>
          <w:tab w:val="left" w:pos="850"/>
        </w:tabs>
        <w:spacing w:before="240" w:after="120"/>
        <w:ind w:left="850" w:hanging="850"/>
        <w:jc w:val="both"/>
        <w:outlineLvl w:val="1"/>
        <w:rPr>
          <w:rFonts w:eastAsia="Calibri"/>
          <w:i/>
          <w:noProof/>
          <w:lang w:eastAsia="de-DE"/>
        </w:rPr>
      </w:pPr>
      <w:bookmarkStart w:id="25" w:name="_Toc12621004"/>
      <w:r>
        <w:rPr>
          <w:rFonts w:eastAsia="Calibri"/>
          <w:i/>
          <w:noProof/>
          <w:lang w:eastAsia="de-DE"/>
        </w:rPr>
        <w:t>2.1.8.</w:t>
      </w:r>
      <w:r>
        <w:rPr>
          <w:rFonts w:eastAsia="Calibri"/>
          <w:i/>
          <w:noProof/>
          <w:lang w:eastAsia="de-DE"/>
        </w:rPr>
        <w:tab/>
        <w:t>European Union Solidarity Fund (EUSF)</w:t>
      </w:r>
      <w:bookmarkEnd w:id="25"/>
    </w:p>
    <w:p>
      <w:pPr>
        <w:spacing w:before="120" w:after="240"/>
        <w:jc w:val="both"/>
        <w:rPr>
          <w:noProof/>
          <w:lang w:eastAsia="de-DE"/>
        </w:rPr>
      </w:pPr>
      <w:r>
        <w:rPr>
          <w:noProof/>
          <w:lang w:eastAsia="de-DE"/>
        </w:rPr>
        <w:t>According to Article 4a (4) of Council Regulation (EC) No 2012/2002 of 11 November 2002 establishing the European Union Solidarity Fund (EUSF), the total amount for advance payments for each year is limited to EUR 50 million both in commitment and payment appropriations.</w:t>
      </w:r>
    </w:p>
    <w:p>
      <w:pPr>
        <w:spacing w:before="120" w:after="240"/>
        <w:jc w:val="both"/>
        <w:rPr>
          <w:noProof/>
          <w:lang w:eastAsia="de-DE"/>
        </w:rPr>
      </w:pPr>
      <w:r>
        <w:rPr>
          <w:noProof/>
          <w:lang w:eastAsia="de-DE"/>
        </w:rPr>
        <w:t>According to Article 12.4(a) of the Financial Regulation, a new provision in force since 1 August 2018, there is an automatic carry-over of unused commitment appropriations for the EUSF. At the end of 2018, EUR 29,7 million of commitment appropriations for the EUSF were available and automatically carried over to 2019. EUR 50 million was mobilised together with the budget 2019</w:t>
      </w:r>
      <w:r>
        <w:rPr>
          <w:rStyle w:val="FootnoteReference"/>
          <w:noProof/>
          <w:lang w:eastAsia="de-DE"/>
        </w:rPr>
        <w:footnoteReference w:id="14"/>
      </w:r>
      <w:r>
        <w:rPr>
          <w:noProof/>
          <w:lang w:eastAsia="de-DE"/>
        </w:rPr>
        <w:t>.</w:t>
      </w:r>
    </w:p>
    <w:p>
      <w:pPr>
        <w:spacing w:before="120" w:after="240"/>
        <w:jc w:val="both"/>
        <w:rPr>
          <w:noProof/>
          <w:lang w:eastAsia="de-DE"/>
        </w:rPr>
      </w:pPr>
      <w:r>
        <w:rPr>
          <w:noProof/>
          <w:lang w:eastAsia="de-DE"/>
        </w:rPr>
        <w:t xml:space="preserve">As a result, there are currently EUR 79,7 million of commitment appropriations and EUR 50 million of payment appropriations available in 2019 for the advance payments of the EUSF. It is therefore proposed to reduce the commitment appropriations included in the budget 2019 by EUR 29,7 million in order to bring down the level of commitment appropriations to the EUR 50 million foreseen in the basic act and to the level of payment appropriations.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szCs w:val="20"/>
              </w:rPr>
              <w:t>13 06 01</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Assistance to Member States in the event of a major natural disaster with serious repercussions on living conditions, the natural environment or the economy</w:t>
            </w:r>
          </w:p>
        </w:tc>
        <w:tc>
          <w:tcPr>
            <w:tcW w:w="1701" w:type="dxa"/>
            <w:vAlign w:val="center"/>
          </w:tcPr>
          <w:p>
            <w:pPr>
              <w:widowControl w:val="0"/>
              <w:spacing w:before="15" w:after="15"/>
              <w:jc w:val="right"/>
              <w:rPr>
                <w:noProof/>
                <w:sz w:val="20"/>
                <w:szCs w:val="20"/>
              </w:rPr>
            </w:pPr>
            <w:r>
              <w:rPr>
                <w:noProof/>
                <w:color w:val="000000"/>
                <w:sz w:val="20"/>
                <w:szCs w:val="20"/>
              </w:rPr>
              <w:t>-29 748 635</w:t>
            </w:r>
          </w:p>
        </w:tc>
        <w:tc>
          <w:tcPr>
            <w:tcW w:w="1701" w:type="dxa"/>
            <w:vAlign w:val="center"/>
          </w:tcPr>
          <w:p>
            <w:pPr>
              <w:widowControl w:val="0"/>
              <w:spacing w:before="15" w:after="15"/>
              <w:jc w:val="right"/>
              <w:rPr>
                <w:noProof/>
                <w:sz w:val="20"/>
                <w:szCs w:val="20"/>
              </w:rPr>
            </w:pPr>
            <w:r>
              <w:rPr>
                <w:noProof/>
                <w:color w:val="000000"/>
                <w:sz w:val="20"/>
                <w:szCs w:val="20"/>
              </w:rPr>
              <w:t>-</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-29 748 635</w:t>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w:t>
            </w:r>
          </w:p>
        </w:tc>
      </w:tr>
    </w:tbl>
    <w:p>
      <w:pPr>
        <w:keepNext/>
        <w:tabs>
          <w:tab w:val="left" w:pos="850"/>
        </w:tabs>
        <w:spacing w:before="240" w:after="120"/>
        <w:ind w:left="850" w:hanging="850"/>
        <w:jc w:val="both"/>
        <w:outlineLvl w:val="1"/>
        <w:rPr>
          <w:rFonts w:eastAsia="Calibri"/>
          <w:i/>
          <w:noProof/>
          <w:lang w:eastAsia="de-DE"/>
        </w:rPr>
      </w:pPr>
      <w:bookmarkStart w:id="26" w:name="_Toc12621005"/>
      <w:bookmarkStart w:id="27" w:name="_Toc494994377"/>
      <w:bookmarkStart w:id="28" w:name="_Toc525202231"/>
      <w:r>
        <w:rPr>
          <w:rFonts w:eastAsia="Calibri"/>
          <w:i/>
          <w:noProof/>
          <w:lang w:eastAsia="de-DE"/>
        </w:rPr>
        <w:t>2.1.9.</w:t>
      </w:r>
      <w:r>
        <w:rPr>
          <w:rFonts w:eastAsia="Calibri"/>
          <w:i/>
          <w:noProof/>
          <w:lang w:eastAsia="de-DE"/>
        </w:rPr>
        <w:tab/>
        <w:t>Adjustment of the mobilisation of the special instruments</w:t>
      </w:r>
      <w:bookmarkEnd w:id="26"/>
    </w:p>
    <w:bookmarkEnd w:id="27"/>
    <w:bookmarkEnd w:id="28"/>
    <w:p>
      <w:pPr>
        <w:autoSpaceDE w:val="0"/>
        <w:autoSpaceDN w:val="0"/>
        <w:adjustRightInd w:val="0"/>
        <w:spacing w:before="120" w:after="240"/>
        <w:jc w:val="both"/>
        <w:rPr>
          <w:noProof/>
        </w:rPr>
      </w:pPr>
      <w:r>
        <w:rPr>
          <w:noProof/>
        </w:rPr>
        <w:t>Given the reductions in the level of commitment appropriations of headings 1a and 3 included in this DAB, it is proposed to adjust the mobilisation of the Flexibility Instrument as follows:</w:t>
      </w:r>
    </w:p>
    <w:p>
      <w:pPr>
        <w:pStyle w:val="Tiret0"/>
        <w:rPr>
          <w:noProof/>
        </w:rPr>
      </w:pPr>
      <w:r>
        <w:rPr>
          <w:noProof/>
        </w:rPr>
        <w:t>For heading 1a, the mobilisation of the Flexibility Instrument is decreased by EUR 18,5 million;</w:t>
      </w:r>
    </w:p>
    <w:p>
      <w:pPr>
        <w:pStyle w:val="Tiret0"/>
        <w:rPr>
          <w:noProof/>
        </w:rPr>
      </w:pPr>
      <w:r>
        <w:rPr>
          <w:noProof/>
        </w:rPr>
        <w:t>For heading 3, the mobilisation of the Flexibility Instrument is decreased by EUR 55,4 million.</w:t>
      </w:r>
    </w:p>
    <w:p>
      <w:pPr>
        <w:autoSpaceDE w:val="0"/>
        <w:autoSpaceDN w:val="0"/>
        <w:adjustRightInd w:val="0"/>
        <w:spacing w:before="120" w:after="240"/>
        <w:jc w:val="both"/>
        <w:rPr>
          <w:bCs/>
          <w:noProof/>
        </w:rPr>
      </w:pPr>
      <w:r>
        <w:rPr>
          <w:bCs/>
          <w:noProof/>
        </w:rPr>
        <w:t>The proposed mobilisation decision of the Flexibility Instrument</w:t>
      </w:r>
      <w:r>
        <w:rPr>
          <w:rStyle w:val="FootnoteReference"/>
          <w:bCs/>
          <w:noProof/>
        </w:rPr>
        <w:footnoteReference w:id="15"/>
      </w:r>
      <w:r>
        <w:rPr>
          <w:bCs/>
          <w:noProof/>
        </w:rPr>
        <w:t xml:space="preserve"> repealing and replacing Decision (EU) 2019/276 of 12 December 2018</w:t>
      </w:r>
      <w:r>
        <w:rPr>
          <w:rStyle w:val="FootnoteReference"/>
          <w:bCs/>
          <w:noProof/>
        </w:rPr>
        <w:footnoteReference w:id="16"/>
      </w:r>
      <w:r>
        <w:rPr>
          <w:bCs/>
          <w:noProof/>
        </w:rPr>
        <w:t xml:space="preserve"> accompanies this DAB.</w:t>
      </w:r>
    </w:p>
    <w:p>
      <w:pPr>
        <w:pStyle w:val="Tiret0"/>
        <w:numPr>
          <w:ilvl w:val="0"/>
          <w:numId w:val="0"/>
        </w:numPr>
        <w:rPr>
          <w:noProof/>
        </w:rPr>
      </w:pPr>
      <w:r>
        <w:rPr>
          <w:noProof/>
        </w:rPr>
        <w:t>Given the reductions in the level of commitment appropriations of heading 1b included in this DAB, the use of the Global Margin for Commitments is decreased by EUR 8,3 million.</w:t>
      </w:r>
    </w:p>
    <w:p>
      <w:pPr>
        <w:keepNext/>
        <w:tabs>
          <w:tab w:val="left" w:pos="850"/>
        </w:tabs>
        <w:spacing w:before="360" w:after="120"/>
        <w:ind w:left="850" w:hanging="850"/>
        <w:jc w:val="both"/>
        <w:outlineLvl w:val="1"/>
        <w:rPr>
          <w:rFonts w:eastAsia="Calibri"/>
          <w:b/>
          <w:noProof/>
          <w:lang w:eastAsia="de-DE"/>
        </w:rPr>
      </w:pPr>
      <w:bookmarkStart w:id="29" w:name="_Toc12621006"/>
      <w:r>
        <w:rPr>
          <w:rFonts w:eastAsia="Calibri"/>
          <w:b/>
          <w:noProof/>
          <w:lang w:eastAsia="de-DE"/>
        </w:rPr>
        <w:t>2.2.</w:t>
      </w:r>
      <w:r>
        <w:rPr>
          <w:rFonts w:eastAsia="Calibri"/>
          <w:b/>
          <w:noProof/>
          <w:lang w:eastAsia="de-DE"/>
        </w:rPr>
        <w:tab/>
      </w:r>
      <w:bookmarkEnd w:id="12"/>
      <w:r>
        <w:rPr>
          <w:rFonts w:eastAsia="Calibri"/>
          <w:b/>
          <w:noProof/>
          <w:lang w:eastAsia="de-DE"/>
        </w:rPr>
        <w:t>Postponement of the UK withdrawal from the European Union: impact on EU institutions</w:t>
      </w:r>
      <w:bookmarkEnd w:id="29"/>
    </w:p>
    <w:p>
      <w:pPr>
        <w:pStyle w:val="ListDash"/>
        <w:numPr>
          <w:ilvl w:val="0"/>
          <w:numId w:val="0"/>
        </w:numPr>
        <w:rPr>
          <w:noProof/>
        </w:rPr>
      </w:pPr>
      <w:r>
        <w:rPr>
          <w:noProof/>
        </w:rPr>
        <w:t>During the preparation of the 2019 budget, the Institutions were invited to reflect in their respective statements of estimates the impact of the UK withdrawal from the European Union, initially foreseen for 29 March 2019, in the areas where the changes were evident (e.g. reduction of one Commissioner, one Member of the Court of Auditors, adjustment of the number of judges at the Court of Justice, a closure of the Representation and Regional Offices in the UK, etc.).</w:t>
      </w:r>
    </w:p>
    <w:p>
      <w:pPr>
        <w:pStyle w:val="ListDash"/>
        <w:numPr>
          <w:ilvl w:val="0"/>
          <w:numId w:val="0"/>
        </w:numPr>
        <w:rPr>
          <w:noProof/>
        </w:rPr>
      </w:pPr>
      <w:r>
        <w:rPr>
          <w:noProof/>
        </w:rPr>
        <w:t xml:space="preserve">As a result, the European Parliament, the Council, the Commission, the Court of Justice, the European Court of Auditors and the European Economic and Social Committee reduced their budget request by a total amount of about EUR 11,7 million (of which EUR 10,2 million for the European Parliament). This reduction was estimated on the basis of the UK being a Member State for 3 months in 2019. </w:t>
      </w:r>
    </w:p>
    <w:p>
      <w:pPr>
        <w:pStyle w:val="ListDash"/>
        <w:numPr>
          <w:ilvl w:val="0"/>
          <w:numId w:val="0"/>
        </w:numPr>
        <w:rPr>
          <w:noProof/>
        </w:rPr>
      </w:pPr>
      <w:r>
        <w:rPr>
          <w:noProof/>
        </w:rPr>
        <w:t>The European External Action Service increased its budget request by EUR 12,3 million to reflect the additional expenditure related to the setting-up of a UK division at Headquarters and an EU delegation in London.</w:t>
      </w:r>
    </w:p>
    <w:p>
      <w:pPr>
        <w:pStyle w:val="ListDash"/>
        <w:numPr>
          <w:ilvl w:val="0"/>
          <w:numId w:val="0"/>
        </w:numPr>
        <w:rPr>
          <w:noProof/>
        </w:rPr>
      </w:pPr>
      <w:r>
        <w:rPr>
          <w:noProof/>
        </w:rPr>
        <w:t>Due to the postponement of the withdrawal of the UK</w:t>
      </w:r>
      <w:r>
        <w:rPr>
          <w:rStyle w:val="FootnoteReference"/>
          <w:noProof/>
        </w:rPr>
        <w:footnoteReference w:id="17"/>
      </w:r>
      <w:r>
        <w:rPr>
          <w:noProof/>
        </w:rPr>
        <w:t xml:space="preserve">, the Institutions will now have to cover expenditure relating to the UK as an EU Member State for up to seven additional months. </w:t>
      </w:r>
    </w:p>
    <w:p>
      <w:pPr>
        <w:pStyle w:val="ListDash"/>
        <w:numPr>
          <w:ilvl w:val="0"/>
          <w:numId w:val="0"/>
        </w:numPr>
        <w:rPr>
          <w:noProof/>
        </w:rPr>
      </w:pPr>
      <w:r>
        <w:rPr>
          <w:noProof/>
        </w:rPr>
        <w:t xml:space="preserve">The Council, the Commission, the Court of Justice and the European Economic and Social Committee will aim at covering the additional needs by redeployment of existing resources. For the Court of Justice in particular, this is possible due to the persistent delay in the nomination of a judge by one of the Member States, which has generated sufficient savings to cover the additional expenses to pay the UK Members until 31 October 2019. </w:t>
      </w:r>
    </w:p>
    <w:p>
      <w:pPr>
        <w:pStyle w:val="ListDash"/>
        <w:numPr>
          <w:ilvl w:val="0"/>
          <w:numId w:val="0"/>
        </w:numPr>
        <w:rPr>
          <w:noProof/>
        </w:rPr>
      </w:pPr>
      <w:r>
        <w:rPr>
          <w:noProof/>
        </w:rPr>
        <w:t>Conversely, the European Parliament and the European Court of Auditors are requesting additional appropriations for the reasons outlined below.</w:t>
      </w:r>
    </w:p>
    <w:p>
      <w:pPr>
        <w:keepNext/>
        <w:tabs>
          <w:tab w:val="left" w:pos="850"/>
        </w:tabs>
        <w:spacing w:before="240" w:after="120"/>
        <w:ind w:left="850" w:hanging="850"/>
        <w:jc w:val="both"/>
        <w:outlineLvl w:val="1"/>
        <w:rPr>
          <w:rFonts w:eastAsia="Calibri"/>
          <w:i/>
          <w:noProof/>
          <w:lang w:eastAsia="de-DE"/>
        </w:rPr>
      </w:pPr>
      <w:bookmarkStart w:id="30" w:name="_Toc12621007"/>
      <w:r>
        <w:rPr>
          <w:rFonts w:eastAsia="Calibri"/>
          <w:i/>
          <w:noProof/>
          <w:lang w:eastAsia="de-DE"/>
        </w:rPr>
        <w:t>2.2.1</w:t>
      </w:r>
      <w:r>
        <w:rPr>
          <w:rFonts w:eastAsia="Calibri"/>
          <w:i/>
          <w:noProof/>
          <w:lang w:eastAsia="de-DE"/>
        </w:rPr>
        <w:tab/>
        <w:t>European Parliament (EP)</w:t>
      </w:r>
      <w:bookmarkEnd w:id="30"/>
    </w:p>
    <w:p>
      <w:pPr>
        <w:pStyle w:val="NormalWeb"/>
        <w:spacing w:before="120" w:beforeAutospacing="0" w:after="0" w:afterAutospacing="0"/>
        <w:jc w:val="both"/>
        <w:rPr>
          <w:noProof/>
        </w:rPr>
      </w:pPr>
      <w:r>
        <w:rPr>
          <w:noProof/>
        </w:rPr>
        <w:t>Following the decision of the European Council on the composition of Parliament as from the 9th legislative period</w:t>
      </w:r>
      <w:r>
        <w:rPr>
          <w:rStyle w:val="FootnoteReference"/>
          <w:noProof/>
        </w:rPr>
        <w:footnoteReference w:id="18"/>
      </w:r>
      <w:r>
        <w:rPr>
          <w:noProof/>
        </w:rPr>
        <w:t xml:space="preserve">, Parliament’s section of the budget included appropriations for 678 Members as from 30 March, and 705 Members as from 2 July 2019. Appropriations were reduced on a number of lines related to Members, assistants and institutional representation; no budget was foreseen for an information campaign in the UK. </w:t>
      </w:r>
    </w:p>
    <w:p>
      <w:pPr>
        <w:pStyle w:val="NormalWeb"/>
        <w:spacing w:before="120" w:beforeAutospacing="0" w:after="0" w:afterAutospacing="0"/>
        <w:jc w:val="both"/>
        <w:rPr>
          <w:noProof/>
        </w:rPr>
      </w:pPr>
      <w:r>
        <w:rPr>
          <w:noProof/>
        </w:rPr>
        <w:t>The postponement until 31 October 2019 not only affects the composition of the European Parliament and the cost for parliamentary assistance, but also the need to keep the UK Liaison Office, and triggered the organisation of European elections in the United Kingdom, which required a full-fledged information campaign.</w:t>
      </w:r>
    </w:p>
    <w:p>
      <w:pPr>
        <w:pStyle w:val="NormalWeb"/>
        <w:spacing w:before="120" w:beforeAutospacing="0" w:after="0" w:afterAutospacing="0"/>
        <w:jc w:val="both"/>
        <w:rPr>
          <w:noProof/>
        </w:rPr>
      </w:pPr>
      <w:r>
        <w:rPr>
          <w:noProof/>
        </w:rPr>
        <w:t xml:space="preserve">The abovementioned elements, which constitute unavoidable, exceptional and unforeseen circumstances, require additional supplementary appropriations of EUR 15,1 million. </w:t>
      </w:r>
    </w:p>
    <w:p>
      <w:pPr>
        <w:keepNext/>
        <w:tabs>
          <w:tab w:val="left" w:pos="850"/>
        </w:tabs>
        <w:spacing w:before="240" w:after="120"/>
        <w:ind w:left="850" w:hanging="850"/>
        <w:jc w:val="both"/>
        <w:outlineLvl w:val="1"/>
        <w:rPr>
          <w:rFonts w:eastAsia="Calibri"/>
          <w:i/>
          <w:noProof/>
          <w:lang w:eastAsia="de-DE"/>
        </w:rPr>
      </w:pPr>
      <w:bookmarkStart w:id="31" w:name="_Toc12621008"/>
      <w:r>
        <w:rPr>
          <w:rFonts w:eastAsia="Calibri"/>
          <w:i/>
          <w:noProof/>
          <w:lang w:eastAsia="de-DE"/>
        </w:rPr>
        <w:t>2.2.1</w:t>
      </w:r>
      <w:r>
        <w:rPr>
          <w:rFonts w:eastAsia="Calibri"/>
          <w:i/>
          <w:noProof/>
          <w:lang w:eastAsia="de-DE"/>
        </w:rPr>
        <w:tab/>
        <w:t>European Court of Auditors (ECA)</w:t>
      </w:r>
      <w:bookmarkEnd w:id="31"/>
    </w:p>
    <w:p>
      <w:pPr>
        <w:pStyle w:val="NormalWeb"/>
        <w:spacing w:before="120" w:beforeAutospacing="0" w:after="0" w:afterAutospacing="0"/>
        <w:jc w:val="both"/>
        <w:rPr>
          <w:noProof/>
        </w:rPr>
      </w:pPr>
      <w:r>
        <w:rPr>
          <w:noProof/>
        </w:rPr>
        <w:t>The decision on the postponement of the UK withdrawal by up to seven months has an impact on remuneration and other expenditure for a College of 28, as opposed to 27 Members at the Court of Auditors.</w:t>
      </w:r>
    </w:p>
    <w:p>
      <w:pPr>
        <w:pStyle w:val="NormalWeb"/>
        <w:spacing w:before="120" w:beforeAutospacing="0" w:after="0" w:afterAutospacing="0"/>
        <w:jc w:val="both"/>
        <w:rPr>
          <w:noProof/>
        </w:rPr>
      </w:pPr>
      <w:r>
        <w:rPr>
          <w:noProof/>
        </w:rPr>
        <w:t>In view of the tight budget requested for 2019, the Court will not be in a position to find the additional resources by redeployment but requests an additional allocation of EUR 107 000 to cover salaries and other allowances as well as mission and representation expenses. This amount is net of the redeployment of the unused amount of transitional allowances, which will be transferred to the salary line for the UK Member.</w:t>
      </w:r>
    </w:p>
    <w:p>
      <w:pPr>
        <w:keepNext/>
        <w:tabs>
          <w:tab w:val="left" w:pos="850"/>
        </w:tabs>
        <w:spacing w:before="240" w:after="120"/>
        <w:ind w:left="850" w:hanging="850"/>
        <w:jc w:val="both"/>
        <w:outlineLvl w:val="1"/>
        <w:rPr>
          <w:rFonts w:eastAsia="Calibri"/>
          <w:i/>
          <w:noProof/>
          <w:lang w:eastAsia="de-DE"/>
        </w:rPr>
      </w:pPr>
      <w:bookmarkStart w:id="32" w:name="_Toc12621009"/>
      <w:r>
        <w:rPr>
          <w:rFonts w:eastAsia="Calibri"/>
          <w:i/>
          <w:noProof/>
          <w:lang w:eastAsia="de-DE"/>
        </w:rPr>
        <w:t>2.2.3</w:t>
      </w:r>
      <w:r>
        <w:rPr>
          <w:rFonts w:eastAsia="Calibri"/>
          <w:i/>
          <w:noProof/>
          <w:lang w:eastAsia="de-DE"/>
        </w:rPr>
        <w:tab/>
        <w:t>European External Action Service (EEAS)</w:t>
      </w:r>
      <w:bookmarkEnd w:id="32"/>
    </w:p>
    <w:p>
      <w:pPr>
        <w:pStyle w:val="NormalWeb"/>
        <w:spacing w:before="120" w:beforeAutospacing="0" w:after="0" w:afterAutospacing="0"/>
        <w:jc w:val="both"/>
        <w:rPr>
          <w:noProof/>
        </w:rPr>
      </w:pPr>
      <w:r>
        <w:rPr>
          <w:noProof/>
        </w:rPr>
        <w:t xml:space="preserve">The EEAS has been granted additional appropriations in its 2019 budget as a direct consequence of the UK withdrawal in order to: </w:t>
      </w:r>
    </w:p>
    <w:p>
      <w:pPr>
        <w:pStyle w:val="Tiret0"/>
        <w:rPr>
          <w:noProof/>
        </w:rPr>
      </w:pPr>
      <w:r>
        <w:rPr>
          <w:noProof/>
        </w:rPr>
        <w:t xml:space="preserve">open and run a Delegation in London, </w:t>
      </w:r>
    </w:p>
    <w:p>
      <w:pPr>
        <w:pStyle w:val="Tiret0"/>
        <w:rPr>
          <w:noProof/>
        </w:rPr>
      </w:pPr>
      <w:r>
        <w:rPr>
          <w:noProof/>
        </w:rPr>
        <w:t xml:space="preserve">maintain the EU's current point of presence in Northern Ireland, </w:t>
      </w:r>
    </w:p>
    <w:p>
      <w:pPr>
        <w:pStyle w:val="Tiret0"/>
        <w:rPr>
          <w:noProof/>
        </w:rPr>
      </w:pPr>
      <w:r>
        <w:rPr>
          <w:noProof/>
        </w:rPr>
        <w:t xml:space="preserve">create a dedicated Division in Headquarters to manage the relations with the UK as a third country, and  </w:t>
      </w:r>
    </w:p>
    <w:p>
      <w:pPr>
        <w:pStyle w:val="Tiret0"/>
        <w:rPr>
          <w:noProof/>
        </w:rPr>
      </w:pPr>
      <w:r>
        <w:rPr>
          <w:noProof/>
        </w:rPr>
        <w:t>cover the additional rotation costs arising from the need to recall staff with UK nationality from the Delegation network before the scheduled expiry of their postings.</w:t>
      </w:r>
    </w:p>
    <w:p>
      <w:pPr>
        <w:pStyle w:val="NormalWeb"/>
        <w:spacing w:before="120" w:beforeAutospacing="0" w:after="0" w:afterAutospacing="0"/>
        <w:jc w:val="both"/>
        <w:rPr>
          <w:noProof/>
        </w:rPr>
      </w:pPr>
      <w:r>
        <w:rPr>
          <w:noProof/>
        </w:rPr>
        <w:t>These amounts were estimated on the assumption that the UK would leave the European Union on 29 March 2019. As the Article 50 period has been extended, the EEAS has currently accumulated surpluses in its 2019 budget.</w:t>
      </w:r>
    </w:p>
    <w:p>
      <w:pPr>
        <w:pStyle w:val="NormalWeb"/>
        <w:spacing w:before="120" w:beforeAutospacing="0" w:after="0" w:afterAutospacing="0"/>
        <w:jc w:val="both"/>
        <w:rPr>
          <w:noProof/>
        </w:rPr>
      </w:pPr>
      <w:r>
        <w:rPr>
          <w:noProof/>
        </w:rPr>
        <w:t>Given the current considerable uncertainty related to the Article 50 process, the EEAS will need to maintain the amounts for one-off Delegation opening costs and the aforementioned additional rotations in its 2019 budget. It will also require a sufficient buffer, should both parties ratify the withdrawal agreement before 31 October 2019.</w:t>
      </w:r>
    </w:p>
    <w:p>
      <w:pPr>
        <w:pStyle w:val="NormalWeb"/>
        <w:spacing w:before="120" w:beforeAutospacing="0" w:after="0" w:afterAutospacing="0"/>
        <w:jc w:val="both"/>
        <w:rPr>
          <w:noProof/>
        </w:rPr>
      </w:pPr>
      <w:r>
        <w:rPr>
          <w:noProof/>
        </w:rPr>
        <w:t>The EEAS will therefore reduce its 2019 budget by the running costs foreseen from the beginning of the year until 1 August for its Headquarter’s Division and its presence points in the UK (EUR 3 276 000).</w:t>
      </w:r>
    </w:p>
    <w:p>
      <w:pPr>
        <w:pStyle w:val="NormalWeb"/>
        <w:spacing w:before="120" w:beforeAutospacing="0" w:after="0" w:afterAutospacing="0"/>
        <w:jc w:val="both"/>
        <w:rPr>
          <w:noProof/>
        </w:rPr>
      </w:pPr>
      <w:r>
        <w:rPr>
          <w:noProof/>
        </w:rPr>
        <w:t>As the situation later in the year may be very different from the current scenario, the EEAS intends to revert to the Budget Authority later this year and propose further adjustments to its 2019 budget, as appropriate in respect of the situation at that time.</w:t>
      </w:r>
    </w:p>
    <w:p>
      <w:pPr>
        <w:keepNext/>
        <w:tabs>
          <w:tab w:val="left" w:pos="850"/>
        </w:tabs>
        <w:spacing w:before="240" w:after="120"/>
        <w:ind w:left="850" w:hanging="850"/>
        <w:jc w:val="both"/>
        <w:outlineLvl w:val="1"/>
        <w:rPr>
          <w:rFonts w:eastAsia="Calibri"/>
          <w:i/>
          <w:noProof/>
          <w:lang w:eastAsia="de-DE"/>
        </w:rPr>
      </w:pPr>
      <w:bookmarkStart w:id="33" w:name="_Toc12621010"/>
      <w:r>
        <w:rPr>
          <w:rFonts w:eastAsia="Calibri"/>
          <w:i/>
          <w:noProof/>
          <w:lang w:eastAsia="de-DE"/>
        </w:rPr>
        <w:t>2.2.4</w:t>
      </w:r>
      <w:r>
        <w:rPr>
          <w:rFonts w:eastAsia="Calibri"/>
          <w:i/>
          <w:noProof/>
          <w:lang w:eastAsia="de-DE"/>
        </w:rPr>
        <w:tab/>
        <w:t xml:space="preserve"> Overview</w:t>
      </w:r>
      <w:bookmarkEnd w:id="33"/>
    </w:p>
    <w:tbl>
      <w:tblPr>
        <w:tblW w:w="9938" w:type="dxa"/>
        <w:tblCellMar>
          <w:left w:w="0" w:type="dxa"/>
          <w:right w:w="0" w:type="dxa"/>
        </w:tblCellMar>
        <w:tblLook w:val="04A0" w:firstRow="1" w:lastRow="0" w:firstColumn="1" w:lastColumn="0" w:noHBand="0" w:noVBand="1"/>
      </w:tblPr>
      <w:tblGrid>
        <w:gridCol w:w="960"/>
        <w:gridCol w:w="189"/>
        <w:gridCol w:w="5529"/>
        <w:gridCol w:w="1559"/>
        <w:gridCol w:w="1701"/>
      </w:tblGrid>
      <w:tr>
        <w:trPr>
          <w:trHeight w:val="212"/>
          <w:tblHeader/>
        </w:trPr>
        <w:tc>
          <w:tcPr>
            <w:tcW w:w="960" w:type="dxa"/>
            <w:tcBorders>
              <w:top w:val="nil"/>
              <w:left w:val="nil"/>
              <w:bottom w:val="nil"/>
              <w:right w:val="nil"/>
            </w:tcBorders>
            <w:shd w:val="clear" w:color="auto" w:fill="auto"/>
            <w:tcMar>
              <w:top w:w="15" w:type="dxa"/>
              <w:left w:w="15" w:type="dxa"/>
              <w:bottom w:w="0" w:type="dxa"/>
              <w:right w:w="15" w:type="dxa"/>
            </w:tcMar>
            <w:vAlign w:val="center"/>
            <w:hideMark/>
          </w:tcPr>
          <w:p>
            <w:pPr>
              <w:rPr>
                <w:noProof/>
                <w:sz w:val="20"/>
                <w:szCs w:val="20"/>
              </w:rPr>
            </w:pPr>
          </w:p>
        </w:tc>
        <w:tc>
          <w:tcPr>
            <w:tcW w:w="8978" w:type="dxa"/>
            <w:gridSpan w:val="4"/>
            <w:tcBorders>
              <w:top w:val="nil"/>
              <w:left w:val="nil"/>
              <w:bottom w:val="nil"/>
              <w:right w:val="nil"/>
            </w:tcBorders>
            <w:shd w:val="clear" w:color="000000" w:fill="FFFFFF"/>
            <w:tcMar>
              <w:top w:w="0" w:type="dxa"/>
              <w:left w:w="15" w:type="dxa"/>
              <w:bottom w:w="0" w:type="dxa"/>
              <w:right w:w="15" w:type="dxa"/>
            </w:tcMar>
            <w:vAlign w:val="center"/>
            <w:hideMark/>
          </w:tcPr>
          <w:p>
            <w:pPr>
              <w:jc w:val="right"/>
              <w:rPr>
                <w:i/>
                <w:iCs/>
                <w:noProof/>
                <w:color w:val="000000"/>
                <w:sz w:val="16"/>
                <w:szCs w:val="16"/>
                <w:lang w:eastAsia="en-US"/>
              </w:rPr>
            </w:pPr>
            <w:r>
              <w:rPr>
                <w:i/>
                <w:iCs/>
                <w:noProof/>
                <w:color w:val="000000"/>
                <w:sz w:val="16"/>
                <w:szCs w:val="16"/>
                <w:lang w:eastAsia="en-US"/>
              </w:rPr>
              <w:t>(in EUR)</w:t>
            </w:r>
          </w:p>
        </w:tc>
      </w:tr>
      <w:tr>
        <w:trPr>
          <w:trHeight w:val="282"/>
          <w:tblHeader/>
        </w:trPr>
        <w:tc>
          <w:tcPr>
            <w:tcW w:w="1149" w:type="dxa"/>
            <w:gridSpan w:val="2"/>
            <w:tcBorders>
              <w:top w:val="single" w:sz="8" w:space="0" w:color="auto"/>
              <w:left w:val="single" w:sz="8" w:space="0" w:color="auto"/>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lang w:eastAsia="en-US"/>
              </w:rPr>
              <w:t>Budget line</w:t>
            </w:r>
          </w:p>
        </w:tc>
        <w:tc>
          <w:tcPr>
            <w:tcW w:w="5529"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lang w:eastAsia="en-US"/>
              </w:rPr>
              <w:t>Name</w:t>
            </w:r>
          </w:p>
        </w:tc>
        <w:tc>
          <w:tcPr>
            <w:tcW w:w="1559"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lang w:eastAsia="en-US"/>
              </w:rPr>
              <w:t>Commitment appropriations</w:t>
            </w:r>
          </w:p>
        </w:tc>
        <w:tc>
          <w:tcPr>
            <w:tcW w:w="1701" w:type="dxa"/>
            <w:tcBorders>
              <w:top w:val="single" w:sz="8" w:space="0" w:color="auto"/>
              <w:left w:val="nil"/>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lang w:eastAsia="en-US"/>
              </w:rPr>
              <w:t>Payment appropriations</w:t>
            </w:r>
          </w:p>
        </w:tc>
      </w:tr>
      <w:tr>
        <w:trPr>
          <w:trHeight w:val="174"/>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widowControl w:val="0"/>
              <w:spacing w:before="15" w:after="15" w:line="276" w:lineRule="auto"/>
              <w:rPr>
                <w:i/>
                <w:noProof/>
                <w:sz w:val="20"/>
                <w:szCs w:val="20"/>
                <w:lang w:eastAsia="en-US"/>
              </w:rPr>
            </w:pPr>
            <w:r>
              <w:rPr>
                <w:i/>
                <w:noProof/>
                <w:sz w:val="20"/>
                <w:szCs w:val="20"/>
                <w:lang w:eastAsia="en-US"/>
              </w:rPr>
              <w:t xml:space="preserve">  Section I – European Parliament</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Salaries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2 420 000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2 420 000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1 0 0 4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Ordinary travel expenses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2 100 000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2 100 000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1 0 0 6</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General expenditure allowance</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1 200 000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1 200 000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1 0 2 0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Transitional allowances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-1 800 000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-1 800 000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3 2 2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Documentation expenditure</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80 000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80 000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3 2 4 2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Expenditure on publication, information and participation in public events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3 000 000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3 000 000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3 2 4 4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Organisation and reception of groups of visitors, Euroscola programme and invitations to opinion multipliers from third countries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300 000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3 2 5</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Expenditure relating to liaison Offices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320 000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320 000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4 2 2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Expenditure relating to parliamentary assistance</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7 490 000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7 490 000</w:t>
            </w:r>
          </w:p>
        </w:tc>
      </w:tr>
      <w:tr>
        <w:trPr>
          <w:trHeight w:val="21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Sub-total Section I </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szCs w:val="20"/>
              </w:rPr>
              <w:t>15 110 000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szCs w:val="20"/>
              </w:rPr>
              <w:t>15 110 000</w:t>
            </w:r>
          </w:p>
        </w:tc>
      </w:tr>
      <w:tr>
        <w:trPr>
          <w:trHeight w:val="247"/>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rPr>
                <w:i/>
                <w:iCs/>
                <w:noProof/>
                <w:color w:val="000000"/>
                <w:sz w:val="20"/>
                <w:szCs w:val="20"/>
              </w:rPr>
            </w:pPr>
            <w:r>
              <w:rPr>
                <w:i/>
                <w:iCs/>
                <w:noProof/>
                <w:color w:val="000000"/>
                <w:sz w:val="20"/>
                <w:szCs w:val="20"/>
                <w:lang w:eastAsia="en-US"/>
              </w:rPr>
              <w:t xml:space="preserve">  Section V – European Court of Auditors</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27"/>
              <w:rPr>
                <w:noProof/>
                <w:color w:val="000000"/>
                <w:sz w:val="20"/>
                <w:szCs w:val="20"/>
              </w:rPr>
            </w:pPr>
            <w:r>
              <w:rPr>
                <w:noProof/>
                <w:color w:val="000000"/>
                <w:sz w:val="20"/>
                <w:szCs w:val="20"/>
                <w:lang w:eastAsia="en-US"/>
              </w:rPr>
              <w:t>Remuneration, allowances and pensions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96 000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96 000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27"/>
              <w:rPr>
                <w:noProof/>
                <w:color w:val="000000"/>
                <w:sz w:val="20"/>
                <w:szCs w:val="20"/>
              </w:rPr>
            </w:pPr>
            <w:r>
              <w:rPr>
                <w:noProof/>
                <w:color w:val="000000"/>
                <w:sz w:val="20"/>
                <w:szCs w:val="20"/>
                <w:lang w:eastAsia="en-US"/>
              </w:rPr>
              <w:t>Missions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6 000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6 000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2 5 2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27"/>
              <w:rPr>
                <w:noProof/>
                <w:color w:val="000000"/>
                <w:sz w:val="20"/>
                <w:szCs w:val="20"/>
              </w:rPr>
            </w:pPr>
            <w:r>
              <w:rPr>
                <w:noProof/>
                <w:color w:val="000000"/>
                <w:sz w:val="20"/>
                <w:szCs w:val="20"/>
                <w:lang w:eastAsia="en-US"/>
              </w:rPr>
              <w:t>Representation expenses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5 000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5 000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Sub-total Section V</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szCs w:val="20"/>
              </w:rPr>
              <w:t>107 000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szCs w:val="20"/>
              </w:rPr>
              <w:t>107 000</w:t>
            </w:r>
          </w:p>
        </w:tc>
      </w:tr>
      <w:tr>
        <w:trPr>
          <w:trHeight w:val="247"/>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rPr>
                <w:i/>
                <w:iCs/>
                <w:noProof/>
                <w:color w:val="000000"/>
                <w:sz w:val="20"/>
                <w:szCs w:val="20"/>
                <w:lang w:val="fr-BE"/>
              </w:rPr>
            </w:pPr>
            <w:r>
              <w:rPr>
                <w:i/>
                <w:iCs/>
                <w:noProof/>
                <w:color w:val="000000"/>
                <w:sz w:val="20"/>
                <w:szCs w:val="20"/>
                <w:lang w:val="fr-BE" w:eastAsia="en-US"/>
              </w:rPr>
              <w:t xml:space="preserve">  Section X – European External Action Service</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lang w:val="fr-BE"/>
              </w:rPr>
              <w:t xml:space="preserve">  </w:t>
            </w:r>
            <w:r>
              <w:rPr>
                <w:noProof/>
                <w:color w:val="000000"/>
                <w:sz w:val="20"/>
                <w:szCs w:val="20"/>
              </w:rPr>
              <w:t>1 1 0 0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Basic salaries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-564 000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-564 000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1 1 0 2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Entitlements under the Staff Regulations related to the personal circumstances of the staff member</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-143 000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-143 000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1 1 0 3</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Social security cover</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-22 000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-22 000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1 4 0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Missions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-27 000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Remuneration and entitlements of statutory staff</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-747 000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-747 000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3 0 0 1</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External staff and outside services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-568 000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-568 000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Other expenditure related to staff</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-97 000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-97 000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3 0 0 3</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Buildings and associated costs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-1 070 000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-1 070 000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Other administrative expenditure</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-38 000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-38 000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Sub-total Section X </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szCs w:val="20"/>
              </w:rPr>
              <w:t>-3 276 000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szCs w:val="20"/>
              </w:rPr>
              <w:t>-3 276 000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Total</w:t>
            </w:r>
          </w:p>
        </w:tc>
        <w:tc>
          <w:tcPr>
            <w:tcW w:w="1559"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ind w:right="127"/>
              <w:jc w:val="right"/>
              <w:rPr>
                <w:b/>
                <w:bCs/>
                <w:noProof/>
                <w:color w:val="000000"/>
                <w:sz w:val="20"/>
                <w:szCs w:val="20"/>
              </w:rPr>
            </w:pPr>
            <w:r>
              <w:rPr>
                <w:b/>
                <w:bCs/>
                <w:noProof/>
                <w:color w:val="000000"/>
                <w:sz w:val="20"/>
                <w:szCs w:val="20"/>
              </w:rPr>
              <w:t>11 941 000</w:t>
            </w:r>
          </w:p>
        </w:tc>
        <w:tc>
          <w:tcPr>
            <w:tcW w:w="1701" w:type="dxa"/>
            <w:tcBorders>
              <w:top w:val="single" w:sz="8" w:space="0" w:color="auto"/>
              <w:left w:val="nil"/>
              <w:bottom w:val="single" w:sz="8" w:space="0" w:color="auto"/>
              <w:right w:val="single" w:sz="8" w:space="0" w:color="000000"/>
            </w:tcBorders>
            <w:shd w:val="clear" w:color="000000" w:fill="D9D9D9"/>
            <w:tcMar>
              <w:top w:w="15" w:type="dxa"/>
              <w:left w:w="15" w:type="dxa"/>
              <w:bottom w:w="0" w:type="dxa"/>
              <w:right w:w="15" w:type="dxa"/>
            </w:tcMar>
            <w:vAlign w:val="center"/>
            <w:hideMark/>
          </w:tcPr>
          <w:p>
            <w:pPr>
              <w:ind w:right="127"/>
              <w:jc w:val="right"/>
              <w:rPr>
                <w:b/>
                <w:bCs/>
                <w:noProof/>
                <w:color w:val="000000"/>
                <w:sz w:val="20"/>
                <w:szCs w:val="20"/>
              </w:rPr>
            </w:pPr>
            <w:r>
              <w:rPr>
                <w:b/>
                <w:bCs/>
                <w:noProof/>
                <w:color w:val="000000"/>
                <w:sz w:val="20"/>
                <w:szCs w:val="20"/>
              </w:rPr>
              <w:t>11 941 000</w:t>
            </w:r>
          </w:p>
        </w:tc>
      </w:tr>
    </w:tbl>
    <w:p>
      <w:pPr>
        <w:keepNext/>
        <w:tabs>
          <w:tab w:val="left" w:pos="850"/>
        </w:tabs>
        <w:spacing w:before="240" w:after="120"/>
        <w:ind w:left="851" w:hanging="851"/>
        <w:jc w:val="both"/>
        <w:outlineLvl w:val="0"/>
        <w:rPr>
          <w:b/>
          <w:smallCaps/>
          <w:noProof/>
          <w:lang w:eastAsia="de-DE"/>
        </w:rPr>
      </w:pPr>
      <w:bookmarkStart w:id="34" w:name="_Toc12621011"/>
      <w:bookmarkStart w:id="35" w:name="_Toc460335328"/>
      <w:bookmarkStart w:id="36" w:name="_Toc430865948"/>
      <w:bookmarkStart w:id="37" w:name="_Toc430867526"/>
      <w:bookmarkEnd w:id="13"/>
      <w:r>
        <w:rPr>
          <w:b/>
          <w:smallCaps/>
          <w:noProof/>
          <w:lang w:eastAsia="de-DE"/>
        </w:rPr>
        <w:t>3.</w:t>
      </w:r>
      <w:r>
        <w:rPr>
          <w:b/>
          <w:smallCaps/>
          <w:noProof/>
          <w:lang w:eastAsia="de-DE"/>
        </w:rPr>
        <w:tab/>
        <w:t>Update of revenue</w:t>
      </w:r>
      <w:bookmarkEnd w:id="34"/>
    </w:p>
    <w:p>
      <w:pPr>
        <w:keepNext/>
        <w:tabs>
          <w:tab w:val="left" w:pos="850"/>
        </w:tabs>
        <w:spacing w:before="360" w:after="120"/>
        <w:ind w:left="850" w:hanging="850"/>
        <w:jc w:val="both"/>
        <w:outlineLvl w:val="1"/>
        <w:rPr>
          <w:rFonts w:eastAsia="Calibri"/>
          <w:b/>
          <w:noProof/>
          <w:lang w:eastAsia="de-DE"/>
        </w:rPr>
      </w:pPr>
      <w:bookmarkStart w:id="38" w:name="_Toc462410058"/>
      <w:bookmarkStart w:id="39" w:name="_Toc494994378"/>
      <w:bookmarkStart w:id="40" w:name="_Toc525202232"/>
      <w:bookmarkStart w:id="41" w:name="_Toc12621012"/>
      <w:r>
        <w:rPr>
          <w:rFonts w:eastAsia="Calibri"/>
          <w:b/>
          <w:noProof/>
          <w:lang w:eastAsia="de-DE"/>
        </w:rPr>
        <w:t>3.1</w:t>
      </w:r>
      <w:r>
        <w:rPr>
          <w:rFonts w:eastAsia="Calibri"/>
          <w:b/>
          <w:noProof/>
          <w:lang w:eastAsia="de-DE"/>
        </w:rPr>
        <w:tab/>
        <w:t>Overall impact of DAB 4/2019 on the distribution of total own resources payments between Member States</w:t>
      </w:r>
      <w:bookmarkEnd w:id="38"/>
      <w:bookmarkEnd w:id="39"/>
      <w:bookmarkEnd w:id="40"/>
      <w:bookmarkEnd w:id="41"/>
    </w:p>
    <w:p>
      <w:pPr>
        <w:autoSpaceDE w:val="0"/>
        <w:autoSpaceDN w:val="0"/>
        <w:adjustRightInd w:val="0"/>
        <w:spacing w:before="120" w:after="240"/>
        <w:jc w:val="both"/>
        <w:rPr>
          <w:noProof/>
        </w:rPr>
      </w:pPr>
      <w:r>
        <w:rPr>
          <w:noProof/>
        </w:rPr>
        <w:t>Following the 175</w:t>
      </w:r>
      <w:r>
        <w:rPr>
          <w:noProof/>
          <w:vertAlign w:val="superscript"/>
        </w:rPr>
        <w:t>th</w:t>
      </w:r>
      <w:r>
        <w:rPr>
          <w:noProof/>
        </w:rPr>
        <w:t xml:space="preserve"> meeting of the Advisory Committee on Own Resources (ACOR) of 24 May 2019, two adjustments of the revenue side of the budget are required: first an update of the estimates for Traditional Own Resources (TOR) as well as for the own resources based on the Value Added Tax (VAT) and Gross National Income (GNI) to take account of more recent economic forecasts, and second an update of the UK correction. These two adjustments are presented in sections 3.2 and 3.3 below.</w:t>
      </w:r>
    </w:p>
    <w:p>
      <w:pPr>
        <w:autoSpaceDE w:val="0"/>
        <w:autoSpaceDN w:val="0"/>
        <w:adjustRightInd w:val="0"/>
        <w:spacing w:before="120" w:after="240"/>
        <w:jc w:val="both"/>
        <w:rPr>
          <w:noProof/>
        </w:rPr>
      </w:pPr>
      <w:r>
        <w:rPr>
          <w:noProof/>
        </w:rPr>
        <w:t>The overall impact of both the expenditure and the revenue adjustments of this DAB is shown in the summary table below. This table also shows the distribution of total own resources payments between Member States: as budgeted in the 2019 budget, as amended in Draft Amending budget No 3 (DAB 3/2019)</w:t>
      </w:r>
      <w:r>
        <w:rPr>
          <w:rStyle w:val="FootnoteReference"/>
          <w:noProof/>
        </w:rPr>
        <w:footnoteReference w:id="19"/>
      </w:r>
      <w:r>
        <w:rPr>
          <w:noProof/>
        </w:rPr>
        <w:t>, and finally in the present DAB.</w:t>
      </w:r>
    </w:p>
    <w:p>
      <w:pPr>
        <w:jc w:val="center"/>
        <w:rPr>
          <w:b/>
          <w:noProof/>
        </w:rPr>
      </w:pPr>
      <w:r>
        <w:rPr>
          <w:b/>
          <w:noProof/>
        </w:rPr>
        <w:t>Distribution of total own resources payments by Member States (in million EUR)</w:t>
      </w:r>
    </w:p>
    <w:p>
      <w:pPr>
        <w:jc w:val="center"/>
        <w:rPr>
          <w:b/>
          <w:noProof/>
        </w:rPr>
      </w:pPr>
    </w:p>
    <w:tbl>
      <w:tblPr>
        <w:tblW w:w="5440" w:type="dxa"/>
        <w:jc w:val="center"/>
        <w:tblLook w:val="04A0" w:firstRow="1" w:lastRow="0" w:firstColumn="1" w:lastColumn="0" w:noHBand="0" w:noVBand="1"/>
      </w:tblPr>
      <w:tblGrid>
        <w:gridCol w:w="960"/>
        <w:gridCol w:w="1460"/>
        <w:gridCol w:w="1520"/>
        <w:gridCol w:w="1500"/>
      </w:tblGrid>
      <w:tr>
        <w:trPr>
          <w:trHeight w:val="375"/>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rPr>
            </w:pPr>
            <w:bookmarkStart w:id="42" w:name="_Toc462410059"/>
            <w:bookmarkStart w:id="43" w:name="_Toc525202233"/>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Budget 2019</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DAB 3/2019</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DAB 4/2019</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r>
      <w:tr>
        <w:trPr>
          <w:trHeight w:val="209"/>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BE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6 151,1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6 108,2</w:t>
            </w:r>
          </w:p>
        </w:tc>
        <w:tc>
          <w:tcPr>
            <w:tcW w:w="1500" w:type="dxa"/>
            <w:tcBorders>
              <w:top w:val="single" w:sz="4" w:space="0" w:color="auto"/>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6 096,5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BG</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565,3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560,2</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605,0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CZ</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2 012,3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1 993,3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2 028,3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DK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2 811,0</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2 782,1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2 801,5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DE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30 494,7</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30 164,5</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29 792,7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253,3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250,9</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263,1</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2 478,4</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2 453,9</w:t>
            </w:r>
          </w:p>
        </w:tc>
        <w:tc>
          <w:tcPr>
            <w:tcW w:w="1500" w:type="dxa"/>
            <w:tcBorders>
              <w:top w:val="single" w:sz="4" w:space="0" w:color="auto"/>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2 485,6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1 746,1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1 728,6</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1 759,2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ES</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12 172,1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12 056,6</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12 161,9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FR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22 592,6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22 364,4</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22 592,4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HR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496,6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491,8</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494,6</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szCs w:val="20"/>
              </w:rPr>
              <w:t>17 008,2</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szCs w:val="20"/>
              </w:rPr>
              <w:t>16 840,7</w:t>
            </w:r>
          </w:p>
        </w:tc>
        <w:tc>
          <w:tcPr>
            <w:tcW w:w="1500" w:type="dxa"/>
            <w:tcBorders>
              <w:top w:val="nil"/>
              <w:left w:val="nil"/>
              <w:bottom w:val="single" w:sz="4" w:space="0" w:color="auto"/>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16 772,0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CY</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202,2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200,3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206,7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LV</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288,5</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285,7</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301,3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459,3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455,2</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481,5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376,9</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373,1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382,6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HU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1 285,1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1 272,7</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1 349,3</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116,7</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115,6</w:t>
            </w:r>
          </w:p>
        </w:tc>
        <w:tc>
          <w:tcPr>
            <w:tcW w:w="1500" w:type="dxa"/>
            <w:tcBorders>
              <w:top w:val="single" w:sz="4" w:space="0" w:color="auto"/>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119,3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NL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7 707,0</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7 633,3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7 668,9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AT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3 437,6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3 400,7</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3 398,3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PL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4 934,2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4 888,0</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5 072,7</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szCs w:val="20"/>
              </w:rPr>
              <w:t>1 914,7</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szCs w:val="20"/>
              </w:rPr>
              <w:t>1 896,0</w:t>
            </w:r>
          </w:p>
        </w:tc>
        <w:tc>
          <w:tcPr>
            <w:tcW w:w="1500" w:type="dxa"/>
            <w:tcBorders>
              <w:top w:val="nil"/>
              <w:left w:val="nil"/>
              <w:bottom w:val="single" w:sz="4" w:space="0" w:color="auto"/>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1 932,0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RO</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1 916,6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1 897,1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1 948,8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480,2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475,8</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488,1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868,0</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859,3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873,2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FI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2 186,3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2 163,9</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2 166,7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3 859,3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3 815,1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3 883,5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UK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17 490,2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17 268,1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16 614,1</w:t>
            </w:r>
          </w:p>
        </w:tc>
      </w:tr>
      <w:tr>
        <w:trPr>
          <w:trHeight w:val="315"/>
          <w:jc w:val="center"/>
        </w:trPr>
        <w:tc>
          <w:tcPr>
            <w:tcW w:w="960" w:type="dxa"/>
            <w:tcBorders>
              <w:top w:val="single" w:sz="4" w:space="0" w:color="auto"/>
              <w:left w:val="single" w:sz="8" w:space="0" w:color="auto"/>
              <w:bottom w:val="single" w:sz="8" w:space="0" w:color="auto"/>
              <w:right w:val="single" w:sz="4" w:space="0" w:color="auto"/>
            </w:tcBorders>
            <w:shd w:val="clear" w:color="auto" w:fill="auto"/>
            <w:hideMark/>
          </w:tcPr>
          <w:p>
            <w:pPr>
              <w:jc w:val="center"/>
              <w:rPr>
                <w:b/>
                <w:bCs/>
                <w:noProof/>
                <w:color w:val="000000"/>
                <w:sz w:val="22"/>
                <w:szCs w:val="22"/>
              </w:rPr>
            </w:pPr>
            <w:r>
              <w:rPr>
                <w:b/>
                <w:bCs/>
                <w:noProof/>
                <w:color w:val="000000"/>
                <w:sz w:val="22"/>
                <w:szCs w:val="22"/>
              </w:rPr>
              <w:t>EU</w:t>
            </w:r>
          </w:p>
        </w:tc>
        <w:tc>
          <w:tcPr>
            <w:tcW w:w="1460" w:type="dxa"/>
            <w:tcBorders>
              <w:top w:val="single" w:sz="4" w:space="0" w:color="auto"/>
              <w:left w:val="nil"/>
              <w:bottom w:val="single" w:sz="8" w:space="0" w:color="auto"/>
              <w:right w:val="single" w:sz="4" w:space="0" w:color="auto"/>
            </w:tcBorders>
            <w:shd w:val="clear" w:color="auto" w:fill="auto"/>
          </w:tcPr>
          <w:p>
            <w:pPr>
              <w:jc w:val="right"/>
              <w:rPr>
                <w:b/>
                <w:bCs/>
                <w:noProof/>
                <w:sz w:val="22"/>
                <w:szCs w:val="22"/>
              </w:rPr>
            </w:pPr>
            <w:r>
              <w:rPr>
                <w:b/>
                <w:bCs/>
                <w:noProof/>
                <w:color w:val="000000"/>
                <w:sz w:val="22"/>
                <w:szCs w:val="22"/>
              </w:rPr>
              <w:t>146 304,5</w:t>
            </w:r>
          </w:p>
        </w:tc>
        <w:tc>
          <w:tcPr>
            <w:tcW w:w="1520" w:type="dxa"/>
            <w:tcBorders>
              <w:top w:val="single" w:sz="4" w:space="0" w:color="auto"/>
              <w:left w:val="nil"/>
              <w:bottom w:val="single" w:sz="8" w:space="0" w:color="auto"/>
              <w:right w:val="single" w:sz="4" w:space="0" w:color="auto"/>
            </w:tcBorders>
            <w:shd w:val="clear" w:color="auto" w:fill="auto"/>
          </w:tcPr>
          <w:p>
            <w:pPr>
              <w:jc w:val="right"/>
              <w:rPr>
                <w:b/>
                <w:bCs/>
                <w:noProof/>
                <w:sz w:val="22"/>
                <w:szCs w:val="22"/>
              </w:rPr>
            </w:pPr>
            <w:r>
              <w:rPr>
                <w:b/>
                <w:bCs/>
                <w:noProof/>
                <w:color w:val="000000"/>
                <w:sz w:val="22"/>
                <w:szCs w:val="22"/>
              </w:rPr>
              <w:t>144 795,1</w:t>
            </w:r>
          </w:p>
        </w:tc>
        <w:tc>
          <w:tcPr>
            <w:tcW w:w="1500" w:type="dxa"/>
            <w:tcBorders>
              <w:top w:val="single" w:sz="4" w:space="0" w:color="auto"/>
              <w:left w:val="nil"/>
              <w:bottom w:val="single" w:sz="8" w:space="0" w:color="auto"/>
              <w:right w:val="single" w:sz="4" w:space="0" w:color="auto"/>
            </w:tcBorders>
            <w:shd w:val="clear" w:color="auto" w:fill="FFFFFF" w:themeFill="background1"/>
          </w:tcPr>
          <w:p>
            <w:pPr>
              <w:jc w:val="right"/>
              <w:rPr>
                <w:b/>
                <w:noProof/>
                <w:sz w:val="22"/>
                <w:szCs w:val="22"/>
              </w:rPr>
            </w:pPr>
            <w:r>
              <w:rPr>
                <w:b/>
                <w:noProof/>
                <w:sz w:val="22"/>
                <w:szCs w:val="22"/>
              </w:rPr>
              <w:t>144 739,5</w:t>
            </w:r>
          </w:p>
        </w:tc>
      </w:tr>
    </w:tbl>
    <w:p>
      <w:pPr>
        <w:rPr>
          <w:rFonts w:eastAsia="Calibri"/>
          <w:b/>
          <w:noProof/>
          <w:lang w:eastAsia="de-DE"/>
        </w:rPr>
      </w:pPr>
      <w:r>
        <w:rPr>
          <w:rFonts w:eastAsia="Calibri"/>
          <w:b/>
          <w:noProof/>
          <w:lang w:eastAsia="de-DE"/>
        </w:rPr>
        <w:br w:type="page"/>
      </w:r>
    </w:p>
    <w:p>
      <w:pPr>
        <w:keepNext/>
        <w:tabs>
          <w:tab w:val="left" w:pos="850"/>
        </w:tabs>
        <w:spacing w:before="360" w:after="120"/>
        <w:ind w:left="850" w:hanging="850"/>
        <w:jc w:val="both"/>
        <w:outlineLvl w:val="1"/>
        <w:rPr>
          <w:rFonts w:eastAsia="Calibri"/>
          <w:b/>
          <w:noProof/>
          <w:lang w:eastAsia="de-DE"/>
        </w:rPr>
      </w:pPr>
      <w:bookmarkStart w:id="44" w:name="_Toc12621013"/>
      <w:r>
        <w:rPr>
          <w:rFonts w:eastAsia="Calibri"/>
          <w:b/>
          <w:noProof/>
          <w:lang w:eastAsia="de-DE"/>
        </w:rPr>
        <w:t>3.2</w:t>
      </w:r>
      <w:r>
        <w:rPr>
          <w:rFonts w:eastAsia="Calibri"/>
          <w:b/>
          <w:noProof/>
          <w:lang w:eastAsia="de-DE"/>
        </w:rPr>
        <w:tab/>
        <w:t>Revision of the forecast of TOR, VAT and GNI bases</w:t>
      </w:r>
      <w:bookmarkEnd w:id="42"/>
      <w:bookmarkEnd w:id="43"/>
      <w:bookmarkEnd w:id="44"/>
    </w:p>
    <w:p>
      <w:pPr>
        <w:spacing w:before="120" w:after="120"/>
        <w:jc w:val="both"/>
        <w:rPr>
          <w:noProof/>
        </w:rPr>
      </w:pPr>
      <w:r>
        <w:rPr>
          <w:noProof/>
        </w:rPr>
        <w:t>According to established practice, the Commission proposes to revise the financing of the budget on the basis of more recent economic forecasts</w:t>
      </w:r>
      <w:r>
        <w:rPr>
          <w:rStyle w:val="FootnoteReference"/>
          <w:noProof/>
        </w:rPr>
        <w:footnoteReference w:id="20"/>
      </w:r>
      <w:r>
        <w:rPr>
          <w:noProof/>
        </w:rPr>
        <w:t xml:space="preserve">, agreed with the Member States at the ACOR meeting. </w:t>
      </w:r>
    </w:p>
    <w:p>
      <w:pPr>
        <w:spacing w:before="120" w:after="120"/>
        <w:jc w:val="both"/>
        <w:rPr>
          <w:noProof/>
        </w:rPr>
      </w:pPr>
      <w:r>
        <w:rPr>
          <w:noProof/>
        </w:rPr>
        <w:t>The revision concerns the forecast of TOR to be paid to the budget in 2019 as well as the forecast of the 2019 VAT and GNI bases. The forecast in the 2019 Budget was established at the 172</w:t>
      </w:r>
      <w:r>
        <w:rPr>
          <w:noProof/>
          <w:vertAlign w:val="superscript"/>
        </w:rPr>
        <w:t>th</w:t>
      </w:r>
      <w:r>
        <w:rPr>
          <w:noProof/>
        </w:rPr>
        <w:t xml:space="preserve"> ACOR meeting on 18 May 2018. The revision in the present DAB takes into account the agreed forecasts of the 175</w:t>
      </w:r>
      <w:r>
        <w:rPr>
          <w:noProof/>
          <w:vertAlign w:val="superscript"/>
        </w:rPr>
        <w:t>th</w:t>
      </w:r>
      <w:r>
        <w:rPr>
          <w:noProof/>
        </w:rPr>
        <w:t xml:space="preserve"> ACOR meeting held on 24 May 2019. The use of an updated forecast of own resources improves the accuracy of the revenue forecasts and hence of the payments that Member States are asked to make to the EU budget during the budgetary year.</w:t>
      </w:r>
    </w:p>
    <w:p>
      <w:pPr>
        <w:spacing w:before="120" w:after="120"/>
        <w:jc w:val="both"/>
        <w:rPr>
          <w:noProof/>
        </w:rPr>
      </w:pPr>
      <w:r>
        <w:rPr>
          <w:noProof/>
        </w:rPr>
        <w:t>As compared to the forecast agreed in May 2018, the forecast for 2019 has been revised as follows:</w:t>
      </w:r>
    </w:p>
    <w:p>
      <w:pPr>
        <w:numPr>
          <w:ilvl w:val="0"/>
          <w:numId w:val="2"/>
        </w:numPr>
        <w:spacing w:before="120" w:after="240"/>
        <w:jc w:val="both"/>
        <w:rPr>
          <w:noProof/>
          <w:lang w:eastAsia="de-DE"/>
        </w:rPr>
      </w:pPr>
      <w:r>
        <w:rPr>
          <w:noProof/>
        </w:rPr>
        <w:t>Total 2019 net customs duties are now forecast at EUR 21 206,0 million (after deduction of 20 % collection costs), which represents a decrease of 1,23 % relative to the forecast of EUR 21 471,2 million included in the Budget 2019. The Commission compared the results of the traditional ACOR forecasting method (based on the Spring 2019 macroeconomic forecast) with the results of the extrapolation method based on the latest outturn data for collected customs duties (January – April 2019).  As in previous years, it was agreed to apply a conservative approach and to use the lowest TOR forecast in order to ensure sound budget management in a context of high economic uncertainties and potential disruptions in trade patterns</w:t>
      </w:r>
      <w:r>
        <w:rPr>
          <w:noProof/>
          <w:lang w:eastAsia="de-DE"/>
        </w:rPr>
        <w:t>.</w:t>
      </w:r>
    </w:p>
    <w:p>
      <w:pPr>
        <w:numPr>
          <w:ilvl w:val="0"/>
          <w:numId w:val="2"/>
        </w:numPr>
        <w:spacing w:before="120" w:after="120"/>
        <w:jc w:val="both"/>
        <w:rPr>
          <w:noProof/>
          <w:lang w:eastAsia="de-DE"/>
        </w:rPr>
      </w:pPr>
      <w:r>
        <w:rPr>
          <w:noProof/>
          <w:lang w:eastAsia="de-DE"/>
        </w:rPr>
        <w:t xml:space="preserve">The total 2019 EU uncapped VAT base is now forecast at EUR 7 085 193,6 million, which represents an increase of 2,30 % compared to the May 2018 forecast of EUR 6 925 637,5 million. The total 2019 EU </w:t>
      </w:r>
      <w:r>
        <w:rPr>
          <w:i/>
          <w:noProof/>
          <w:lang w:eastAsia="de-DE"/>
        </w:rPr>
        <w:t>capped</w:t>
      </w:r>
      <w:r>
        <w:rPr>
          <w:noProof/>
          <w:lang w:eastAsia="de-DE"/>
        </w:rPr>
        <w:t xml:space="preserve"> VAT base</w:t>
      </w:r>
      <w:r>
        <w:rPr>
          <w:noProof/>
          <w:vertAlign w:val="superscript"/>
          <w:lang w:eastAsia="de-DE"/>
        </w:rPr>
        <w:footnoteReference w:id="21"/>
      </w:r>
      <w:r>
        <w:rPr>
          <w:noProof/>
          <w:lang w:eastAsia="de-DE"/>
        </w:rPr>
        <w:t xml:space="preserve"> is forecast at EUR 7 057 535,1 million, which represents an increase of 2,20 % compared to the May 2018 forecast of EUR 6 905</w:t>
      </w:r>
      <w:r>
        <w:rPr>
          <w:noProof/>
        </w:rPr>
        <w:t> 892</w:t>
      </w:r>
      <w:r>
        <w:rPr>
          <w:noProof/>
          <w:lang w:eastAsia="de-DE"/>
        </w:rPr>
        <w:t>,6 million.</w:t>
      </w:r>
    </w:p>
    <w:p>
      <w:pPr>
        <w:numPr>
          <w:ilvl w:val="0"/>
          <w:numId w:val="2"/>
        </w:numPr>
        <w:spacing w:before="120" w:after="120"/>
        <w:jc w:val="both"/>
        <w:rPr>
          <w:noProof/>
          <w:lang w:eastAsia="de-DE"/>
        </w:rPr>
      </w:pPr>
      <w:r>
        <w:rPr>
          <w:noProof/>
          <w:lang w:eastAsia="de-DE"/>
        </w:rPr>
        <w:t>The total 2019 EU GNI base is forecast at EUR 16 347 197,8 million, which is a decrease (-0,60 %) compared to the May 2018 forecast of EUR 16 446 111,0 million.</w:t>
      </w:r>
    </w:p>
    <w:p>
      <w:pPr>
        <w:spacing w:before="120" w:after="120"/>
        <w:jc w:val="both"/>
        <w:rPr>
          <w:noProof/>
        </w:rPr>
      </w:pPr>
      <w:r>
        <w:rPr>
          <w:noProof/>
        </w:rPr>
        <w:t>The exchange rates of 31 December 2018 have been used for converting the forecast VAT and GNI bases in national currency into euro (for the nine Member States that are not members of the euro area). This avoids distortions since it is this rate that is used to convert budgeted own resources payments from euro into national currency when the amounts are called in (as stipulated in Article 10a(1) of Council Regulation No 609/2014).</w:t>
      </w:r>
    </w:p>
    <w:p>
      <w:pPr>
        <w:spacing w:before="120" w:after="120"/>
        <w:jc w:val="both"/>
        <w:rPr>
          <w:noProof/>
        </w:rPr>
      </w:pPr>
      <w:r>
        <w:rPr>
          <w:noProof/>
        </w:rPr>
        <w:t>The revised forecasts of TOR, uncapped VAT bases and GNI bases for 2019, as adopted at the 175</w:t>
      </w:r>
      <w:r>
        <w:rPr>
          <w:noProof/>
          <w:vertAlign w:val="superscript"/>
        </w:rPr>
        <w:t>th</w:t>
      </w:r>
      <w:r>
        <w:rPr>
          <w:noProof/>
        </w:rPr>
        <w:t xml:space="preserve"> ACOR meeting on 24 May 2019 are set out in the following table:</w:t>
      </w:r>
    </w:p>
    <w:p>
      <w:pPr>
        <w:keepNext/>
        <w:jc w:val="center"/>
        <w:rPr>
          <w:b/>
          <w:i/>
          <w:noProof/>
        </w:rPr>
      </w:pPr>
      <w:r>
        <w:rPr>
          <w:b/>
          <w:noProof/>
        </w:rPr>
        <w:t>Revised forecasts of TOR, VAT and GNI bases for 2019</w:t>
      </w:r>
      <w:r>
        <w:rPr>
          <w:b/>
          <w:i/>
          <w:noProof/>
        </w:rPr>
        <w:t xml:space="preserve"> (in million EUR)</w:t>
      </w:r>
    </w:p>
    <w:p>
      <w:pPr>
        <w:keepNext/>
        <w:jc w:val="center"/>
        <w:rPr>
          <w:b/>
          <w:i/>
          <w:noProof/>
        </w:rPr>
      </w:pPr>
    </w:p>
    <w:tbl>
      <w:tblPr>
        <w:tblW w:w="0" w:type="auto"/>
        <w:jc w:val="center"/>
        <w:tblLayout w:type="fixed"/>
        <w:tblLook w:val="0000" w:firstRow="0" w:lastRow="0" w:firstColumn="0" w:lastColumn="0" w:noHBand="0" w:noVBand="0"/>
      </w:tblPr>
      <w:tblGrid>
        <w:gridCol w:w="829"/>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45" w:name="OLE_LINK1"/>
            <w:bookmarkStart w:id="46" w:name="_Toc421699312"/>
            <w:bookmarkStart w:id="47" w:name="_Toc461544621"/>
            <w:bookmarkStart w:id="48" w:name="_Toc462410060"/>
            <w:bookmarkStart w:id="49" w:name="_Toc525202234"/>
            <w:bookmarkStart w:id="50" w:name="_Toc390436796"/>
            <w:bookmarkStart w:id="51" w:name="_Toc420941901"/>
            <w:bookmarkStart w:id="52" w:name="_Toc294673193"/>
            <w:bookmarkStart w:id="53" w:name="_Toc357005413"/>
            <w:bookmarkStart w:id="54" w:name="_Toc35888556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Customs duties</w:t>
            </w:r>
          </w:p>
          <w:p>
            <w:pPr>
              <w:keepNext/>
              <w:autoSpaceDE w:val="0"/>
              <w:autoSpaceDN w:val="0"/>
              <w:adjustRightInd w:val="0"/>
              <w:jc w:val="center"/>
              <w:rPr>
                <w:b/>
                <w:bCs/>
                <w:i/>
                <w:iCs/>
                <w:noProof/>
                <w:color w:val="000000"/>
                <w:sz w:val="20"/>
              </w:rPr>
            </w:pPr>
            <w:r>
              <w:rPr>
                <w:b/>
                <w:bCs/>
                <w:i/>
                <w:iCs/>
                <w:noProof/>
                <w:color w:val="000000"/>
                <w:sz w:val="20"/>
              </w:rPr>
              <w:t>(80%)</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Uncapped VAT bases</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GNI bases</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bCs/>
                <w:i/>
                <w:iCs/>
                <w:noProof/>
                <w:color w:val="000000"/>
                <w:sz w:val="20"/>
              </w:rPr>
              <w:t>Capped</w:t>
            </w:r>
          </w:p>
          <w:p>
            <w:pPr>
              <w:keepNext/>
              <w:autoSpaceDE w:val="0"/>
              <w:autoSpaceDN w:val="0"/>
              <w:adjustRightInd w:val="0"/>
              <w:jc w:val="center"/>
              <w:rPr>
                <w:b/>
                <w:bCs/>
                <w:i/>
                <w:iCs/>
                <w:noProof/>
                <w:color w:val="000000"/>
                <w:sz w:val="20"/>
              </w:rPr>
            </w:pPr>
            <w:r>
              <w:rPr>
                <w:b/>
                <w:bCs/>
                <w:i/>
                <w:iCs/>
                <w:noProof/>
                <w:color w:val="000000"/>
                <w:sz w:val="20"/>
              </w:rPr>
              <w:t>VAT bases</w:t>
            </w:r>
            <w:r>
              <w:rPr>
                <w:b/>
                <w:bCs/>
                <w:i/>
                <w:iCs/>
                <w:noProof/>
                <w:color w:val="000000"/>
                <w:sz w:val="20"/>
                <w:vertAlign w:val="superscript"/>
              </w:rPr>
              <w:footnoteReference w:id="22"/>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2 173,3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200 164,5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469 186,6</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200 164,5</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104,7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27 671,8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58 500,4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27 671,8</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293,2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90 821,9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205 917,4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90 821,9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357,7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119 452,0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313 973,3</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119 452,0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4 133,0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1 453 699,2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3 551 074,7</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1 453 699,2</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szCs w:val="20"/>
              </w:rPr>
              <w:t xml:space="preserve">  34,9</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szCs w:val="20"/>
              </w:rPr>
              <w:t xml:space="preserve"> 13 074,3</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szCs w:val="20"/>
              </w:rPr>
              <w:t xml:space="preserve"> 26 649,8</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13 074,3</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308,7</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91 474,4</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265 877,4</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bottom"/>
          </w:tcPr>
          <w:p>
            <w:pPr>
              <w:jc w:val="right"/>
              <w:rPr>
                <w:noProof/>
                <w:color w:val="000000"/>
                <w:sz w:val="20"/>
              </w:rPr>
            </w:pPr>
            <w:r>
              <w:rPr>
                <w:noProof/>
                <w:color w:val="000000"/>
                <w:sz w:val="20"/>
                <w:szCs w:val="20"/>
              </w:rPr>
              <w:t xml:space="preserve"> 91 474,4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185,6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75 007,5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190 421,6</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75 007,5</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1 573,9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572 646,4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1 252 795,0</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572 646,4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1 746,2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1 112 113,9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2 472 604,4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1 112 113,9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39,0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33 740,9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52 961,9</w:t>
            </w:r>
          </w:p>
        </w:tc>
        <w:tc>
          <w:tcPr>
            <w:tcW w:w="1404" w:type="dxa"/>
            <w:tcBorders>
              <w:top w:val="single" w:sz="2" w:space="0" w:color="000000"/>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szCs w:val="20"/>
              </w:rPr>
              <w:t xml:space="preserve"> 26 481,0</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1 901,2</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718 519,6</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1 793 427,3</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szCs w:val="20"/>
              </w:rPr>
              <w:t xml:space="preserve"> 718 519,6</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25,3</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14 284,0</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21 070,6</w:t>
            </w:r>
          </w:p>
        </w:tc>
        <w:tc>
          <w:tcPr>
            <w:tcW w:w="1404" w:type="dxa"/>
            <w:tcBorders>
              <w:top w:val="single" w:sz="4" w:space="0" w:color="auto"/>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szCs w:val="20"/>
              </w:rPr>
              <w:t xml:space="preserve"> 10 535,3</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44,8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12 079,5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31 194,7</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12 079,5</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99,5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19 008,6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45 938,8</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19 008,6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17,6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30 710,0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42 445,3</w:t>
            </w:r>
          </w:p>
        </w:tc>
        <w:tc>
          <w:tcPr>
            <w:tcW w:w="1404" w:type="dxa"/>
            <w:tcBorders>
              <w:top w:val="single" w:sz="2" w:space="0" w:color="000000"/>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szCs w:val="20"/>
              </w:rPr>
              <w:t xml:space="preserve"> 21 222,7</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210,4</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57 991,8</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135 913,0</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szCs w:val="20"/>
              </w:rPr>
              <w:t xml:space="preserve"> 57 991,8</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13,8</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8 893,3</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12 257,9</w:t>
            </w:r>
          </w:p>
        </w:tc>
        <w:tc>
          <w:tcPr>
            <w:tcW w:w="1404" w:type="dxa"/>
            <w:tcBorders>
              <w:top w:val="single" w:sz="4" w:space="0" w:color="auto"/>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szCs w:val="20"/>
              </w:rPr>
              <w:t xml:space="preserve"> 6 129,0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2 607,3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331 589,2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806 725,1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331 589,2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217,5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180 376,1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399 095,3</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180 376,1</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781,4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248 536,4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502 207,3</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248 536,4</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188,2</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105 998,5</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203 200,7</w:t>
            </w:r>
          </w:p>
        </w:tc>
        <w:tc>
          <w:tcPr>
            <w:tcW w:w="1404" w:type="dxa"/>
            <w:tcBorders>
              <w:top w:val="single" w:sz="2" w:space="0" w:color="000000"/>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szCs w:val="20"/>
              </w:rPr>
            </w:pPr>
            <w:r>
              <w:rPr>
                <w:noProof/>
                <w:color w:val="000000"/>
                <w:sz w:val="20"/>
                <w:szCs w:val="20"/>
              </w:rPr>
              <w:t xml:space="preserve"> 101 600,4</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194,6</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76 044,3</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215 341,6</w:t>
            </w:r>
          </w:p>
        </w:tc>
        <w:tc>
          <w:tcPr>
            <w:tcW w:w="1404" w:type="dxa"/>
            <w:tcBorders>
              <w:top w:val="dotted" w:sz="6" w:space="0" w:color="auto"/>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76 044,3</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81,0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22 413,4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47 995,2</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bottom"/>
          </w:tcPr>
          <w:p>
            <w:pPr>
              <w:jc w:val="right"/>
              <w:rPr>
                <w:noProof/>
                <w:color w:val="000000"/>
                <w:sz w:val="20"/>
              </w:rPr>
            </w:pPr>
            <w:r>
              <w:rPr>
                <w:noProof/>
                <w:color w:val="000000"/>
                <w:sz w:val="20"/>
                <w:szCs w:val="20"/>
              </w:rPr>
              <w:t xml:space="preserve"> 22 413,4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100,5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34 473,4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94 317,1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34 473,4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150,6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102 046,6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240 879,6</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102 046,6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520,7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211 575,9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491 990,2</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211 575,9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3 101,4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1 120 786,2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2 403 235,6</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1 120 786,2</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EU-28</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szCs w:val="20"/>
              </w:rPr>
              <w:t xml:space="preserve"> 21 206,0</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szCs w:val="20"/>
              </w:rPr>
              <w:t>7 085 193,6</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szCs w:val="20"/>
              </w:rPr>
              <w:t>16 347 197,8</w:t>
            </w:r>
          </w:p>
        </w:tc>
        <w:tc>
          <w:tcPr>
            <w:tcW w:w="1404" w:type="dxa"/>
            <w:tcBorders>
              <w:top w:val="single" w:sz="12" w:space="0" w:color="auto"/>
              <w:left w:val="single" w:sz="2" w:space="0" w:color="000000"/>
              <w:bottom w:val="single" w:sz="12" w:space="0" w:color="auto"/>
              <w:right w:val="single" w:sz="12" w:space="0" w:color="auto"/>
            </w:tcBorders>
            <w:vAlign w:val="bottom"/>
          </w:tcPr>
          <w:p>
            <w:pPr>
              <w:jc w:val="right"/>
              <w:rPr>
                <w:b/>
                <w:bCs/>
                <w:noProof/>
                <w:color w:val="000000"/>
                <w:sz w:val="20"/>
              </w:rPr>
            </w:pPr>
            <w:r>
              <w:rPr>
                <w:b/>
                <w:bCs/>
                <w:noProof/>
                <w:color w:val="000000"/>
                <w:sz w:val="20"/>
                <w:szCs w:val="20"/>
              </w:rPr>
              <w:t>7 057 535,1</w:t>
            </w:r>
          </w:p>
        </w:tc>
      </w:tr>
    </w:tbl>
    <w:p>
      <w:pPr>
        <w:keepNext/>
        <w:tabs>
          <w:tab w:val="left" w:pos="850"/>
        </w:tabs>
        <w:spacing w:before="360" w:after="120"/>
        <w:ind w:left="850" w:hanging="850"/>
        <w:jc w:val="both"/>
        <w:outlineLvl w:val="1"/>
        <w:rPr>
          <w:rFonts w:eastAsia="Calibri"/>
          <w:b/>
          <w:noProof/>
          <w:lang w:eastAsia="de-DE"/>
        </w:rPr>
      </w:pPr>
      <w:bookmarkStart w:id="55" w:name="_Toc12621014"/>
      <w:bookmarkEnd w:id="45"/>
      <w:r>
        <w:rPr>
          <w:rFonts w:eastAsia="Calibri"/>
          <w:b/>
          <w:noProof/>
          <w:lang w:eastAsia="de-DE"/>
        </w:rPr>
        <w:t>3.3</w:t>
      </w:r>
      <w:r>
        <w:rPr>
          <w:rFonts w:eastAsia="Calibri"/>
          <w:b/>
          <w:noProof/>
          <w:lang w:eastAsia="de-DE"/>
        </w:rPr>
        <w:tab/>
        <w:t>2018 and 2015 UK correction</w:t>
      </w:r>
      <w:bookmarkEnd w:id="46"/>
      <w:bookmarkEnd w:id="47"/>
      <w:bookmarkEnd w:id="48"/>
      <w:bookmarkEnd w:id="49"/>
      <w:bookmarkEnd w:id="55"/>
    </w:p>
    <w:p>
      <w:pPr>
        <w:keepNext/>
        <w:tabs>
          <w:tab w:val="left" w:pos="850"/>
        </w:tabs>
        <w:spacing w:before="240" w:after="120"/>
        <w:ind w:left="850" w:hanging="850"/>
        <w:jc w:val="both"/>
        <w:outlineLvl w:val="1"/>
        <w:rPr>
          <w:rFonts w:eastAsia="Calibri"/>
          <w:i/>
          <w:noProof/>
          <w:lang w:eastAsia="de-DE"/>
        </w:rPr>
      </w:pPr>
      <w:bookmarkStart w:id="56" w:name="_Toc294673194"/>
      <w:bookmarkStart w:id="57" w:name="_Toc357005414"/>
      <w:bookmarkStart w:id="58" w:name="_Toc390436797"/>
      <w:bookmarkStart w:id="59" w:name="_Toc420941902"/>
      <w:bookmarkStart w:id="60" w:name="_Toc461544622"/>
      <w:bookmarkStart w:id="61" w:name="_Toc12621015"/>
      <w:bookmarkEnd w:id="50"/>
      <w:bookmarkEnd w:id="51"/>
      <w:r>
        <w:rPr>
          <w:rFonts w:eastAsia="Calibri"/>
          <w:i/>
          <w:noProof/>
          <w:lang w:eastAsia="de-DE"/>
        </w:rPr>
        <w:t>3.3.1</w:t>
      </w:r>
      <w:r>
        <w:rPr>
          <w:rFonts w:eastAsia="Calibri"/>
          <w:i/>
          <w:noProof/>
          <w:lang w:eastAsia="de-DE"/>
        </w:rPr>
        <w:tab/>
        <w:t>Introduction</w:t>
      </w:r>
      <w:bookmarkEnd w:id="56"/>
      <w:bookmarkEnd w:id="57"/>
      <w:bookmarkEnd w:id="58"/>
      <w:bookmarkEnd w:id="59"/>
      <w:bookmarkEnd w:id="60"/>
      <w:bookmarkEnd w:id="61"/>
    </w:p>
    <w:p>
      <w:pPr>
        <w:spacing w:before="120" w:after="120"/>
        <w:jc w:val="both"/>
        <w:rPr>
          <w:noProof/>
        </w:rPr>
      </w:pPr>
      <w:r>
        <w:rPr>
          <w:noProof/>
        </w:rPr>
        <w:t>The correction of budgetary imbalances in favour of the United Kingdom (UK correction), to be budgeted in the present DAB, concerns two years: 2015 and 2018.</w:t>
      </w:r>
    </w:p>
    <w:p>
      <w:pPr>
        <w:jc w:val="both"/>
        <w:rPr>
          <w:noProof/>
          <w:lang w:eastAsia="de-DE"/>
        </w:rPr>
      </w:pPr>
      <w:r>
        <w:rPr>
          <w:noProof/>
        </w:rPr>
        <w:t>The 2015 and 2018 UK correction is subject to the rules of Council Decision 2014/335/EU, Euratom on the system of own resources of the European Union</w:t>
      </w:r>
      <w:r>
        <w:rPr>
          <w:rStyle w:val="FootnoteReference"/>
          <w:noProof/>
        </w:rPr>
        <w:footnoteReference w:id="23"/>
      </w:r>
      <w:r>
        <w:rPr>
          <w:noProof/>
        </w:rPr>
        <w:t xml:space="preserve"> and its accompanying working document, the </w:t>
      </w:r>
      <w:r>
        <w:rPr>
          <w:i/>
          <w:noProof/>
        </w:rPr>
        <w:t>2014 Calculation Method</w:t>
      </w:r>
      <w:r>
        <w:rPr>
          <w:noProof/>
          <w:vertAlign w:val="superscript"/>
        </w:rPr>
        <w:footnoteReference w:id="24"/>
      </w:r>
      <w:r>
        <w:rPr>
          <w:noProof/>
        </w:rPr>
        <w:t xml:space="preserve">. Pursuant to the rules of this Decision, the net TOR “windfall gains” of the UK resulting from the increase since 2001 in the percentage of TOR retained by Member States as a compensation for their collection costs are neutralised and the allocated expenditure is adjusted by </w:t>
      </w:r>
      <w:r>
        <w:rPr>
          <w:noProof/>
          <w:lang w:eastAsia="de-DE"/>
        </w:rPr>
        <w:t xml:space="preserve">the total allocated expenditure in Member States that have acceded to the EU after 30 April 2004, except for agricultural direct payments and market-related expenditure as well as the part of the rural development expenditure originating from the EAGGF, Guarantee section. </w:t>
      </w:r>
    </w:p>
    <w:p>
      <w:pPr>
        <w:spacing w:before="120" w:after="120"/>
        <w:jc w:val="both"/>
        <w:rPr>
          <w:noProof/>
        </w:rPr>
      </w:pPr>
      <w:r>
        <w:rPr>
          <w:noProof/>
        </w:rPr>
        <w:t>Furthermore, the share of Austria, Germany, the Netherlands and Sweden in the financing of the UK correction is reduced to one fourth of their normal share. The reduction is financed by the other Member States, excluding the UK.</w:t>
      </w:r>
    </w:p>
    <w:p>
      <w:pPr>
        <w:spacing w:before="120" w:after="120"/>
        <w:jc w:val="both"/>
        <w:rPr>
          <w:noProof/>
        </w:rPr>
      </w:pPr>
      <w:r>
        <w:rPr>
          <w:noProof/>
        </w:rPr>
        <w:t xml:space="preserve">In the present DAB, the calculation and financing of the </w:t>
      </w:r>
      <w:r>
        <w:rPr>
          <w:i/>
          <w:noProof/>
        </w:rPr>
        <w:t>1</w:t>
      </w:r>
      <w:r>
        <w:rPr>
          <w:i/>
          <w:noProof/>
          <w:vertAlign w:val="superscript"/>
        </w:rPr>
        <w:t>st</w:t>
      </w:r>
      <w:r>
        <w:rPr>
          <w:i/>
          <w:noProof/>
        </w:rPr>
        <w:t xml:space="preserve"> update</w:t>
      </w:r>
      <w:r>
        <w:rPr>
          <w:noProof/>
        </w:rPr>
        <w:t xml:space="preserve"> </w:t>
      </w:r>
      <w:r>
        <w:rPr>
          <w:i/>
          <w:noProof/>
        </w:rPr>
        <w:t>of the 2018</w:t>
      </w:r>
      <w:r>
        <w:rPr>
          <w:noProof/>
        </w:rPr>
        <w:t xml:space="preserve"> UK correction and the </w:t>
      </w:r>
      <w:r>
        <w:rPr>
          <w:i/>
          <w:noProof/>
        </w:rPr>
        <w:t>definitive amount</w:t>
      </w:r>
      <w:r>
        <w:rPr>
          <w:noProof/>
        </w:rPr>
        <w:t xml:space="preserve"> </w:t>
      </w:r>
      <w:r>
        <w:rPr>
          <w:i/>
          <w:noProof/>
        </w:rPr>
        <w:t>of the 2015</w:t>
      </w:r>
      <w:r>
        <w:rPr>
          <w:noProof/>
        </w:rPr>
        <w:t xml:space="preserve"> UK correction are entered.</w:t>
      </w:r>
    </w:p>
    <w:p>
      <w:pPr>
        <w:rPr>
          <w:noProof/>
        </w:rPr>
      </w:pPr>
      <w:r>
        <w:rPr>
          <w:noProof/>
        </w:rPr>
        <w:br w:type="page"/>
      </w:r>
    </w:p>
    <w:p>
      <w:pPr>
        <w:spacing w:before="120" w:after="120"/>
        <w:jc w:val="both"/>
        <w:rPr>
          <w:noProof/>
        </w:rPr>
      </w:pPr>
      <w:r>
        <w:rPr>
          <w:noProof/>
        </w:rPr>
        <w:t xml:space="preserve">The difference between the </w:t>
      </w:r>
      <w:r>
        <w:rPr>
          <w:i/>
          <w:noProof/>
        </w:rPr>
        <w:t>definitive amount</w:t>
      </w:r>
      <w:r>
        <w:rPr>
          <w:noProof/>
        </w:rPr>
        <w:t xml:space="preserve"> </w:t>
      </w:r>
      <w:r>
        <w:rPr>
          <w:i/>
          <w:iCs/>
          <w:noProof/>
        </w:rPr>
        <w:t>of the 2015 UK correction</w:t>
      </w:r>
      <w:r>
        <w:rPr>
          <w:noProof/>
        </w:rPr>
        <w:t xml:space="preserve"> and the amount previously budgeted (the </w:t>
      </w:r>
      <w:r>
        <w:rPr>
          <w:i/>
          <w:noProof/>
        </w:rPr>
        <w:t>1</w:t>
      </w:r>
      <w:r>
        <w:rPr>
          <w:i/>
          <w:noProof/>
          <w:vertAlign w:val="superscript"/>
        </w:rPr>
        <w:t>st</w:t>
      </w:r>
      <w:r>
        <w:rPr>
          <w:noProof/>
        </w:rPr>
        <w:t xml:space="preserve"> </w:t>
      </w:r>
      <w:r>
        <w:rPr>
          <w:i/>
          <w:noProof/>
        </w:rPr>
        <w:t>update</w:t>
      </w:r>
      <w:r>
        <w:rPr>
          <w:noProof/>
        </w:rPr>
        <w:t xml:space="preserve"> entered in AB 5/2016) is entered in chapter 35 (Result of the definitive calculation of the financing of the correction of budgetary imbalances for the United Kingdom) of the present DAB.</w:t>
      </w:r>
    </w:p>
    <w:p>
      <w:pPr>
        <w:spacing w:before="120" w:after="120"/>
        <w:jc w:val="both"/>
        <w:rPr>
          <w:noProof/>
        </w:rPr>
      </w:pPr>
      <w:r>
        <w:rPr>
          <w:noProof/>
        </w:rPr>
        <w:t xml:space="preserve">The </w:t>
      </w:r>
      <w:r>
        <w:rPr>
          <w:i/>
          <w:noProof/>
        </w:rPr>
        <w:t>1st update</w:t>
      </w:r>
      <w:r>
        <w:rPr>
          <w:noProof/>
        </w:rPr>
        <w:t xml:space="preserve"> </w:t>
      </w:r>
      <w:r>
        <w:rPr>
          <w:i/>
          <w:noProof/>
        </w:rPr>
        <w:t>amount</w:t>
      </w:r>
      <w:r>
        <w:rPr>
          <w:noProof/>
        </w:rPr>
        <w:t xml:space="preserve"> </w:t>
      </w:r>
      <w:r>
        <w:rPr>
          <w:i/>
          <w:iCs/>
          <w:noProof/>
        </w:rPr>
        <w:t>of the 2018 UK correction</w:t>
      </w:r>
      <w:r>
        <w:rPr>
          <w:noProof/>
        </w:rPr>
        <w:t xml:space="preserve"> is entered in chapter 15 (Correction of budgetary imbalances) of the present DAB, replacing the previously budgeted </w:t>
      </w:r>
      <w:r>
        <w:rPr>
          <w:i/>
          <w:noProof/>
        </w:rPr>
        <w:t>provisional amount</w:t>
      </w:r>
      <w:r>
        <w:rPr>
          <w:noProof/>
        </w:rPr>
        <w:t>.</w:t>
      </w:r>
    </w:p>
    <w:p>
      <w:pPr>
        <w:keepNext/>
        <w:tabs>
          <w:tab w:val="left" w:pos="850"/>
        </w:tabs>
        <w:spacing w:before="240" w:after="120"/>
        <w:ind w:left="850" w:hanging="850"/>
        <w:jc w:val="both"/>
        <w:outlineLvl w:val="1"/>
        <w:rPr>
          <w:rFonts w:eastAsia="Calibri"/>
          <w:i/>
          <w:noProof/>
          <w:lang w:eastAsia="de-DE"/>
        </w:rPr>
      </w:pPr>
      <w:bookmarkStart w:id="62" w:name="_Toc231879704"/>
      <w:bookmarkStart w:id="63" w:name="_Toc293417236"/>
      <w:bookmarkStart w:id="64" w:name="_Toc294673195"/>
      <w:bookmarkStart w:id="65" w:name="_Toc357005415"/>
      <w:bookmarkStart w:id="66" w:name="_Toc390436798"/>
      <w:bookmarkStart w:id="67" w:name="_Toc420941903"/>
      <w:bookmarkStart w:id="68" w:name="_Toc461544623"/>
      <w:bookmarkStart w:id="69" w:name="_Toc12621016"/>
      <w:r>
        <w:rPr>
          <w:rFonts w:eastAsia="Calibri"/>
          <w:i/>
          <w:noProof/>
          <w:lang w:eastAsia="de-DE"/>
        </w:rPr>
        <w:t>3.3.2</w:t>
      </w:r>
      <w:r>
        <w:rPr>
          <w:rFonts w:eastAsia="Calibri"/>
          <w:i/>
          <w:noProof/>
          <w:lang w:eastAsia="de-DE"/>
        </w:rPr>
        <w:tab/>
        <w:t>Calculation of the corrections</w:t>
      </w:r>
      <w:bookmarkEnd w:id="62"/>
      <w:bookmarkEnd w:id="63"/>
      <w:bookmarkEnd w:id="64"/>
      <w:bookmarkEnd w:id="65"/>
      <w:bookmarkEnd w:id="66"/>
      <w:bookmarkEnd w:id="67"/>
      <w:bookmarkEnd w:id="68"/>
      <w:bookmarkEnd w:id="69"/>
    </w:p>
    <w:p>
      <w:pPr>
        <w:spacing w:before="120" w:after="120"/>
        <w:jc w:val="both"/>
        <w:rPr>
          <w:noProof/>
        </w:rPr>
      </w:pPr>
      <w:r>
        <w:rPr>
          <w:noProof/>
        </w:rPr>
        <w:t xml:space="preserve">The update of the corrections for 2015 and 2018 stems mainly from the update of the VAT and GNI bases as communicated by Member States in autumn 2018. In addition the update of the correction for 2018 also takes into account the allocated expenditure of 2018. </w:t>
      </w:r>
    </w:p>
    <w:p>
      <w:pPr>
        <w:tabs>
          <w:tab w:val="left" w:pos="851"/>
        </w:tabs>
        <w:spacing w:before="120" w:after="120"/>
        <w:rPr>
          <w:bCs/>
          <w:noProof/>
          <w:szCs w:val="28"/>
          <w:u w:val="single"/>
          <w:lang w:eastAsia="de-DE"/>
        </w:rPr>
      </w:pPr>
      <w:bookmarkStart w:id="70" w:name="_Toc231879705"/>
      <w:r>
        <w:rPr>
          <w:bCs/>
          <w:noProof/>
          <w:szCs w:val="28"/>
          <w:u w:val="single"/>
          <w:lang w:eastAsia="de-DE"/>
        </w:rPr>
        <w:t>3.3.2.1</w:t>
      </w:r>
      <w:r>
        <w:rPr>
          <w:bCs/>
          <w:noProof/>
          <w:szCs w:val="28"/>
          <w:u w:val="single"/>
          <w:lang w:eastAsia="de-DE"/>
        </w:rPr>
        <w:tab/>
        <w:t>2018 UK correction</w:t>
      </w:r>
    </w:p>
    <w:bookmarkEnd w:id="70"/>
    <w:p>
      <w:pPr>
        <w:spacing w:before="120" w:after="120"/>
        <w:jc w:val="both"/>
        <w:rPr>
          <w:noProof/>
        </w:rPr>
      </w:pPr>
      <w:r>
        <w:rPr>
          <w:noProof/>
        </w:rPr>
        <w:t xml:space="preserve">The following table summarises the changes between the </w:t>
      </w:r>
      <w:r>
        <w:rPr>
          <w:i/>
          <w:noProof/>
        </w:rPr>
        <w:t>provisional amount</w:t>
      </w:r>
      <w:r>
        <w:rPr>
          <w:noProof/>
        </w:rPr>
        <w:t xml:space="preserve"> of the 2018 UK correction entered in the Budget 2019 and the </w:t>
      </w:r>
      <w:r>
        <w:rPr>
          <w:i/>
          <w:noProof/>
        </w:rPr>
        <w:t>1</w:t>
      </w:r>
      <w:r>
        <w:rPr>
          <w:i/>
          <w:noProof/>
          <w:vertAlign w:val="superscript"/>
        </w:rPr>
        <w:t>st</w:t>
      </w:r>
      <w:r>
        <w:rPr>
          <w:i/>
          <w:noProof/>
        </w:rPr>
        <w:t xml:space="preserve"> update</w:t>
      </w:r>
      <w:r>
        <w:rPr>
          <w:noProof/>
        </w:rPr>
        <w:t xml:space="preserve"> of the 2018 UK correction to be entered in the present DAB.</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2018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2018 UK correction</w:t>
            </w:r>
          </w:p>
          <w:p>
            <w:pPr>
              <w:autoSpaceDE w:val="0"/>
              <w:autoSpaceDN w:val="0"/>
              <w:adjustRightInd w:val="0"/>
              <w:jc w:val="center"/>
              <w:rPr>
                <w:noProof/>
                <w:color w:val="000000"/>
                <w:sz w:val="20"/>
              </w:rPr>
            </w:pPr>
            <w:r>
              <w:rPr>
                <w:b/>
                <w:noProof/>
                <w:color w:val="000000"/>
                <w:sz w:val="20"/>
              </w:rPr>
              <w:t>PROVISIONAL</w:t>
            </w:r>
          </w:p>
          <w:p>
            <w:pPr>
              <w:autoSpaceDE w:val="0"/>
              <w:autoSpaceDN w:val="0"/>
              <w:adjustRightInd w:val="0"/>
              <w:jc w:val="center"/>
              <w:rPr>
                <w:b/>
                <w:noProof/>
                <w:color w:val="000000"/>
                <w:sz w:val="20"/>
              </w:rPr>
            </w:pPr>
            <w:r>
              <w:rPr>
                <w:b/>
                <w:noProof/>
                <w:color w:val="000000"/>
                <w:sz w:val="20"/>
              </w:rPr>
              <w:t>Budget 2019</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2018 UK correction</w:t>
            </w:r>
          </w:p>
          <w:p>
            <w:pPr>
              <w:autoSpaceDE w:val="0"/>
              <w:autoSpaceDN w:val="0"/>
              <w:adjustRightInd w:val="0"/>
              <w:jc w:val="center"/>
              <w:rPr>
                <w:b/>
                <w:bCs/>
                <w:noProof/>
                <w:color w:val="000000"/>
                <w:sz w:val="20"/>
              </w:rPr>
            </w:pPr>
            <w:r>
              <w:rPr>
                <w:b/>
                <w:noProof/>
                <w:color w:val="000000"/>
                <w:sz w:val="20"/>
              </w:rPr>
              <w:t>1st UPDATE</w:t>
            </w:r>
          </w:p>
          <w:p>
            <w:pPr>
              <w:autoSpaceDE w:val="0"/>
              <w:autoSpaceDN w:val="0"/>
              <w:adjustRightInd w:val="0"/>
              <w:jc w:val="center"/>
              <w:rPr>
                <w:b/>
                <w:noProof/>
                <w:color w:val="000000"/>
                <w:sz w:val="20"/>
              </w:rPr>
            </w:pPr>
            <w:r>
              <w:rPr>
                <w:b/>
                <w:noProof/>
                <w:color w:val="000000"/>
                <w:sz w:val="20"/>
              </w:rPr>
              <w:t xml:space="preserve">DAB </w:t>
            </w:r>
            <w:r>
              <w:rPr>
                <w:b/>
                <w:noProof/>
                <w:sz w:val="20"/>
              </w:rPr>
              <w:t>4</w:t>
            </w:r>
            <w:r>
              <w:rPr>
                <w:b/>
                <w:noProof/>
                <w:color w:val="000000"/>
                <w:sz w:val="20"/>
              </w:rPr>
              <w:t>/2019</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Difference</w:t>
            </w:r>
          </w:p>
        </w:tc>
      </w:tr>
      <w:tr>
        <w:trPr>
          <w:jc w:val="center"/>
        </w:trPr>
        <w:tc>
          <w:tcPr>
            <w:tcW w:w="550"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16,1945%</w:t>
            </w:r>
          </w:p>
        </w:tc>
        <w:tc>
          <w:tcPr>
            <w:tcW w:w="180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15,9617%</w:t>
            </w:r>
          </w:p>
        </w:tc>
        <w:tc>
          <w:tcPr>
            <w:tcW w:w="180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-0,2329%</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7,3577%</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6,7300%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-0,6277%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8,8368%</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9,2317%</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+0,3948%</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127 599 039 596</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129 786 633 964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+ 2 187 594 368</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Enlargement-related expenditure</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27 076 886 462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31 101 300 166</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+ 4 024 413 704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27 076 886 462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31 101 300 166</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+ 4 024 413 704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100 522 153 134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98 685 333 798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- 1 836 819 336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5 862 761 188</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6 012 789 482</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+ 150 028 294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854 326 562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616 616 471</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- 237 710 091</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5 008 434 626</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5 396 173 012</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+ 387 738 385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- 15 094 049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- 35 957 064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- 20 863 015</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5 023 528 676</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5 432 130 075</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+ 408 601 399</w:t>
            </w:r>
          </w:p>
        </w:tc>
      </w:tr>
    </w:tbl>
    <w:p>
      <w:pPr>
        <w:tabs>
          <w:tab w:val="num" w:pos="851"/>
        </w:tabs>
        <w:spacing w:before="120" w:after="120"/>
        <w:jc w:val="both"/>
        <w:rPr>
          <w:noProof/>
        </w:rPr>
      </w:pPr>
      <w:r>
        <w:rPr>
          <w:noProof/>
        </w:rPr>
        <w:t xml:space="preserve">The </w:t>
      </w:r>
      <w:r>
        <w:rPr>
          <w:i/>
          <w:noProof/>
        </w:rPr>
        <w:t>1</w:t>
      </w:r>
      <w:r>
        <w:rPr>
          <w:i/>
          <w:noProof/>
          <w:vertAlign w:val="superscript"/>
        </w:rPr>
        <w:t>st</w:t>
      </w:r>
      <w:r>
        <w:rPr>
          <w:i/>
          <w:noProof/>
        </w:rPr>
        <w:t xml:space="preserve"> update</w:t>
      </w:r>
      <w:r>
        <w:rPr>
          <w:noProof/>
        </w:rPr>
        <w:t xml:space="preserve"> of the 2018 UK correction is around EUR 409 million higher as compared to the </w:t>
      </w:r>
      <w:r>
        <w:rPr>
          <w:i/>
          <w:noProof/>
        </w:rPr>
        <w:t>provisional amount</w:t>
      </w:r>
      <w:r>
        <w:rPr>
          <w:noProof/>
        </w:rPr>
        <w:t xml:space="preserve"> of the 2018 UK correction entered in the Budget 2019.</w:t>
      </w:r>
    </w:p>
    <w:p>
      <w:pPr>
        <w:tabs>
          <w:tab w:val="left" w:pos="851"/>
        </w:tabs>
        <w:rPr>
          <w:bCs/>
          <w:noProof/>
          <w:szCs w:val="28"/>
          <w:u w:val="single"/>
          <w:lang w:eastAsia="de-DE"/>
        </w:rPr>
      </w:pPr>
      <w:r>
        <w:rPr>
          <w:bCs/>
          <w:noProof/>
          <w:szCs w:val="28"/>
          <w:u w:val="single"/>
          <w:lang w:eastAsia="de-DE"/>
        </w:rPr>
        <w:t>3.3.2.2</w:t>
      </w:r>
      <w:r>
        <w:rPr>
          <w:bCs/>
          <w:noProof/>
          <w:szCs w:val="28"/>
          <w:u w:val="single"/>
          <w:lang w:eastAsia="de-DE"/>
        </w:rPr>
        <w:tab/>
        <w:t>2015 UK correction</w:t>
      </w:r>
    </w:p>
    <w:p>
      <w:pPr>
        <w:spacing w:before="120" w:after="120"/>
        <w:jc w:val="both"/>
        <w:rPr>
          <w:noProof/>
        </w:rPr>
      </w:pPr>
      <w:r>
        <w:rPr>
          <w:noProof/>
        </w:rPr>
        <w:t xml:space="preserve">The following table summarises the changes between the </w:t>
      </w:r>
      <w:r>
        <w:rPr>
          <w:i/>
          <w:noProof/>
        </w:rPr>
        <w:t>1</w:t>
      </w:r>
      <w:r>
        <w:rPr>
          <w:i/>
          <w:noProof/>
          <w:vertAlign w:val="superscript"/>
        </w:rPr>
        <w:t>st</w:t>
      </w:r>
      <w:r>
        <w:rPr>
          <w:i/>
          <w:noProof/>
        </w:rPr>
        <w:t xml:space="preserve"> update</w:t>
      </w:r>
      <w:r>
        <w:rPr>
          <w:noProof/>
        </w:rPr>
        <w:t xml:space="preserve"> of the 2015 UK correction entered in the Amending Budget 5/2016 and the </w:t>
      </w:r>
      <w:r>
        <w:rPr>
          <w:i/>
          <w:noProof/>
        </w:rPr>
        <w:t>definitive amount</w:t>
      </w:r>
      <w:r>
        <w:rPr>
          <w:noProof/>
        </w:rPr>
        <w:t xml:space="preserve"> of the 2015 UK correction to be entered in the present DAB.</w:t>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2015 UK correction</w:t>
            </w:r>
          </w:p>
          <w:p>
            <w:pPr>
              <w:rPr>
                <w:noProof/>
              </w:rPr>
            </w:pP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rPr>
            </w:pPr>
            <w:r>
              <w:rPr>
                <w:b/>
                <w:bCs/>
                <w:noProof/>
                <w:sz w:val="20"/>
              </w:rPr>
              <w:t>2015 UK correction</w:t>
            </w:r>
            <w:r>
              <w:rPr>
                <w:b/>
                <w:bCs/>
                <w:noProof/>
                <w:sz w:val="20"/>
              </w:rPr>
              <w:br/>
              <w:t>1</w:t>
            </w:r>
            <w:r>
              <w:rPr>
                <w:b/>
                <w:bCs/>
                <w:noProof/>
                <w:sz w:val="20"/>
                <w:vertAlign w:val="superscript"/>
              </w:rPr>
              <w:t>st</w:t>
            </w:r>
            <w:r>
              <w:rPr>
                <w:b/>
                <w:bCs/>
                <w:noProof/>
                <w:sz w:val="20"/>
              </w:rPr>
              <w:t xml:space="preserve"> UPDATE </w:t>
            </w:r>
            <w:r>
              <w:rPr>
                <w:b/>
                <w:bCs/>
                <w:noProof/>
                <w:sz w:val="20"/>
              </w:rPr>
              <w:br/>
              <w:t>AB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bCs/>
                <w:noProof/>
                <w:sz w:val="20"/>
              </w:rPr>
              <w:t>2015 UK correction</w:t>
            </w:r>
            <w:r>
              <w:rPr>
                <w:b/>
                <w:bCs/>
                <w:noProof/>
                <w:sz w:val="20"/>
              </w:rPr>
              <w:br/>
              <w:t>DEFINITIVE</w:t>
            </w:r>
            <w:r>
              <w:rPr>
                <w:b/>
                <w:bCs/>
                <w:noProof/>
                <w:sz w:val="20"/>
              </w:rPr>
              <w:br/>
              <w:t>DAB 4/2019</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bCs/>
                <w:i/>
                <w:iCs/>
                <w:noProof/>
                <w:sz w:val="20"/>
              </w:rPr>
              <w:t>Difference</w:t>
            </w:r>
          </w:p>
        </w:tc>
      </w:tr>
      <w:tr>
        <w:trPr>
          <w:jc w:val="center"/>
        </w:trPr>
        <w:tc>
          <w:tcPr>
            <w:tcW w:w="550"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19,2145%</w:t>
            </w:r>
          </w:p>
        </w:tc>
        <w:tc>
          <w:tcPr>
            <w:tcW w:w="168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19,1419%</w:t>
            </w:r>
          </w:p>
        </w:tc>
        <w:tc>
          <w:tcPr>
            <w:tcW w:w="192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- 0,0726%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7,5910%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7,5894%</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- 0,0016%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11,6235%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11,5525%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- 0,0710%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129 194 773 448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129 135 893 336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- 58 880 112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Enlargement-related expenditure</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31 733 179 803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31 639 878 296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31 733 179 803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31 639 878 296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97 461 593 645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97 496 015 040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+ 34 421 395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7 476 753 663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7 433 724 758</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- 43 028 905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1 496 521 393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1 381 345 015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- 115 176 378</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5 980 232 270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6 052 379 743</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+ 72 147 473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-76 109 576</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-74 320 246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+ 1 789 330</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6 056 341 847</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6 126 699 989</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+70 358 142</w:t>
            </w:r>
          </w:p>
        </w:tc>
      </w:tr>
    </w:tbl>
    <w:p>
      <w:pPr>
        <w:spacing w:before="120" w:after="120"/>
        <w:jc w:val="both"/>
        <w:rPr>
          <w:noProof/>
        </w:rPr>
      </w:pPr>
      <w:r>
        <w:rPr>
          <w:noProof/>
        </w:rPr>
        <w:t xml:space="preserve">The </w:t>
      </w:r>
      <w:r>
        <w:rPr>
          <w:i/>
          <w:noProof/>
        </w:rPr>
        <w:t>definitive amount</w:t>
      </w:r>
      <w:r>
        <w:rPr>
          <w:noProof/>
        </w:rPr>
        <w:t xml:space="preserve"> of the 2015 UK correction is around EUR 70 million higher than the </w:t>
      </w:r>
      <w:r>
        <w:rPr>
          <w:i/>
          <w:noProof/>
        </w:rPr>
        <w:t>1</w:t>
      </w:r>
      <w:r>
        <w:rPr>
          <w:i/>
          <w:noProof/>
          <w:vertAlign w:val="superscript"/>
        </w:rPr>
        <w:t>st</w:t>
      </w:r>
      <w:r>
        <w:rPr>
          <w:i/>
          <w:noProof/>
        </w:rPr>
        <w:t xml:space="preserve"> update</w:t>
      </w:r>
      <w:r>
        <w:rPr>
          <w:noProof/>
        </w:rPr>
        <w:t xml:space="preserve"> of the 2015 UK correction entered in the AB 5/2016 mainly due to the updates of the VAT and GNI bases as communicated by Member States in autumn 2018.</w:t>
      </w:r>
    </w:p>
    <w:p>
      <w:pPr>
        <w:keepNext/>
        <w:tabs>
          <w:tab w:val="left" w:pos="850"/>
        </w:tabs>
        <w:spacing w:before="240" w:after="120"/>
        <w:ind w:left="850" w:hanging="850"/>
        <w:jc w:val="both"/>
        <w:outlineLvl w:val="1"/>
        <w:rPr>
          <w:rFonts w:eastAsia="Calibri"/>
          <w:i/>
          <w:noProof/>
          <w:lang w:eastAsia="de-DE"/>
        </w:rPr>
      </w:pPr>
      <w:bookmarkStart w:id="71" w:name="_Toc231879708"/>
      <w:bookmarkStart w:id="72" w:name="_Toc293417237"/>
      <w:bookmarkStart w:id="73" w:name="_Toc294673196"/>
      <w:bookmarkStart w:id="74" w:name="_Toc357005416"/>
      <w:bookmarkStart w:id="75" w:name="_Toc390436799"/>
      <w:bookmarkStart w:id="76" w:name="_Toc420941904"/>
      <w:bookmarkStart w:id="77" w:name="_Toc461544624"/>
      <w:bookmarkStart w:id="78" w:name="_Toc12621017"/>
      <w:r>
        <w:rPr>
          <w:rFonts w:eastAsia="Calibri"/>
          <w:i/>
          <w:noProof/>
          <w:lang w:eastAsia="de-DE"/>
        </w:rPr>
        <w:t>3.3.3</w:t>
      </w:r>
      <w:r>
        <w:rPr>
          <w:rFonts w:eastAsia="Calibri"/>
          <w:i/>
          <w:noProof/>
          <w:lang w:eastAsia="de-DE"/>
        </w:rPr>
        <w:tab/>
        <w:t>Entry in DAB 4/2019 of the 1st update of the 2018 UK correction and definitive amount of the 2015 UK correction</w:t>
      </w:r>
      <w:bookmarkEnd w:id="71"/>
      <w:bookmarkEnd w:id="72"/>
      <w:bookmarkEnd w:id="73"/>
      <w:bookmarkEnd w:id="74"/>
      <w:bookmarkEnd w:id="75"/>
      <w:bookmarkEnd w:id="76"/>
      <w:bookmarkEnd w:id="77"/>
      <w:bookmarkEnd w:id="78"/>
      <w:r>
        <w:rPr>
          <w:rFonts w:eastAsia="Calibri"/>
          <w:i/>
          <w:noProof/>
          <w:lang w:eastAsia="de-DE"/>
        </w:rPr>
        <w:t xml:space="preserve"> </w:t>
      </w:r>
    </w:p>
    <w:p>
      <w:pPr>
        <w:tabs>
          <w:tab w:val="left" w:pos="851"/>
        </w:tabs>
        <w:spacing w:before="120" w:after="120"/>
        <w:rPr>
          <w:bCs/>
          <w:noProof/>
          <w:szCs w:val="28"/>
          <w:u w:val="single"/>
          <w:lang w:eastAsia="de-DE"/>
        </w:rPr>
      </w:pPr>
      <w:bookmarkStart w:id="79" w:name="_Toc231879709"/>
      <w:r>
        <w:rPr>
          <w:bCs/>
          <w:noProof/>
          <w:szCs w:val="28"/>
          <w:u w:val="single"/>
          <w:lang w:eastAsia="de-DE"/>
        </w:rPr>
        <w:t>3.3.3.1</w:t>
      </w:r>
      <w:r>
        <w:rPr>
          <w:bCs/>
          <w:noProof/>
          <w:szCs w:val="28"/>
          <w:u w:val="single"/>
          <w:lang w:eastAsia="de-DE"/>
        </w:rPr>
        <w:tab/>
        <w:t>2015 UK correction (chapter 35)</w:t>
      </w:r>
    </w:p>
    <w:p>
      <w:pPr>
        <w:spacing w:before="120" w:after="120"/>
        <w:jc w:val="both"/>
        <w:rPr>
          <w:noProof/>
        </w:rPr>
      </w:pPr>
      <w:r>
        <w:rPr>
          <w:noProof/>
        </w:rPr>
        <w:t xml:space="preserve">The amount of the UK correction to be budgeted in chapter 35 of the present DAB is the difference between the </w:t>
      </w:r>
      <w:r>
        <w:rPr>
          <w:i/>
          <w:noProof/>
        </w:rPr>
        <w:t>definitive amount</w:t>
      </w:r>
      <w:r>
        <w:rPr>
          <w:noProof/>
        </w:rPr>
        <w:t xml:space="preserve"> of the 2015 UK correction (i.e. EUR 6 126 699 989) and the </w:t>
      </w:r>
      <w:r>
        <w:rPr>
          <w:i/>
          <w:noProof/>
        </w:rPr>
        <w:t>1</w:t>
      </w:r>
      <w:r>
        <w:rPr>
          <w:i/>
          <w:noProof/>
          <w:vertAlign w:val="superscript"/>
        </w:rPr>
        <w:t>st</w:t>
      </w:r>
      <w:r>
        <w:rPr>
          <w:i/>
          <w:noProof/>
        </w:rPr>
        <w:t xml:space="preserve"> update</w:t>
      </w:r>
      <w:r>
        <w:rPr>
          <w:noProof/>
        </w:rPr>
        <w:t xml:space="preserve"> of the 2015 UK correction (i.e. EUR 6 056 341 847 entered in the AB 5/2016) amounting to EUR 70 358 142.</w:t>
      </w:r>
    </w:p>
    <w:p>
      <w:pPr>
        <w:spacing w:before="120" w:after="240"/>
        <w:jc w:val="both"/>
        <w:rPr>
          <w:noProof/>
        </w:rPr>
      </w:pPr>
      <w:r>
        <w:rPr>
          <w:noProof/>
        </w:rPr>
        <w:t>This amount is to be financed along the revised 2015 GNI bases as known at the end of 2018. The budgeting of this amount in chapter 35 is summarised below:</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rPr>
            </w:pPr>
            <w:r>
              <w:rPr>
                <w:b/>
                <w:bCs/>
                <w:noProof/>
                <w:sz w:val="20"/>
              </w:rPr>
              <w:t>2015 UK correction — Chapter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1 267 154</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866 089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3 148 896</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2 764 651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4 903 895</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310 080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6 556 672</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-260 138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4 385 985</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1 362 429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303 635</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-9 542 201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20 284 145</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476 355</w:t>
            </w:r>
          </w:p>
        </w:tc>
      </w:tr>
      <w:tr>
        <w:trPr>
          <w:trHeight w:val="255"/>
          <w:jc w:val="center"/>
        </w:trPr>
        <w:tc>
          <w:tcPr>
            <w:tcW w:w="549" w:type="dxa"/>
            <w:tcBorders>
              <w:top w:val="nil"/>
              <w:left w:val="single" w:sz="8" w:space="0" w:color="auto"/>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right w:val="nil"/>
            </w:tcBorders>
            <w:shd w:val="clear" w:color="auto" w:fill="auto"/>
            <w:noWrap/>
            <w:vAlign w:val="center"/>
          </w:tcPr>
          <w:p>
            <w:pPr>
              <w:jc w:val="right"/>
              <w:rPr>
                <w:noProof/>
                <w:sz w:val="20"/>
              </w:rPr>
            </w:pPr>
            <w:r>
              <w:rPr>
                <w:noProof/>
                <w:sz w:val="20"/>
              </w:rPr>
              <w:t>504 408</w:t>
            </w:r>
          </w:p>
        </w:tc>
        <w:tc>
          <w:tcPr>
            <w:tcW w:w="809" w:type="dxa"/>
            <w:tcBorders>
              <w:top w:val="nil"/>
              <w:left w:val="nil"/>
              <w:right w:val="nil"/>
            </w:tcBorders>
            <w:shd w:val="clear" w:color="auto" w:fill="auto"/>
            <w:noWrap/>
          </w:tcPr>
          <w:p>
            <w:pPr>
              <w:jc w:val="center"/>
              <w:rPr>
                <w:b/>
                <w:noProof/>
                <w:sz w:val="20"/>
              </w:rPr>
            </w:pPr>
            <w:r>
              <w:rPr>
                <w:b/>
                <w:noProof/>
                <w:sz w:val="20"/>
              </w:rPr>
              <w:t>RO</w:t>
            </w:r>
          </w:p>
        </w:tc>
        <w:tc>
          <w:tcPr>
            <w:tcW w:w="1479" w:type="dxa"/>
            <w:tcBorders>
              <w:top w:val="nil"/>
              <w:left w:val="nil"/>
              <w:right w:val="single" w:sz="8" w:space="0" w:color="auto"/>
            </w:tcBorders>
            <w:shd w:val="clear" w:color="auto" w:fill="auto"/>
            <w:noWrap/>
            <w:vAlign w:val="center"/>
          </w:tcPr>
          <w:p>
            <w:pPr>
              <w:jc w:val="right"/>
              <w:rPr>
                <w:noProof/>
                <w:sz w:val="20"/>
              </w:rPr>
            </w:pPr>
            <w:r>
              <w:rPr>
                <w:noProof/>
                <w:sz w:val="20"/>
              </w:rPr>
              <w:t>1 609 226</w:t>
            </w:r>
          </w:p>
        </w:tc>
      </w:tr>
      <w:tr>
        <w:trPr>
          <w:trHeight w:val="255"/>
          <w:jc w:val="center"/>
        </w:trPr>
        <w:tc>
          <w:tcPr>
            <w:tcW w:w="549" w:type="dxa"/>
            <w:tcBorders>
              <w:top w:val="nil"/>
              <w:left w:val="single" w:sz="8" w:space="0" w:color="auto"/>
              <w:right w:val="nil"/>
            </w:tcBorders>
            <w:shd w:val="clear" w:color="auto" w:fill="auto"/>
            <w:noWrap/>
            <w:vAlign w:val="center"/>
          </w:tcPr>
          <w:p>
            <w:pPr>
              <w:jc w:val="center"/>
              <w:rPr>
                <w:b/>
                <w:noProof/>
                <w:color w:val="000000"/>
                <w:sz w:val="20"/>
              </w:rPr>
            </w:pPr>
            <w:r>
              <w:rPr>
                <w:b/>
                <w:noProof/>
                <w:color w:val="000000"/>
                <w:sz w:val="20"/>
              </w:rPr>
              <w:t>ES</w:t>
            </w:r>
          </w:p>
        </w:tc>
        <w:tc>
          <w:tcPr>
            <w:tcW w:w="1383" w:type="dxa"/>
            <w:tcBorders>
              <w:top w:val="nil"/>
              <w:left w:val="nil"/>
              <w:right w:val="nil"/>
            </w:tcBorders>
            <w:shd w:val="clear" w:color="auto" w:fill="auto"/>
            <w:noWrap/>
            <w:vAlign w:val="center"/>
          </w:tcPr>
          <w:p>
            <w:pPr>
              <w:jc w:val="right"/>
              <w:rPr>
                <w:noProof/>
                <w:sz w:val="20"/>
              </w:rPr>
            </w:pPr>
            <w:r>
              <w:rPr>
                <w:noProof/>
                <w:sz w:val="20"/>
              </w:rPr>
              <w:t>1 272 857</w:t>
            </w:r>
          </w:p>
        </w:tc>
        <w:tc>
          <w:tcPr>
            <w:tcW w:w="809" w:type="dxa"/>
            <w:tcBorders>
              <w:top w:val="nil"/>
              <w:left w:val="nil"/>
              <w:right w:val="nil"/>
            </w:tcBorders>
            <w:shd w:val="clear" w:color="auto" w:fill="auto"/>
            <w:noWrap/>
          </w:tcPr>
          <w:p>
            <w:pPr>
              <w:jc w:val="center"/>
              <w:rPr>
                <w:b/>
                <w:noProof/>
                <w:sz w:val="20"/>
              </w:rPr>
            </w:pPr>
            <w:r>
              <w:rPr>
                <w:b/>
                <w:noProof/>
                <w:sz w:val="20"/>
              </w:rPr>
              <w:t>SI</w:t>
            </w:r>
          </w:p>
        </w:tc>
        <w:tc>
          <w:tcPr>
            <w:tcW w:w="1479" w:type="dxa"/>
            <w:tcBorders>
              <w:top w:val="nil"/>
              <w:left w:val="nil"/>
              <w:right w:val="single" w:sz="8" w:space="0" w:color="auto"/>
            </w:tcBorders>
            <w:shd w:val="clear" w:color="auto" w:fill="auto"/>
            <w:noWrap/>
            <w:vAlign w:val="center"/>
          </w:tcPr>
          <w:p>
            <w:pPr>
              <w:jc w:val="right"/>
              <w:rPr>
                <w:noProof/>
                <w:sz w:val="20"/>
              </w:rPr>
            </w:pPr>
            <w:r>
              <w:rPr>
                <w:noProof/>
                <w:sz w:val="20"/>
              </w:rPr>
              <w:t>123 083</w:t>
            </w:r>
          </w:p>
        </w:tc>
      </w:tr>
      <w:tr>
        <w:trPr>
          <w:trHeight w:val="255"/>
          <w:jc w:val="center"/>
        </w:trPr>
        <w:tc>
          <w:tcPr>
            <w:tcW w:w="549" w:type="dxa"/>
            <w:tcBorders>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FR</w:t>
            </w:r>
          </w:p>
        </w:tc>
        <w:tc>
          <w:tcPr>
            <w:tcW w:w="1383" w:type="dxa"/>
            <w:tcBorders>
              <w:left w:val="nil"/>
              <w:bottom w:val="nil"/>
              <w:right w:val="nil"/>
            </w:tcBorders>
            <w:shd w:val="clear" w:color="auto" w:fill="auto"/>
            <w:noWrap/>
            <w:vAlign w:val="center"/>
          </w:tcPr>
          <w:p>
            <w:pPr>
              <w:jc w:val="right"/>
              <w:rPr>
                <w:noProof/>
                <w:sz w:val="20"/>
              </w:rPr>
            </w:pPr>
            <w:r>
              <w:rPr>
                <w:noProof/>
                <w:sz w:val="20"/>
              </w:rPr>
              <w:t>5 838 257</w:t>
            </w:r>
          </w:p>
        </w:tc>
        <w:tc>
          <w:tcPr>
            <w:tcW w:w="809" w:type="dxa"/>
            <w:tcBorders>
              <w:left w:val="nil"/>
              <w:bottom w:val="nil"/>
              <w:right w:val="nil"/>
            </w:tcBorders>
            <w:shd w:val="clear" w:color="auto" w:fill="auto"/>
            <w:noWrap/>
          </w:tcPr>
          <w:p>
            <w:pPr>
              <w:jc w:val="center"/>
              <w:rPr>
                <w:b/>
                <w:noProof/>
                <w:sz w:val="20"/>
              </w:rPr>
            </w:pPr>
            <w:r>
              <w:rPr>
                <w:b/>
                <w:noProof/>
                <w:sz w:val="20"/>
              </w:rPr>
              <w:t>SK</w:t>
            </w:r>
          </w:p>
        </w:tc>
        <w:tc>
          <w:tcPr>
            <w:tcW w:w="1479" w:type="dxa"/>
            <w:tcBorders>
              <w:left w:val="nil"/>
              <w:bottom w:val="nil"/>
              <w:right w:val="single" w:sz="8" w:space="0" w:color="auto"/>
            </w:tcBorders>
            <w:shd w:val="clear" w:color="auto" w:fill="auto"/>
            <w:noWrap/>
            <w:vAlign w:val="center"/>
          </w:tcPr>
          <w:p>
            <w:pPr>
              <w:jc w:val="right"/>
              <w:rPr>
                <w:noProof/>
                <w:sz w:val="20"/>
              </w:rPr>
            </w:pPr>
            <w:r>
              <w:rPr>
                <w:noProof/>
                <w:sz w:val="20"/>
              </w:rPr>
              <w:t>1 555 233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1 207 446</w:t>
            </w:r>
          </w:p>
        </w:tc>
        <w:tc>
          <w:tcPr>
            <w:tcW w:w="809" w:type="dxa"/>
            <w:tcBorders>
              <w:top w:val="nil"/>
              <w:left w:val="nil"/>
              <w:bottom w:val="nil"/>
              <w:right w:val="nil"/>
            </w:tcBorders>
            <w:shd w:val="clear" w:color="auto" w:fill="auto"/>
            <w:noWrap/>
          </w:tcPr>
          <w:p>
            <w:pPr>
              <w:jc w:val="center"/>
              <w:rPr>
                <w:b/>
                <w:noProof/>
                <w:sz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4 733 265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19 287 491</w:t>
            </w:r>
          </w:p>
        </w:tc>
        <w:tc>
          <w:tcPr>
            <w:tcW w:w="809" w:type="dxa"/>
            <w:tcBorders>
              <w:top w:val="nil"/>
              <w:left w:val="nil"/>
              <w:bottom w:val="nil"/>
              <w:right w:val="nil"/>
            </w:tcBorders>
            <w:shd w:val="clear" w:color="auto" w:fill="auto"/>
            <w:noWrap/>
          </w:tcPr>
          <w:p>
            <w:pPr>
              <w:jc w:val="center"/>
              <w:rPr>
                <w:b/>
                <w:noProof/>
                <w:sz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-2 400 255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627 536</w:t>
            </w:r>
          </w:p>
        </w:tc>
        <w:tc>
          <w:tcPr>
            <w:tcW w:w="809" w:type="dxa"/>
            <w:tcBorders>
              <w:top w:val="nil"/>
              <w:left w:val="nil"/>
              <w:bottom w:val="nil"/>
              <w:right w:val="nil"/>
            </w:tcBorders>
            <w:shd w:val="clear" w:color="auto" w:fill="auto"/>
            <w:noWrap/>
          </w:tcPr>
          <w:p>
            <w:pPr>
              <w:jc w:val="center"/>
              <w:rPr>
                <w:b/>
                <w:noProof/>
                <w:sz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-619 579</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- 70 358 142</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-208 473</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spacing w:before="120" w:after="120"/>
        <w:rPr>
          <w:bCs/>
          <w:noProof/>
          <w:szCs w:val="28"/>
          <w:u w:val="single"/>
          <w:lang w:eastAsia="de-DE"/>
        </w:rPr>
      </w:pPr>
      <w:r>
        <w:rPr>
          <w:bCs/>
          <w:noProof/>
          <w:szCs w:val="28"/>
          <w:u w:val="single"/>
          <w:lang w:eastAsia="de-DE"/>
        </w:rPr>
        <w:t>3.3.3.2</w:t>
      </w:r>
      <w:r>
        <w:rPr>
          <w:bCs/>
          <w:noProof/>
          <w:szCs w:val="28"/>
          <w:u w:val="single"/>
          <w:lang w:eastAsia="de-DE"/>
        </w:rPr>
        <w:tab/>
        <w:t>2018 UK correction (chapter 15)</w:t>
      </w:r>
    </w:p>
    <w:bookmarkEnd w:id="79"/>
    <w:p>
      <w:pPr>
        <w:spacing w:before="120" w:after="120"/>
        <w:jc w:val="both"/>
        <w:rPr>
          <w:noProof/>
        </w:rPr>
      </w:pPr>
      <w:r>
        <w:rPr>
          <w:noProof/>
        </w:rPr>
        <w:t xml:space="preserve">The </w:t>
      </w:r>
      <w:r>
        <w:rPr>
          <w:i/>
          <w:noProof/>
        </w:rPr>
        <w:t>1</w:t>
      </w:r>
      <w:r>
        <w:rPr>
          <w:i/>
          <w:noProof/>
          <w:vertAlign w:val="superscript"/>
        </w:rPr>
        <w:t xml:space="preserve">st </w:t>
      </w:r>
      <w:r>
        <w:rPr>
          <w:i/>
          <w:noProof/>
        </w:rPr>
        <w:t>update</w:t>
      </w:r>
      <w:r>
        <w:rPr>
          <w:noProof/>
        </w:rPr>
        <w:t xml:space="preserve"> of the 2018 UK correction corresponds to EUR 5 432 130 075 and is EUR 408 601 399 higher than the amount entered in the Budget 2019 (EUR 5 023 528 676).</w:t>
      </w:r>
    </w:p>
    <w:p>
      <w:pPr>
        <w:spacing w:before="120" w:after="240"/>
        <w:jc w:val="both"/>
        <w:rPr>
          <w:noProof/>
        </w:rPr>
      </w:pPr>
      <w:r>
        <w:rPr>
          <w:noProof/>
        </w:rPr>
        <w:t>This amount is to be financed along the revised 2019 GNI bases of the present DAB. The budgeting of this amount in chapter 15 is summarised below:</w:t>
      </w:r>
    </w:p>
    <w:p>
      <w:pPr>
        <w:rPr>
          <w:noProof/>
        </w:rPr>
      </w:pPr>
      <w:r>
        <w:rPr>
          <w:noProof/>
        </w:rPr>
        <w:br w:type="page"/>
      </w:r>
    </w:p>
    <w:p>
      <w:pPr>
        <w:spacing w:before="120" w:after="240"/>
        <w:jc w:val="both"/>
        <w:rPr>
          <w:noProof/>
        </w:rPr>
      </w:pP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jc w:val="center"/>
              <w:rPr>
                <w:noProof/>
                <w:sz w:val="20"/>
                <w:szCs w:val="20"/>
              </w:rPr>
            </w:pPr>
            <w:r>
              <w:rPr>
                <w:b/>
                <w:noProof/>
                <w:sz w:val="20"/>
                <w:szCs w:val="20"/>
              </w:rPr>
              <w:t>2018 UK correction – chapter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rPr>
            </w:pPr>
            <w:r>
              <w:rPr>
                <w:noProof/>
                <w:sz w:val="20"/>
              </w:rPr>
              <w:t>265 533 515</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24 021 679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33 107 972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76 919 197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116 537 793</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6 937 290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177 691 422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78 568 695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345 846 816</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38 868 751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15 082 304</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284 221 395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150 471 818</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115 000 292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107 768 033</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121 871 366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709 012 279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27 162 613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1 399 356 542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53 378 232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29 973 489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136 324 454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1 014 980 086</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47 915 985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11 924 787</w:t>
            </w:r>
          </w:p>
        </w:tc>
        <w:tc>
          <w:tcPr>
            <w:tcW w:w="793" w:type="dxa"/>
            <w:vMerge w:val="restart"/>
            <w:tcBorders>
              <w:top w:val="nil"/>
              <w:left w:val="nil"/>
              <w:right w:val="nil"/>
            </w:tcBorders>
            <w:shd w:val="clear" w:color="auto" w:fill="auto"/>
            <w:noWrap/>
            <w:vAlign w:val="center"/>
          </w:tcPr>
          <w:p>
            <w:pPr>
              <w:jc w:val="center"/>
              <w:rPr>
                <w:b/>
                <w:bCs/>
                <w:noProof/>
                <w:sz w:val="20"/>
              </w:rPr>
            </w:pPr>
            <w:r>
              <w:rPr>
                <w:b/>
                <w:bCs/>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- 5 432 130 075</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17 654 465</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25 998 805</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bCs/>
                <w:noProof/>
                <w:sz w:val="20"/>
              </w:rPr>
              <w:t xml:space="preserve">Total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bCs/>
                <w:noProof/>
                <w:sz w:val="20"/>
              </w:rPr>
              <w:t>0</w:t>
            </w:r>
          </w:p>
        </w:tc>
      </w:tr>
    </w:tbl>
    <w:p>
      <w:pPr>
        <w:pStyle w:val="ManualHeading1"/>
        <w:pageBreakBefore/>
        <w:rPr>
          <w:noProof/>
        </w:rPr>
      </w:pPr>
      <w:bookmarkStart w:id="80" w:name="_Toc514181802"/>
      <w:bookmarkStart w:id="81" w:name="_Toc12621018"/>
      <w:bookmarkEnd w:id="52"/>
      <w:bookmarkEnd w:id="53"/>
      <w:bookmarkEnd w:id="54"/>
      <w:bookmarkEnd w:id="35"/>
      <w:bookmarkEnd w:id="36"/>
      <w:bookmarkEnd w:id="37"/>
      <w:r>
        <w:rPr>
          <w:noProof/>
        </w:rPr>
        <w:t>4.</w:t>
      </w:r>
      <w:r>
        <w:rPr>
          <w:noProof/>
        </w:rPr>
        <w:tab/>
        <w:t>Summary table by MFF heading</w:t>
      </w:r>
      <w:bookmarkEnd w:id="80"/>
      <w:bookmarkEnd w:id="81"/>
    </w:p>
    <w:tbl>
      <w:tblPr>
        <w:tblW w:w="10780" w:type="dxa"/>
        <w:jc w:val="center"/>
        <w:tblLook w:val="04A0" w:firstRow="1" w:lastRow="0" w:firstColumn="1" w:lastColumn="0" w:noHBand="0" w:noVBand="1"/>
      </w:tblPr>
      <w:tblGrid>
        <w:gridCol w:w="356"/>
        <w:gridCol w:w="2680"/>
        <w:gridCol w:w="1360"/>
        <w:gridCol w:w="1360"/>
        <w:gridCol w:w="1200"/>
        <w:gridCol w:w="1200"/>
        <w:gridCol w:w="1339"/>
        <w:gridCol w:w="1285"/>
      </w:tblGrid>
      <w:tr>
        <w:trPr>
          <w:trHeight w:val="180"/>
          <w:jc w:val="center"/>
        </w:trPr>
        <w:tc>
          <w:tcPr>
            <w:tcW w:w="10780" w:type="dxa"/>
            <w:gridSpan w:val="8"/>
            <w:tcBorders>
              <w:top w:val="nil"/>
              <w:left w:val="nil"/>
              <w:bottom w:val="single" w:sz="4" w:space="0" w:color="auto"/>
              <w:right w:val="nil"/>
            </w:tcBorders>
            <w:shd w:val="clear" w:color="auto" w:fill="auto"/>
            <w:noWrap/>
            <w:vAlign w:val="bottom"/>
            <w:hideMark/>
          </w:tcPr>
          <w:bookmarkEnd w:id="10"/>
          <w:bookmarkEnd w:id="11"/>
          <w:bookmarkEnd w:id="14"/>
          <w:bookmarkEnd w:id="15"/>
          <w:bookmarkEnd w:id="3"/>
          <w:bookmarkEnd w:id="4"/>
          <w:p>
            <w:pPr>
              <w:jc w:val="right"/>
              <w:rPr>
                <w:i/>
                <w:iCs/>
                <w:noProof/>
                <w:color w:val="000000"/>
                <w:sz w:val="14"/>
                <w:szCs w:val="14"/>
              </w:rPr>
            </w:pPr>
            <w:r>
              <w:rPr>
                <w:i/>
                <w:iCs/>
                <w:noProof/>
                <w:color w:val="000000"/>
                <w:sz w:val="14"/>
                <w:szCs w:val="14"/>
              </w:rPr>
              <w:t>In EUR</w:t>
            </w:r>
          </w:p>
        </w:tc>
      </w:tr>
      <w:tr>
        <w:trPr>
          <w:trHeight w:val="210"/>
          <w:jc w:val="center"/>
        </w:trPr>
        <w:tc>
          <w:tcPr>
            <w:tcW w:w="294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Heading</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2019</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Amending Budget 4/2019</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2019</w:t>
            </w:r>
          </w:p>
        </w:tc>
      </w:tr>
      <w:tr>
        <w:trPr>
          <w:trHeight w:val="210"/>
          <w:jc w:val="center"/>
        </w:trPr>
        <w:tc>
          <w:tcPr>
            <w:tcW w:w="294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DAB 1-3/2019)</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DAB 1-4/2019)</w:t>
            </w:r>
          </w:p>
        </w:tc>
      </w:tr>
      <w:tr>
        <w:trPr>
          <w:trHeight w:val="210"/>
          <w:jc w:val="center"/>
        </w:trPr>
        <w:tc>
          <w:tcPr>
            <w:tcW w:w="294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80 627 449 848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67 556 947 173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- 26 820 000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- 18 520 000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80 600 629 848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67 538 427 173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- 18 520 000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160 195 475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524 734 373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- 8 300 000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516 434 373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23 435 449 848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20 521 537 455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- 18 520 000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- 18 520 000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23 416 929 848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20 503 017 455</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- 18 520 000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160 195 475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57 192 000 000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47 035 409 718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- 8 300 000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57 183 700 000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47 035 409 718</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- 8 300 000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341 700 000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57 399 857 331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57 399 857 331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43 116 399 417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43 116 399 417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Rounding difference excluded from margin calculation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EAGF 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3 786 629 138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3 527 434 894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- 55 441 000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- 47 001 514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3 731 188 138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3 480 433 380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985 629 138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- 55 441 000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930 188 138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9 358 295 603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9 356 295 603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9 942 974 723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9 944 904 743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11 941 000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11 941 000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9 954 915 723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9 956 845 743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589 143 121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577 202 121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7 749 215 823</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7 749 215 823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165 318 397 322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147 787 439 744</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- 70 320 000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- 55 580 514</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165 248 077 322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147 731 859 230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961 862 659</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- 73 961 000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- 37 271 858</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1 090 383 613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924 590 801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1 576 000 000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- 8 300 000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1 567 700 000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r>
      <w:tr>
        <w:trPr>
          <w:trHeight w:val="225"/>
          <w:jc w:val="center"/>
        </w:trPr>
        <w:tc>
          <w:tcPr>
            <w:tcW w:w="2940" w:type="dxa"/>
            <w:gridSpan w:val="2"/>
            <w:tcBorders>
              <w:top w:val="dotted" w:sz="4" w:space="0" w:color="auto"/>
              <w:left w:val="single" w:sz="4" w:space="0" w:color="auto"/>
              <w:bottom w:val="single"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1 291 065 135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19 883 422 915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1 279 124 135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19 901 731 571</w:t>
            </w:r>
          </w:p>
        </w:tc>
      </w:tr>
      <w:tr>
        <w:trPr>
          <w:trHeight w:val="225"/>
          <w:jc w:val="center"/>
        </w:trPr>
        <w:tc>
          <w:tcPr>
            <w:tcW w:w="260" w:type="dxa"/>
            <w:tcBorders>
              <w:top w:val="nil"/>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680" w:type="dxa"/>
            <w:tcBorders>
              <w:top w:val="nil"/>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Other special Instruments</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870 799 794</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705 051 794</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- 29 748 635</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841 051 159</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705 051 794</w:t>
            </w:r>
          </w:p>
        </w:tc>
      </w:tr>
      <w:tr>
        <w:trPr>
          <w:trHeight w:val="225"/>
          <w:jc w:val="center"/>
        </w:trPr>
        <w:tc>
          <w:tcPr>
            <w:tcW w:w="29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166 189 197 116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148 492 491 538</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- 100 068 635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- 55 580 514</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166 089 128 481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148 436 911 024</w:t>
            </w:r>
          </w:p>
        </w:tc>
      </w:tr>
    </w:tbl>
    <w:p>
      <w:pPr>
        <w:pStyle w:val="Text1"/>
        <w:ind w:left="0"/>
        <w:rPr>
          <w:noProof/>
        </w:rPr>
      </w:pPr>
    </w:p>
    <w:sectPr>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enter" w:pos="4820"/>
      </w:tabs>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10</w:t>
    </w:r>
    <w:r>
      <w:rPr>
        <w:noProof/>
      </w:rP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lang w:val="pt-PT"/>
        </w:rPr>
        <w:t xml:space="preserve"> </w:t>
      </w:r>
      <w:r>
        <w:rPr>
          <w:lang w:val="pt-PT"/>
        </w:rPr>
        <w:tab/>
      </w:r>
      <w:r>
        <w:rPr>
          <w:sz w:val="18"/>
          <w:szCs w:val="18"/>
          <w:lang w:val="pt-PT"/>
        </w:rPr>
        <w:t>OJ L 193, 30.7.2018, p. 1.</w:t>
      </w:r>
    </w:p>
  </w:footnote>
  <w:footnote w:id="3">
    <w:p>
      <w:pPr>
        <w:pStyle w:val="FootnoteText"/>
        <w:rPr>
          <w:lang w:val="pt-PT"/>
        </w:rPr>
      </w:pPr>
      <w:r>
        <w:rPr>
          <w:rStyle w:val="FootnoteReference"/>
        </w:rPr>
        <w:footnoteRef/>
      </w:r>
      <w:r>
        <w:rPr>
          <w:lang w:val="pt-PT"/>
        </w:rPr>
        <w:t>.</w:t>
      </w:r>
      <w:r>
        <w:rPr>
          <w:lang w:val="pt-PT"/>
        </w:rPr>
        <w:tab/>
      </w:r>
      <w:r>
        <w:rPr>
          <w:sz w:val="18"/>
          <w:szCs w:val="18"/>
          <w:lang w:val="pt-PT"/>
        </w:rPr>
        <w:t>OJ L 67, 7.3.2019.</w:t>
      </w:r>
    </w:p>
  </w:footnote>
  <w:footnote w:id="4">
    <w:p>
      <w:pPr>
        <w:pStyle w:val="FootnoteText"/>
        <w:rPr>
          <w:lang w:val="pt-PT"/>
        </w:rPr>
      </w:pPr>
      <w:r>
        <w:rPr>
          <w:rStyle w:val="FootnoteReference"/>
        </w:rPr>
        <w:footnoteRef/>
      </w:r>
      <w:r>
        <w:rPr>
          <w:lang w:val="pt-PT"/>
        </w:rPr>
        <w:t xml:space="preserve"> </w:t>
      </w:r>
      <w:r>
        <w:rPr>
          <w:lang w:val="pt-PT"/>
        </w:rPr>
        <w:tab/>
      </w:r>
      <w:r>
        <w:rPr>
          <w:sz w:val="18"/>
          <w:lang w:val="pt-PT"/>
        </w:rPr>
        <w:t>COM(2019) 300, 15.4.2019.</w:t>
      </w:r>
    </w:p>
  </w:footnote>
  <w:footnote w:id="5">
    <w:p>
      <w:pPr>
        <w:pStyle w:val="FootnoteText"/>
        <w:rPr>
          <w:lang w:val="pt-PT"/>
        </w:rPr>
      </w:pPr>
      <w:r>
        <w:rPr>
          <w:rStyle w:val="FootnoteReference"/>
        </w:rPr>
        <w:footnoteRef/>
      </w:r>
      <w:r>
        <w:rPr>
          <w:lang w:val="pt-PT"/>
        </w:rPr>
        <w:t xml:space="preserve"> </w:t>
      </w:r>
      <w:r>
        <w:rPr>
          <w:lang w:val="pt-PT"/>
        </w:rPr>
        <w:tab/>
      </w:r>
      <w:r>
        <w:rPr>
          <w:sz w:val="18"/>
          <w:lang w:val="pt-PT"/>
        </w:rPr>
        <w:t>COM(2019) 320, 15.5.2019.</w:t>
      </w:r>
    </w:p>
  </w:footnote>
  <w:footnote w:id="6">
    <w:p>
      <w:pPr>
        <w:pStyle w:val="FootnoteText"/>
        <w:rPr>
          <w:lang w:val="pt-PT"/>
        </w:rPr>
      </w:pPr>
      <w:r>
        <w:rPr>
          <w:rStyle w:val="FootnoteReference"/>
        </w:rPr>
        <w:footnoteRef/>
      </w:r>
      <w:r>
        <w:rPr>
          <w:lang w:val="pt-PT"/>
        </w:rPr>
        <w:t xml:space="preserve"> </w:t>
      </w:r>
      <w:r>
        <w:rPr>
          <w:lang w:val="pt-PT"/>
        </w:rPr>
        <w:tab/>
      </w:r>
      <w:r>
        <w:rPr>
          <w:sz w:val="18"/>
          <w:lang w:val="pt-PT"/>
        </w:rPr>
        <w:t>COM(2019) 205, 22.5.2019.</w:t>
      </w:r>
    </w:p>
  </w:footnote>
  <w:footnote w:id="7">
    <w:p>
      <w:pPr>
        <w:pStyle w:val="FootnoteText"/>
        <w:rPr>
          <w:lang w:val="pt-PT"/>
        </w:rPr>
      </w:pPr>
      <w:r>
        <w:rPr>
          <w:rStyle w:val="FootnoteReference"/>
        </w:rPr>
        <w:footnoteRef/>
      </w:r>
      <w:r>
        <w:rPr>
          <w:lang w:val="pt-PT"/>
        </w:rPr>
        <w:t xml:space="preserve"> </w:t>
      </w:r>
      <w:r>
        <w:rPr>
          <w:lang w:val="pt-PT"/>
        </w:rPr>
        <w:tab/>
        <w:t>COM(2017) 536, 20.9.2017.</w:t>
      </w:r>
    </w:p>
  </w:footnote>
  <w:footnote w:id="8">
    <w:p>
      <w:pPr>
        <w:pStyle w:val="FootnoteText"/>
        <w:rPr>
          <w:lang w:val="pt-PT"/>
        </w:rPr>
      </w:pPr>
      <w:r>
        <w:rPr>
          <w:rStyle w:val="FootnoteReference"/>
        </w:rPr>
        <w:footnoteRef/>
      </w:r>
      <w:r>
        <w:rPr>
          <w:lang w:val="pt-PT"/>
        </w:rPr>
        <w:t xml:space="preserve"> </w:t>
      </w:r>
      <w:r>
        <w:rPr>
          <w:lang w:val="pt-PT"/>
        </w:rPr>
        <w:tab/>
        <w:t>COM(2017) 331, 13.6.2017.</w:t>
      </w:r>
    </w:p>
  </w:footnote>
  <w:footnote w:id="9">
    <w:p>
      <w:pPr>
        <w:pStyle w:val="FootnoteText"/>
        <w:rPr>
          <w:lang w:val="pt-PT"/>
        </w:rPr>
      </w:pPr>
      <w:r>
        <w:rPr>
          <w:rStyle w:val="FootnoteReference"/>
        </w:rPr>
        <w:footnoteRef/>
      </w:r>
      <w:r>
        <w:rPr>
          <w:lang w:val="pt-PT"/>
        </w:rPr>
        <w:t xml:space="preserve"> </w:t>
      </w:r>
      <w:r>
        <w:rPr>
          <w:lang w:val="pt-PT"/>
        </w:rPr>
        <w:tab/>
        <w:t>SEC(2019) 250, 5.6.2019.</w:t>
      </w:r>
    </w:p>
  </w:footnote>
  <w:footnote w:id="10">
    <w:p>
      <w:pPr>
        <w:pStyle w:val="FootnoteText"/>
      </w:pPr>
      <w:r>
        <w:rPr>
          <w:rStyle w:val="FootnoteReference"/>
        </w:rPr>
        <w:footnoteRef/>
      </w:r>
      <w:r>
        <w:t xml:space="preserve"> </w:t>
      </w:r>
      <w:r>
        <w:tab/>
        <w:t>COM(2018) 631, 12.9.2018.</w:t>
      </w:r>
    </w:p>
  </w:footnote>
  <w:footnote w:id="11">
    <w:p>
      <w:pPr>
        <w:pStyle w:val="FootnoteText"/>
      </w:pPr>
      <w:r>
        <w:rPr>
          <w:rStyle w:val="FootnoteReference"/>
        </w:rPr>
        <w:footnoteRef/>
      </w:r>
      <w:r>
        <w:t xml:space="preserve"> </w:t>
      </w:r>
      <w:r>
        <w:tab/>
        <w:t>Council Regulation (EU) 2017/1939 of 12 October 2017 implementing enhanced cooperation on the establishment of the European Public Prosecutor’s Office (‘the EPPO’), OJ L 283, 31.10.2017.</w:t>
      </w:r>
    </w:p>
  </w:footnote>
  <w:footnote w:id="12">
    <w:p>
      <w:pPr>
        <w:pStyle w:val="FootnoteText"/>
      </w:pPr>
      <w:r>
        <w:rPr>
          <w:rStyle w:val="FootnoteReference"/>
        </w:rPr>
        <w:footnoteRef/>
      </w:r>
      <w:r>
        <w:t xml:space="preserve"> </w:t>
      </w:r>
      <w:r>
        <w:tab/>
        <w:t>SEC(2019) 250, 5.6.2019.</w:t>
      </w:r>
    </w:p>
  </w:footnote>
  <w:footnote w:id="13">
    <w:p>
      <w:pPr>
        <w:pStyle w:val="FootnoteText"/>
        <w:ind w:left="709" w:hanging="709"/>
      </w:pPr>
      <w:r>
        <w:rPr>
          <w:rStyle w:val="FootnoteReference"/>
        </w:rPr>
        <w:footnoteRef/>
      </w:r>
      <w:r>
        <w:t xml:space="preserve"> </w:t>
      </w:r>
      <w:r>
        <w:tab/>
        <w:t xml:space="preserve">Decision (EU) 2019/420 of the European Parliament and of the Council of 13 March 2019 amending Decision No 1313/2013/EU on a Union Civil Protection Mechanism (OJ L77, 20.3.2019, p. 1). The financial envelope is set under </w:t>
      </w:r>
      <w:r>
        <w:rPr>
          <w:lang w:val="en-IE"/>
        </w:rPr>
        <w:t xml:space="preserve">Article 1(11). </w:t>
      </w:r>
    </w:p>
  </w:footnote>
  <w:footnote w:id="14">
    <w:p>
      <w:pPr>
        <w:pStyle w:val="FootnoteText"/>
      </w:pPr>
      <w:r>
        <w:rPr>
          <w:rStyle w:val="FootnoteReference"/>
        </w:rPr>
        <w:footnoteRef/>
      </w:r>
      <w:r>
        <w:t xml:space="preserve"> </w:t>
      </w:r>
      <w:r>
        <w:tab/>
        <w:t>COM(2019) 252, 5.6.2019.</w:t>
      </w:r>
    </w:p>
  </w:footnote>
  <w:footnote w:id="15">
    <w:p>
      <w:pPr>
        <w:pStyle w:val="FootnoteText"/>
        <w:rPr>
          <w:lang w:val="en-US"/>
        </w:rPr>
      </w:pPr>
      <w:r>
        <w:rPr>
          <w:rStyle w:val="FootnoteReference"/>
        </w:rPr>
        <w:footnoteRef/>
      </w:r>
      <w:r>
        <w:t xml:space="preserve"> </w:t>
      </w:r>
      <w:r>
        <w:rPr>
          <w:lang w:val="en-US"/>
        </w:rPr>
        <w:tab/>
        <w:t>COM(2019) 600, 2.7.2019.</w:t>
      </w:r>
    </w:p>
  </w:footnote>
  <w:footnote w:id="16">
    <w:p>
      <w:pPr>
        <w:pStyle w:val="FootnoteText"/>
      </w:pPr>
      <w:r>
        <w:rPr>
          <w:rStyle w:val="FootnoteReference"/>
        </w:rPr>
        <w:footnoteRef/>
      </w:r>
      <w:r>
        <w:t xml:space="preserve"> </w:t>
      </w:r>
      <w:r>
        <w:tab/>
        <w:t>OJ L54, 22.2.2019, p.3.</w:t>
      </w:r>
    </w:p>
  </w:footnote>
  <w:footnote w:id="17">
    <w:p>
      <w:pPr>
        <w:pStyle w:val="FootnoteText"/>
        <w:rPr>
          <w:sz w:val="24"/>
          <w:szCs w:val="24"/>
        </w:rPr>
      </w:pPr>
      <w:r>
        <w:rPr>
          <w:rStyle w:val="FootnoteReference"/>
        </w:rPr>
        <w:footnoteRef/>
      </w:r>
      <w:r>
        <w:rPr>
          <w:rStyle w:val="FootnoteReference"/>
        </w:rPr>
        <w:t xml:space="preserve"> </w:t>
      </w:r>
      <w:r>
        <w:tab/>
      </w:r>
      <w:r>
        <w:rPr>
          <w:sz w:val="18"/>
        </w:rPr>
        <w:t>Conclusions of the special meeting of the European Council (Art. 50) (10 April 2019) - EUCO XT 20015/19.</w:t>
      </w:r>
    </w:p>
  </w:footnote>
  <w:footnote w:id="18">
    <w:p>
      <w:pPr>
        <w:pStyle w:val="FootnoteText"/>
      </w:pPr>
      <w:r>
        <w:rPr>
          <w:rStyle w:val="FootnoteReference"/>
        </w:rPr>
        <w:footnoteRef/>
      </w:r>
      <w:r>
        <w:rPr>
          <w:rStyle w:val="FootnoteReference"/>
        </w:rPr>
        <w:t xml:space="preserve"> </w:t>
      </w:r>
      <w:r>
        <w:rPr>
          <w:sz w:val="24"/>
          <w:szCs w:val="24"/>
        </w:rPr>
        <w:tab/>
      </w:r>
      <w:r>
        <w:rPr>
          <w:sz w:val="18"/>
        </w:rPr>
        <w:t>Decision (EU) 2018/937 of 28 June 2018.</w:t>
      </w:r>
    </w:p>
  </w:footnote>
  <w:footnote w:id="19">
    <w:p>
      <w:pPr>
        <w:pStyle w:val="FootnoteText"/>
      </w:pPr>
      <w:r>
        <w:rPr>
          <w:rStyle w:val="FootnoteReference"/>
        </w:rPr>
        <w:footnoteRef/>
      </w:r>
      <w:r>
        <w:t xml:space="preserve"> </w:t>
      </w:r>
      <w:r>
        <w:tab/>
        <w:t>COM(2019) 205, 22.5.2019.</w:t>
      </w:r>
    </w:p>
  </w:footnote>
  <w:footnote w:id="20">
    <w:p>
      <w:pPr>
        <w:pStyle w:val="FootnoteText"/>
        <w:ind w:left="284" w:hanging="284"/>
      </w:pPr>
      <w:r>
        <w:rPr>
          <w:rStyle w:val="FootnoteReference"/>
        </w:rPr>
        <w:footnoteRef/>
      </w:r>
      <w:r>
        <w:t xml:space="preserve"> </w:t>
      </w:r>
      <w:r>
        <w:tab/>
        <w:t xml:space="preserve">European Commission, Spring 2019 Economic Forecasts, </w:t>
      </w:r>
      <w:hyperlink r:id="rId1" w:history="1">
        <w:r>
          <w:rPr>
            <w:rStyle w:val="Hyperlink"/>
          </w:rPr>
          <w:t>https://ec.europa.eu/info/business-economy-euro/economic-performance-and-forecasts/economic-forecasts/spring-2019-economic-forecast_en</w:t>
        </w:r>
      </w:hyperlink>
      <w:r>
        <w:t xml:space="preserve"> </w:t>
      </w:r>
    </w:p>
  </w:footnote>
  <w:footnote w:id="21">
    <w:p>
      <w:pPr>
        <w:pStyle w:val="FootnoteText"/>
        <w:ind w:left="284" w:hanging="284"/>
        <w:rPr>
          <w:sz w:val="18"/>
          <w:szCs w:val="18"/>
        </w:rPr>
      </w:pPr>
      <w:r>
        <w:rPr>
          <w:rStyle w:val="FootnoteReference"/>
          <w:sz w:val="18"/>
          <w:szCs w:val="18"/>
        </w:rPr>
        <w:footnoteRef/>
      </w:r>
      <w:r>
        <w:rPr>
          <w:sz w:val="18"/>
          <w:szCs w:val="18"/>
        </w:rPr>
        <w:t xml:space="preserve"> </w:t>
      </w:r>
      <w:r>
        <w:rPr>
          <w:sz w:val="18"/>
          <w:szCs w:val="18"/>
        </w:rPr>
        <w:tab/>
      </w:r>
      <w:r>
        <w:t>In accordance with Council Decision 2014/335, if the VAT base of a Member State exceeds 50 % of its GNI, then it is capped at this 50 %. For DAB 4/2019, five Member States will have their VAT base capped at 50 % of GNI: Croatia, Cyprus, Luxembourg, Malta and Portugal.</w:t>
      </w:r>
    </w:p>
  </w:footnote>
  <w:footnote w:id="22">
    <w:p>
      <w:pPr>
        <w:pStyle w:val="FootnoteText"/>
        <w:ind w:left="284" w:hanging="295"/>
        <w:rPr>
          <w:rStyle w:val="FootnoteReference"/>
          <w:sz w:val="18"/>
          <w:szCs w:val="18"/>
        </w:rPr>
      </w:pPr>
      <w:r>
        <w:rPr>
          <w:rStyle w:val="FootnoteReference"/>
          <w:sz w:val="18"/>
          <w:szCs w:val="18"/>
        </w:rPr>
        <w:footnoteRef/>
      </w:r>
      <w:r>
        <w:rPr>
          <w:rStyle w:val="FootnoteReference"/>
          <w:sz w:val="18"/>
          <w:szCs w:val="18"/>
        </w:rPr>
        <w:tab/>
      </w:r>
      <w:r>
        <w:t>The amounts highlighted in grey result from the capped VAT bases, as explained in the previous footnote.</w:t>
      </w:r>
    </w:p>
  </w:footnote>
  <w:footnote w:id="23">
    <w:p>
      <w:pPr>
        <w:pStyle w:val="FootnoteText"/>
        <w:ind w:left="284" w:hanging="284"/>
        <w:rPr>
          <w:sz w:val="18"/>
          <w:szCs w:val="18"/>
        </w:rPr>
      </w:pPr>
      <w:r>
        <w:rPr>
          <w:rStyle w:val="FootnoteReference"/>
        </w:rPr>
        <w:footnoteRef/>
      </w:r>
      <w:r>
        <w:tab/>
        <w:t>OJ L 168, 7.6.2014, p. 105-111.</w:t>
      </w:r>
    </w:p>
  </w:footnote>
  <w:footnote w:id="24">
    <w:p>
      <w:pPr>
        <w:pStyle w:val="FootnoteText"/>
        <w:ind w:left="284" w:hanging="284"/>
        <w:rPr>
          <w:sz w:val="18"/>
          <w:szCs w:val="18"/>
        </w:rPr>
      </w:pPr>
      <w:r>
        <w:rPr>
          <w:rStyle w:val="FootnoteReference"/>
        </w:rPr>
        <w:footnoteRef/>
      </w:r>
      <w:r>
        <w:tab/>
        <w:t>Commission working document of 14 May 2014 “Calculation, financing, payment and entry in the budget of the correction of budgetary imbalances in favour of the United Kingdom (‘the correction’) in accordance with Articles 4 and 5 of Council Decision 2014/335/EC, Euratom on the system of own resources of the European Union”</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3">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6">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1">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8"/>
  </w:num>
  <w:num w:numId="3">
    <w:abstractNumId w:val="11"/>
  </w:num>
  <w:num w:numId="4">
    <w:abstractNumId w:val="7"/>
  </w:num>
  <w:num w:numId="5">
    <w:abstractNumId w:val="4"/>
  </w:num>
  <w:num w:numId="6">
    <w:abstractNumId w:val="12"/>
  </w:num>
  <w:num w:numId="7">
    <w:abstractNumId w:val="9"/>
  </w:num>
  <w:num w:numId="8">
    <w:abstractNumId w:val="13"/>
  </w:num>
  <w:num w:numId="9">
    <w:abstractNumId w:val="10"/>
  </w:num>
  <w:num w:numId="10">
    <w:abstractNumId w:val="0"/>
  </w:num>
  <w:num w:numId="11">
    <w:abstractNumId w:val="1"/>
  </w:num>
  <w:num w:numId="12">
    <w:abstractNumId w:val="2"/>
  </w:num>
  <w:num w:numId="13">
    <w:abstractNumId w:val="6"/>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61B6310B-1BF4-48CE-8B51-B19BBC97DC22"/>
    <w:docVar w:name="LW_COVERPAGE_TYPE" w:val="1"/>
    <w:docVar w:name="LW_CROSSREFERENCE" w:val="&lt;UNUSED&gt;"/>
    <w:docVar w:name="LW_DocType" w:val="NORMAL"/>
    <w:docVar w:name="LW_EMISSION" w:val="2.7.2019"/>
    <w:docVar w:name="LW_EMISSION_ISODATE" w:val="2019-07-02"/>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duction of commitment and payment appropriations in line with updated needs of expenditure and update of revenue (own resources)"/>
    <w:docVar w:name="LW_TITRE.OBJ.CP_PREVIOUS" w:val="&lt;UNUSED&gt;"/>
    <w:docVar w:name="LW_TYPE.DOC.CP" w:val="DRAFT AMENDING BUDGET No 4_x000b_TO THE GENERAL BUDGET 2019"/>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lang w:eastAsia="de-DE"/>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lang w:eastAsia="en-US"/>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lang w:eastAsia="en-US"/>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lang w:eastAsia="en-US"/>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lang w:eastAsia="en-US"/>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7"/>
      </w:numPr>
      <w:spacing w:before="120" w:after="120"/>
      <w:jc w:val="both"/>
    </w:pPr>
    <w:rPr>
      <w:lang w:eastAsia="de-DE"/>
    </w:rPr>
  </w:style>
  <w:style w:type="paragraph" w:customStyle="1" w:styleId="ListNumberLevel2">
    <w:name w:val="List Number (Level 2)"/>
    <w:basedOn w:val="Normal"/>
    <w:pPr>
      <w:numPr>
        <w:ilvl w:val="1"/>
        <w:numId w:val="7"/>
      </w:numPr>
      <w:spacing w:before="120" w:after="120"/>
      <w:jc w:val="both"/>
    </w:pPr>
    <w:rPr>
      <w:lang w:eastAsia="de-DE"/>
    </w:rPr>
  </w:style>
  <w:style w:type="paragraph" w:customStyle="1" w:styleId="ListNumberLevel3">
    <w:name w:val="List Number (Level 3)"/>
    <w:basedOn w:val="Normal"/>
    <w:pPr>
      <w:numPr>
        <w:ilvl w:val="2"/>
        <w:numId w:val="7"/>
      </w:numPr>
      <w:spacing w:before="120" w:after="120"/>
      <w:jc w:val="both"/>
    </w:pPr>
    <w:rPr>
      <w:lang w:eastAsia="de-DE"/>
    </w:rPr>
  </w:style>
  <w:style w:type="paragraph" w:customStyle="1" w:styleId="ListNumberLevel4">
    <w:name w:val="List Number (Level 4)"/>
    <w:basedOn w:val="Normal"/>
    <w:pPr>
      <w:numPr>
        <w:ilvl w:val="3"/>
        <w:numId w:val="7"/>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customStyle="1" w:styleId="Point0number">
    <w:name w:val="Point 0 (number)"/>
    <w:basedOn w:val="Normal"/>
    <w:pPr>
      <w:numPr>
        <w:numId w:val="6"/>
      </w:numPr>
      <w:spacing w:before="120" w:after="120"/>
      <w:jc w:val="both"/>
    </w:pPr>
    <w:rPr>
      <w:lang w:eastAsia="en-US"/>
    </w:rPr>
  </w:style>
  <w:style w:type="paragraph" w:customStyle="1" w:styleId="Point1number">
    <w:name w:val="Point 1 (number)"/>
    <w:basedOn w:val="Normal"/>
    <w:pPr>
      <w:numPr>
        <w:ilvl w:val="2"/>
        <w:numId w:val="6"/>
      </w:numPr>
      <w:spacing w:before="120" w:after="120"/>
      <w:jc w:val="both"/>
    </w:pPr>
    <w:rPr>
      <w:lang w:eastAsia="en-US"/>
    </w:rPr>
  </w:style>
  <w:style w:type="paragraph" w:customStyle="1" w:styleId="Point2number">
    <w:name w:val="Point 2 (number)"/>
    <w:basedOn w:val="Normal"/>
    <w:pPr>
      <w:numPr>
        <w:ilvl w:val="4"/>
        <w:numId w:val="6"/>
      </w:numPr>
      <w:spacing w:before="120" w:after="120"/>
      <w:jc w:val="both"/>
    </w:pPr>
    <w:rPr>
      <w:lang w:eastAsia="en-US"/>
    </w:rPr>
  </w:style>
  <w:style w:type="paragraph" w:customStyle="1" w:styleId="Point3number">
    <w:name w:val="Point 3 (number)"/>
    <w:basedOn w:val="Normal"/>
    <w:pPr>
      <w:numPr>
        <w:ilvl w:val="6"/>
        <w:numId w:val="6"/>
      </w:numPr>
      <w:spacing w:before="120" w:after="120"/>
      <w:jc w:val="both"/>
    </w:pPr>
    <w:rPr>
      <w:lang w:eastAsia="en-US"/>
    </w:rPr>
  </w:style>
  <w:style w:type="paragraph" w:customStyle="1" w:styleId="Point0letter">
    <w:name w:val="Point 0 (letter)"/>
    <w:basedOn w:val="Normal"/>
    <w:pPr>
      <w:numPr>
        <w:ilvl w:val="1"/>
        <w:numId w:val="6"/>
      </w:numPr>
      <w:spacing w:before="120" w:after="120"/>
      <w:jc w:val="both"/>
    </w:pPr>
    <w:rPr>
      <w:lang w:eastAsia="en-US"/>
    </w:rPr>
  </w:style>
  <w:style w:type="paragraph" w:customStyle="1" w:styleId="Point1letter">
    <w:name w:val="Point 1 (letter)"/>
    <w:basedOn w:val="Normal"/>
    <w:pPr>
      <w:numPr>
        <w:ilvl w:val="3"/>
        <w:numId w:val="6"/>
      </w:numPr>
      <w:spacing w:before="120" w:after="120"/>
      <w:jc w:val="both"/>
    </w:pPr>
    <w:rPr>
      <w:lang w:eastAsia="en-US"/>
    </w:rPr>
  </w:style>
  <w:style w:type="paragraph" w:customStyle="1" w:styleId="Point2letter">
    <w:name w:val="Point 2 (letter)"/>
    <w:basedOn w:val="Normal"/>
    <w:pPr>
      <w:numPr>
        <w:ilvl w:val="5"/>
        <w:numId w:val="6"/>
      </w:numPr>
      <w:spacing w:before="120" w:after="120"/>
      <w:jc w:val="both"/>
    </w:pPr>
    <w:rPr>
      <w:lang w:eastAsia="en-US"/>
    </w:rPr>
  </w:style>
  <w:style w:type="paragraph" w:customStyle="1" w:styleId="Point3letter">
    <w:name w:val="Point 3 (letter)"/>
    <w:basedOn w:val="Normal"/>
    <w:pPr>
      <w:numPr>
        <w:ilvl w:val="7"/>
        <w:numId w:val="6"/>
      </w:numPr>
      <w:spacing w:before="120" w:after="120"/>
      <w:jc w:val="both"/>
    </w:pPr>
    <w:rPr>
      <w:lang w:eastAsia="en-US"/>
    </w:rPr>
  </w:style>
  <w:style w:type="paragraph" w:customStyle="1" w:styleId="Point4letter">
    <w:name w:val="Point 4 (letter)"/>
    <w:basedOn w:val="Normal"/>
    <w:pPr>
      <w:numPr>
        <w:ilvl w:val="8"/>
        <w:numId w:val="6"/>
      </w:numPr>
      <w:spacing w:before="120" w:after="120"/>
      <w:jc w:val="both"/>
    </w:pPr>
    <w:rPr>
      <w:lang w:eastAsia="en-US"/>
    </w:rPr>
  </w:style>
  <w:style w:type="paragraph" w:customStyle="1" w:styleId="NumPar1">
    <w:name w:val="NumPar 1"/>
    <w:basedOn w:val="Normal"/>
    <w:next w:val="Text1"/>
    <w:pPr>
      <w:numPr>
        <w:numId w:val="8"/>
      </w:numPr>
      <w:spacing w:before="120" w:after="120"/>
      <w:jc w:val="both"/>
    </w:pPr>
    <w:rPr>
      <w:lang w:eastAsia="de-DE"/>
    </w:rPr>
  </w:style>
  <w:style w:type="paragraph" w:customStyle="1" w:styleId="NumPar2">
    <w:name w:val="NumPar 2"/>
    <w:basedOn w:val="Normal"/>
    <w:next w:val="Normal"/>
    <w:pPr>
      <w:numPr>
        <w:ilvl w:val="1"/>
        <w:numId w:val="8"/>
      </w:numPr>
      <w:spacing w:before="120" w:after="120"/>
      <w:jc w:val="both"/>
    </w:pPr>
    <w:rPr>
      <w:lang w:eastAsia="de-DE"/>
    </w:rPr>
  </w:style>
  <w:style w:type="paragraph" w:customStyle="1" w:styleId="NumPar3">
    <w:name w:val="NumPar 3"/>
    <w:basedOn w:val="Normal"/>
    <w:next w:val="Normal"/>
    <w:pPr>
      <w:numPr>
        <w:ilvl w:val="2"/>
        <w:numId w:val="8"/>
      </w:numPr>
      <w:spacing w:before="120" w:after="120"/>
      <w:jc w:val="both"/>
    </w:pPr>
    <w:rPr>
      <w:lang w:eastAsia="de-DE"/>
    </w:rPr>
  </w:style>
  <w:style w:type="paragraph" w:customStyle="1" w:styleId="NumPar4">
    <w:name w:val="NumPar 4"/>
    <w:basedOn w:val="Normal"/>
    <w:next w:val="Normal"/>
    <w:pPr>
      <w:numPr>
        <w:ilvl w:val="3"/>
        <w:numId w:val="8"/>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en-US"/>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en-US"/>
    </w:rPr>
  </w:style>
  <w:style w:type="character" w:customStyle="1" w:styleId="Heading7Char">
    <w:name w:val="Heading 7 Char"/>
    <w:basedOn w:val="DefaultParagraphFont"/>
    <w:link w:val="Heading7"/>
    <w:uiPriority w:val="99"/>
    <w:rPr>
      <w:rFonts w:ascii="Arial" w:eastAsiaTheme="majorEastAsia" w:hAnsi="Arial" w:cs="Arial"/>
      <w:sz w:val="22"/>
      <w:lang w:eastAsia="en-US"/>
    </w:rPr>
  </w:style>
  <w:style w:type="character" w:customStyle="1" w:styleId="Heading8Char">
    <w:name w:val="Heading 8 Char"/>
    <w:basedOn w:val="DefaultParagraphFont"/>
    <w:link w:val="Heading8"/>
    <w:uiPriority w:val="99"/>
    <w:rPr>
      <w:rFonts w:ascii="Arial" w:eastAsiaTheme="majorEastAsia" w:hAnsi="Arial" w:cs="Arial"/>
      <w:i/>
      <w:iCs/>
      <w:sz w:val="22"/>
      <w:lang w:eastAsia="en-US"/>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Tiret2">
    <w:name w:val="Tiret 2"/>
    <w:basedOn w:val="Normal"/>
    <w:pPr>
      <w:numPr>
        <w:numId w:val="9"/>
      </w:numPr>
      <w:spacing w:before="120" w:after="120"/>
      <w:jc w:val="both"/>
    </w:pPr>
    <w:rPr>
      <w:szCs w:val="22"/>
    </w:rPr>
  </w:style>
  <w:style w:type="paragraph" w:styleId="ListNumber5">
    <w:name w:val="List Number 5"/>
    <w:basedOn w:val="Normal"/>
    <w:pPr>
      <w:numPr>
        <w:numId w:val="10"/>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1"/>
      </w:numPr>
      <w:spacing w:before="120" w:after="120"/>
      <w:contextualSpacing/>
      <w:jc w:val="both"/>
    </w:pPr>
    <w:rPr>
      <w:rFonts w:eastAsia="Calibri"/>
      <w:szCs w:val="22"/>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paragraph" w:customStyle="1" w:styleId="doc-ti">
    <w:name w:val="doc-ti"/>
    <w:basedOn w:val="Normal"/>
    <w:pPr>
      <w:spacing w:before="240" w:after="120"/>
      <w:jc w:val="center"/>
    </w:pPr>
    <w:rPr>
      <w:b/>
      <w:bC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de-DE"/>
    </w:rPr>
  </w:style>
  <w:style w:type="paragraph" w:styleId="Caption">
    <w:name w:val="caption"/>
    <w:basedOn w:val="Normal"/>
    <w:next w:val="Normal"/>
    <w:semiHidden/>
    <w:unhideWhenUsed/>
    <w:qFormat/>
    <w:pPr>
      <w:spacing w:after="200"/>
    </w:pPr>
    <w:rPr>
      <w:b/>
      <w:bCs/>
      <w:color w:val="4F81BD" w:themeColor="accent1"/>
      <w:sz w:val="18"/>
      <w:szCs w:val="18"/>
      <w:lang w:eastAsia="en-US"/>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customStyle="1" w:styleId="agbullets">
    <w:name w:val="ag_bullets"/>
    <w:basedOn w:val="Normal"/>
    <w:qFormat/>
    <w:pPr>
      <w:numPr>
        <w:numId w:val="12"/>
      </w:numPr>
    </w:pPr>
    <w:rPr>
      <w:sz w:val="22"/>
      <w:szCs w:val="20"/>
      <w:lang w:eastAsia="en-US"/>
    </w:rPr>
  </w:style>
  <w:style w:type="paragraph" w:customStyle="1" w:styleId="agtabbullets">
    <w:name w:val="ag_tab_bullets"/>
    <w:basedOn w:val="Normal"/>
    <w:qFormat/>
    <w:pPr>
      <w:numPr>
        <w:numId w:val="13"/>
      </w:numPr>
      <w:jc w:val="both"/>
    </w:pPr>
    <w:rPr>
      <w:sz w:val="18"/>
      <w:szCs w:val="20"/>
      <w:lang w:eastAsia="en-US"/>
    </w:rPr>
  </w:style>
  <w:style w:type="paragraph" w:customStyle="1" w:styleId="agfootnote">
    <w:name w:val="ag_footnote"/>
    <w:basedOn w:val="Normal"/>
    <w:qFormat/>
    <w:pPr>
      <w:spacing w:after="120"/>
      <w:jc w:val="both"/>
    </w:pPr>
    <w:rPr>
      <w:sz w:val="16"/>
      <w:szCs w:val="20"/>
      <w:lang w:eastAsia="en-US"/>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lang w:eastAsia="de-DE"/>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lang w:eastAsia="en-US"/>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lang w:eastAsia="en-US"/>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lang w:eastAsia="en-US"/>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lang w:eastAsia="en-US"/>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7"/>
      </w:numPr>
      <w:spacing w:before="120" w:after="120"/>
      <w:jc w:val="both"/>
    </w:pPr>
    <w:rPr>
      <w:lang w:eastAsia="de-DE"/>
    </w:rPr>
  </w:style>
  <w:style w:type="paragraph" w:customStyle="1" w:styleId="ListNumberLevel2">
    <w:name w:val="List Number (Level 2)"/>
    <w:basedOn w:val="Normal"/>
    <w:pPr>
      <w:numPr>
        <w:ilvl w:val="1"/>
        <w:numId w:val="7"/>
      </w:numPr>
      <w:spacing w:before="120" w:after="120"/>
      <w:jc w:val="both"/>
    </w:pPr>
    <w:rPr>
      <w:lang w:eastAsia="de-DE"/>
    </w:rPr>
  </w:style>
  <w:style w:type="paragraph" w:customStyle="1" w:styleId="ListNumberLevel3">
    <w:name w:val="List Number (Level 3)"/>
    <w:basedOn w:val="Normal"/>
    <w:pPr>
      <w:numPr>
        <w:ilvl w:val="2"/>
        <w:numId w:val="7"/>
      </w:numPr>
      <w:spacing w:before="120" w:after="120"/>
      <w:jc w:val="both"/>
    </w:pPr>
    <w:rPr>
      <w:lang w:eastAsia="de-DE"/>
    </w:rPr>
  </w:style>
  <w:style w:type="paragraph" w:customStyle="1" w:styleId="ListNumberLevel4">
    <w:name w:val="List Number (Level 4)"/>
    <w:basedOn w:val="Normal"/>
    <w:pPr>
      <w:numPr>
        <w:ilvl w:val="3"/>
        <w:numId w:val="7"/>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customStyle="1" w:styleId="Point0number">
    <w:name w:val="Point 0 (number)"/>
    <w:basedOn w:val="Normal"/>
    <w:pPr>
      <w:numPr>
        <w:numId w:val="6"/>
      </w:numPr>
      <w:spacing w:before="120" w:after="120"/>
      <w:jc w:val="both"/>
    </w:pPr>
    <w:rPr>
      <w:lang w:eastAsia="en-US"/>
    </w:rPr>
  </w:style>
  <w:style w:type="paragraph" w:customStyle="1" w:styleId="Point1number">
    <w:name w:val="Point 1 (number)"/>
    <w:basedOn w:val="Normal"/>
    <w:pPr>
      <w:numPr>
        <w:ilvl w:val="2"/>
        <w:numId w:val="6"/>
      </w:numPr>
      <w:spacing w:before="120" w:after="120"/>
      <w:jc w:val="both"/>
    </w:pPr>
    <w:rPr>
      <w:lang w:eastAsia="en-US"/>
    </w:rPr>
  </w:style>
  <w:style w:type="paragraph" w:customStyle="1" w:styleId="Point2number">
    <w:name w:val="Point 2 (number)"/>
    <w:basedOn w:val="Normal"/>
    <w:pPr>
      <w:numPr>
        <w:ilvl w:val="4"/>
        <w:numId w:val="6"/>
      </w:numPr>
      <w:spacing w:before="120" w:after="120"/>
      <w:jc w:val="both"/>
    </w:pPr>
    <w:rPr>
      <w:lang w:eastAsia="en-US"/>
    </w:rPr>
  </w:style>
  <w:style w:type="paragraph" w:customStyle="1" w:styleId="Point3number">
    <w:name w:val="Point 3 (number)"/>
    <w:basedOn w:val="Normal"/>
    <w:pPr>
      <w:numPr>
        <w:ilvl w:val="6"/>
        <w:numId w:val="6"/>
      </w:numPr>
      <w:spacing w:before="120" w:after="120"/>
      <w:jc w:val="both"/>
    </w:pPr>
    <w:rPr>
      <w:lang w:eastAsia="en-US"/>
    </w:rPr>
  </w:style>
  <w:style w:type="paragraph" w:customStyle="1" w:styleId="Point0letter">
    <w:name w:val="Point 0 (letter)"/>
    <w:basedOn w:val="Normal"/>
    <w:pPr>
      <w:numPr>
        <w:ilvl w:val="1"/>
        <w:numId w:val="6"/>
      </w:numPr>
      <w:spacing w:before="120" w:after="120"/>
      <w:jc w:val="both"/>
    </w:pPr>
    <w:rPr>
      <w:lang w:eastAsia="en-US"/>
    </w:rPr>
  </w:style>
  <w:style w:type="paragraph" w:customStyle="1" w:styleId="Point1letter">
    <w:name w:val="Point 1 (letter)"/>
    <w:basedOn w:val="Normal"/>
    <w:pPr>
      <w:numPr>
        <w:ilvl w:val="3"/>
        <w:numId w:val="6"/>
      </w:numPr>
      <w:spacing w:before="120" w:after="120"/>
      <w:jc w:val="both"/>
    </w:pPr>
    <w:rPr>
      <w:lang w:eastAsia="en-US"/>
    </w:rPr>
  </w:style>
  <w:style w:type="paragraph" w:customStyle="1" w:styleId="Point2letter">
    <w:name w:val="Point 2 (letter)"/>
    <w:basedOn w:val="Normal"/>
    <w:pPr>
      <w:numPr>
        <w:ilvl w:val="5"/>
        <w:numId w:val="6"/>
      </w:numPr>
      <w:spacing w:before="120" w:after="120"/>
      <w:jc w:val="both"/>
    </w:pPr>
    <w:rPr>
      <w:lang w:eastAsia="en-US"/>
    </w:rPr>
  </w:style>
  <w:style w:type="paragraph" w:customStyle="1" w:styleId="Point3letter">
    <w:name w:val="Point 3 (letter)"/>
    <w:basedOn w:val="Normal"/>
    <w:pPr>
      <w:numPr>
        <w:ilvl w:val="7"/>
        <w:numId w:val="6"/>
      </w:numPr>
      <w:spacing w:before="120" w:after="120"/>
      <w:jc w:val="both"/>
    </w:pPr>
    <w:rPr>
      <w:lang w:eastAsia="en-US"/>
    </w:rPr>
  </w:style>
  <w:style w:type="paragraph" w:customStyle="1" w:styleId="Point4letter">
    <w:name w:val="Point 4 (letter)"/>
    <w:basedOn w:val="Normal"/>
    <w:pPr>
      <w:numPr>
        <w:ilvl w:val="8"/>
        <w:numId w:val="6"/>
      </w:numPr>
      <w:spacing w:before="120" w:after="120"/>
      <w:jc w:val="both"/>
    </w:pPr>
    <w:rPr>
      <w:lang w:eastAsia="en-US"/>
    </w:rPr>
  </w:style>
  <w:style w:type="paragraph" w:customStyle="1" w:styleId="NumPar1">
    <w:name w:val="NumPar 1"/>
    <w:basedOn w:val="Normal"/>
    <w:next w:val="Text1"/>
    <w:pPr>
      <w:numPr>
        <w:numId w:val="8"/>
      </w:numPr>
      <w:spacing w:before="120" w:after="120"/>
      <w:jc w:val="both"/>
    </w:pPr>
    <w:rPr>
      <w:lang w:eastAsia="de-DE"/>
    </w:rPr>
  </w:style>
  <w:style w:type="paragraph" w:customStyle="1" w:styleId="NumPar2">
    <w:name w:val="NumPar 2"/>
    <w:basedOn w:val="Normal"/>
    <w:next w:val="Normal"/>
    <w:pPr>
      <w:numPr>
        <w:ilvl w:val="1"/>
        <w:numId w:val="8"/>
      </w:numPr>
      <w:spacing w:before="120" w:after="120"/>
      <w:jc w:val="both"/>
    </w:pPr>
    <w:rPr>
      <w:lang w:eastAsia="de-DE"/>
    </w:rPr>
  </w:style>
  <w:style w:type="paragraph" w:customStyle="1" w:styleId="NumPar3">
    <w:name w:val="NumPar 3"/>
    <w:basedOn w:val="Normal"/>
    <w:next w:val="Normal"/>
    <w:pPr>
      <w:numPr>
        <w:ilvl w:val="2"/>
        <w:numId w:val="8"/>
      </w:numPr>
      <w:spacing w:before="120" w:after="120"/>
      <w:jc w:val="both"/>
    </w:pPr>
    <w:rPr>
      <w:lang w:eastAsia="de-DE"/>
    </w:rPr>
  </w:style>
  <w:style w:type="paragraph" w:customStyle="1" w:styleId="NumPar4">
    <w:name w:val="NumPar 4"/>
    <w:basedOn w:val="Normal"/>
    <w:next w:val="Normal"/>
    <w:pPr>
      <w:numPr>
        <w:ilvl w:val="3"/>
        <w:numId w:val="8"/>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en-US"/>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en-US"/>
    </w:rPr>
  </w:style>
  <w:style w:type="character" w:customStyle="1" w:styleId="Heading7Char">
    <w:name w:val="Heading 7 Char"/>
    <w:basedOn w:val="DefaultParagraphFont"/>
    <w:link w:val="Heading7"/>
    <w:uiPriority w:val="99"/>
    <w:rPr>
      <w:rFonts w:ascii="Arial" w:eastAsiaTheme="majorEastAsia" w:hAnsi="Arial" w:cs="Arial"/>
      <w:sz w:val="22"/>
      <w:lang w:eastAsia="en-US"/>
    </w:rPr>
  </w:style>
  <w:style w:type="character" w:customStyle="1" w:styleId="Heading8Char">
    <w:name w:val="Heading 8 Char"/>
    <w:basedOn w:val="DefaultParagraphFont"/>
    <w:link w:val="Heading8"/>
    <w:uiPriority w:val="99"/>
    <w:rPr>
      <w:rFonts w:ascii="Arial" w:eastAsiaTheme="majorEastAsia" w:hAnsi="Arial" w:cs="Arial"/>
      <w:i/>
      <w:iCs/>
      <w:sz w:val="22"/>
      <w:lang w:eastAsia="en-US"/>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Tiret2">
    <w:name w:val="Tiret 2"/>
    <w:basedOn w:val="Normal"/>
    <w:pPr>
      <w:numPr>
        <w:numId w:val="9"/>
      </w:numPr>
      <w:spacing w:before="120" w:after="120"/>
      <w:jc w:val="both"/>
    </w:pPr>
    <w:rPr>
      <w:szCs w:val="22"/>
    </w:rPr>
  </w:style>
  <w:style w:type="paragraph" w:styleId="ListNumber5">
    <w:name w:val="List Number 5"/>
    <w:basedOn w:val="Normal"/>
    <w:pPr>
      <w:numPr>
        <w:numId w:val="10"/>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1"/>
      </w:numPr>
      <w:spacing w:before="120" w:after="120"/>
      <w:contextualSpacing/>
      <w:jc w:val="both"/>
    </w:pPr>
    <w:rPr>
      <w:rFonts w:eastAsia="Calibri"/>
      <w:szCs w:val="22"/>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paragraph" w:customStyle="1" w:styleId="doc-ti">
    <w:name w:val="doc-ti"/>
    <w:basedOn w:val="Normal"/>
    <w:pPr>
      <w:spacing w:before="240" w:after="120"/>
      <w:jc w:val="center"/>
    </w:pPr>
    <w:rPr>
      <w:b/>
      <w:bC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de-DE"/>
    </w:rPr>
  </w:style>
  <w:style w:type="paragraph" w:styleId="Caption">
    <w:name w:val="caption"/>
    <w:basedOn w:val="Normal"/>
    <w:next w:val="Normal"/>
    <w:semiHidden/>
    <w:unhideWhenUsed/>
    <w:qFormat/>
    <w:pPr>
      <w:spacing w:after="200"/>
    </w:pPr>
    <w:rPr>
      <w:b/>
      <w:bCs/>
      <w:color w:val="4F81BD" w:themeColor="accent1"/>
      <w:sz w:val="18"/>
      <w:szCs w:val="18"/>
      <w:lang w:eastAsia="en-US"/>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customStyle="1" w:styleId="agbullets">
    <w:name w:val="ag_bullets"/>
    <w:basedOn w:val="Normal"/>
    <w:qFormat/>
    <w:pPr>
      <w:numPr>
        <w:numId w:val="12"/>
      </w:numPr>
    </w:pPr>
    <w:rPr>
      <w:sz w:val="22"/>
      <w:szCs w:val="20"/>
      <w:lang w:eastAsia="en-US"/>
    </w:rPr>
  </w:style>
  <w:style w:type="paragraph" w:customStyle="1" w:styleId="agtabbullets">
    <w:name w:val="ag_tab_bullets"/>
    <w:basedOn w:val="Normal"/>
    <w:qFormat/>
    <w:pPr>
      <w:numPr>
        <w:numId w:val="13"/>
      </w:numPr>
      <w:jc w:val="both"/>
    </w:pPr>
    <w:rPr>
      <w:sz w:val="18"/>
      <w:szCs w:val="20"/>
      <w:lang w:eastAsia="en-US"/>
    </w:rPr>
  </w:style>
  <w:style w:type="paragraph" w:customStyle="1" w:styleId="agfootnote">
    <w:name w:val="ag_footnote"/>
    <w:basedOn w:val="Normal"/>
    <w:qFormat/>
    <w:pPr>
      <w:spacing w:after="120"/>
      <w:jc w:val="both"/>
    </w:pPr>
    <w:rPr>
      <w:sz w:val="16"/>
      <w:szCs w:val="20"/>
      <w:lang w:eastAsia="en-US"/>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4637">
      <w:bodyDiv w:val="1"/>
      <w:marLeft w:val="0"/>
      <w:marRight w:val="0"/>
      <w:marTop w:val="0"/>
      <w:marBottom w:val="0"/>
      <w:divBdr>
        <w:top w:val="none" w:sz="0" w:space="0" w:color="auto"/>
        <w:left w:val="none" w:sz="0" w:space="0" w:color="auto"/>
        <w:bottom w:val="none" w:sz="0" w:space="0" w:color="auto"/>
        <w:right w:val="none" w:sz="0" w:space="0" w:color="auto"/>
      </w:divBdr>
    </w:div>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140775662">
      <w:bodyDiv w:val="1"/>
      <w:marLeft w:val="0"/>
      <w:marRight w:val="0"/>
      <w:marTop w:val="0"/>
      <w:marBottom w:val="0"/>
      <w:divBdr>
        <w:top w:val="none" w:sz="0" w:space="0" w:color="auto"/>
        <w:left w:val="none" w:sz="0" w:space="0" w:color="auto"/>
        <w:bottom w:val="none" w:sz="0" w:space="0" w:color="auto"/>
        <w:right w:val="none" w:sz="0" w:space="0" w:color="auto"/>
      </w:divBdr>
    </w:div>
    <w:div w:id="157232737">
      <w:bodyDiv w:val="1"/>
      <w:marLeft w:val="0"/>
      <w:marRight w:val="0"/>
      <w:marTop w:val="0"/>
      <w:marBottom w:val="0"/>
      <w:divBdr>
        <w:top w:val="none" w:sz="0" w:space="0" w:color="auto"/>
        <w:left w:val="none" w:sz="0" w:space="0" w:color="auto"/>
        <w:bottom w:val="none" w:sz="0" w:space="0" w:color="auto"/>
        <w:right w:val="none" w:sz="0" w:space="0" w:color="auto"/>
      </w:divBdr>
    </w:div>
    <w:div w:id="267927783">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51643793">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44714103">
      <w:bodyDiv w:val="1"/>
      <w:marLeft w:val="0"/>
      <w:marRight w:val="0"/>
      <w:marTop w:val="0"/>
      <w:marBottom w:val="0"/>
      <w:divBdr>
        <w:top w:val="none" w:sz="0" w:space="0" w:color="auto"/>
        <w:left w:val="none" w:sz="0" w:space="0" w:color="auto"/>
        <w:bottom w:val="none" w:sz="0" w:space="0" w:color="auto"/>
        <w:right w:val="none" w:sz="0" w:space="0" w:color="auto"/>
      </w:divBdr>
    </w:div>
    <w:div w:id="872612478">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04336155">
      <w:bodyDiv w:val="1"/>
      <w:marLeft w:val="0"/>
      <w:marRight w:val="0"/>
      <w:marTop w:val="0"/>
      <w:marBottom w:val="0"/>
      <w:divBdr>
        <w:top w:val="none" w:sz="0" w:space="0" w:color="auto"/>
        <w:left w:val="none" w:sz="0" w:space="0" w:color="auto"/>
        <w:bottom w:val="none" w:sz="0" w:space="0" w:color="auto"/>
        <w:right w:val="none" w:sz="0" w:space="0" w:color="auto"/>
      </w:divBdr>
    </w:div>
    <w:div w:id="1000935606">
      <w:bodyDiv w:val="1"/>
      <w:marLeft w:val="0"/>
      <w:marRight w:val="0"/>
      <w:marTop w:val="0"/>
      <w:marBottom w:val="0"/>
      <w:divBdr>
        <w:top w:val="none" w:sz="0" w:space="0" w:color="auto"/>
        <w:left w:val="none" w:sz="0" w:space="0" w:color="auto"/>
        <w:bottom w:val="none" w:sz="0" w:space="0" w:color="auto"/>
        <w:right w:val="none" w:sz="0" w:space="0" w:color="auto"/>
      </w:divBdr>
    </w:div>
    <w:div w:id="1017465266">
      <w:bodyDiv w:val="1"/>
      <w:marLeft w:val="0"/>
      <w:marRight w:val="0"/>
      <w:marTop w:val="0"/>
      <w:marBottom w:val="0"/>
      <w:divBdr>
        <w:top w:val="none" w:sz="0" w:space="0" w:color="auto"/>
        <w:left w:val="none" w:sz="0" w:space="0" w:color="auto"/>
        <w:bottom w:val="none" w:sz="0" w:space="0" w:color="auto"/>
        <w:right w:val="none" w:sz="0" w:space="0" w:color="auto"/>
      </w:divBdr>
    </w:div>
    <w:div w:id="1051805765">
      <w:bodyDiv w:val="1"/>
      <w:marLeft w:val="0"/>
      <w:marRight w:val="0"/>
      <w:marTop w:val="0"/>
      <w:marBottom w:val="0"/>
      <w:divBdr>
        <w:top w:val="none" w:sz="0" w:space="0" w:color="auto"/>
        <w:left w:val="none" w:sz="0" w:space="0" w:color="auto"/>
        <w:bottom w:val="none" w:sz="0" w:space="0" w:color="auto"/>
        <w:right w:val="none" w:sz="0" w:space="0" w:color="auto"/>
      </w:divBdr>
      <w:divsChild>
        <w:div w:id="1326399010">
          <w:marLeft w:val="0"/>
          <w:marRight w:val="0"/>
          <w:marTop w:val="0"/>
          <w:marBottom w:val="0"/>
          <w:divBdr>
            <w:top w:val="none" w:sz="0" w:space="0" w:color="auto"/>
            <w:left w:val="none" w:sz="0" w:space="0" w:color="auto"/>
            <w:bottom w:val="none" w:sz="0" w:space="0" w:color="auto"/>
            <w:right w:val="none" w:sz="0" w:space="0" w:color="auto"/>
          </w:divBdr>
          <w:divsChild>
            <w:div w:id="10768024">
              <w:marLeft w:val="0"/>
              <w:marRight w:val="0"/>
              <w:marTop w:val="0"/>
              <w:marBottom w:val="0"/>
              <w:divBdr>
                <w:top w:val="none" w:sz="0" w:space="0" w:color="auto"/>
                <w:left w:val="none" w:sz="0" w:space="0" w:color="auto"/>
                <w:bottom w:val="none" w:sz="0" w:space="0" w:color="auto"/>
                <w:right w:val="none" w:sz="0" w:space="0" w:color="auto"/>
              </w:divBdr>
              <w:divsChild>
                <w:div w:id="1110509085">
                  <w:marLeft w:val="-225"/>
                  <w:marRight w:val="-225"/>
                  <w:marTop w:val="0"/>
                  <w:marBottom w:val="0"/>
                  <w:divBdr>
                    <w:top w:val="none" w:sz="0" w:space="0" w:color="auto"/>
                    <w:left w:val="none" w:sz="0" w:space="0" w:color="auto"/>
                    <w:bottom w:val="none" w:sz="0" w:space="0" w:color="auto"/>
                    <w:right w:val="none" w:sz="0" w:space="0" w:color="auto"/>
                  </w:divBdr>
                  <w:divsChild>
                    <w:div w:id="2092005566">
                      <w:marLeft w:val="0"/>
                      <w:marRight w:val="0"/>
                      <w:marTop w:val="0"/>
                      <w:marBottom w:val="0"/>
                      <w:divBdr>
                        <w:top w:val="none" w:sz="0" w:space="0" w:color="auto"/>
                        <w:left w:val="none" w:sz="0" w:space="0" w:color="auto"/>
                        <w:bottom w:val="none" w:sz="0" w:space="0" w:color="auto"/>
                        <w:right w:val="none" w:sz="0" w:space="0" w:color="auto"/>
                      </w:divBdr>
                      <w:divsChild>
                        <w:div w:id="1084764764">
                          <w:marLeft w:val="0"/>
                          <w:marRight w:val="0"/>
                          <w:marTop w:val="0"/>
                          <w:marBottom w:val="0"/>
                          <w:divBdr>
                            <w:top w:val="none" w:sz="0" w:space="0" w:color="auto"/>
                            <w:left w:val="none" w:sz="0" w:space="0" w:color="auto"/>
                            <w:bottom w:val="none" w:sz="0" w:space="0" w:color="auto"/>
                            <w:right w:val="none" w:sz="0" w:space="0" w:color="auto"/>
                          </w:divBdr>
                          <w:divsChild>
                            <w:div w:id="1888908354">
                              <w:marLeft w:val="0"/>
                              <w:marRight w:val="0"/>
                              <w:marTop w:val="0"/>
                              <w:marBottom w:val="0"/>
                              <w:divBdr>
                                <w:top w:val="none" w:sz="0" w:space="0" w:color="auto"/>
                                <w:left w:val="none" w:sz="0" w:space="0" w:color="auto"/>
                                <w:bottom w:val="none" w:sz="0" w:space="0" w:color="auto"/>
                                <w:right w:val="none" w:sz="0" w:space="0" w:color="auto"/>
                              </w:divBdr>
                              <w:divsChild>
                                <w:div w:id="982350976">
                                  <w:marLeft w:val="0"/>
                                  <w:marRight w:val="0"/>
                                  <w:marTop w:val="0"/>
                                  <w:marBottom w:val="133"/>
                                  <w:divBdr>
                                    <w:top w:val="none" w:sz="0" w:space="0" w:color="auto"/>
                                    <w:left w:val="none" w:sz="0" w:space="0" w:color="auto"/>
                                    <w:bottom w:val="none" w:sz="0" w:space="0" w:color="auto"/>
                                    <w:right w:val="none" w:sz="0" w:space="0" w:color="auto"/>
                                  </w:divBdr>
                                  <w:divsChild>
                                    <w:div w:id="49118662">
                                      <w:marLeft w:val="0"/>
                                      <w:marRight w:val="0"/>
                                      <w:marTop w:val="0"/>
                                      <w:marBottom w:val="0"/>
                                      <w:divBdr>
                                        <w:top w:val="none" w:sz="0" w:space="0" w:color="auto"/>
                                        <w:left w:val="none" w:sz="0" w:space="0" w:color="auto"/>
                                        <w:bottom w:val="none" w:sz="0" w:space="0" w:color="auto"/>
                                        <w:right w:val="none" w:sz="0" w:space="0" w:color="auto"/>
                                      </w:divBdr>
                                      <w:divsChild>
                                        <w:div w:id="834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365363">
      <w:bodyDiv w:val="1"/>
      <w:marLeft w:val="0"/>
      <w:marRight w:val="0"/>
      <w:marTop w:val="0"/>
      <w:marBottom w:val="0"/>
      <w:divBdr>
        <w:top w:val="none" w:sz="0" w:space="0" w:color="auto"/>
        <w:left w:val="none" w:sz="0" w:space="0" w:color="auto"/>
        <w:bottom w:val="none" w:sz="0" w:space="0" w:color="auto"/>
        <w:right w:val="none" w:sz="0" w:space="0" w:color="auto"/>
      </w:divBdr>
    </w:div>
    <w:div w:id="12692372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08601875">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 w:id="1849320990">
      <w:bodyDiv w:val="1"/>
      <w:marLeft w:val="0"/>
      <w:marRight w:val="0"/>
      <w:marTop w:val="0"/>
      <w:marBottom w:val="0"/>
      <w:divBdr>
        <w:top w:val="none" w:sz="0" w:space="0" w:color="auto"/>
        <w:left w:val="none" w:sz="0" w:space="0" w:color="auto"/>
        <w:bottom w:val="none" w:sz="0" w:space="0" w:color="auto"/>
        <w:right w:val="none" w:sz="0" w:space="0" w:color="auto"/>
      </w:divBdr>
    </w:div>
    <w:div w:id="201059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eur-lex.europa.eu/budget/www/index-en.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business-economy-euro/economic-performance-and-forecasts/economic-forecasts/spring-2019-economic-forecas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9606faa-45a1-44ba-9f56-4f4a8f4034dc">EN</EC_Collab_DocumentLanguage>
    <EC_Collab_Reference xmlns="d9606faa-45a1-44ba-9f56-4f4a8f4034dc" xsi:nil="true"/>
    <EC_Collab_Status xmlns="d9606faa-45a1-44ba-9f56-4f4a8f4034dc">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85EF0364217924BAD471D1695637112" ma:contentTypeVersion="1" ma:contentTypeDescription="Create a new document in this library." ma:contentTypeScope="" ma:versionID="205d5bdeabaca534a5226ddab7fc3cab">
  <xsd:schema xmlns:xsd="http://www.w3.org/2001/XMLSchema" xmlns:xs="http://www.w3.org/2001/XMLSchema" xmlns:p="http://schemas.microsoft.com/office/2006/metadata/properties" xmlns:ns3="d9606faa-45a1-44ba-9f56-4f4a8f4034dc" targetNamespace="http://schemas.microsoft.com/office/2006/metadata/properties" ma:root="true" ma:fieldsID="2dd27c47d5134ace2527d0f4f98d29d2" ns3:_="">
    <xsd:import namespace="d9606faa-45a1-44ba-9f56-4f4a8f4034d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6faa-45a1-44ba-9f56-4f4a8f4034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0D5B-412D-4C96-96FC-1DDF56CE96D9}">
  <ds:schemaRefs>
    <ds:schemaRef ds:uri="http://schemas.microsoft.com/sharepoint/v3/contenttype/forms"/>
  </ds:schemaRefs>
</ds:datastoreItem>
</file>

<file path=customXml/itemProps2.xml><?xml version="1.0" encoding="utf-8"?>
<ds:datastoreItem xmlns:ds="http://schemas.openxmlformats.org/officeDocument/2006/customXml" ds:itemID="{6287BA85-4E09-4A59-BEF7-0E1E6301EDD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606faa-45a1-44ba-9f56-4f4a8f4034dc"/>
    <ds:schemaRef ds:uri="http://www.w3.org/XML/1998/namespace"/>
    <ds:schemaRef ds:uri="http://purl.org/dc/dcmitype/"/>
  </ds:schemaRefs>
</ds:datastoreItem>
</file>

<file path=customXml/itemProps3.xml><?xml version="1.0" encoding="utf-8"?>
<ds:datastoreItem xmlns:ds="http://schemas.openxmlformats.org/officeDocument/2006/customXml" ds:itemID="{8C111116-EBCB-4080-853B-DEAA17D1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6faa-45a1-44ba-9f56-4f4a8f40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AAC96-7A62-47F8-9AC1-D4683E2E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7100</Words>
  <Characters>32662</Characters>
  <Application>Microsoft Office Word</Application>
  <DocSecurity>0</DocSecurity>
  <Lines>1633</Lines>
  <Paragraphs>1420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38342</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15</cp:revision>
  <cp:lastPrinted>2019-04-26T13:48:00Z</cp:lastPrinted>
  <dcterms:created xsi:type="dcterms:W3CDTF">2019-07-01T14:42:00Z</dcterms:created>
  <dcterms:modified xsi:type="dcterms:W3CDTF">2019-07-01T15:33:00Z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0x010100258AA79CEB83498886A3A0868112325000885EF0364217924BAD471D1695637112</vt:lpwstr>
  </property>
</Properties>
</file>