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904B974-94BB-4D32-9BBA-E62D9C8A3B6F" style="width:450.8pt;height:320.2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center"/>
        <w:rPr>
          <w:rFonts w:ascii="Times New Roman" w:eastAsia="Times New Roman" w:hAnsi="Times New Roman" w:cs="Times New Roman"/>
          <w:b/>
          <w:noProof/>
          <w:sz w:val="24"/>
          <w:szCs w:val="24"/>
          <w:lang w:eastAsia="en-GB"/>
        </w:rPr>
      </w:pPr>
      <w:bookmarkStart w:id="1" w:name="_GoBack"/>
      <w:bookmarkEnd w:id="1"/>
      <w:r>
        <w:rPr>
          <w:rFonts w:ascii="Times New Roman" w:eastAsia="Times New Roman" w:hAnsi="Times New Roman" w:cs="Times New Roman"/>
          <w:b/>
          <w:noProof/>
          <w:sz w:val="24"/>
          <w:szCs w:val="24"/>
          <w:lang w:eastAsia="en-GB"/>
        </w:rPr>
        <w:lastRenderedPageBreak/>
        <w:t>REPORT FROM THE COMMISSION TO THE EUROPEAN PARLIAMENT AND THE COUNCIL</w:t>
      </w:r>
    </w:p>
    <w:p>
      <w:pPr>
        <w:spacing w:after="24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EU research and technological development activities </w:t>
      </w:r>
      <w:r>
        <w:rPr>
          <w:rFonts w:ascii="Times New Roman" w:eastAsia="Times New Roman" w:hAnsi="Times New Roman" w:cs="Times New Roman"/>
          <w:b/>
          <w:bCs/>
          <w:noProof/>
          <w:sz w:val="24"/>
          <w:szCs w:val="24"/>
          <w:lang w:eastAsia="en-GB"/>
        </w:rPr>
        <w:t xml:space="preserve">and monitoring of Horizon 2020 </w:t>
      </w:r>
      <w:r>
        <w:rPr>
          <w:rFonts w:ascii="Times New Roman" w:eastAsia="Times New Roman" w:hAnsi="Times New Roman" w:cs="Times New Roman"/>
          <w:b/>
          <w:noProof/>
          <w:sz w:val="24"/>
          <w:szCs w:val="24"/>
          <w:lang w:eastAsia="en-GB"/>
        </w:rPr>
        <w:t>in 2018</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1.</w:t>
      </w:r>
      <w:r>
        <w:rPr>
          <w:rFonts w:ascii="Times New Roman" w:eastAsia="Times New Roman" w:hAnsi="Times New Roman" w:cs="Times New Roman"/>
          <w:b/>
          <w:smallCaps/>
          <w:noProof/>
          <w:sz w:val="24"/>
          <w:szCs w:val="24"/>
          <w:lang w:eastAsia="en-GB"/>
        </w:rPr>
        <w:tab/>
        <w:t xml:space="preserve">Background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annual report on the EU’s research and technological development activities and the dissemination of results has been prepared pursuant to Article 190 of the Treaty on the Functioning of the European Union and Article 7 of the Euratom Treaty. It provides a concise, non</w:t>
      </w:r>
      <w:r>
        <w:rPr>
          <w:rFonts w:ascii="Times New Roman" w:eastAsia="Times New Roman" w:hAnsi="Times New Roman" w:cs="Times New Roman"/>
          <w:noProof/>
          <w:sz w:val="24"/>
          <w:szCs w:val="24"/>
          <w:lang w:eastAsia="en-GB"/>
        </w:rPr>
        <w:noBreakHyphen/>
        <w:t>exhaustive overview of key measures taken in 2018.</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2.</w:t>
      </w:r>
      <w:r>
        <w:rPr>
          <w:rFonts w:ascii="Times New Roman" w:eastAsia="Times New Roman" w:hAnsi="Times New Roman" w:cs="Times New Roman"/>
          <w:b/>
          <w:smallCaps/>
          <w:noProof/>
          <w:sz w:val="24"/>
          <w:szCs w:val="24"/>
          <w:lang w:eastAsia="en-GB"/>
        </w:rPr>
        <w:tab/>
        <w:t xml:space="preserve">Political context </w:t>
      </w:r>
    </w:p>
    <w:p>
      <w:pPr>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The Communication on</w:t>
      </w:r>
      <w:r>
        <w:rPr>
          <w:rFonts w:ascii="Times New Roman" w:eastAsia="Calibri" w:hAnsi="Times New Roman" w:cs="Times New Roman"/>
          <w:b/>
          <w:noProof/>
          <w:color w:val="000000"/>
          <w:sz w:val="24"/>
          <w:szCs w:val="24"/>
        </w:rPr>
        <w:t xml:space="preserve"> </w:t>
      </w:r>
      <w:r>
        <w:rPr>
          <w:rFonts w:ascii="Times New Roman" w:eastAsia="Calibri" w:hAnsi="Times New Roman" w:cs="Times New Roman"/>
          <w:b/>
          <w:i/>
          <w:noProof/>
          <w:color w:val="000000"/>
          <w:sz w:val="24"/>
          <w:szCs w:val="24"/>
        </w:rPr>
        <w:t>A renewed European agenda for research and innovation – Europe’s chance to shape its future</w:t>
      </w:r>
      <w:r>
        <w:rPr>
          <w:rStyle w:val="FootnoteReference"/>
          <w:rFonts w:eastAsia="Calibri"/>
          <w:noProof/>
          <w:sz w:val="24"/>
          <w:szCs w:val="24"/>
        </w:rPr>
        <w:footnoteReference w:id="1"/>
      </w:r>
      <w:r>
        <w:rPr>
          <w:rFonts w:ascii="Times New Roman" w:eastAsia="Calibri" w:hAnsi="Times New Roman" w:cs="Times New Roman"/>
          <w:noProof/>
          <w:color w:val="000000"/>
          <w:sz w:val="24"/>
          <w:szCs w:val="24"/>
        </w:rPr>
        <w:t>, which the Commission prepared for the informal European Council in Sofia on 16 May 2018, placed research and innovation (R&amp;I) at the heart of agenda for jobs, growth, fairness and democratic change, and of preparations for the future of the EU. Against that backdrop, the Commission adopted legislative proposals for spending programmes under the 2021-2027 EU budget, which are now the subject of inter</w:t>
      </w:r>
      <w:r>
        <w:rPr>
          <w:rFonts w:ascii="Times New Roman" w:eastAsia="Calibri" w:hAnsi="Times New Roman" w:cs="Times New Roman"/>
          <w:noProof/>
          <w:color w:val="000000"/>
          <w:sz w:val="24"/>
          <w:szCs w:val="24"/>
        </w:rPr>
        <w:noBreakHyphen/>
        <w:t>institutional negotiations.</w:t>
      </w:r>
    </w:p>
    <w:p>
      <w:pPr>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In 2018, the</w:t>
      </w:r>
      <w:r>
        <w:rPr>
          <w:rFonts w:ascii="Times New Roman" w:eastAsia="Calibri" w:hAnsi="Times New Roman" w:cs="Times New Roman"/>
          <w:b/>
          <w:noProof/>
          <w:color w:val="000000"/>
          <w:sz w:val="24"/>
          <w:szCs w:val="24"/>
        </w:rPr>
        <w:t xml:space="preserve"> EU economy</w:t>
      </w:r>
      <w:r>
        <w:rPr>
          <w:rFonts w:ascii="Times New Roman" w:eastAsia="Calibri" w:hAnsi="Times New Roman" w:cs="Times New Roman"/>
          <w:noProof/>
          <w:color w:val="000000"/>
          <w:sz w:val="24"/>
          <w:szCs w:val="24"/>
        </w:rPr>
        <w:t xml:space="preserve"> continued to expand for the fifth year in a row, but global uncertainties are looming. </w:t>
      </w:r>
      <w:r>
        <w:rPr>
          <w:rFonts w:ascii="Times New Roman" w:eastAsia="Calibri" w:hAnsi="Times New Roman" w:cs="Times New Roman"/>
          <w:noProof/>
          <w:sz w:val="24"/>
          <w:szCs w:val="24"/>
        </w:rPr>
        <w:t>Macroeconomic indicators such as employment and investment returned to pre-financial crisis trends</w:t>
      </w:r>
      <w:r>
        <w:rPr>
          <w:rStyle w:val="FootnoteReference"/>
          <w:rFonts w:eastAsia="Calibri"/>
          <w:noProof/>
          <w:sz w:val="24"/>
          <w:szCs w:val="24"/>
        </w:rPr>
        <w:footnoteReference w:id="2"/>
      </w:r>
      <w:r>
        <w:rPr>
          <w:rFonts w:ascii="Times New Roman" w:eastAsia="Calibri" w:hAnsi="Times New Roman" w:cs="Times New Roman"/>
          <w:noProof/>
          <w:sz w:val="24"/>
          <w:szCs w:val="24"/>
        </w:rPr>
        <w:t>, but sluggish productivity improvements continue to hold back economic growth</w:t>
      </w:r>
      <w:r>
        <w:rPr>
          <w:rStyle w:val="FootnoteReference"/>
          <w:rFonts w:eastAsia="Calibri"/>
          <w:noProof/>
          <w:sz w:val="24"/>
          <w:szCs w:val="24"/>
        </w:rPr>
        <w:footnoteReference w:id="3"/>
      </w:r>
      <w:r>
        <w:rPr>
          <w:rFonts w:ascii="Times New Roman" w:eastAsia="Calibri" w:hAnsi="Times New Roman" w:cs="Times New Roman"/>
          <w:noProof/>
          <w:sz w:val="24"/>
          <w:szCs w:val="24"/>
        </w:rPr>
        <w:t>.</w:t>
      </w:r>
      <w:r>
        <w:rPr>
          <w:rFonts w:ascii="Times New Roman" w:eastAsia="Calibri" w:hAnsi="Times New Roman" w:cs="Times New Roman"/>
          <w:noProof/>
          <w:color w:val="000000"/>
          <w:sz w:val="24"/>
          <w:szCs w:val="24"/>
        </w:rPr>
        <w:t xml:space="preserve"> By November, the European Fund for Strategic Investments had supported projects in all Member States for a total investment value of €360 billion, of which two thirds are from private resources</w:t>
      </w:r>
      <w:r>
        <w:rPr>
          <w:rStyle w:val="FootnoteReference"/>
          <w:rFonts w:eastAsia="Calibri"/>
          <w:noProof/>
          <w:sz w:val="24"/>
          <w:szCs w:val="24"/>
        </w:rPr>
        <w:footnoteReference w:id="4"/>
      </w:r>
      <w:r>
        <w:rPr>
          <w:rFonts w:ascii="Times New Roman" w:eastAsia="Calibri" w:hAnsi="Times New Roman" w:cs="Times New Roman"/>
          <w:noProof/>
          <w:color w:val="000000"/>
          <w:sz w:val="24"/>
          <w:szCs w:val="24"/>
        </w:rPr>
        <w:t>. Horizon 2020 has contributed directly to these positive developments, creating around 592,000 new jobs between 2014 and 2018</w:t>
      </w:r>
      <w:r>
        <w:rPr>
          <w:rStyle w:val="FootnoteReference"/>
          <w:rFonts w:eastAsia="Calibri"/>
          <w:noProof/>
          <w:sz w:val="24"/>
          <w:szCs w:val="24"/>
        </w:rPr>
        <w:footnoteReference w:id="5"/>
      </w:r>
      <w:r>
        <w:rPr>
          <w:rFonts w:ascii="Times New Roman" w:eastAsia="Calibri" w:hAnsi="Times New Roman" w:cs="Times New Roman"/>
          <w:noProof/>
          <w:color w:val="000000"/>
          <w:sz w:val="24"/>
          <w:szCs w:val="24"/>
        </w:rPr>
        <w:t>.</w:t>
      </w:r>
    </w:p>
    <w:p>
      <w:pPr>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The EU kept issues relating to the</w:t>
      </w:r>
      <w:r>
        <w:rPr>
          <w:rFonts w:ascii="Times New Roman" w:eastAsia="Calibri" w:hAnsi="Times New Roman" w:cs="Times New Roman"/>
          <w:b/>
          <w:noProof/>
          <w:color w:val="000000"/>
          <w:sz w:val="24"/>
          <w:szCs w:val="24"/>
        </w:rPr>
        <w:t xml:space="preserve"> digital single market </w:t>
      </w:r>
      <w:r>
        <w:rPr>
          <w:rFonts w:ascii="Times New Roman" w:eastAsia="Calibri" w:hAnsi="Times New Roman" w:cs="Times New Roman"/>
          <w:noProof/>
          <w:color w:val="000000"/>
          <w:sz w:val="24"/>
          <w:szCs w:val="24"/>
        </w:rPr>
        <w:t>high on the agenda. Apart from ensuring the protection of personal data, the new General Data Protection Regulation (which entered into force on 25 May 2018</w:t>
      </w:r>
      <w:r>
        <w:rPr>
          <w:rStyle w:val="FootnoteReference"/>
          <w:rFonts w:eastAsia="Calibri"/>
          <w:noProof/>
          <w:sz w:val="24"/>
          <w:szCs w:val="24"/>
        </w:rPr>
        <w:footnoteReference w:id="6"/>
      </w:r>
      <w:r>
        <w:rPr>
          <w:rFonts w:ascii="Times New Roman" w:eastAsia="Calibri" w:hAnsi="Times New Roman" w:cs="Times New Roman"/>
          <w:noProof/>
          <w:color w:val="000000"/>
          <w:sz w:val="24"/>
          <w:szCs w:val="24"/>
        </w:rPr>
        <w:t>) will also support R&amp;I. The Commission supported the mutualisation of national efforts in artificial intelligence</w:t>
      </w:r>
      <w:r>
        <w:rPr>
          <w:rStyle w:val="FootnoteReference"/>
          <w:rFonts w:eastAsia="Calibri"/>
          <w:noProof/>
          <w:sz w:val="24"/>
          <w:szCs w:val="24"/>
        </w:rPr>
        <w:footnoteReference w:id="7"/>
      </w:r>
      <w:r>
        <w:rPr>
          <w:rFonts w:ascii="Times New Roman" w:eastAsia="Calibri" w:hAnsi="Times New Roman" w:cs="Times New Roman"/>
          <w:noProof/>
          <w:color w:val="000000"/>
          <w:sz w:val="24"/>
          <w:szCs w:val="24"/>
        </w:rPr>
        <w:t>. Again, Horizon 2020 played a key role, in particular by supporting the creation of a new joint undertaking on high</w:t>
      </w:r>
      <w:r>
        <w:rPr>
          <w:rFonts w:ascii="Times New Roman" w:eastAsia="Calibri" w:hAnsi="Times New Roman" w:cs="Times New Roman"/>
          <w:noProof/>
          <w:color w:val="000000"/>
          <w:sz w:val="24"/>
          <w:szCs w:val="24"/>
        </w:rPr>
        <w:noBreakHyphen/>
        <w:t>performance computing that should ensure Europe’s strategic autonomy in this field</w:t>
      </w:r>
      <w:r>
        <w:rPr>
          <w:rStyle w:val="FootnoteReference"/>
          <w:rFonts w:eastAsia="Calibri"/>
          <w:noProof/>
          <w:sz w:val="24"/>
          <w:szCs w:val="24"/>
        </w:rPr>
        <w:footnoteReference w:id="8"/>
      </w:r>
      <w:r>
        <w:rPr>
          <w:rFonts w:ascii="Times New Roman" w:eastAsia="Calibri" w:hAnsi="Times New Roman" w:cs="Times New Roman"/>
          <w:noProof/>
          <w:color w:val="000000"/>
          <w:sz w:val="24"/>
          <w:szCs w:val="24"/>
        </w:rPr>
        <w:t xml:space="preserve">.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Energy and climate </w:t>
      </w:r>
      <w:r>
        <w:rPr>
          <w:rFonts w:ascii="Times New Roman" w:eastAsia="Times New Roman" w:hAnsi="Times New Roman" w:cs="Times New Roman"/>
          <w:noProof/>
          <w:sz w:val="24"/>
          <w:szCs w:val="24"/>
          <w:lang w:eastAsia="en-GB"/>
        </w:rPr>
        <w:t>remained at the top of the global and European agenda. A special Intergovernmental Panel on Climate Change (IPCC) report to policy</w:t>
      </w:r>
      <w:r>
        <w:rPr>
          <w:rFonts w:ascii="Times New Roman" w:eastAsia="Times New Roman" w:hAnsi="Times New Roman" w:cs="Times New Roman"/>
          <w:noProof/>
          <w:sz w:val="24"/>
          <w:szCs w:val="24"/>
          <w:lang w:eastAsia="en-GB"/>
        </w:rPr>
        <w:noBreakHyphen/>
        <w:t>makers highlighted dramatically the urgency of addressing climate change</w:t>
      </w:r>
      <w:r>
        <w:rPr>
          <w:rStyle w:val="FootnoteReference"/>
          <w:rFonts w:eastAsia="Calibri"/>
          <w:noProof/>
          <w:sz w:val="24"/>
          <w:szCs w:val="24"/>
        </w:rPr>
        <w:footnoteReference w:id="9"/>
      </w:r>
      <w:r>
        <w:rPr>
          <w:rFonts w:ascii="Times New Roman" w:eastAsia="Times New Roman" w:hAnsi="Times New Roman" w:cs="Times New Roman"/>
          <w:noProof/>
          <w:sz w:val="24"/>
          <w:szCs w:val="24"/>
          <w:lang w:eastAsia="en-GB"/>
        </w:rPr>
        <w:t>. The Commission continued to implement the EU’s energy and climate commitments in line with the 2015 Paris Agreement on Climate Change and the United Nations sustainable development goals (SDGs)</w:t>
      </w:r>
      <w:r>
        <w:rPr>
          <w:rStyle w:val="FootnoteReference"/>
          <w:rFonts w:eastAsia="Calibri"/>
          <w:noProof/>
          <w:sz w:val="24"/>
          <w:szCs w:val="24"/>
        </w:rPr>
        <w:footnoteReference w:id="10"/>
      </w:r>
      <w:r>
        <w:rPr>
          <w:rFonts w:ascii="Times New Roman" w:eastAsia="Times New Roman" w:hAnsi="Times New Roman" w:cs="Times New Roman"/>
          <w:noProof/>
          <w:sz w:val="24"/>
          <w:szCs w:val="24"/>
          <w:lang w:eastAsia="en-GB"/>
        </w:rPr>
        <w:t>. Therefore, the Commission implemented the legislation necessary to reach the EU’s nationally determined contribution to reduce greenhouse gas emissions by 40% by 2030 (compared to 1990). Furthermore, the European Commission presented in November 2018 its vision  for achieving net-zero greenhouse gas emissions by 2050</w:t>
      </w:r>
      <w:r>
        <w:rPr>
          <w:rStyle w:val="FootnoteReference"/>
          <w:rFonts w:eastAsiaTheme="minorHAnsi"/>
          <w:noProof/>
        </w:rPr>
        <w:footnoteReference w:id="11"/>
      </w:r>
      <w:r>
        <w:rPr>
          <w:rFonts w:ascii="Times New Roman" w:eastAsia="Times New Roman" w:hAnsi="Times New Roman" w:cs="Times New Roman"/>
          <w:noProof/>
          <w:sz w:val="24"/>
          <w:szCs w:val="24"/>
          <w:lang w:eastAsia="en-GB"/>
        </w:rPr>
        <w:t>. The long-term strategy outlines the technological, economic and societal transformations required to achieve climate neutrality, and ensuring a socially fair transition This level of commitment should underpin the EU’s global leadership</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en-GB"/>
        </w:rPr>
        <w:t>in this area, consistent with the influential role advocated by President Juncker in his 2018 ‘state of the Union’ address.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3.</w:t>
      </w:r>
      <w:r>
        <w:rPr>
          <w:rFonts w:ascii="Times New Roman" w:eastAsia="Times New Roman" w:hAnsi="Times New Roman" w:cs="Times New Roman"/>
          <w:b/>
          <w:smallCaps/>
          <w:noProof/>
          <w:sz w:val="24"/>
          <w:szCs w:val="24"/>
          <w:lang w:eastAsia="en-GB"/>
        </w:rPr>
        <w:tab/>
        <w:t>Policy framework</w:t>
      </w:r>
    </w:p>
    <w:p>
      <w:pPr>
        <w:spacing w:after="240"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Horizon Europe</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7 June, the Commission adopted its proposals for </w:t>
      </w:r>
      <w:r>
        <w:rPr>
          <w:rFonts w:ascii="Times New Roman" w:eastAsia="Times New Roman" w:hAnsi="Times New Roman" w:cs="Times New Roman"/>
          <w:b/>
          <w:noProof/>
          <w:sz w:val="24"/>
          <w:szCs w:val="24"/>
          <w:lang w:eastAsia="en-GB"/>
        </w:rPr>
        <w:t>Horizon Europe</w:t>
      </w:r>
      <w:r>
        <w:rPr>
          <w:rFonts w:ascii="Times New Roman" w:eastAsia="Times New Roman" w:hAnsi="Times New Roman" w:cs="Times New Roman"/>
          <w:noProof/>
          <w:sz w:val="24"/>
          <w:szCs w:val="24"/>
          <w:lang w:eastAsia="en-GB"/>
        </w:rPr>
        <w:t xml:space="preserve">, the R&amp;I policy framework for 2021-2027 (the period of the next multiannual financial framework). The legislative package consists of proposals for: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Regulation establishing Horizon Europe and laying down the rules for participation;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Decision for a specific programme implementing Horizon Europe; and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Regulation establishing the research and training programme of the European Atomic Energy Community (Euratom) for 2021-2025.</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package seeks to simplify the rules further, while ensuring continuity, e.g. the key principles of EU R&amp;I framework programmes (excellence, impact and openness) will continue to apply. It was drawn up on the basis of extensive consultations with stakeholders and public figures, and other important input, such as </w:t>
      </w:r>
      <w:r>
        <w:rPr>
          <w:rFonts w:ascii="Times New Roman" w:eastAsia="Times New Roman" w:hAnsi="Times New Roman" w:cs="Times New Roman"/>
          <w:i/>
          <w:noProof/>
          <w:sz w:val="24"/>
          <w:szCs w:val="24"/>
          <w:lang w:eastAsia="en-GB"/>
        </w:rPr>
        <w:t>LAB FAB APP – Investing in the European future we want</w:t>
      </w:r>
      <w:r>
        <w:rPr>
          <w:rFonts w:ascii="Times New Roman" w:eastAsia="Times New Roman" w:hAnsi="Times New Roman" w:cs="Times New Roman"/>
          <w:noProof/>
          <w:sz w:val="24"/>
          <w:szCs w:val="24"/>
          <w:vertAlign w:val="superscript"/>
        </w:rPr>
        <w:footnoteReference w:id="12"/>
      </w:r>
      <w:r>
        <w:rPr>
          <w:rFonts w:ascii="Times New Roman" w:eastAsia="Times New Roman" w:hAnsi="Times New Roman" w:cs="Times New Roman"/>
          <w:noProof/>
          <w:sz w:val="24"/>
          <w:szCs w:val="24"/>
          <w:lang w:eastAsia="en-GB"/>
        </w:rPr>
        <w:t>, the report from the independent high</w:t>
      </w:r>
      <w:r>
        <w:rPr>
          <w:rFonts w:ascii="Times New Roman" w:eastAsia="Times New Roman" w:hAnsi="Times New Roman" w:cs="Times New Roman"/>
          <w:noProof/>
          <w:sz w:val="24"/>
          <w:szCs w:val="24"/>
          <w:lang w:eastAsia="en-GB"/>
        </w:rPr>
        <w:noBreakHyphen/>
        <w:t>level group on maximising the impact of EU R&amp;I programmes (chaired by Pascal Lamy).</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By the end of 2018, the Competitiveness Council had agreed a partial general approach on the main Regulation</w:t>
      </w:r>
      <w:r>
        <w:rPr>
          <w:rStyle w:val="FootnoteReference"/>
          <w:rFonts w:eastAsia="Calibri"/>
          <w:noProof/>
          <w:sz w:val="24"/>
          <w:szCs w:val="24"/>
        </w:rPr>
        <w:footnoteReference w:id="13"/>
      </w:r>
      <w:r>
        <w:rPr>
          <w:rFonts w:ascii="Times New Roman" w:eastAsia="Times New Roman" w:hAnsi="Times New Roman" w:cs="Times New Roman"/>
          <w:noProof/>
          <w:sz w:val="24"/>
          <w:szCs w:val="24"/>
          <w:lang w:eastAsia="en-GB"/>
        </w:rPr>
        <w:t xml:space="preserve"> and the European Parliament</w:t>
      </w:r>
      <w:r>
        <w:rPr>
          <w:rStyle w:val="FootnoteReference"/>
          <w:rFonts w:eastAsia="Calibri"/>
          <w:noProof/>
          <w:sz w:val="24"/>
          <w:szCs w:val="24"/>
        </w:rPr>
        <w:footnoteReference w:id="14"/>
      </w:r>
      <w:r>
        <w:rPr>
          <w:rFonts w:ascii="Times New Roman" w:eastAsia="Times New Roman" w:hAnsi="Times New Roman" w:cs="Times New Roman"/>
          <w:noProof/>
          <w:sz w:val="24"/>
          <w:szCs w:val="24"/>
          <w:lang w:eastAsia="en-GB"/>
        </w:rPr>
        <w:t xml:space="preserve"> had endorsed in plenary a report on the package from its Industry, Research and Energy (ITRE) Committee.</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Commission’s proposals are structured around three pillars: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open science;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global challenges and industrial competitiveness; and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open innovation.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will be an additional part on strengthening the European Research Area (ERA).</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Reflecting the importance of tackling climate change in line with the Union's commitments to implement the Paris Agreement and the SDGs, Horizon Europe has a climate mainstreaming target of at least 35% of the overall financial envelope.</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regards the openness of programming, a</w:t>
      </w:r>
      <w:r>
        <w:rPr>
          <w:rFonts w:ascii="Times New Roman" w:eastAsia="Times New Roman" w:hAnsi="Times New Roman" w:cs="Times New Roman"/>
          <w:b/>
          <w:noProof/>
          <w:sz w:val="24"/>
          <w:szCs w:val="24"/>
          <w:lang w:eastAsia="en-GB"/>
        </w:rPr>
        <w:t xml:space="preserve"> strategic planning process</w:t>
      </w:r>
      <w:r>
        <w:rPr>
          <w:rFonts w:ascii="Times New Roman" w:eastAsia="Times New Roman" w:hAnsi="Times New Roman" w:cs="Times New Roman"/>
          <w:noProof/>
          <w:sz w:val="24"/>
          <w:szCs w:val="24"/>
          <w:lang w:eastAsia="en-GB"/>
        </w:rPr>
        <w:t xml:space="preserve"> has been proposed, which will provide multiannual strategic orientationsbased on a co-design approach with Member States and stakeholders. This inclusive process will also favour synergy with other EU programmes and policies, and ongoing dialogue with civil society.</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second pillar (‘global challenges and industrial competitiveness’) will involve the launch of a limited number of ‘</w:t>
      </w:r>
      <w:r>
        <w:rPr>
          <w:rFonts w:ascii="Times New Roman" w:eastAsia="Times New Roman" w:hAnsi="Times New Roman" w:cs="Times New Roman"/>
          <w:b/>
          <w:noProof/>
          <w:sz w:val="24"/>
          <w:szCs w:val="24"/>
          <w:lang w:eastAsia="en-GB"/>
        </w:rPr>
        <w:t>missions</w:t>
      </w:r>
      <w:r>
        <w:rPr>
          <w:rFonts w:ascii="Times New Roman" w:eastAsia="Times New Roman" w:hAnsi="Times New Roman" w:cs="Times New Roman"/>
          <w:noProof/>
          <w:sz w:val="24"/>
          <w:szCs w:val="24"/>
          <w:lang w:eastAsia="en-GB"/>
        </w:rPr>
        <w:t>’ co-designed with end-users and based on a cross</w:t>
      </w:r>
      <w:r>
        <w:rPr>
          <w:rFonts w:ascii="Times New Roman" w:eastAsia="Times New Roman" w:hAnsi="Times New Roman" w:cs="Times New Roman"/>
          <w:noProof/>
          <w:sz w:val="24"/>
          <w:szCs w:val="24"/>
          <w:lang w:eastAsia="en-GB"/>
        </w:rPr>
        <w:noBreakHyphen/>
        <w:t>sectoral, cross</w:t>
      </w:r>
      <w:r>
        <w:rPr>
          <w:rFonts w:ascii="Times New Roman" w:eastAsia="Times New Roman" w:hAnsi="Times New Roman" w:cs="Times New Roman"/>
          <w:noProof/>
          <w:sz w:val="24"/>
          <w:szCs w:val="24"/>
          <w:lang w:eastAsia="en-GB"/>
        </w:rPr>
        <w:noBreakHyphen/>
        <w:t xml:space="preserve">disciplinary pattern and clear objectives from inception. Inspired by the report </w:t>
      </w:r>
      <w:r>
        <w:rPr>
          <w:rFonts w:ascii="Times New Roman" w:eastAsia="Times New Roman" w:hAnsi="Times New Roman" w:cs="Times New Roman"/>
          <w:i/>
          <w:noProof/>
          <w:sz w:val="24"/>
          <w:szCs w:val="24"/>
          <w:lang w:eastAsia="en-GB"/>
        </w:rPr>
        <w:t>Missions: Mission-oriented research &amp; innovation in the European Union</w:t>
      </w:r>
      <w:r>
        <w:rPr>
          <w:rStyle w:val="FootnoteReference"/>
          <w:rFonts w:eastAsia="Calibri"/>
          <w:noProof/>
          <w:sz w:val="24"/>
          <w:szCs w:val="24"/>
        </w:rPr>
        <w:footnoteReference w:id="15"/>
      </w:r>
      <w:r>
        <w:rPr>
          <w:rFonts w:ascii="Times New Roman" w:eastAsia="Times New Roman" w:hAnsi="Times New Roman" w:cs="Times New Roman"/>
          <w:noProof/>
          <w:sz w:val="24"/>
          <w:szCs w:val="24"/>
          <w:lang w:eastAsia="en-GB"/>
        </w:rPr>
        <w:t>, the mission approach will accentuate the directionality of R&amp;I policy.</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Under the third pillar (‘open innovation’), two complementary instruments will be used to channel </w:t>
      </w:r>
      <w:r>
        <w:rPr>
          <w:rFonts w:ascii="Times New Roman" w:eastAsia="Times New Roman" w:hAnsi="Times New Roman" w:cs="Times New Roman"/>
          <w:b/>
          <w:noProof/>
          <w:sz w:val="24"/>
          <w:szCs w:val="24"/>
          <w:lang w:eastAsia="en-GB"/>
        </w:rPr>
        <w:t>European Innovation Council (EIC)</w:t>
      </w:r>
      <w:r>
        <w:rPr>
          <w:rFonts w:ascii="Times New Roman" w:eastAsia="Times New Roman" w:hAnsi="Times New Roman" w:cs="Times New Roman"/>
          <w:noProof/>
          <w:sz w:val="24"/>
          <w:szCs w:val="24"/>
          <w:lang w:eastAsia="en-GB"/>
        </w:rPr>
        <w:t xml:space="preserve"> support for breakthrough and market</w:t>
      </w:r>
      <w:r>
        <w:rPr>
          <w:rFonts w:ascii="Times New Roman" w:eastAsia="Times New Roman" w:hAnsi="Times New Roman" w:cs="Times New Roman"/>
          <w:noProof/>
          <w:sz w:val="24"/>
          <w:szCs w:val="24"/>
          <w:lang w:eastAsia="en-GB"/>
        </w:rPr>
        <w:noBreakHyphen/>
        <w:t>creating innovations along the continuum from R&amp;I to market deployment and the scaling-up of companies:</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noProof/>
          <w:sz w:val="24"/>
          <w:szCs w:val="24"/>
          <w:u w:val="single"/>
          <w:lang w:eastAsia="en-GB"/>
        </w:rPr>
        <w:t>pathfinder for advanced research</w:t>
      </w:r>
      <w:r>
        <w:rPr>
          <w:rFonts w:ascii="Times New Roman" w:eastAsia="Times New Roman" w:hAnsi="Times New Roman" w:cs="Times New Roman"/>
          <w:noProof/>
          <w:sz w:val="24"/>
          <w:szCs w:val="24"/>
          <w:lang w:eastAsia="en-GB"/>
        </w:rPr>
        <w:t xml:space="preserve"> will support research conducive to transformational change and potential market_creating innovations; and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noProof/>
          <w:sz w:val="24"/>
          <w:szCs w:val="24"/>
          <w:u w:val="single"/>
          <w:lang w:eastAsia="en-GB"/>
        </w:rPr>
        <w:t>accelerator</w:t>
      </w:r>
      <w:r>
        <w:rPr>
          <w:rFonts w:ascii="Times New Roman" w:eastAsia="Times New Roman" w:hAnsi="Times New Roman" w:cs="Times New Roman"/>
          <w:noProof/>
          <w:sz w:val="24"/>
          <w:szCs w:val="24"/>
          <w:lang w:eastAsia="en-GB"/>
        </w:rPr>
        <w:t xml:space="preserve"> will provide tailor</w:t>
      </w:r>
      <w:r>
        <w:rPr>
          <w:rFonts w:ascii="Times New Roman" w:eastAsia="Times New Roman" w:hAnsi="Times New Roman" w:cs="Times New Roman"/>
          <w:noProof/>
          <w:sz w:val="24"/>
          <w:szCs w:val="24"/>
          <w:lang w:eastAsia="en-GB"/>
        </w:rPr>
        <w:noBreakHyphen/>
        <w:t>made blended finance in support of market-creating innovation and the scaling-up of innovative companies.</w:t>
      </w:r>
    </w:p>
    <w:p>
      <w:pPr>
        <w:spacing w:after="240"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European Semester</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part of the European Semester economic policy cycle, the Commission issued reports on each Member State</w:t>
      </w:r>
      <w:r>
        <w:rPr>
          <w:rStyle w:val="FootnoteReference"/>
          <w:rFonts w:eastAsia="Calibri"/>
          <w:noProof/>
          <w:sz w:val="24"/>
          <w:szCs w:val="24"/>
        </w:rPr>
        <w:footnoteReference w:id="16"/>
      </w:r>
      <w:r>
        <w:rPr>
          <w:rFonts w:ascii="Times New Roman" w:eastAsia="Times New Roman" w:hAnsi="Times New Roman" w:cs="Times New Roman"/>
          <w:noProof/>
          <w:sz w:val="24"/>
          <w:szCs w:val="24"/>
          <w:lang w:eastAsia="en-GB"/>
        </w:rPr>
        <w:t>. A total of thirteen Member States received  country</w:t>
      </w:r>
      <w:r>
        <w:rPr>
          <w:rFonts w:ascii="Times New Roman" w:eastAsia="Times New Roman" w:hAnsi="Times New Roman" w:cs="Times New Roman"/>
          <w:noProof/>
          <w:sz w:val="24"/>
          <w:szCs w:val="24"/>
          <w:lang w:eastAsia="en-GB"/>
        </w:rPr>
        <w:noBreakHyphen/>
        <w:t>specific recommendations highlighting challenges related to the quality and efficiency of national R&amp;I systems, with a focus on:</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achieving higher scientific quality, a stronger science base and more impact through public R&amp;I investments;</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improving science-business links; and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removing bottlenecks that affect the business environment and innovation investments.</w:t>
      </w:r>
    </w:p>
    <w:p>
      <w:pPr>
        <w:spacing w:after="24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Open innovation</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first phase of an EIC pilot (see section 4.2) saw support given to a significant number of innovators, with 1,276 projects funded for a total of €731.15 million by the end of the year</w:t>
      </w:r>
      <w:r>
        <w:rPr>
          <w:rStyle w:val="FootnoteReference"/>
          <w:rFonts w:eastAsia="Calibri"/>
          <w:noProof/>
          <w:sz w:val="24"/>
          <w:szCs w:val="24"/>
        </w:rPr>
        <w:footnoteReference w:id="17"/>
      </w:r>
      <w:r>
        <w:rPr>
          <w:rFonts w:ascii="Times New Roman" w:eastAsia="Calibri" w:hAnsi="Times New Roman" w:cs="Times New Roman"/>
          <w:noProof/>
          <w:sz w:val="24"/>
          <w:szCs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took steps to ensure that European innovative businesses had better access to finance, which is a driver of productivity</w:t>
      </w:r>
      <w:r>
        <w:rPr>
          <w:rStyle w:val="FootnoteReference"/>
          <w:rFonts w:eastAsia="Calibri"/>
          <w:noProof/>
          <w:sz w:val="24"/>
          <w:szCs w:val="24"/>
        </w:rPr>
        <w:footnoteReference w:id="18"/>
      </w:r>
      <w:r>
        <w:rPr>
          <w:rFonts w:ascii="Times New Roman" w:eastAsia="Calibri" w:hAnsi="Times New Roman" w:cs="Times New Roman"/>
          <w:noProof/>
          <w:sz w:val="24"/>
          <w:szCs w:val="24"/>
        </w:rPr>
        <w:t>. It launched VentureEU</w:t>
      </w:r>
      <w:r>
        <w:rPr>
          <w:rStyle w:val="FootnoteReference"/>
          <w:rFonts w:eastAsia="Calibri"/>
          <w:noProof/>
          <w:sz w:val="24"/>
          <w:szCs w:val="24"/>
        </w:rPr>
        <w:footnoteReference w:id="19"/>
      </w:r>
      <w:r>
        <w:rPr>
          <w:rFonts w:ascii="Times New Roman" w:eastAsia="Calibri" w:hAnsi="Times New Roman" w:cs="Times New Roman"/>
          <w:noProof/>
          <w:sz w:val="24"/>
          <w:szCs w:val="24"/>
        </w:rPr>
        <w:t>, a pan</w:t>
      </w:r>
      <w:r>
        <w:rPr>
          <w:rFonts w:ascii="Times New Roman" w:eastAsia="Calibri" w:hAnsi="Times New Roman" w:cs="Times New Roman"/>
          <w:noProof/>
          <w:sz w:val="24"/>
          <w:szCs w:val="24"/>
        </w:rPr>
        <w:noBreakHyphen/>
        <w:t>European venture capital fund of funds programme that aims to double the amount of venture capital available in Europe.</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2018 edition of </w:t>
      </w:r>
      <w:r>
        <w:rPr>
          <w:rFonts w:ascii="Times New Roman" w:eastAsia="Calibri" w:hAnsi="Times New Roman" w:cs="Times New Roman"/>
          <w:b/>
          <w:i/>
          <w:noProof/>
          <w:sz w:val="24"/>
          <w:szCs w:val="24"/>
        </w:rPr>
        <w:t>Science research and innovation performance of the EU</w:t>
      </w:r>
      <w:r>
        <w:rPr>
          <w:rStyle w:val="FootnoteReference"/>
          <w:rFonts w:eastAsia="Calibri"/>
          <w:noProof/>
          <w:sz w:val="24"/>
          <w:szCs w:val="24"/>
        </w:rPr>
        <w:footnoteReference w:id="20"/>
      </w:r>
      <w:r>
        <w:rPr>
          <w:rFonts w:ascii="Times New Roman" w:eastAsia="Calibri" w:hAnsi="Times New Roman" w:cs="Times New Roman"/>
          <w:noProof/>
          <w:sz w:val="24"/>
          <w:szCs w:val="24"/>
        </w:rPr>
        <w:t xml:space="preserve"> stressed that the EU’s economic prosperity and social model depend on its ability to create and disseminate innovation. The EU needs to embrace emerging innovations and technologies to overcome a severe productivity problem and sustain economic growth.</w:t>
      </w:r>
    </w:p>
    <w:p>
      <w:pPr>
        <w:spacing w:after="24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Open science</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established governance arrangements for the </w:t>
      </w:r>
      <w:r>
        <w:rPr>
          <w:rFonts w:ascii="Times New Roman" w:eastAsia="Calibri" w:hAnsi="Times New Roman" w:cs="Times New Roman"/>
          <w:b/>
          <w:noProof/>
          <w:sz w:val="24"/>
          <w:szCs w:val="24"/>
        </w:rPr>
        <w:t>European Science Cloud</w:t>
      </w:r>
      <w:r>
        <w:rPr>
          <w:rFonts w:ascii="Times New Roman" w:eastAsia="Calibri" w:hAnsi="Times New Roman" w:cs="Times New Roman"/>
          <w:noProof/>
          <w:sz w:val="24"/>
          <w:szCs w:val="24"/>
        </w:rPr>
        <w:t xml:space="preserve"> (EOSC), which seeks to tap the potential of EU R&amp;I by linking ‘people, data, services and training, publications […] across borders and scientific disciplines’</w:t>
      </w:r>
      <w:r>
        <w:rPr>
          <w:rStyle w:val="FootnoteReference"/>
          <w:rFonts w:eastAsia="Calibri"/>
          <w:noProof/>
          <w:sz w:val="24"/>
          <w:szCs w:val="24"/>
        </w:rPr>
        <w:footnoteReference w:id="21"/>
      </w:r>
      <w:r>
        <w:rPr>
          <w:rFonts w:ascii="Times New Roman" w:eastAsia="Calibri" w:hAnsi="Times New Roman" w:cs="Times New Roman"/>
          <w:noProof/>
          <w:sz w:val="24"/>
          <w:szCs w:val="24"/>
        </w:rPr>
        <w:t xml:space="preserve">. It convened the first meeting of the EOSC board, composed of Member State and associated countries’ representatives.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light of technological and institutional developments, the Commission updated its </w:t>
      </w:r>
      <w:r>
        <w:rPr>
          <w:rFonts w:ascii="Times New Roman" w:eastAsia="Calibri" w:hAnsi="Times New Roman" w:cs="Times New Roman"/>
          <w:b/>
          <w:noProof/>
          <w:sz w:val="24"/>
          <w:szCs w:val="24"/>
        </w:rPr>
        <w:t>Recommendation on access to and the preservation of scientific information</w:t>
      </w:r>
      <w:r>
        <w:rPr>
          <w:rStyle w:val="FootnoteReference"/>
          <w:rFonts w:eastAsia="Calibri"/>
          <w:noProof/>
          <w:sz w:val="24"/>
          <w:szCs w:val="24"/>
        </w:rPr>
        <w:footnoteReference w:id="22"/>
      </w:r>
      <w:r>
        <w:rPr>
          <w:rFonts w:ascii="Times New Roman" w:eastAsia="Calibri" w:hAnsi="Times New Roman" w:cs="Times New Roman"/>
          <w:noProof/>
          <w:sz w:val="24"/>
          <w:szCs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order to speed up the transition to open access, it worked with national funding agencies to support the implementation of </w:t>
      </w:r>
      <w:r>
        <w:rPr>
          <w:rFonts w:ascii="Times New Roman" w:eastAsia="Calibri" w:hAnsi="Times New Roman" w:cs="Times New Roman"/>
          <w:b/>
          <w:noProof/>
          <w:sz w:val="24"/>
          <w:szCs w:val="24"/>
        </w:rPr>
        <w:t>Plan S</w:t>
      </w:r>
      <w:r>
        <w:rPr>
          <w:rStyle w:val="FootnoteReference"/>
          <w:rFonts w:eastAsia="Calibri"/>
          <w:noProof/>
          <w:sz w:val="24"/>
          <w:szCs w:val="24"/>
        </w:rPr>
        <w:footnoteReference w:id="23"/>
      </w:r>
      <w:r>
        <w:rPr>
          <w:rFonts w:ascii="Times New Roman" w:eastAsia="Calibri" w:hAnsi="Times New Roman" w:cs="Times New Roman"/>
          <w:noProof/>
          <w:sz w:val="24"/>
          <w:szCs w:val="24"/>
        </w:rPr>
        <w:t xml:space="preserve">. </w:t>
      </w:r>
    </w:p>
    <w:p>
      <w:pPr>
        <w:spacing w:after="24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Open to the world</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International cooperation in R&amp;I has enhanced the EU’s influence as a global actor, in a context in which growing attention is being paid to science diplomacy.</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Horizon 2020 continued to support operational and scientific work by the Intergovernmental Science-Policy Platform on Biodiversity and Ecosystem Services</w:t>
      </w:r>
      <w:r>
        <w:rPr>
          <w:rFonts w:ascii="Times New Roman" w:eastAsia="Calibri" w:hAnsi="Times New Roman" w:cs="Times New Roman"/>
          <w:noProof/>
          <w:color w:val="0000FF"/>
          <w:sz w:val="24"/>
          <w:szCs w:val="24"/>
        </w:rPr>
        <w:t xml:space="preserve"> </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IPBES</w:t>
      </w:r>
      <w:r>
        <w:rPr>
          <w:rFonts w:ascii="Times New Roman" w:eastAsia="Times New Roman" w:hAnsi="Times New Roman" w:cs="Times New Roman"/>
          <w:noProof/>
          <w:sz w:val="24"/>
          <w:szCs w:val="24"/>
          <w:lang w:eastAsia="en-GB"/>
        </w:rPr>
        <w:t>) and the Intergovernmental Panel on Climate Change (</w:t>
      </w:r>
      <w:r>
        <w:rPr>
          <w:rFonts w:ascii="Times New Roman" w:eastAsia="Times New Roman" w:hAnsi="Times New Roman" w:cs="Times New Roman"/>
          <w:b/>
          <w:noProof/>
          <w:sz w:val="24"/>
          <w:szCs w:val="24"/>
          <w:lang w:eastAsia="en-GB"/>
        </w:rPr>
        <w:t>IPCC)</w:t>
      </w:r>
      <w:r>
        <w:rPr>
          <w:rFonts w:ascii="Times New Roman" w:eastAsia="Times New Roman" w:hAnsi="Times New Roman" w:cs="Times New Roman"/>
          <w:noProof/>
          <w:sz w:val="24"/>
          <w:szCs w:val="24"/>
          <w:lang w:eastAsia="en-GB"/>
        </w:rPr>
        <w:t>. Dedicated Horizon 2020 calls support the creation of additional scientific knowledge</w:t>
      </w:r>
      <w:r>
        <w:rPr>
          <w:rStyle w:val="FootnoteReference"/>
          <w:rFonts w:eastAsia="Calibri"/>
          <w:noProof/>
          <w:sz w:val="24"/>
          <w:szCs w:val="24"/>
        </w:rPr>
        <w:footnoteReference w:id="24"/>
      </w:r>
      <w:r>
        <w:rPr>
          <w:rFonts w:ascii="Times New Roman" w:eastAsia="Times New Roman" w:hAnsi="Times New Roman" w:cs="Times New Roman"/>
          <w:noProof/>
          <w:sz w:val="24"/>
          <w:szCs w:val="24"/>
          <w:lang w:eastAsia="en-GB"/>
        </w:rPr>
        <w:t xml:space="preserve"> as well as the functioning of these bodies, thus promoting multilateralism.</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Together with Germany and Finland, the Commission co-organised the</w:t>
      </w:r>
      <w:r>
        <w:rPr>
          <w:rFonts w:ascii="Times New Roman" w:eastAsia="Times New Roman" w:hAnsi="Times New Roman" w:cs="Times New Roman"/>
          <w:b/>
          <w:noProof/>
          <w:sz w:val="24"/>
          <w:szCs w:val="24"/>
          <w:lang w:eastAsia="en-GB"/>
        </w:rPr>
        <w:t xml:space="preserve"> second Arctic science ministerial</w:t>
      </w:r>
      <w:r>
        <w:rPr>
          <w:rStyle w:val="FootnoteReference"/>
          <w:rFonts w:eastAsia="Calibri"/>
          <w:noProof/>
          <w:sz w:val="24"/>
          <w:szCs w:val="24"/>
        </w:rPr>
        <w:footnoteReference w:id="25"/>
      </w:r>
      <w:r>
        <w:rPr>
          <w:rFonts w:ascii="Times New Roman" w:eastAsia="Times New Roman" w:hAnsi="Times New Roman" w:cs="Times New Roman"/>
          <w:noProof/>
          <w:sz w:val="24"/>
          <w:szCs w:val="24"/>
          <w:lang w:eastAsia="en-GB"/>
        </w:rPr>
        <w:t>, which culminated in the adoption of a joint statement by the EU, 23 countries and six indigenous people’s organisations</w:t>
      </w:r>
      <w:r>
        <w:rPr>
          <w:rStyle w:val="FootnoteReference"/>
          <w:rFonts w:eastAsia="Calibri"/>
          <w:noProof/>
          <w:sz w:val="24"/>
          <w:szCs w:val="24"/>
        </w:rPr>
        <w:footnoteReference w:id="26"/>
      </w:r>
      <w:r>
        <w:rPr>
          <w:rFonts w:ascii="Times New Roman" w:eastAsia="Times New Roman" w:hAnsi="Times New Roman" w:cs="Times New Roman"/>
          <w:noProof/>
          <w:sz w:val="24"/>
          <w:szCs w:val="24"/>
          <w:lang w:eastAsia="en-GB"/>
        </w:rPr>
        <w:t xml:space="preserve">.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line with the EU’s longstanding commitment to </w:t>
      </w:r>
      <w:r>
        <w:rPr>
          <w:rFonts w:ascii="Times New Roman" w:eastAsia="Times New Roman" w:hAnsi="Times New Roman" w:cs="Times New Roman"/>
          <w:b/>
          <w:noProof/>
          <w:sz w:val="24"/>
          <w:szCs w:val="24"/>
          <w:lang w:eastAsia="en-GB"/>
        </w:rPr>
        <w:t xml:space="preserve">Atlantic Ocean </w:t>
      </w:r>
      <w:r>
        <w:rPr>
          <w:rFonts w:ascii="Times New Roman" w:eastAsia="Times New Roman" w:hAnsi="Times New Roman" w:cs="Times New Roman"/>
          <w:noProof/>
          <w:sz w:val="24"/>
          <w:szCs w:val="24"/>
          <w:lang w:eastAsia="en-GB"/>
        </w:rPr>
        <w:t>R&amp;I cooperation, the Commission signed cooperation agreements with Argentina and Cape Verde to strengthen and enhance R&amp;I cooperation on ‘blue growth’ and tackle the challenges linked to the Atlantic, including ocean observation, food security, polar research and climate variability.</w:t>
      </w:r>
    </w:p>
    <w:p>
      <w:pPr>
        <w:spacing w:after="24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Other policy measures</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published two milestone Communications on global R&amp;I</w:t>
      </w:r>
      <w:r>
        <w:rPr>
          <w:rFonts w:ascii="Times New Roman" w:eastAsia="Times New Roman" w:hAnsi="Times New Roman" w:cs="Times New Roman"/>
          <w:noProof/>
          <w:sz w:val="24"/>
          <w:szCs w:val="24"/>
          <w:lang w:eastAsia="en-GB"/>
        </w:rPr>
        <w:noBreakHyphen/>
        <w:t>related challenges:</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A sustainable bioeconomy for Europe: strengthening the connection between economy, society and the environment</w:t>
      </w:r>
      <w:r>
        <w:rPr>
          <w:rStyle w:val="FootnoteReference"/>
          <w:rFonts w:eastAsia="Calibri"/>
          <w:noProof/>
          <w:sz w:val="24"/>
          <w:szCs w:val="24"/>
        </w:rPr>
        <w:footnoteReference w:id="27"/>
      </w:r>
      <w:r>
        <w:rPr>
          <w:rFonts w:ascii="Times New Roman" w:eastAsia="Times New Roman" w:hAnsi="Times New Roman" w:cs="Times New Roman"/>
          <w:noProof/>
          <w:sz w:val="24"/>
          <w:szCs w:val="24"/>
          <w:lang w:eastAsia="en-GB"/>
        </w:rPr>
        <w:t xml:space="preserve"> updated the EU’s bioeconomy strategy. R&amp;I will continue to play a key role across three sets of actions to be launched from 2019: </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strengthening and scaling up the bio-based sectors; </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deploying local bioeconomies across Europe; and </w:t>
      </w:r>
    </w:p>
    <w:p>
      <w:pPr>
        <w:pStyle w:val="ListParagraph"/>
        <w:numPr>
          <w:ilvl w:val="1"/>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understanding the ecological boundaries of the bioeconomy; and</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A clean planet for all: a European strategic long term vision for a prosperous, modern, competitive and climate neutral economy</w:t>
      </w:r>
      <w:r>
        <w:rPr>
          <w:rStyle w:val="FootnoteReference"/>
          <w:rFonts w:eastAsia="Calibri"/>
          <w:noProof/>
          <w:sz w:val="24"/>
          <w:szCs w:val="24"/>
        </w:rPr>
        <w:footnoteReference w:id="28"/>
      </w:r>
      <w:r>
        <w:rPr>
          <w:rFonts w:ascii="Times New Roman" w:eastAsia="Times New Roman" w:hAnsi="Times New Roman" w:cs="Times New Roman"/>
          <w:noProof/>
          <w:sz w:val="24"/>
          <w:szCs w:val="24"/>
          <w:lang w:eastAsia="en-GB"/>
        </w:rPr>
        <w:t xml:space="preserve"> sets out how the EU has started to implement the transformation needed to achieve a climate</w:t>
      </w:r>
      <w:r>
        <w:rPr>
          <w:rFonts w:ascii="Times New Roman" w:eastAsia="Times New Roman" w:hAnsi="Times New Roman" w:cs="Times New Roman"/>
          <w:noProof/>
          <w:sz w:val="24"/>
          <w:szCs w:val="24"/>
          <w:lang w:eastAsia="en-GB"/>
        </w:rPr>
        <w:noBreakHyphen/>
        <w:t>neutral economy and outlines seven concrete successful pathways. It also highlights the importance of harnessing finance and R&amp;I deployment to support the wide range of activities needed to make the climate</w:t>
      </w:r>
      <w:r>
        <w:rPr>
          <w:rFonts w:ascii="Times New Roman" w:eastAsia="Times New Roman" w:hAnsi="Times New Roman" w:cs="Times New Roman"/>
          <w:noProof/>
          <w:sz w:val="24"/>
          <w:szCs w:val="24"/>
          <w:lang w:eastAsia="en-GB"/>
        </w:rPr>
        <w:noBreakHyphen/>
        <w:t xml:space="preserve">neutral economy a reality.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Work continued to implement the 20 policy measures set out in the Communication on </w:t>
      </w:r>
      <w:r>
        <w:rPr>
          <w:rFonts w:ascii="Times New Roman" w:eastAsia="Times New Roman" w:hAnsi="Times New Roman" w:cs="Times New Roman"/>
          <w:i/>
          <w:noProof/>
          <w:sz w:val="24"/>
          <w:szCs w:val="24"/>
          <w:lang w:eastAsia="en-GB"/>
        </w:rPr>
        <w:t>Accelerating clean energy innovation</w:t>
      </w:r>
      <w:r>
        <w:rPr>
          <w:rStyle w:val="FootnoteReference"/>
          <w:rFonts w:eastAsia="Calibri"/>
          <w:noProof/>
          <w:sz w:val="24"/>
          <w:szCs w:val="24"/>
        </w:rPr>
        <w:footnoteReference w:id="29"/>
      </w:r>
      <w:r>
        <w:rPr>
          <w:rFonts w:ascii="Times New Roman" w:eastAsia="Times New Roman" w:hAnsi="Times New Roman" w:cs="Times New Roman"/>
          <w:noProof/>
          <w:sz w:val="24"/>
          <w:szCs w:val="24"/>
          <w:lang w:eastAsia="en-GB"/>
        </w:rPr>
        <w:t>, which contribute through R&amp;I to achieving the objectives of the Energy Union.</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high-level strategy group on industrial technologies published its policy approach to key enabling technologies (KETs)</w:t>
      </w:r>
      <w:r>
        <w:rPr>
          <w:rStyle w:val="FootnoteReference"/>
          <w:rFonts w:eastAsia="Calibri"/>
          <w:noProof/>
          <w:sz w:val="24"/>
          <w:szCs w:val="24"/>
        </w:rPr>
        <w:footnoteReference w:id="30"/>
      </w:r>
      <w:r>
        <w:rPr>
          <w:rFonts w:ascii="Times New Roman" w:eastAsia="Times New Roman" w:hAnsi="Times New Roman" w:cs="Times New Roman"/>
          <w:noProof/>
          <w:sz w:val="24"/>
          <w:szCs w:val="24"/>
          <w:lang w:eastAsia="en-GB"/>
        </w:rPr>
        <w:t xml:space="preserve">, validating the six KETs identified in 2009 and suggesting the inclusion of two new KETs: </w:t>
      </w:r>
    </w:p>
    <w:p>
      <w:pPr>
        <w:pStyle w:val="ListParagraph"/>
        <w:numPr>
          <w:ilvl w:val="0"/>
          <w:numId w:val="5"/>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artificial intelligence; and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digital security and connectivity.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Group of Chief Scientific Advisors (GCSA – the successor group to the Scientific Advice Mechanism High</w:t>
      </w:r>
      <w:r>
        <w:rPr>
          <w:rFonts w:ascii="Times New Roman" w:eastAsia="Times New Roman" w:hAnsi="Times New Roman" w:cs="Times New Roman"/>
          <w:noProof/>
          <w:sz w:val="24"/>
          <w:szCs w:val="24"/>
          <w:lang w:eastAsia="en-GB"/>
        </w:rPr>
        <w:noBreakHyphen/>
        <w:t>Level Group (SAM HLG)</w:t>
      </w:r>
      <w:r>
        <w:rPr>
          <w:rStyle w:val="FootnoteReference"/>
          <w:rFonts w:eastAsia="Calibri"/>
          <w:noProof/>
          <w:sz w:val="24"/>
          <w:szCs w:val="24"/>
        </w:rPr>
        <w:footnoteReference w:id="31"/>
      </w:r>
      <w:r>
        <w:rPr>
          <w:rFonts w:ascii="Times New Roman" w:eastAsia="Times New Roman" w:hAnsi="Times New Roman" w:cs="Times New Roman"/>
          <w:noProof/>
          <w:sz w:val="24"/>
          <w:szCs w:val="24"/>
          <w:lang w:eastAsia="en-GB"/>
        </w:rPr>
        <w:t xml:space="preserve">) delivered an important scientific opinion on </w:t>
      </w:r>
      <w:r>
        <w:rPr>
          <w:rFonts w:ascii="Times New Roman" w:eastAsia="Times New Roman" w:hAnsi="Times New Roman" w:cs="Times New Roman"/>
          <w:i/>
          <w:noProof/>
          <w:sz w:val="24"/>
          <w:szCs w:val="24"/>
          <w:lang w:eastAsia="en-GB"/>
        </w:rPr>
        <w:t>Novel carbon capture and utilisation technologies</w:t>
      </w:r>
      <w:r>
        <w:rPr>
          <w:rStyle w:val="FootnoteReference"/>
          <w:rFonts w:eastAsia="Calibri"/>
          <w:noProof/>
          <w:sz w:val="24"/>
          <w:szCs w:val="24"/>
        </w:rPr>
        <w:footnoteReference w:id="32"/>
      </w:r>
      <w:r>
        <w:rPr>
          <w:rFonts w:ascii="Times New Roman" w:eastAsia="Times New Roman" w:hAnsi="Times New Roman" w:cs="Times New Roman"/>
          <w:noProof/>
          <w:sz w:val="24"/>
          <w:szCs w:val="24"/>
          <w:lang w:eastAsia="en-GB"/>
        </w:rPr>
        <w:t xml:space="preserve"> and issued guidance on sensitive regulatory challenges, such as gene</w:t>
      </w:r>
      <w:r>
        <w:rPr>
          <w:rFonts w:ascii="Times New Roman" w:eastAsia="Times New Roman" w:hAnsi="Times New Roman" w:cs="Times New Roman"/>
          <w:noProof/>
          <w:sz w:val="24"/>
          <w:szCs w:val="24"/>
          <w:lang w:eastAsia="en-GB"/>
        </w:rPr>
        <w:noBreakHyphen/>
        <w:t>editing</w:t>
      </w:r>
      <w:r>
        <w:rPr>
          <w:rStyle w:val="FootnoteReference"/>
          <w:rFonts w:eastAsia="Calibri"/>
          <w:noProof/>
          <w:sz w:val="24"/>
          <w:szCs w:val="24"/>
        </w:rPr>
        <w:footnoteReference w:id="33"/>
      </w:r>
      <w:r>
        <w:rPr>
          <w:rFonts w:ascii="Times New Roman" w:eastAsia="Times New Roman" w:hAnsi="Times New Roman" w:cs="Times New Roman"/>
          <w:noProof/>
          <w:sz w:val="24"/>
          <w:szCs w:val="24"/>
          <w:lang w:eastAsia="en-GB"/>
        </w:rPr>
        <w:t>. It also interacted directly with the general public</w:t>
      </w:r>
      <w:r>
        <w:rPr>
          <w:rFonts w:eastAsia="Calibri"/>
          <w:noProof/>
          <w:sz w:val="24"/>
          <w:szCs w:val="24"/>
        </w:rPr>
        <w:t>.</w:t>
      </w:r>
      <w:r>
        <w:rPr>
          <w:rFonts w:ascii="Times New Roman" w:eastAsia="Times New Roman" w:hAnsi="Times New Roman" w:cs="Times New Roman"/>
          <w:noProof/>
          <w:sz w:val="24"/>
          <w:szCs w:val="24"/>
          <w:lang w:eastAsia="en-GB"/>
        </w:rPr>
        <w:t xml:space="preserve">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Other high-level initiatives addressing important cross</w:t>
      </w:r>
      <w:r>
        <w:rPr>
          <w:rFonts w:ascii="Times New Roman" w:eastAsia="Times New Roman" w:hAnsi="Times New Roman" w:cs="Times New Roman"/>
          <w:noProof/>
          <w:sz w:val="24"/>
          <w:szCs w:val="24"/>
          <w:lang w:eastAsia="en-GB"/>
        </w:rPr>
        <w:noBreakHyphen/>
        <w:t>cutting policy priorities included the European Battery</w:t>
      </w:r>
      <w:r>
        <w:rPr>
          <w:rStyle w:val="FootnoteReference"/>
          <w:rFonts w:eastAsiaTheme="minorHAnsi"/>
          <w:noProof/>
        </w:rPr>
        <w:footnoteReference w:id="34"/>
      </w:r>
      <w:r>
        <w:rPr>
          <w:rFonts w:ascii="Times New Roman" w:eastAsia="Times New Roman" w:hAnsi="Times New Roman" w:cs="Times New Roman"/>
          <w:noProof/>
          <w:sz w:val="24"/>
          <w:szCs w:val="24"/>
          <w:lang w:eastAsia="en-GB"/>
        </w:rPr>
        <w:t xml:space="preserve"> and the Communications</w:t>
      </w:r>
      <w:r>
        <w:rPr>
          <w:rFonts w:ascii="Times New Roman" w:eastAsia="Times New Roman" w:hAnsi="Times New Roman" w:cs="Times New Roman"/>
          <w:i/>
          <w:noProof/>
          <w:sz w:val="24"/>
          <w:szCs w:val="24"/>
          <w:lang w:eastAsia="en-GB"/>
        </w:rPr>
        <w:t xml:space="preserve"> On the road to automated mobility: an EU strategy for mobility of the future</w:t>
      </w:r>
      <w:r>
        <w:rPr>
          <w:rStyle w:val="FootnoteReference"/>
          <w:rFonts w:eastAsia="Calibri"/>
          <w:noProof/>
          <w:sz w:val="24"/>
          <w:szCs w:val="24"/>
        </w:rPr>
        <w:footnoteReference w:id="35"/>
      </w:r>
      <w:r>
        <w:rPr>
          <w:rFonts w:ascii="Times New Roman" w:eastAsia="Times New Roman" w:hAnsi="Times New Roman" w:cs="Times New Roman"/>
          <w:noProof/>
          <w:sz w:val="24"/>
          <w:szCs w:val="24"/>
          <w:lang w:eastAsia="en-GB"/>
        </w:rPr>
        <w:t xml:space="preserve"> and </w:t>
      </w:r>
      <w:r>
        <w:rPr>
          <w:rFonts w:ascii="Times New Roman" w:eastAsia="Times New Roman" w:hAnsi="Times New Roman" w:cs="Times New Roman"/>
          <w:i/>
          <w:noProof/>
          <w:sz w:val="24"/>
          <w:szCs w:val="24"/>
          <w:lang w:eastAsia="en-GB"/>
        </w:rPr>
        <w:t>Endocrine disruptors</w:t>
      </w:r>
      <w:r>
        <w:rPr>
          <w:rStyle w:val="FootnoteReference"/>
          <w:rFonts w:eastAsiaTheme="minorHAnsi"/>
          <w:i/>
          <w:noProof/>
        </w:rPr>
        <w:footnoteReference w:id="36"/>
      </w:r>
      <w:r>
        <w:rPr>
          <w:rFonts w:ascii="Times New Roman" w:eastAsia="Times New Roman" w:hAnsi="Times New Roman" w:cs="Times New Roman"/>
          <w:noProof/>
          <w:sz w:val="24"/>
          <w:szCs w:val="24"/>
          <w:lang w:eastAsia="en-GB"/>
        </w:rPr>
        <w:t>. Research aspects are particularly relevant to the implementation of the proposed strategies.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4.</w:t>
      </w:r>
      <w:r>
        <w:rPr>
          <w:rFonts w:ascii="Times New Roman" w:eastAsia="Times New Roman" w:hAnsi="Times New Roman" w:cs="Times New Roman"/>
          <w:b/>
          <w:smallCaps/>
          <w:noProof/>
          <w:sz w:val="24"/>
          <w:szCs w:val="24"/>
          <w:lang w:eastAsia="en-GB"/>
        </w:rPr>
        <w:tab/>
        <w:t>Implementation of Horizon 2020</w:t>
      </w:r>
    </w:p>
    <w:p>
      <w:pPr>
        <w:spacing w:after="240" w:line="240" w:lineRule="auto"/>
        <w:ind w:left="567" w:hanging="567"/>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4.1 </w:t>
      </w:r>
      <w:r>
        <w:rPr>
          <w:rFonts w:ascii="Times New Roman" w:eastAsia="Times New Roman" w:hAnsi="Times New Roman" w:cs="Times New Roman"/>
          <w:b/>
          <w:noProof/>
          <w:sz w:val="24"/>
          <w:szCs w:val="24"/>
          <w:lang w:eastAsia="en-GB"/>
        </w:rPr>
        <w:tab/>
        <w:t>Response to calls</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By the end of 2018</w:t>
      </w:r>
      <w:r>
        <w:rPr>
          <w:rStyle w:val="FootnoteReference"/>
          <w:rFonts w:eastAsia="Calibri"/>
          <w:noProof/>
          <w:sz w:val="24"/>
          <w:szCs w:val="24"/>
        </w:rPr>
        <w:footnoteReference w:id="37"/>
      </w:r>
      <w:r>
        <w:rPr>
          <w:rFonts w:ascii="Times New Roman" w:eastAsia="Calibri" w:hAnsi="Times New Roman" w:cs="Times New Roman"/>
          <w:noProof/>
          <w:color w:val="000000"/>
          <w:sz w:val="24"/>
          <w:szCs w:val="24"/>
        </w:rPr>
        <w:t>, a total of 679 Horizon 2020 call deadlines had passed, with 191,731</w:t>
      </w:r>
      <w:r>
        <w:rPr>
          <w:rFonts w:ascii="Times New Roman" w:eastAsia="Calibri" w:hAnsi="Times New Roman" w:cs="Times New Roman"/>
          <w:b/>
          <w:noProof/>
          <w:color w:val="000000"/>
          <w:sz w:val="24"/>
          <w:szCs w:val="24"/>
        </w:rPr>
        <w:t xml:space="preserve"> </w:t>
      </w:r>
      <w:r>
        <w:rPr>
          <w:rFonts w:ascii="Times New Roman" w:eastAsia="Calibri" w:hAnsi="Times New Roman" w:cs="Times New Roman"/>
          <w:noProof/>
          <w:color w:val="000000"/>
          <w:sz w:val="24"/>
          <w:szCs w:val="24"/>
        </w:rPr>
        <w:t>eligible proposals submitted, requesting a total EU financial contribution of €290.3 billion. Of those proposals, 23,250 were selected for funding, bringing the overall success rate of eligible proposals in the first five years to 12.13%. A total of 21,599 grant agreements had been signed by the end of December, with a budget allocation of €38.97 billion in EU funding.</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In 2014-2018, participants in EU Member States received 91.5% of the funding, with the rest going to those from associated countries (7.2%) and non</w:t>
      </w:r>
      <w:r>
        <w:rPr>
          <w:rFonts w:ascii="Times New Roman" w:eastAsia="Calibri" w:hAnsi="Times New Roman" w:cs="Times New Roman"/>
          <w:noProof/>
          <w:color w:val="000000"/>
          <w:sz w:val="24"/>
          <w:szCs w:val="24"/>
        </w:rPr>
        <w:noBreakHyphen/>
        <w:t>EU countries (1.3%). While the participation share of associated countries (7.2%) is in line with the funding received, that of non</w:t>
      </w:r>
      <w:r>
        <w:rPr>
          <w:rFonts w:ascii="Times New Roman" w:eastAsia="Calibri" w:hAnsi="Times New Roman" w:cs="Times New Roman"/>
          <w:noProof/>
          <w:color w:val="000000"/>
          <w:sz w:val="24"/>
          <w:szCs w:val="24"/>
        </w:rPr>
        <w:noBreakHyphen/>
        <w:t>EU countries is significantly higher (3.9%), indicating an interest in international openness, decoupled from funding.</w:t>
      </w:r>
    </w:p>
    <w:p>
      <w:pPr>
        <w:autoSpaceDE w:val="0"/>
        <w:autoSpaceDN w:val="0"/>
        <w:adjustRightInd w:val="0"/>
        <w:spacing w:after="24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Higher education organisations (HES) remain in first place in terms of funding received (39.8%), while 25.9% of EU funding under pillars 2 and 3 goes to SMEs.</w:t>
      </w:r>
    </w:p>
    <w:p>
      <w:pPr>
        <w:spacing w:after="240" w:line="240" w:lineRule="auto"/>
        <w:ind w:left="567" w:hanging="567"/>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4.2 </w:t>
      </w:r>
      <w:r>
        <w:rPr>
          <w:rFonts w:ascii="Times New Roman" w:eastAsia="Times New Roman" w:hAnsi="Times New Roman" w:cs="Times New Roman"/>
          <w:b/>
          <w:noProof/>
          <w:sz w:val="24"/>
          <w:szCs w:val="24"/>
          <w:lang w:eastAsia="en-GB"/>
        </w:rPr>
        <w:tab/>
        <w:t>Key features of Horizon 2020</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EIC pilot first phase</w:t>
      </w:r>
    </w:p>
    <w:p>
      <w:pPr>
        <w:spacing w:after="24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w:t>
      </w:r>
      <w:r>
        <w:rPr>
          <w:rFonts w:ascii="Times New Roman" w:eastAsia="Times New Roman" w:hAnsi="Times New Roman" w:cs="Times New Roman"/>
          <w:b/>
          <w:bCs/>
          <w:noProof/>
          <w:sz w:val="24"/>
          <w:szCs w:val="24"/>
          <w:lang w:eastAsia="en-GB"/>
        </w:rPr>
        <w:t>High</w:t>
      </w:r>
      <w:r>
        <w:rPr>
          <w:rFonts w:ascii="Times New Roman" w:eastAsia="Times New Roman" w:hAnsi="Times New Roman" w:cs="Times New Roman"/>
          <w:b/>
          <w:bCs/>
          <w:noProof/>
          <w:sz w:val="24"/>
          <w:szCs w:val="24"/>
          <w:lang w:eastAsia="en-GB"/>
        </w:rPr>
        <w:noBreakHyphen/>
        <w:t>Level Group of Innovators</w:t>
      </w:r>
      <w:r>
        <w:rPr>
          <w:rFonts w:ascii="Times New Roman" w:eastAsia="Times New Roman" w:hAnsi="Times New Roman" w:cs="Times New Roman"/>
          <w:bCs/>
          <w:noProof/>
          <w:sz w:val="24"/>
          <w:szCs w:val="24"/>
          <w:lang w:eastAsia="en-GB"/>
        </w:rPr>
        <w:t xml:space="preserve"> (HLGI), which was appointed to help Commissioner Moedas set up the EIC, issued a report, </w:t>
      </w:r>
      <w:r>
        <w:rPr>
          <w:rFonts w:ascii="Times New Roman" w:eastAsia="Times New Roman" w:hAnsi="Times New Roman" w:cs="Times New Roman"/>
          <w:bCs/>
          <w:i/>
          <w:noProof/>
          <w:sz w:val="24"/>
          <w:szCs w:val="24"/>
          <w:lang w:eastAsia="en-GB"/>
        </w:rPr>
        <w:t>Funding-Awareness-Scale-Talent (FAST)</w:t>
      </w:r>
      <w:r>
        <w:rPr>
          <w:rStyle w:val="FootnoteReference"/>
          <w:rFonts w:eastAsia="Calibri"/>
          <w:noProof/>
          <w:sz w:val="24"/>
          <w:szCs w:val="24"/>
        </w:rPr>
        <w:footnoteReference w:id="38"/>
      </w:r>
      <w:r>
        <w:rPr>
          <w:rFonts w:ascii="Times New Roman" w:eastAsia="Times New Roman" w:hAnsi="Times New Roman" w:cs="Times New Roman"/>
          <w:bCs/>
          <w:noProof/>
          <w:sz w:val="24"/>
          <w:szCs w:val="24"/>
          <w:lang w:eastAsia="en-GB"/>
        </w:rPr>
        <w:t>, which highlighted pathways to improve support for market</w:t>
      </w:r>
      <w:r>
        <w:rPr>
          <w:rFonts w:ascii="Times New Roman" w:eastAsia="Times New Roman" w:hAnsi="Times New Roman" w:cs="Times New Roman"/>
          <w:bCs/>
          <w:noProof/>
          <w:sz w:val="24"/>
          <w:szCs w:val="24"/>
          <w:lang w:eastAsia="en-GB"/>
        </w:rPr>
        <w:noBreakHyphen/>
        <w:t>creating innovation in the EU. On the basis of the report and earlier policy steps from the College of Commissioners</w:t>
      </w:r>
      <w:r>
        <w:rPr>
          <w:rStyle w:val="FootnoteReference"/>
          <w:rFonts w:eastAsia="Calibri"/>
          <w:noProof/>
          <w:sz w:val="24"/>
          <w:szCs w:val="24"/>
        </w:rPr>
        <w:footnoteReference w:id="39"/>
      </w:r>
      <w:r>
        <w:rPr>
          <w:rFonts w:ascii="Times New Roman" w:eastAsia="Times New Roman" w:hAnsi="Times New Roman" w:cs="Times New Roman"/>
          <w:bCs/>
          <w:noProof/>
          <w:sz w:val="24"/>
          <w:szCs w:val="24"/>
          <w:lang w:eastAsia="en-GB"/>
        </w:rPr>
        <w:t>, a pilot for the EIC was included in the 2018-2020 work programme.</w:t>
      </w:r>
    </w:p>
    <w:p>
      <w:pPr>
        <w:spacing w:after="24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line with the HLGI’s recommendations</w:t>
      </w:r>
      <w:r>
        <w:rPr>
          <w:rStyle w:val="FootnoteReference"/>
          <w:rFonts w:eastAsia="Calibri"/>
          <w:noProof/>
          <w:sz w:val="24"/>
          <w:szCs w:val="24"/>
        </w:rPr>
        <w:footnoteReference w:id="40"/>
      </w:r>
      <w:r>
        <w:rPr>
          <w:rFonts w:ascii="Times New Roman" w:eastAsia="Times New Roman" w:hAnsi="Times New Roman" w:cs="Times New Roman"/>
          <w:bCs/>
          <w:noProof/>
          <w:sz w:val="24"/>
          <w:szCs w:val="24"/>
          <w:lang w:eastAsia="en-GB"/>
        </w:rPr>
        <w:t xml:space="preserve">, the pilot incorporates all relevant Horizon 2020 innovation financing in a single scheme encompassing the SME instrument, the Fast Track to Innovation, FET Open and the Horizon prizes. </w:t>
      </w:r>
    </w:p>
    <w:p>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This part of the work programme should support up to 1,000 projects, with an overall budget of €2.7 billion. Its impact will be assessed against the following indicators: </w:t>
      </w:r>
    </w:p>
    <w:p>
      <w:pPr>
        <w:pStyle w:val="ListParagraph"/>
        <w:numPr>
          <w:ilvl w:val="0"/>
          <w:numId w:val="6"/>
        </w:numPr>
        <w:spacing w:after="120" w:line="240" w:lineRule="auto"/>
        <w:contextualSpacing w:val="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new markets developed;</w:t>
      </w:r>
    </w:p>
    <w:p>
      <w:pPr>
        <w:pStyle w:val="ListParagraph"/>
        <w:numPr>
          <w:ilvl w:val="0"/>
          <w:numId w:val="6"/>
        </w:numPr>
        <w:spacing w:after="120" w:line="240" w:lineRule="auto"/>
        <w:contextualSpacing w:val="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private investment attracted; and</w:t>
      </w:r>
    </w:p>
    <w:p>
      <w:pPr>
        <w:pStyle w:val="ListParagraph"/>
        <w:numPr>
          <w:ilvl w:val="0"/>
          <w:numId w:val="6"/>
        </w:numPr>
        <w:spacing w:after="240" w:line="240" w:lineRule="auto"/>
        <w:contextualSpacing w:val="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growth of the businesses supported.</w:t>
      </w:r>
    </w:p>
    <w:p>
      <w:pPr>
        <w:spacing w:after="24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lang w:eastAsia="en-GB"/>
        </w:rPr>
        <w:t>The</w:t>
      </w:r>
      <w:r>
        <w:rPr>
          <w:rFonts w:ascii="Times New Roman" w:eastAsia="Times New Roman" w:hAnsi="Times New Roman" w:cs="Times New Roman"/>
          <w:b/>
          <w:bCs/>
          <w:noProof/>
          <w:sz w:val="24"/>
          <w:szCs w:val="24"/>
          <w:lang w:eastAsia="en-GB"/>
        </w:rPr>
        <w:t xml:space="preserve"> European Council </w:t>
      </w:r>
      <w:r>
        <w:rPr>
          <w:rFonts w:ascii="Times New Roman" w:eastAsia="Times New Roman" w:hAnsi="Times New Roman" w:cs="Times New Roman"/>
          <w:bCs/>
          <w:noProof/>
          <w:sz w:val="24"/>
          <w:szCs w:val="24"/>
          <w:lang w:eastAsia="en-GB"/>
        </w:rPr>
        <w:t>of June 2018 asked the Commission to develop a second phase of the initiative</w:t>
      </w:r>
      <w:r>
        <w:rPr>
          <w:rStyle w:val="FootnoteReference"/>
          <w:rFonts w:eastAsia="Calibri"/>
          <w:noProof/>
          <w:sz w:val="24"/>
          <w:szCs w:val="24"/>
        </w:rPr>
        <w:footnoteReference w:id="41"/>
      </w:r>
      <w:r>
        <w:rPr>
          <w:rFonts w:ascii="Times New Roman" w:eastAsia="Times New Roman" w:hAnsi="Times New Roman" w:cs="Times New Roman"/>
          <w:bCs/>
          <w:noProof/>
          <w:sz w:val="24"/>
          <w:szCs w:val="24"/>
          <w:lang w:eastAsia="en-GB"/>
        </w:rPr>
        <w:t>, which would be aimed at developing blended finance solutions and experimenting with new arrangements for programme management</w:t>
      </w:r>
      <w:r>
        <w:rPr>
          <w:rFonts w:ascii="Times New Roman" w:eastAsia="Times New Roman" w:hAnsi="Times New Roman" w:cs="Times New Roman"/>
          <w:bCs/>
          <w:i/>
          <w:noProof/>
          <w:sz w:val="24"/>
          <w:szCs w:val="24"/>
          <w:lang w:eastAsia="en-GB"/>
        </w:rPr>
        <w:t>.</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International cooperation</w:t>
      </w:r>
    </w:p>
    <w:p>
      <w:pPr>
        <w:tabs>
          <w:tab w:val="num" w:pos="1440"/>
        </w:tabs>
        <w:spacing w:after="240" w:line="240" w:lineRule="auto"/>
        <w:jc w:val="both"/>
        <w:rPr>
          <w:rFonts w:ascii="Times New Roman" w:eastAsia="Times New Roman" w:hAnsi="Times New Roman" w:cs="Times New Roman"/>
          <w:noProof/>
          <w:sz w:val="24"/>
          <w:szCs w:val="24"/>
          <w:lang w:eastAsia="en-GB"/>
        </w:rPr>
      </w:pPr>
      <w:bookmarkStart w:id="2" w:name="_Toc467661706"/>
      <w:r>
        <w:rPr>
          <w:rFonts w:ascii="Times New Roman" w:eastAsia="Times New Roman" w:hAnsi="Times New Roman" w:cs="Times New Roman"/>
          <w:noProof/>
          <w:sz w:val="24"/>
          <w:szCs w:val="24"/>
          <w:lang w:eastAsia="en-GB"/>
        </w:rPr>
        <w:t xml:space="preserve">Scientific cooperation continues to be a key pillar of the EU’s international relations. The Commission updated </w:t>
      </w:r>
      <w:r>
        <w:rPr>
          <w:rFonts w:ascii="Times New Roman" w:eastAsia="Times New Roman" w:hAnsi="Times New Roman" w:cs="Times New Roman"/>
          <w:b/>
          <w:noProof/>
          <w:sz w:val="24"/>
          <w:szCs w:val="24"/>
          <w:lang w:eastAsia="en-GB"/>
        </w:rPr>
        <w:t>R&amp;I roadmaps</w:t>
      </w:r>
      <w:r>
        <w:rPr>
          <w:rFonts w:ascii="Times New Roman" w:eastAsia="Times New Roman" w:hAnsi="Times New Roman" w:cs="Times New Roman"/>
          <w:noProof/>
          <w:sz w:val="24"/>
          <w:szCs w:val="24"/>
          <w:lang w:eastAsia="en-GB"/>
        </w:rPr>
        <w:t xml:space="preserve"> with key partners, at both country and regional levels. These combine policy dialogue with cooperation at project level, mainstreamed in the Horizon 2020 work programme activities. </w:t>
      </w:r>
    </w:p>
    <w:p>
      <w:pPr>
        <w:tabs>
          <w:tab w:val="num" w:pos="1440"/>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particular, the Commission updated the science and technology roadmaps for cooperation with:</w:t>
      </w:r>
    </w:p>
    <w:p>
      <w:pPr>
        <w:numPr>
          <w:ilvl w:val="0"/>
          <w:numId w:val="3"/>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at country (bilateral) level</w:t>
      </w:r>
      <w:r>
        <w:rPr>
          <w:rStyle w:val="FootnoteReference"/>
          <w:rFonts w:eastAsia="Calibri"/>
          <w:noProof/>
          <w:sz w:val="24"/>
          <w:szCs w:val="24"/>
        </w:rPr>
        <w:footnoteReference w:id="42"/>
      </w:r>
      <w:r>
        <w:rPr>
          <w:rFonts w:ascii="Times New Roman" w:eastAsia="Times New Roman" w:hAnsi="Times New Roman" w:cs="Times New Roman"/>
          <w:noProof/>
          <w:sz w:val="24"/>
          <w:szCs w:val="24"/>
          <w:lang w:eastAsia="en-GB"/>
        </w:rPr>
        <w:t xml:space="preserve"> – Australia, Brazil, Canada, China, India, Japan, South Korea, Mexico, New Zealand, Russia, South Africa and the United States; and</w:t>
      </w:r>
    </w:p>
    <w:p>
      <w:pPr>
        <w:numPr>
          <w:ilvl w:val="0"/>
          <w:numId w:val="3"/>
        </w:num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at regional level</w:t>
      </w:r>
      <w:r>
        <w:rPr>
          <w:rStyle w:val="FootnoteReference"/>
          <w:rFonts w:eastAsia="Calibri"/>
          <w:noProof/>
          <w:sz w:val="24"/>
          <w:szCs w:val="24"/>
        </w:rPr>
        <w:footnoteReference w:id="43"/>
      </w:r>
      <w:r>
        <w:rPr>
          <w:rFonts w:ascii="Times New Roman" w:eastAsia="Times New Roman" w:hAnsi="Times New Roman" w:cs="Times New Roman"/>
          <w:noProof/>
          <w:sz w:val="24"/>
          <w:szCs w:val="24"/>
          <w:lang w:eastAsia="en-GB"/>
        </w:rPr>
        <w:t>– the African Union, south</w:t>
      </w:r>
      <w:r>
        <w:rPr>
          <w:rFonts w:ascii="Times New Roman" w:eastAsia="Times New Roman" w:hAnsi="Times New Roman" w:cs="Times New Roman"/>
          <w:noProof/>
          <w:sz w:val="24"/>
          <w:szCs w:val="24"/>
          <w:lang w:eastAsia="en-GB"/>
        </w:rPr>
        <w:noBreakHyphen/>
        <w:t xml:space="preserve">east Asia, the Eastern Partnership, the Community of Latin America and Caribbean States, the Mediterranean and Middle East, and the Western Balkans.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At project level, activities under the Marie Skłodowska-Curie Actions continue to account for more than half of all third-country participations in Horizon 2020.</w:t>
      </w:r>
    </w:p>
    <w:bookmarkEnd w:id="2"/>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Widening participation</w:t>
      </w:r>
    </w:p>
    <w:p>
      <w:pPr>
        <w:spacing w:after="24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Commission published an extensive assessment</w:t>
      </w:r>
      <w:r>
        <w:rPr>
          <w:rFonts w:ascii="Times New Roman" w:eastAsia="Calibri" w:hAnsi="Times New Roman" w:cs="Times New Roman"/>
          <w:noProof/>
          <w:sz w:val="24"/>
          <w:szCs w:val="24"/>
        </w:rPr>
        <w:t xml:space="preserve"> of the </w:t>
      </w:r>
      <w:r>
        <w:rPr>
          <w:rFonts w:ascii="Times New Roman" w:eastAsia="Times New Roman" w:hAnsi="Times New Roman" w:cs="Times New Roman"/>
          <w:bCs/>
          <w:noProof/>
          <w:sz w:val="24"/>
          <w:szCs w:val="24"/>
          <w:lang w:eastAsia="en-GB"/>
        </w:rPr>
        <w:t xml:space="preserve">participation patterns and R&amp;I performance of eligible countries in </w:t>
      </w:r>
      <w:r>
        <w:rPr>
          <w:rFonts w:ascii="Times New Roman" w:eastAsia="Times New Roman" w:hAnsi="Times New Roman" w:cs="Times New Roman"/>
          <w:bCs/>
          <w:i/>
          <w:noProof/>
          <w:sz w:val="24"/>
          <w:szCs w:val="24"/>
          <w:lang w:eastAsia="en-GB"/>
        </w:rPr>
        <w:t>Spreading excellence &amp; widening participation in Horizon 2020</w:t>
      </w:r>
      <w:r>
        <w:rPr>
          <w:rStyle w:val="FootnoteReference"/>
          <w:rFonts w:eastAsia="Calibri"/>
          <w:noProof/>
          <w:sz w:val="24"/>
          <w:szCs w:val="24"/>
        </w:rPr>
        <w:footnoteReference w:id="44"/>
      </w:r>
      <w:r>
        <w:rPr>
          <w:rFonts w:ascii="Times New Roman" w:eastAsia="Times New Roman" w:hAnsi="Times New Roman" w:cs="Times New Roman"/>
          <w:bCs/>
          <w:noProof/>
          <w:sz w:val="24"/>
          <w:szCs w:val="24"/>
          <w:lang w:eastAsia="en-GB"/>
        </w:rPr>
        <w:t>. Overall, the widening of countries’ participation is in line with their national R&amp;I investment.</w:t>
      </w:r>
    </w:p>
    <w:p>
      <w:pPr>
        <w:spacing w:after="24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A total of 44 grants were signed to implement ‘spreading excellence’ projects, for an amount of €62.38 million. Of these, 13 will help to establish ERA chairs in Czechia, Cyprus, Estonia, Lithuania, Luxembourg, Portugal, Slovakia and Slovenia.</w:t>
      </w:r>
    </w:p>
    <w:p>
      <w:pPr>
        <w:spacing w:after="240" w:line="240" w:lineRule="auto"/>
        <w:jc w:val="both"/>
        <w:rPr>
          <w:rFonts w:ascii="Times New Roman" w:eastAsia="Times New Roman" w:hAnsi="Times New Roman" w:cs="Times New Roman"/>
          <w:bCs/>
          <w:noProof/>
          <w:sz w:val="24"/>
          <w:szCs w:val="24"/>
          <w:lang w:eastAsia="en-GB"/>
        </w:rPr>
      </w:pPr>
      <w:r>
        <w:rPr>
          <w:noProof/>
        </w:rPr>
        <w:t xml:space="preserve"> </w:t>
      </w:r>
      <w:r>
        <w:rPr>
          <w:rFonts w:ascii="Times New Roman" w:eastAsia="Times New Roman" w:hAnsi="Times New Roman" w:cs="Times New Roman"/>
          <w:bCs/>
          <w:noProof/>
          <w:sz w:val="24"/>
          <w:szCs w:val="24"/>
          <w:lang w:eastAsia="en-GB"/>
        </w:rPr>
        <w:t>A new pilot action– Widening fellowships – was introduced in 2018, modelled on the MSCA Individual Fellowships. They will provide additional opportunities to around 120 researchers of any nationality to undertake a fellowship in a widening country.                                                     The</w:t>
      </w:r>
      <w:r>
        <w:rPr>
          <w:rFonts w:ascii="Times New Roman" w:eastAsia="Times New Roman" w:hAnsi="Times New Roman" w:cs="Times New Roman"/>
          <w:b/>
          <w:bCs/>
          <w:noProof/>
          <w:sz w:val="24"/>
          <w:szCs w:val="24"/>
          <w:lang w:eastAsia="en-GB"/>
        </w:rPr>
        <w:t xml:space="preserve"> Policy Support Facility</w:t>
      </w:r>
      <w:r>
        <w:rPr>
          <w:rFonts w:ascii="Times New Roman" w:eastAsia="Times New Roman" w:hAnsi="Times New Roman" w:cs="Times New Roman"/>
          <w:bCs/>
          <w:noProof/>
          <w:sz w:val="24"/>
          <w:szCs w:val="24"/>
          <w:lang w:eastAsia="en-GB"/>
        </w:rPr>
        <w:t xml:space="preserve"> also provided support for policy reforms in ‘widening’ countries, e.g. a peer review of Estonia’s R&amp;I system</w:t>
      </w:r>
      <w:r>
        <w:rPr>
          <w:rStyle w:val="FootnoteReference"/>
          <w:rFonts w:eastAsia="Calibri"/>
          <w:noProof/>
          <w:sz w:val="24"/>
          <w:szCs w:val="24"/>
        </w:rPr>
        <w:footnoteReference w:id="45"/>
      </w:r>
      <w:r>
        <w:rPr>
          <w:rFonts w:ascii="Times New Roman" w:eastAsia="Times New Roman" w:hAnsi="Times New Roman" w:cs="Times New Roman"/>
          <w:bCs/>
          <w:noProof/>
          <w:sz w:val="24"/>
          <w:szCs w:val="24"/>
          <w:lang w:eastAsia="en-GB"/>
        </w:rPr>
        <w:t xml:space="preserve"> in view of its planned R&amp;I and entrepreneurship strategy for 2021-2027.</w:t>
      </w:r>
    </w:p>
    <w:p>
      <w:pPr>
        <w:spacing w:after="24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Forward project was launched as part of the new EU strategy for the </w:t>
      </w:r>
      <w:r>
        <w:rPr>
          <w:rFonts w:ascii="Times New Roman" w:eastAsia="Times New Roman" w:hAnsi="Times New Roman" w:cs="Times New Roman"/>
          <w:b/>
          <w:bCs/>
          <w:noProof/>
          <w:sz w:val="24"/>
          <w:szCs w:val="24"/>
          <w:lang w:eastAsia="en-GB"/>
        </w:rPr>
        <w:t>outermost regions</w:t>
      </w:r>
      <w:r>
        <w:rPr>
          <w:rFonts w:ascii="Times New Roman" w:eastAsia="Times New Roman" w:hAnsi="Times New Roman" w:cs="Times New Roman"/>
          <w:bCs/>
          <w:noProof/>
          <w:sz w:val="24"/>
          <w:szCs w:val="24"/>
          <w:lang w:eastAsia="en-GB"/>
        </w:rPr>
        <w:t>. Teaming institutions and stakeholders from the Azores, the Canary Islands, Guadeloupe, French Guiana, La Réunion, Madeira, Martinique, Mayotte and Saint Martin, the project will involve an initial analysis of R&amp;I ecosystems and develop a common strategy and thematic action plans.</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Social science and the humanities (SSH)</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total of 136 topics across the ‘industrial leadership’ and ‘societal challenges’ pillars explicitly required SSH contributions.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third monitoring report on the integration of SSH in Horizon 2020</w:t>
      </w:r>
      <w:r>
        <w:rPr>
          <w:rStyle w:val="FootnoteReference"/>
          <w:rFonts w:eastAsia="Calibri"/>
          <w:noProof/>
          <w:sz w:val="24"/>
          <w:szCs w:val="24"/>
        </w:rPr>
        <w:footnoteReference w:id="46"/>
      </w:r>
      <w:r>
        <w:rPr>
          <w:rFonts w:ascii="Times New Roman" w:eastAsia="Times New Roman" w:hAnsi="Times New Roman" w:cs="Times New Roman"/>
          <w:noProof/>
          <w:sz w:val="24"/>
          <w:szCs w:val="24"/>
          <w:lang w:eastAsia="en-GB"/>
        </w:rPr>
        <w:t xml:space="preserve"> found that 32% of the projects financed under SSH</w:t>
      </w:r>
      <w:r>
        <w:rPr>
          <w:rFonts w:ascii="Times New Roman" w:eastAsia="Times New Roman" w:hAnsi="Times New Roman" w:cs="Times New Roman"/>
          <w:noProof/>
          <w:sz w:val="24"/>
          <w:szCs w:val="24"/>
          <w:lang w:eastAsia="en-GB"/>
        </w:rPr>
        <w:noBreakHyphen/>
        <w:t>flagged topics are coordinated by an SSH partner. While economics and sociology are well represented, there is still a need to improve the integration of other SSH disciplines such as law, history and anthropology.</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Gender</w:t>
      </w:r>
    </w:p>
    <w:p>
      <w:pPr>
        <w:spacing w:after="12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Various forms of support contributed to positive trends in this area</w:t>
      </w:r>
      <w:r>
        <w:rPr>
          <w:rStyle w:val="FootnoteReference"/>
          <w:rFonts w:eastAsia="Calibri"/>
          <w:noProof/>
          <w:sz w:val="24"/>
          <w:szCs w:val="24"/>
        </w:rPr>
        <w:footnoteReference w:id="47"/>
      </w:r>
      <w:r>
        <w:rPr>
          <w:rFonts w:ascii="Times New Roman" w:eastAsia="Calibri" w:hAnsi="Times New Roman" w:cs="Times New Roman"/>
          <w:iCs/>
          <w:noProof/>
          <w:sz w:val="24"/>
          <w:szCs w:val="24"/>
        </w:rPr>
        <w:t>; for example:</w:t>
      </w:r>
    </w:p>
    <w:p>
      <w:pPr>
        <w:numPr>
          <w:ilvl w:val="0"/>
          <w:numId w:val="3"/>
        </w:numPr>
        <w:spacing w:after="12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national </w:t>
      </w:r>
      <w:r>
        <w:rPr>
          <w:rFonts w:ascii="Times New Roman" w:eastAsia="Times New Roman" w:hAnsi="Times New Roman" w:cs="Times New Roman"/>
          <w:noProof/>
          <w:sz w:val="24"/>
          <w:szCs w:val="24"/>
          <w:lang w:eastAsia="en-GB"/>
        </w:rPr>
        <w:t>contact</w:t>
      </w:r>
      <w:r>
        <w:rPr>
          <w:rFonts w:ascii="Times New Roman" w:eastAsia="Calibri" w:hAnsi="Times New Roman" w:cs="Times New Roman"/>
          <w:iCs/>
          <w:noProof/>
          <w:sz w:val="24"/>
          <w:szCs w:val="24"/>
        </w:rPr>
        <w:t xml:space="preserve"> points networks</w:t>
      </w:r>
      <w:r>
        <w:rPr>
          <w:rStyle w:val="FootnoteReference"/>
          <w:rFonts w:eastAsia="Calibri"/>
          <w:noProof/>
          <w:sz w:val="24"/>
          <w:szCs w:val="24"/>
        </w:rPr>
        <w:footnoteReference w:id="48"/>
      </w:r>
      <w:r>
        <w:rPr>
          <w:rFonts w:ascii="Times New Roman" w:eastAsia="Calibri" w:hAnsi="Times New Roman" w:cs="Times New Roman"/>
          <w:iCs/>
          <w:noProof/>
          <w:sz w:val="24"/>
          <w:szCs w:val="24"/>
        </w:rPr>
        <w:t xml:space="preserve"> organised specific training events on the gender dimension; and</w:t>
      </w:r>
    </w:p>
    <w:p>
      <w:pPr>
        <w:numPr>
          <w:ilvl w:val="0"/>
          <w:numId w:val="3"/>
        </w:numPr>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the Commission</w:t>
      </w:r>
      <w:r>
        <w:rPr>
          <w:rFonts w:ascii="Times New Roman" w:eastAsia="Calibri" w:hAnsi="Times New Roman" w:cs="Times New Roman"/>
          <w:noProof/>
          <w:sz w:val="24"/>
          <w:szCs w:val="24"/>
        </w:rPr>
        <w:t xml:space="preserve"> and </w:t>
      </w:r>
      <w:r>
        <w:rPr>
          <w:rFonts w:ascii="Times New Roman" w:eastAsia="Calibri" w:hAnsi="Times New Roman" w:cs="Times New Roman"/>
          <w:iCs/>
          <w:noProof/>
          <w:sz w:val="24"/>
          <w:szCs w:val="24"/>
        </w:rPr>
        <w:t xml:space="preserve">the Helsinki Group released </w:t>
      </w:r>
      <w:r>
        <w:rPr>
          <w:rFonts w:ascii="Times New Roman" w:eastAsia="Calibri" w:hAnsi="Times New Roman" w:cs="Times New Roman"/>
          <w:i/>
          <w:iCs/>
          <w:noProof/>
          <w:sz w:val="24"/>
          <w:szCs w:val="24"/>
        </w:rPr>
        <w:t>Guidance to facilitate the implementation of targets to promote gender equality in research and innovation</w:t>
      </w:r>
      <w:r>
        <w:rPr>
          <w:rStyle w:val="FootnoteReference"/>
          <w:rFonts w:eastAsia="Calibri"/>
          <w:noProof/>
          <w:sz w:val="24"/>
          <w:szCs w:val="24"/>
        </w:rPr>
        <w:footnoteReference w:id="49"/>
      </w:r>
      <w:r>
        <w:rPr>
          <w:rFonts w:ascii="Times New Roman" w:eastAsia="Calibri" w:hAnsi="Times New Roman" w:cs="Times New Roman"/>
          <w:iCs/>
          <w:noProof/>
          <w:sz w:val="24"/>
          <w:szCs w:val="24"/>
        </w:rPr>
        <w:t>, which covered the designing of frameworks conducive to introducing gender quotas for decision</w:t>
      </w:r>
      <w:r>
        <w:rPr>
          <w:rFonts w:ascii="Times New Roman" w:eastAsia="Calibri" w:hAnsi="Times New Roman" w:cs="Times New Roman"/>
          <w:iCs/>
          <w:noProof/>
          <w:sz w:val="24"/>
          <w:szCs w:val="24"/>
        </w:rPr>
        <w:noBreakHyphen/>
        <w:t>makers.</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Climate action and sustainable development</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Horizon 2020 Regulation</w:t>
      </w:r>
      <w:r>
        <w:rPr>
          <w:rStyle w:val="FootnoteReference"/>
          <w:rFonts w:eastAsia="Calibri"/>
          <w:noProof/>
          <w:sz w:val="24"/>
          <w:szCs w:val="24"/>
        </w:rPr>
        <w:footnoteReference w:id="50"/>
      </w:r>
      <w:r>
        <w:rPr>
          <w:rFonts w:ascii="Times New Roman" w:eastAsia="Calibri" w:hAnsi="Times New Roman" w:cs="Times New Roman"/>
          <w:noProof/>
          <w:sz w:val="24"/>
          <w:szCs w:val="24"/>
        </w:rPr>
        <w:t xml:space="preserve"> set the expected budget share for climate action and sustainable development over the duration of the programme at 35% and 60% respectively. Up to and including 2018, expenditure had reached at least 30% for the former</w:t>
      </w:r>
      <w:r>
        <w:rPr>
          <w:rStyle w:val="FootnoteReference"/>
          <w:rFonts w:eastAsiaTheme="minorHAnsi"/>
          <w:noProof/>
        </w:rPr>
        <w:footnoteReference w:id="51"/>
      </w:r>
      <w:r>
        <w:rPr>
          <w:rFonts w:ascii="Times New Roman" w:eastAsia="Calibri" w:hAnsi="Times New Roman" w:cs="Times New Roman"/>
          <w:noProof/>
          <w:sz w:val="24"/>
          <w:szCs w:val="24"/>
        </w:rPr>
        <w:t xml:space="preserve"> and 69% for the latter. Additional efforts are ongoing, in particular through the dedicated focus areas.</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Synergies with other programmes</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report was published on the </w:t>
      </w:r>
      <w:r>
        <w:rPr>
          <w:rFonts w:ascii="Times New Roman" w:eastAsia="Calibri" w:hAnsi="Times New Roman" w:cs="Times New Roman"/>
          <w:b/>
          <w:noProof/>
          <w:sz w:val="24"/>
          <w:szCs w:val="24"/>
        </w:rPr>
        <w:t>mutual learning exercise on widening participation and ensuring synergies</w:t>
      </w:r>
      <w:r>
        <w:rPr>
          <w:rFonts w:ascii="Times New Roman" w:eastAsia="Calibri" w:hAnsi="Times New Roman" w:cs="Times New Roman"/>
          <w:noProof/>
          <w:sz w:val="24"/>
          <w:szCs w:val="24"/>
        </w:rPr>
        <w:t xml:space="preserve"> between the EU’s R&amp;I programmes and cohesion policy</w:t>
      </w:r>
      <w:r>
        <w:rPr>
          <w:rStyle w:val="FootnoteReference"/>
          <w:rFonts w:eastAsia="Calibri"/>
          <w:noProof/>
          <w:sz w:val="24"/>
          <w:szCs w:val="24"/>
        </w:rPr>
        <w:footnoteReference w:id="52"/>
      </w:r>
      <w:r>
        <w:rPr>
          <w:rFonts w:ascii="Times New Roman" w:eastAsia="Calibri" w:hAnsi="Times New Roman" w:cs="Times New Roman"/>
          <w:noProof/>
          <w:sz w:val="24"/>
          <w:szCs w:val="24"/>
        </w:rPr>
        <w:t>, in which 12 Member States and one associated country had participated. It found that, while there may be regulatory bottlenecks at project level, effective synergies will depend on the capacity to promote policy dialogue at programme level.</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European Court of Auditors special report 28/2018</w:t>
      </w:r>
      <w:r>
        <w:rPr>
          <w:rStyle w:val="FootnoteReference"/>
          <w:rFonts w:eastAsia="Calibri"/>
          <w:noProof/>
          <w:sz w:val="24"/>
          <w:szCs w:val="24"/>
        </w:rPr>
        <w:footnoteReference w:id="53"/>
      </w:r>
      <w:r>
        <w:rPr>
          <w:rFonts w:ascii="Times New Roman" w:eastAsia="Calibri" w:hAnsi="Times New Roman" w:cs="Times New Roman"/>
          <w:noProof/>
          <w:sz w:val="24"/>
          <w:szCs w:val="24"/>
        </w:rPr>
        <w:t xml:space="preserve"> made the case for promoting further communication on the </w:t>
      </w:r>
      <w:r>
        <w:rPr>
          <w:rFonts w:ascii="Times New Roman" w:eastAsia="Calibri" w:hAnsi="Times New Roman" w:cs="Times New Roman"/>
          <w:b/>
          <w:noProof/>
          <w:sz w:val="24"/>
          <w:szCs w:val="24"/>
        </w:rPr>
        <w:t>seal of excellence</w:t>
      </w:r>
      <w:r>
        <w:rPr>
          <w:rFonts w:ascii="Times New Roman" w:eastAsia="Calibri" w:hAnsi="Times New Roman" w:cs="Times New Roman"/>
          <w:noProof/>
          <w:sz w:val="24"/>
          <w:szCs w:val="24"/>
        </w:rPr>
        <w:t xml:space="preserve"> (SoE). To date, 35 different SoE schemes have been designed by European Structural and Investment Fund managing authorities in 15 Member States.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5.</w:t>
      </w:r>
      <w:r>
        <w:rPr>
          <w:rFonts w:ascii="Times New Roman" w:eastAsia="Times New Roman" w:hAnsi="Times New Roman" w:cs="Times New Roman"/>
          <w:b/>
          <w:smallCaps/>
          <w:noProof/>
          <w:sz w:val="24"/>
          <w:szCs w:val="24"/>
          <w:lang w:eastAsia="en-GB"/>
        </w:rPr>
        <w:tab/>
        <w:t>Euratom</w:t>
      </w:r>
    </w:p>
    <w:p>
      <w:pPr>
        <w:tabs>
          <w:tab w:val="num" w:pos="1440"/>
        </w:tabs>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Council Regulation (Euratom) 2018/1563</w:t>
      </w:r>
      <w:r>
        <w:rPr>
          <w:rStyle w:val="FootnoteReference"/>
          <w:rFonts w:eastAsiaTheme="minorHAnsi"/>
          <w:noProof/>
          <w:sz w:val="24"/>
          <w:szCs w:val="24"/>
        </w:rPr>
        <w:footnoteReference w:id="54"/>
      </w:r>
      <w:r>
        <w:rPr>
          <w:rFonts w:ascii="Times New Roman" w:eastAsia="Times New Roman" w:hAnsi="Times New Roman" w:cs="Times New Roman"/>
          <w:noProof/>
          <w:sz w:val="24"/>
          <w:szCs w:val="24"/>
          <w:lang w:eastAsia="en-GB"/>
        </w:rPr>
        <w:t xml:space="preserve"> established the framework of the Euratom research and training programme for 2019-2020.</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Indirect actions</w:t>
      </w:r>
    </w:p>
    <w:p>
      <w:pPr>
        <w:tabs>
          <w:tab w:val="num" w:pos="1440"/>
        </w:tabs>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By the end of 2018, three calls had been concluded, with 136 eligible proposals submitted, requesting a total Euratom financial contribution of €500.8 million. Of these, 47 were selected for funding, with a Euratom contribution of €196.9 million, bringing the overall success rate of eligible full proposals since 2014 to 34.56%.</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Direct actions implemented by the Joint Research Centre (JRC)</w:t>
      </w:r>
    </w:p>
    <w:p>
      <w:pPr>
        <w:tabs>
          <w:tab w:val="num" w:pos="1440"/>
        </w:tabs>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direct actions of the programme, implemented by the JRC covered research and training on the following areas:</w:t>
      </w:r>
    </w:p>
    <w:p>
      <w:pPr>
        <w:tabs>
          <w:tab w:val="num" w:pos="1440"/>
        </w:tabs>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ab/>
        <w:t xml:space="preserve">nuclear safety, including safety of reactor, fuel and fuel cycle, nuclear waste management, environmental monitoring and emergency preparedness and response; </w:t>
      </w:r>
    </w:p>
    <w:p>
      <w:pPr>
        <w:tabs>
          <w:tab w:val="num" w:pos="1440"/>
        </w:tabs>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ab/>
        <w:t xml:space="preserve">nuclear safeguards non-proliferation and security, including combatting illicit trafficking and nuclear forensics. </w:t>
      </w:r>
    </w:p>
    <w:p>
      <w:pPr>
        <w:tabs>
          <w:tab w:val="num" w:pos="1440"/>
        </w:tabs>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ab/>
        <w:t>basic science knowledge and standards and reference materials essential for nuclear safety, security and safeguards, including research on non-energy applications of nuclear science as medical and space applications.</w:t>
      </w:r>
    </w:p>
    <w:p>
      <w:pPr>
        <w:tabs>
          <w:tab w:val="num" w:pos="1440"/>
        </w:tabs>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research conducted and experience gained, in particular in nuclear safety and non</w:t>
      </w:r>
      <w:r>
        <w:rPr>
          <w:rFonts w:ascii="Times New Roman" w:eastAsia="Times New Roman" w:hAnsi="Times New Roman" w:cs="Times New Roman"/>
          <w:noProof/>
          <w:sz w:val="24"/>
          <w:szCs w:val="24"/>
          <w:lang w:eastAsia="en-GB"/>
        </w:rPr>
        <w:noBreakHyphen/>
        <w:t>proliferation foster the necessary capacities for knowledge management and to provide education and advanced training in nuclear fields.</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en-GB"/>
        </w:rPr>
        <w:t>This allows the JRC to meet the demand for scientific and technical support on EU</w:t>
      </w:r>
      <w:r>
        <w:rPr>
          <w:rFonts w:ascii="Times New Roman" w:eastAsia="Times New Roman" w:hAnsi="Times New Roman" w:cs="Times New Roman"/>
          <w:noProof/>
          <w:sz w:val="24"/>
          <w:szCs w:val="24"/>
          <w:lang w:eastAsia="en-GB"/>
        </w:rPr>
        <w:noBreakHyphen/>
        <w:t>related policies.</w:t>
      </w:r>
    </w:p>
    <w:p>
      <w:pPr>
        <w:spacing w:after="240" w:line="240" w:lineRule="auto"/>
        <w:jc w:val="both"/>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Research and training programme</w:t>
      </w:r>
    </w:p>
    <w:p>
      <w:pPr>
        <w:tabs>
          <w:tab w:val="num" w:pos="1440"/>
        </w:tabs>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Support from the research and training programme led to the publication of more than 800 articles in peer</w:t>
      </w:r>
      <w:r>
        <w:rPr>
          <w:rFonts w:ascii="Times New Roman" w:eastAsia="Times New Roman" w:hAnsi="Times New Roman" w:cs="Times New Roman"/>
          <w:noProof/>
          <w:sz w:val="24"/>
          <w:szCs w:val="24"/>
          <w:lang w:eastAsia="en-GB"/>
        </w:rPr>
        <w:noBreakHyphen/>
        <w:t>reviewed, high</w:t>
      </w:r>
      <w:r>
        <w:rPr>
          <w:rFonts w:ascii="Times New Roman" w:eastAsia="Times New Roman" w:hAnsi="Times New Roman" w:cs="Times New Roman"/>
          <w:noProof/>
          <w:sz w:val="24"/>
          <w:szCs w:val="24"/>
          <w:lang w:eastAsia="en-GB"/>
        </w:rPr>
        <w:noBreakHyphen/>
        <w:t>impact journals and over 800 PhDs in fusion physics and technology. Over 900 researchers were provided with access to research infrastructures.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 xml:space="preserve">6. </w:t>
      </w:r>
      <w:r>
        <w:rPr>
          <w:rFonts w:ascii="Times New Roman" w:eastAsia="Times New Roman" w:hAnsi="Times New Roman" w:cs="Times New Roman"/>
          <w:b/>
          <w:smallCaps/>
          <w:noProof/>
          <w:sz w:val="24"/>
          <w:szCs w:val="24"/>
          <w:lang w:eastAsia="en-GB"/>
        </w:rPr>
        <w:tab/>
        <w:t>JRC non</w:t>
      </w:r>
      <w:r>
        <w:rPr>
          <w:rFonts w:ascii="Times New Roman" w:eastAsia="Times New Roman" w:hAnsi="Times New Roman" w:cs="Times New Roman"/>
          <w:b/>
          <w:smallCaps/>
          <w:noProof/>
          <w:sz w:val="24"/>
          <w:szCs w:val="24"/>
          <w:lang w:eastAsia="en-GB"/>
        </w:rPr>
        <w:noBreakHyphen/>
        <w:t>nuclear direct actions</w:t>
      </w:r>
    </w:p>
    <w:p>
      <w:pPr>
        <w:tabs>
          <w:tab w:val="num" w:pos="1440"/>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Last year was a breakthrough year for the JRC’s knowledge management activities, with the launch of four </w:t>
      </w:r>
      <w:r>
        <w:rPr>
          <w:rFonts w:ascii="Times New Roman" w:eastAsia="Times New Roman" w:hAnsi="Times New Roman" w:cs="Times New Roman"/>
          <w:b/>
          <w:noProof/>
          <w:sz w:val="24"/>
          <w:szCs w:val="24"/>
          <w:lang w:eastAsia="en-GB"/>
        </w:rPr>
        <w:t>knowledge centres</w:t>
      </w:r>
      <w:r>
        <w:rPr>
          <w:rFonts w:ascii="Times New Roman" w:eastAsia="Times New Roman" w:hAnsi="Times New Roman" w:cs="Times New Roman"/>
          <w:noProof/>
          <w:sz w:val="24"/>
          <w:szCs w:val="24"/>
          <w:lang w:eastAsia="en-GB"/>
        </w:rPr>
        <w:t>, bringing their number to 6:</w:t>
      </w:r>
    </w:p>
    <w:p>
      <w:pPr>
        <w:numPr>
          <w:ilvl w:val="0"/>
          <w:numId w:val="3"/>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response to consumer concerns, the Knowledge Centre on Food Fraud and Quality</w:t>
      </w:r>
      <w:r>
        <w:rPr>
          <w:rStyle w:val="FootnoteReference"/>
          <w:rFonts w:eastAsia="Calibri"/>
          <w:noProof/>
          <w:sz w:val="24"/>
          <w:szCs w:val="24"/>
        </w:rPr>
        <w:footnoteReference w:id="55"/>
      </w:r>
      <w:r>
        <w:rPr>
          <w:rFonts w:ascii="Times New Roman" w:eastAsia="Times New Roman" w:hAnsi="Times New Roman" w:cs="Times New Roman"/>
          <w:noProof/>
          <w:sz w:val="24"/>
          <w:szCs w:val="24"/>
          <w:lang w:eastAsia="en-GB"/>
        </w:rPr>
        <w:t xml:space="preserve"> provides access to up-to-date scientific knowledge on food fraud and food quality issues;</w:t>
      </w:r>
    </w:p>
    <w:p>
      <w:pPr>
        <w:numPr>
          <w:ilvl w:val="0"/>
          <w:numId w:val="3"/>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by making the latest innovative solutions and research insights available, the Knowledge Centre on Global Food and Nutrition Security</w:t>
      </w:r>
      <w:r>
        <w:rPr>
          <w:rStyle w:val="FootnoteReference"/>
          <w:rFonts w:eastAsia="Calibri"/>
          <w:noProof/>
          <w:sz w:val="24"/>
          <w:szCs w:val="24"/>
        </w:rPr>
        <w:footnoteReference w:id="56"/>
      </w:r>
      <w:r>
        <w:rPr>
          <w:rFonts w:ascii="Times New Roman" w:eastAsia="Times New Roman" w:hAnsi="Times New Roman" w:cs="Times New Roman"/>
          <w:noProof/>
          <w:sz w:val="24"/>
          <w:szCs w:val="24"/>
          <w:lang w:eastAsia="en-GB"/>
        </w:rPr>
        <w:t xml:space="preserve"> aims to improve action to reduce food insecurity and malnutrition in food</w:t>
      </w:r>
      <w:r>
        <w:rPr>
          <w:rFonts w:ascii="Times New Roman" w:eastAsia="Times New Roman" w:hAnsi="Times New Roman" w:cs="Times New Roman"/>
          <w:noProof/>
          <w:sz w:val="24"/>
          <w:szCs w:val="24"/>
          <w:lang w:eastAsia="en-GB"/>
        </w:rPr>
        <w:noBreakHyphen/>
        <w:t>insecure countries;</w:t>
      </w:r>
    </w:p>
    <w:p>
      <w:pPr>
        <w:numPr>
          <w:ilvl w:val="0"/>
          <w:numId w:val="3"/>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Competence Centre on Technology Transfer</w:t>
      </w:r>
      <w:r>
        <w:rPr>
          <w:rStyle w:val="FootnoteReference"/>
          <w:rFonts w:eastAsia="Calibri"/>
          <w:noProof/>
          <w:sz w:val="24"/>
          <w:szCs w:val="24"/>
        </w:rPr>
        <w:footnoteReference w:id="57"/>
      </w:r>
      <w:r>
        <w:rPr>
          <w:rFonts w:ascii="Times New Roman" w:eastAsia="Times New Roman" w:hAnsi="Times New Roman" w:cs="Times New Roman"/>
          <w:noProof/>
          <w:sz w:val="24"/>
          <w:szCs w:val="24"/>
          <w:lang w:eastAsia="en-GB"/>
        </w:rPr>
        <w:t xml:space="preserve"> is a primary platform for policy support and capacity</w:t>
      </w:r>
      <w:r>
        <w:rPr>
          <w:rFonts w:ascii="Times New Roman" w:eastAsia="Times New Roman" w:hAnsi="Times New Roman" w:cs="Times New Roman"/>
          <w:noProof/>
          <w:sz w:val="24"/>
          <w:szCs w:val="24"/>
          <w:lang w:eastAsia="en-GB"/>
        </w:rPr>
        <w:noBreakHyphen/>
        <w:t>building in technology transfer at the EU, national, regional and local levels; and</w:t>
      </w:r>
    </w:p>
    <w:p>
      <w:pPr>
        <w:numPr>
          <w:ilvl w:val="0"/>
          <w:numId w:val="3"/>
        </w:num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Competence Centre on Foresight</w:t>
      </w:r>
      <w:r>
        <w:rPr>
          <w:rStyle w:val="FootnoteReference"/>
          <w:rFonts w:eastAsia="Calibri"/>
          <w:noProof/>
          <w:sz w:val="24"/>
          <w:szCs w:val="24"/>
        </w:rPr>
        <w:footnoteReference w:id="58"/>
      </w:r>
      <w:r>
        <w:rPr>
          <w:rFonts w:ascii="Times New Roman" w:eastAsia="Times New Roman" w:hAnsi="Times New Roman" w:cs="Times New Roman"/>
          <w:noProof/>
          <w:sz w:val="24"/>
          <w:szCs w:val="24"/>
          <w:lang w:eastAsia="en-GB"/>
        </w:rPr>
        <w:t xml:space="preserve"> provides direct strategic and future-oriented input into EU policy</w:t>
      </w:r>
      <w:r>
        <w:rPr>
          <w:rFonts w:ascii="Times New Roman" w:eastAsia="Times New Roman" w:hAnsi="Times New Roman" w:cs="Times New Roman"/>
          <w:noProof/>
          <w:sz w:val="24"/>
          <w:szCs w:val="24"/>
          <w:lang w:eastAsia="en-GB"/>
        </w:rPr>
        <w:noBreakHyphen/>
        <w:t>making.</w:t>
      </w:r>
    </w:p>
    <w:p>
      <w:pPr>
        <w:tabs>
          <w:tab w:val="num" w:pos="1440"/>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Other key achievements concerned:</w:t>
      </w:r>
    </w:p>
    <w:p>
      <w:pPr>
        <w:numPr>
          <w:ilvl w:val="0"/>
          <w:numId w:val="7"/>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vehicle emissions</w:t>
      </w:r>
      <w:r>
        <w:rPr>
          <w:rFonts w:ascii="Times New Roman" w:eastAsia="Times New Roman" w:hAnsi="Times New Roman" w:cs="Times New Roman"/>
          <w:noProof/>
          <w:sz w:val="24"/>
          <w:szCs w:val="24"/>
          <w:lang w:eastAsia="en-GB"/>
        </w:rPr>
        <w:t xml:space="preserve"> – the JRC prepared to take on the role of checking (on behalf of the Commission) vehicles’ compliance with the ‘real drive emissions’ requirements; and </w:t>
      </w:r>
    </w:p>
    <w:p>
      <w:pPr>
        <w:numPr>
          <w:ilvl w:val="0"/>
          <w:numId w:val="7"/>
        </w:num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SDGs</w:t>
      </w:r>
      <w:r>
        <w:rPr>
          <w:rFonts w:ascii="Times New Roman" w:eastAsia="Times New Roman" w:hAnsi="Times New Roman" w:cs="Times New Roman"/>
          <w:noProof/>
          <w:sz w:val="24"/>
          <w:szCs w:val="24"/>
          <w:lang w:eastAsia="en-GB"/>
        </w:rPr>
        <w:t xml:space="preserve"> – the JRC contributed to the Commission’s reflection paper </w:t>
      </w:r>
      <w:r>
        <w:rPr>
          <w:rFonts w:ascii="Times New Roman" w:eastAsia="Times New Roman" w:hAnsi="Times New Roman" w:cs="Times New Roman"/>
          <w:i/>
          <w:noProof/>
          <w:sz w:val="24"/>
          <w:szCs w:val="24"/>
          <w:lang w:eastAsia="en-GB"/>
        </w:rPr>
        <w:t>A sustainable Europe by 2030</w:t>
      </w:r>
      <w:r>
        <w:rPr>
          <w:rFonts w:ascii="Times New Roman" w:eastAsia="Times New Roman" w:hAnsi="Times New Roman" w:cs="Times New Roman"/>
          <w:noProof/>
          <w:sz w:val="24"/>
          <w:szCs w:val="24"/>
          <w:vertAlign w:val="superscript"/>
        </w:rPr>
        <w:footnoteReference w:id="59"/>
      </w:r>
      <w:r>
        <w:rPr>
          <w:rFonts w:ascii="Times New Roman" w:eastAsia="Times New Roman" w:hAnsi="Times New Roman" w:cs="Times New Roman"/>
          <w:noProof/>
          <w:sz w:val="24"/>
          <w:szCs w:val="24"/>
          <w:lang w:eastAsia="en-GB"/>
        </w:rPr>
        <w:t>, in particular through a qualitative foresight analysis.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 xml:space="preserve">7. </w:t>
      </w:r>
      <w:r>
        <w:rPr>
          <w:rFonts w:ascii="Times New Roman" w:eastAsia="Times New Roman" w:hAnsi="Times New Roman" w:cs="Times New Roman"/>
          <w:b/>
          <w:smallCaps/>
          <w:noProof/>
          <w:sz w:val="24"/>
          <w:szCs w:val="24"/>
          <w:lang w:eastAsia="en-GB"/>
        </w:rPr>
        <w:tab/>
        <w:t>European Institute of Innovation and Technology (EIT)</w:t>
      </w:r>
    </w:p>
    <w:p>
      <w:pPr>
        <w:spacing w:after="0" w:line="240" w:lineRule="auto"/>
        <w:jc w:val="both"/>
        <w:textAlignment w:val="bottom"/>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course of 2018, the EIT continued to provide financial support to the six existing KICs</w:t>
      </w:r>
      <w:r>
        <w:rPr>
          <w:rStyle w:val="FootnoteReference"/>
          <w:rFonts w:eastAsiaTheme="minorHAnsi"/>
          <w:noProof/>
        </w:rPr>
        <w:footnoteReference w:id="60"/>
      </w:r>
      <w:r>
        <w:rPr>
          <w:rFonts w:ascii="Times New Roman" w:eastAsia="Calibri" w:hAnsi="Times New Roman" w:cs="Times New Roman"/>
          <w:noProof/>
          <w:sz w:val="24"/>
          <w:szCs w:val="24"/>
        </w:rPr>
        <w:t>. In addition, the EIT funded activities aiming at fostering the collaboration among KICs (cross-KIC activities) on key aspects of KICs’ operations in order to increase their impacts on e.g. human capital and skills development, communication and outreach. The total EIT financial contribution for the implementation of KICs’ Business Plans 2018 amounted to € 400M million..</w:t>
      </w:r>
    </w:p>
    <w:p>
      <w:pPr>
        <w:spacing w:after="0" w:line="240" w:lineRule="auto"/>
        <w:jc w:val="both"/>
        <w:textAlignment w:val="bottom"/>
        <w:rPr>
          <w:rFonts w:ascii="Times New Roman" w:eastAsia="Calibri" w:hAnsi="Times New Roman" w:cs="Times New Roman"/>
          <w:noProof/>
          <w:sz w:val="24"/>
          <w:szCs w:val="24"/>
        </w:rPr>
      </w:pPr>
    </w:p>
    <w:p>
      <w:pPr>
        <w:spacing w:after="0" w:line="240" w:lineRule="auto"/>
        <w:jc w:val="both"/>
        <w:textAlignment w:val="bottom"/>
        <w:rPr>
          <w:rFonts w:ascii="Times New Roman" w:eastAsia="Calibri" w:hAnsi="Times New Roman" w:cs="Times New Roman"/>
          <w:noProof/>
          <w:sz w:val="24"/>
          <w:szCs w:val="24"/>
        </w:rPr>
      </w:pPr>
      <w:r>
        <w:rPr>
          <w:rFonts w:ascii="Times New Roman" w:eastAsia="Calibri" w:hAnsi="Times New Roman" w:cs="Times New Roman"/>
          <w:noProof/>
          <w:sz w:val="24"/>
          <w:szCs w:val="24"/>
        </w:rPr>
        <w:t>At the beginning of the year, Forbes Magazine announced its 30 under 30 list for 2018, which included nine EIT Community-supported entrepreneurs</w:t>
      </w:r>
      <w:r>
        <w:rPr>
          <w:rStyle w:val="FootnoteReference"/>
          <w:rFonts w:eastAsiaTheme="minorHAnsi"/>
          <w:noProof/>
        </w:rPr>
        <w:footnoteReference w:id="61"/>
      </w:r>
      <w:r>
        <w:rPr>
          <w:rFonts w:ascii="Times New Roman" w:eastAsia="Calibri" w:hAnsi="Times New Roman" w:cs="Times New Roman"/>
          <w:noProof/>
          <w:sz w:val="24"/>
          <w:szCs w:val="24"/>
        </w:rPr>
        <w:t>.</w:t>
      </w:r>
    </w:p>
    <w:p>
      <w:pPr>
        <w:spacing w:after="120" w:line="240" w:lineRule="auto"/>
        <w:jc w:val="both"/>
        <w:textAlignment w:val="bottom"/>
        <w:rPr>
          <w:rFonts w:ascii="Times New Roman" w:eastAsia="Calibri" w:hAnsi="Times New Roman" w:cs="Times New Roman"/>
          <w:noProof/>
          <w:sz w:val="24"/>
          <w:szCs w:val="24"/>
        </w:rPr>
      </w:pPr>
    </w:p>
    <w:p>
      <w:pPr>
        <w:spacing w:after="120" w:line="240" w:lineRule="auto"/>
        <w:jc w:val="both"/>
        <w:textAlignment w:val="bottom"/>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2018, the EIT launched two calls for the creation of two new Knowledge and Innovation Communities (KICs) forresulting in a total of eight Innovation Communities:  </w:t>
      </w:r>
    </w:p>
    <w:p>
      <w:pPr>
        <w:numPr>
          <w:ilvl w:val="0"/>
          <w:numId w:val="4"/>
        </w:numPr>
        <w:spacing w:after="120" w:line="240" w:lineRule="auto"/>
        <w:jc w:val="both"/>
        <w:textAlignment w:val="bottom"/>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urban mobility – with a consortium of 48 members, EIT Urban Mobility is dedicated to accelerating solutions that improve the collective use of urban spaces, while ensuring sustainable and accessible multimodal mobility; and </w:t>
      </w:r>
    </w:p>
    <w:p>
      <w:pPr>
        <w:numPr>
          <w:ilvl w:val="0"/>
          <w:numId w:val="4"/>
        </w:numPr>
        <w:spacing w:after="240" w:line="240" w:lineRule="auto"/>
        <w:jc w:val="both"/>
        <w:textAlignment w:val="bottom"/>
        <w:rPr>
          <w:rFonts w:ascii="Times New Roman" w:eastAsia="Calibri" w:hAnsi="Times New Roman" w:cs="Times New Roman"/>
          <w:noProof/>
          <w:sz w:val="24"/>
          <w:szCs w:val="24"/>
        </w:rPr>
      </w:pPr>
      <w:r>
        <w:rPr>
          <w:rFonts w:ascii="Times New Roman" w:eastAsia="Calibri" w:hAnsi="Times New Roman" w:cs="Times New Roman"/>
          <w:noProof/>
          <w:sz w:val="24"/>
          <w:szCs w:val="24"/>
        </w:rPr>
        <w:t>manufacturing – with a consortium of 50 partners, EIT Manufacturing’s mission is to bring European manufacturing actors together in innovation ecosystems to support sustainable and competitive manufacturing.</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 xml:space="preserve">8. </w:t>
      </w:r>
      <w:r>
        <w:rPr>
          <w:rFonts w:ascii="Times New Roman" w:eastAsia="Times New Roman" w:hAnsi="Times New Roman" w:cs="Times New Roman"/>
          <w:b/>
          <w:smallCaps/>
          <w:noProof/>
          <w:sz w:val="24"/>
          <w:szCs w:val="24"/>
          <w:lang w:eastAsia="en-GB"/>
        </w:rPr>
        <w:tab/>
        <w:t>Dissemination, exploitation and communication</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Commission opened a new</w:t>
      </w:r>
      <w:r>
        <w:rPr>
          <w:rFonts w:ascii="Times New Roman" w:eastAsia="Calibri" w:hAnsi="Times New Roman" w:cs="Times New Roman"/>
          <w:b/>
          <w:noProof/>
          <w:sz w:val="24"/>
          <w:szCs w:val="24"/>
          <w:lang w:eastAsia="en-GB"/>
        </w:rPr>
        <w:t xml:space="preserve"> corporate funding and tender opportunities portal</w:t>
      </w:r>
      <w:r>
        <w:rPr>
          <w:rStyle w:val="FootnoteReference"/>
          <w:rFonts w:eastAsiaTheme="minorHAnsi"/>
          <w:b/>
          <w:noProof/>
        </w:rPr>
        <w:footnoteReference w:id="62"/>
      </w:r>
      <w:r>
        <w:rPr>
          <w:rFonts w:ascii="Times New Roman" w:eastAsia="Calibri" w:hAnsi="Times New Roman" w:cs="Times New Roman"/>
          <w:noProof/>
          <w:sz w:val="24"/>
          <w:szCs w:val="24"/>
          <w:lang w:eastAsia="en-GB"/>
        </w:rPr>
        <w:t>. This is now the single entry point for finding and managing EU grants and procurement contracts; it will cover all centrally managed programmes by the start of the next multiannual period in 2021.</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Horizon 2020 dashboard</w:t>
      </w:r>
      <w:r>
        <w:rPr>
          <w:rStyle w:val="FootnoteReference"/>
          <w:rFonts w:eastAsiaTheme="minorHAnsi"/>
          <w:b/>
          <w:noProof/>
        </w:rPr>
        <w:footnoteReference w:id="63"/>
      </w:r>
      <w:r>
        <w:rPr>
          <w:rFonts w:ascii="Times New Roman" w:eastAsia="Calibri" w:hAnsi="Times New Roman" w:cs="Times New Roman"/>
          <w:noProof/>
          <w:sz w:val="24"/>
          <w:szCs w:val="24"/>
          <w:lang w:eastAsia="en-GB"/>
        </w:rPr>
        <w:t xml:space="preserve"> operated successfully, offering powerful new analytical functions that will inform programme reporting, impact analysis and feedback for policy</w:t>
      </w:r>
      <w:r>
        <w:rPr>
          <w:rFonts w:ascii="Times New Roman" w:eastAsia="Calibri" w:hAnsi="Times New Roman" w:cs="Times New Roman"/>
          <w:noProof/>
          <w:sz w:val="24"/>
          <w:szCs w:val="24"/>
          <w:lang w:eastAsia="en-GB"/>
        </w:rPr>
        <w:noBreakHyphen/>
        <w:t>making.</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CORDIS website</w:t>
      </w:r>
      <w:r>
        <w:rPr>
          <w:rStyle w:val="FootnoteReference"/>
          <w:rFonts w:eastAsiaTheme="minorHAnsi"/>
          <w:b/>
          <w:noProof/>
        </w:rPr>
        <w:footnoteReference w:id="64"/>
      </w:r>
      <w:r>
        <w:rPr>
          <w:rFonts w:ascii="Times New Roman" w:eastAsia="Calibri" w:hAnsi="Times New Roman" w:cs="Times New Roman"/>
          <w:noProof/>
          <w:sz w:val="24"/>
          <w:szCs w:val="24"/>
          <w:lang w:eastAsia="en-GB"/>
        </w:rPr>
        <w:t xml:space="preserve"> </w:t>
      </w:r>
      <w:r>
        <w:rPr>
          <w:rFonts w:ascii="Times New Roman" w:eastAsia="SimSun" w:hAnsi="Times New Roman" w:cs="Times New Roman"/>
          <w:noProof/>
          <w:sz w:val="24"/>
          <w:szCs w:val="20"/>
          <w:lang w:eastAsia="zh-CN"/>
        </w:rPr>
        <w:t>was redesigned to improve user experience and strengthen its mission as the European Commission's primary public service to disseminate information on the results of all EU-funded research projects, through its transparent and open data repository of EU projects from FP1 to Horizon 2020 and multilingual articles and publications that help to foster exploitation and innovation.</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Building on the success of open access and open data schemes, the Commission contributed to </w:t>
      </w:r>
      <w:r>
        <w:rPr>
          <w:rFonts w:ascii="Times New Roman" w:eastAsia="Calibri" w:hAnsi="Times New Roman" w:cs="Times New Roman"/>
          <w:b/>
          <w:i/>
          <w:noProof/>
          <w:sz w:val="24"/>
          <w:szCs w:val="24"/>
          <w:lang w:eastAsia="en-GB"/>
        </w:rPr>
        <w:t>Turning FAIR into reality</w:t>
      </w:r>
      <w:r>
        <w:rPr>
          <w:rStyle w:val="FootnoteReference"/>
          <w:rFonts w:eastAsia="Calibri"/>
          <w:noProof/>
          <w:sz w:val="24"/>
          <w:szCs w:val="24"/>
        </w:rPr>
        <w:footnoteReference w:id="65"/>
      </w:r>
      <w:r>
        <w:rPr>
          <w:rFonts w:ascii="Times New Roman" w:eastAsia="Calibri" w:hAnsi="Times New Roman" w:cs="Times New Roman"/>
          <w:noProof/>
          <w:sz w:val="24"/>
          <w:szCs w:val="24"/>
          <w:lang w:eastAsia="en-GB"/>
        </w:rPr>
        <w:t>, the final report from its expert group on findable, accessible, interoperable and reusable (FAIR) data, which also sets out an action plan to exploit the potential of data</w:t>
      </w:r>
      <w:r>
        <w:rPr>
          <w:rFonts w:ascii="Times New Roman" w:eastAsia="Calibri" w:hAnsi="Times New Roman" w:cs="Times New Roman"/>
          <w:noProof/>
          <w:sz w:val="24"/>
          <w:szCs w:val="24"/>
          <w:lang w:eastAsia="en-GB"/>
        </w:rPr>
        <w:noBreakHyphen/>
        <w:t>driven R&amp;I.</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of January 2019, the open access clause of the Horizon 2020 </w:t>
      </w:r>
      <w:r>
        <w:rPr>
          <w:rFonts w:ascii="Times New Roman" w:eastAsia="Calibri" w:hAnsi="Times New Roman" w:cs="Times New Roman"/>
          <w:b/>
          <w:noProof/>
          <w:sz w:val="24"/>
          <w:szCs w:val="24"/>
          <w:lang w:eastAsia="en-GB"/>
        </w:rPr>
        <w:t xml:space="preserve">model grant agreement </w:t>
      </w:r>
      <w:r>
        <w:rPr>
          <w:rFonts w:ascii="Times New Roman" w:eastAsia="Calibri" w:hAnsi="Times New Roman" w:cs="Times New Roman"/>
          <w:noProof/>
          <w:sz w:val="24"/>
          <w:szCs w:val="24"/>
          <w:lang w:eastAsia="en-GB"/>
        </w:rPr>
        <w:t>ensures the full availability of the 54,635 scientific publications generated through the currently ongoing Horizon 2020 projects.</w:t>
      </w:r>
    </w:p>
    <w:p>
      <w:pPr>
        <w:keepNext/>
        <w:tabs>
          <w:tab w:val="left" w:pos="850"/>
        </w:tabs>
        <w:spacing w:after="240" w:line="240" w:lineRule="auto"/>
        <w:ind w:left="567" w:hanging="567"/>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 xml:space="preserve">9. </w:t>
      </w:r>
      <w:r>
        <w:rPr>
          <w:rFonts w:ascii="Times New Roman" w:eastAsia="Times New Roman" w:hAnsi="Times New Roman" w:cs="Times New Roman"/>
          <w:b/>
          <w:smallCaps/>
          <w:noProof/>
          <w:sz w:val="24"/>
          <w:szCs w:val="24"/>
          <w:lang w:eastAsia="en-GB"/>
        </w:rPr>
        <w:tab/>
        <w:t xml:space="preserve">Outlook  </w:t>
      </w:r>
    </w:p>
    <w:p>
      <w:pPr>
        <w:spacing w:after="240" w:line="240" w:lineRule="auto"/>
        <w:jc w:val="both"/>
        <w:textAlignment w:val="bottom"/>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2019, the inter-institutional negotiations on </w:t>
      </w:r>
      <w:r>
        <w:rPr>
          <w:rFonts w:ascii="Times New Roman" w:eastAsia="Times New Roman" w:hAnsi="Times New Roman" w:cs="Times New Roman"/>
          <w:b/>
          <w:noProof/>
          <w:sz w:val="24"/>
          <w:szCs w:val="24"/>
          <w:lang w:eastAsia="en-GB"/>
        </w:rPr>
        <w:t>Horizon Europe</w:t>
      </w:r>
      <w:r>
        <w:rPr>
          <w:rFonts w:ascii="Times New Roman" w:eastAsia="Times New Roman" w:hAnsi="Times New Roman" w:cs="Times New Roman"/>
          <w:noProof/>
          <w:sz w:val="24"/>
          <w:szCs w:val="24"/>
          <w:lang w:eastAsia="en-GB"/>
        </w:rPr>
        <w:t xml:space="preserve"> will continue. If political agreement can be reached with the European Parliament and the Council on substantial elements of the legislative package, it will be possible to start co-designing the programme activities and implement them on time. This will ensure the continuity of EU support and effective directionality, based on ongoing dialogue with all stakeholders. </w:t>
      </w:r>
    </w:p>
    <w:p>
      <w:pPr>
        <w:spacing w:after="240" w:line="240" w:lineRule="auto"/>
        <w:jc w:val="both"/>
        <w:textAlignment w:val="bottom"/>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Substantial effort will go into formulating an </w:t>
      </w:r>
      <w:r>
        <w:rPr>
          <w:rFonts w:ascii="Times New Roman" w:eastAsia="Times New Roman" w:hAnsi="Times New Roman" w:cs="Times New Roman"/>
          <w:b/>
          <w:noProof/>
          <w:sz w:val="24"/>
          <w:szCs w:val="24"/>
          <w:lang w:eastAsia="en-GB"/>
        </w:rPr>
        <w:t>overall EU policy</w:t>
      </w:r>
      <w:r>
        <w:rPr>
          <w:rFonts w:ascii="Times New Roman" w:eastAsia="Times New Roman" w:hAnsi="Times New Roman" w:cs="Times New Roman"/>
          <w:noProof/>
          <w:sz w:val="24"/>
          <w:szCs w:val="24"/>
          <w:lang w:eastAsia="en-GB"/>
        </w:rPr>
        <w:t xml:space="preserve"> to promote more and better R&amp;I in Europe that supports sustainable development and delivers on the EU’s strategic objectives, in particular by designing an overarching strategy and framework for investing the EU’s resources, driving reforms and improving regulatory framework conditions.</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7700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eastAsia="Calibri"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https://ec.europa.eu/info/sites/info/files/com-2018-306-a-renewed-european-agenda-_for_research-and-innovation_may_2018_en_0.pdf</w:t>
        </w:r>
      </w:hyperlink>
    </w:p>
  </w:footnote>
  <w:footnote w:id="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https://ec.europa.eu/info/sites/info/files/file_import/2019-european-semester-annual-growth-survey_en_1.pdf</w:t>
        </w:r>
      </w:hyperlink>
    </w:p>
  </w:footnote>
  <w:footnote w:id="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https://ec.europa.eu/info/sites/info/files/rec-17-015-srip-report2018_mep-web-20180228.pdf</w:t>
        </w:r>
      </w:hyperlink>
    </w:p>
  </w:footnote>
  <w:footnote w:id="4">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https://ec.europa.eu/commission/sites/beta-political/files/communication_investment_plan_for_europe_nov2018.pdf</w:t>
        </w:r>
      </w:hyperlink>
    </w:p>
  </w:footnote>
  <w:footnote w:id="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https://ec.europa.eu/research/evaluations/pdf/archive/h2020_evaluations/swd(2017)220-in-depth-interim_evaluation-h2020.pdf</w:t>
        </w:r>
      </w:hyperlink>
    </w:p>
  </w:footnote>
  <w:footnote w:id="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https://eur-lex.europa.eu/content/news/general-data-protection-regulation-GDPR-applies-from-25-May-2018.html</w:t>
        </w:r>
      </w:hyperlink>
    </w:p>
  </w:footnote>
  <w:footnote w:id="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https://ec.europa.eu/digital-single-market/en/news/eu-member-states-sign-cooperate-artificial-intelligence</w:t>
        </w:r>
      </w:hyperlink>
      <w:r>
        <w:rPr>
          <w:rStyle w:val="Hyperlink"/>
          <w:rFonts w:ascii="Times New Roman" w:hAnsi="Times New Roman" w:cs="Times New Roman"/>
        </w:rPr>
        <w:t>.</w:t>
      </w:r>
    </w:p>
  </w:footnote>
  <w:footnote w:id="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https://ec.europa.eu/digital-single-market/en/eurohpc-joint-undertaking</w:t>
        </w:r>
      </w:hyperlink>
    </w:p>
  </w:footnote>
  <w:footnote w:id="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https://www.ipcc.ch/site/assets/uploads/sites/2/2018/07/SR15_SPM_High_Res.pdf</w:t>
        </w:r>
      </w:hyperlink>
    </w:p>
  </w:footnote>
  <w:footnote w:id="1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https://ec.europa.eu/clima/sites/clima/files/docs/pages/com_2018_733_en.pdf</w:t>
        </w:r>
      </w:hyperlink>
    </w:p>
  </w:footnote>
  <w:footnote w:id="11">
    <w:p>
      <w:pPr>
        <w:pStyle w:val="FootnoteText"/>
      </w:pPr>
      <w:r>
        <w:rPr>
          <w:rStyle w:val="FootnoteReference"/>
          <w:rFonts w:eastAsiaTheme="minorHAnsi"/>
        </w:rPr>
        <w:footnoteRef/>
      </w:r>
      <w:r>
        <w:t xml:space="preserve"> https://ec.europa.eu/clima/sites/clima/files/docs/pages/com_2018_733_en.pdf</w:t>
      </w:r>
    </w:p>
  </w:footnote>
  <w:footnote w:id="1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https://ec.europa.eu/research/evaluations/pdf/archive/other_reports_studies_and_documents/hlg_2017_report.pd</w:t>
        </w:r>
      </w:hyperlink>
      <w:r>
        <w:rPr>
          <w:rStyle w:val="Hyperlink"/>
          <w:rFonts w:ascii="Times New Roman" w:hAnsi="Times New Roman" w:cs="Times New Roman"/>
        </w:rPr>
        <w:t>f</w:t>
      </w:r>
    </w:p>
  </w:footnote>
  <w:footnote w:id="1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2" w:history="1">
        <w:r>
          <w:rPr>
            <w:rStyle w:val="Hyperlink"/>
            <w:rFonts w:ascii="Times New Roman" w:hAnsi="Times New Roman" w:cs="Times New Roman"/>
          </w:rPr>
          <w:t>https://www.consilium.europa.eu/media/37219/st14406-en18.pdf</w:t>
        </w:r>
      </w:hyperlink>
    </w:p>
  </w:footnote>
  <w:footnote w:id="14">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3" w:history="1">
        <w:r>
          <w:rPr>
            <w:rStyle w:val="Hyperlink"/>
            <w:rFonts w:ascii="Times New Roman" w:hAnsi="Times New Roman" w:cs="Times New Roman"/>
          </w:rPr>
          <w:t>http://www.europarl.europa.eu/sides/getDoc.do?pubRef=-//EP//TEXT+TA+P8-TA-2018-0509+0+DOC+XML+V0//EN&amp;language=EN</w:t>
        </w:r>
      </w:hyperlink>
    </w:p>
  </w:footnote>
  <w:footnote w:id="1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4" w:history="1">
        <w:r>
          <w:rPr>
            <w:rStyle w:val="Hyperlink"/>
            <w:rFonts w:ascii="Times New Roman" w:hAnsi="Times New Roman" w:cs="Times New Roman"/>
          </w:rPr>
          <w:t>https://ec.europa.eu/info/sites/info/files/mazzucato_report_2018.pdf</w:t>
        </w:r>
      </w:hyperlink>
    </w:p>
  </w:footnote>
  <w:footnote w:id="1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https://ec.europa.eu/info/publications/2018-european-semester-country-reports_en</w:t>
        </w:r>
      </w:hyperlink>
    </w:p>
  </w:footnote>
  <w:footnote w:id="1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6" w:history="1">
        <w:r>
          <w:rPr>
            <w:rStyle w:val="Hyperlink"/>
            <w:rFonts w:ascii="Times New Roman" w:hAnsi="Times New Roman" w:cs="Times New Roman"/>
          </w:rPr>
          <w:t>https://ec.europa.eu/info/news/eic-pilot-eu1734-million-top-class-innovators-bring-their-innovations-faster-market-2018-dec-20_en</w:t>
        </w:r>
      </w:hyperlink>
    </w:p>
  </w:footnote>
  <w:footnote w:id="1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7" w:history="1">
        <w:r>
          <w:rPr>
            <w:rStyle w:val="Hyperlink"/>
            <w:rFonts w:ascii="Times New Roman" w:hAnsi="Times New Roman" w:cs="Times New Roman"/>
          </w:rPr>
          <w:t>https://publications.europa.eu/en/publication-detail/-/publication/0635b07f-07bb-11e7-8a35-01aa75ed71a1/language-en</w:t>
        </w:r>
      </w:hyperlink>
    </w:p>
  </w:footnote>
  <w:footnote w:id="1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8" w:history="1">
        <w:r>
          <w:rPr>
            <w:rStyle w:val="Hyperlink"/>
            <w:rFonts w:ascii="Times New Roman" w:hAnsi="Times New Roman" w:cs="Times New Roman"/>
          </w:rPr>
          <w:t>http://europa.eu/rapid/press-release_IP-18-2763_en.htm</w:t>
        </w:r>
      </w:hyperlink>
    </w:p>
  </w:footnote>
  <w:footnote w:id="2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19" w:history="1">
        <w:r>
          <w:rPr>
            <w:rStyle w:val="Hyperlink"/>
            <w:rFonts w:ascii="Times New Roman" w:hAnsi="Times New Roman" w:cs="Times New Roman"/>
          </w:rPr>
          <w:t>https://ec.europa.eu/info/sites/info/files/rec-17-015-srip-report2018_mep-web-20180228.pdf</w:t>
        </w:r>
      </w:hyperlink>
    </w:p>
  </w:footnote>
  <w:footnote w:id="21">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0" w:history="1">
        <w:r>
          <w:rPr>
            <w:rStyle w:val="Hyperlink"/>
            <w:rFonts w:ascii="Times New Roman" w:hAnsi="Times New Roman" w:cs="Times New Roman"/>
          </w:rPr>
          <w:t>https://publications.europa.eu/en/web/eu-law-and-publications/publication-detail/-/publication/5253a1af-ee10-11e8-b690-01aa75ed71a1</w:t>
        </w:r>
      </w:hyperlink>
    </w:p>
  </w:footnote>
  <w:footnote w:id="2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1" w:history="1">
        <w:r>
          <w:rPr>
            <w:rStyle w:val="Hyperlink"/>
            <w:rFonts w:ascii="Times New Roman" w:hAnsi="Times New Roman" w:cs="Times New Roman"/>
          </w:rPr>
          <w:t>https://eur-lex.europa.eu/legal-content/EN/TXT/PDF/?uri=CELEX:32018H0790&amp;from=EN</w:t>
        </w:r>
      </w:hyperlink>
    </w:p>
  </w:footnote>
  <w:footnote w:id="2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2" w:history="1">
        <w:r>
          <w:rPr>
            <w:rStyle w:val="Hyperlink"/>
            <w:rFonts w:ascii="Times New Roman" w:hAnsi="Times New Roman" w:cs="Times New Roman"/>
          </w:rPr>
          <w:t>https://ec.europa.eu/commission/commissioners/2014-2019/moedas/announcements/plan-s-and-coalition-s-accelerating-transition-full-and-immediate-open-access-scientific_en</w:t>
        </w:r>
      </w:hyperlink>
    </w:p>
  </w:footnote>
  <w:footnote w:id="24">
    <w:p>
      <w:pPr>
        <w:pStyle w:val="FootnoteText"/>
        <w:ind w:left="284" w:hanging="284"/>
        <w:jc w:val="both"/>
        <w:rPr>
          <w:rFonts w:ascii="Times New Roman" w:hAnsi="Times New Roman" w:cs="Times New Roman"/>
          <w:i/>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3" w:history="1">
        <w:r>
          <w:rPr>
            <w:rStyle w:val="Hyperlink"/>
            <w:rFonts w:ascii="Times New Roman" w:hAnsi="Times New Roman" w:cs="Times New Roman"/>
          </w:rPr>
          <w:t>https://ec.europa.eu/info/funding-tenders/opportunities/portal/screen/opportunities/topic-details/lc-cla-01-2018</w:t>
        </w:r>
      </w:hyperlink>
      <w:r>
        <w:rPr>
          <w:rStyle w:val="Hyperlink"/>
          <w:rFonts w:ascii="Times New Roman" w:hAnsi="Times New Roman" w:cs="Times New Roman"/>
        </w:rPr>
        <w:t>.</w:t>
      </w:r>
    </w:p>
  </w:footnote>
  <w:footnote w:id="2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4" w:history="1">
        <w:r>
          <w:rPr>
            <w:rStyle w:val="Hyperlink"/>
            <w:rFonts w:ascii="Times New Roman" w:hAnsi="Times New Roman" w:cs="Times New Roman"/>
          </w:rPr>
          <w:t>https://ec.europa.eu/research/index.cfm?pg=events&amp;eventcode=187D5765-E38F-9AFC-958DA987ECDD0613</w:t>
        </w:r>
      </w:hyperlink>
      <w:r>
        <w:rPr>
          <w:rStyle w:val="Hyperlink"/>
          <w:rFonts w:ascii="Times New Roman" w:hAnsi="Times New Roman" w:cs="Times New Roman"/>
        </w:rPr>
        <w:t>.</w:t>
      </w:r>
    </w:p>
  </w:footnote>
  <w:footnote w:id="2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5" w:history="1">
        <w:r>
          <w:rPr>
            <w:rStyle w:val="Hyperlink"/>
            <w:rFonts w:ascii="Times New Roman" w:hAnsi="Times New Roman" w:cs="Times New Roman"/>
          </w:rPr>
          <w:t>https://www.arcticscienceministerial.org/files/ASM2_Joint_Statement.pdf</w:t>
        </w:r>
      </w:hyperlink>
    </w:p>
  </w:footnote>
  <w:footnote w:id="2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6" w:history="1">
        <w:r>
          <w:rPr>
            <w:rStyle w:val="Hyperlink"/>
            <w:rFonts w:ascii="Times New Roman" w:hAnsi="Times New Roman" w:cs="Times New Roman"/>
          </w:rPr>
          <w:t>https://ec.europa.eu/research/bioeconomy/pdf/ec_bioeconomy_strategy_2018.pdf</w:t>
        </w:r>
      </w:hyperlink>
    </w:p>
  </w:footnote>
  <w:footnote w:id="2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7" w:history="1">
        <w:r>
          <w:rPr>
            <w:rStyle w:val="Hyperlink"/>
            <w:rFonts w:ascii="Times New Roman" w:hAnsi="Times New Roman" w:cs="Times New Roman"/>
          </w:rPr>
          <w:t>https://ec.europa.eu/clima/sites/clima/files/docs/pages/com_2018_733_en.pdf</w:t>
        </w:r>
      </w:hyperlink>
    </w:p>
  </w:footnote>
  <w:footnote w:id="29">
    <w:p>
      <w:pPr>
        <w:pStyle w:val="FootnoteText"/>
        <w:ind w:left="284" w:hanging="284"/>
        <w:jc w:val="both"/>
        <w:rPr>
          <w:rFonts w:ascii="Times New Roman" w:hAnsi="Times New Roman" w:cs="Times New Roman"/>
        </w:rPr>
      </w:pPr>
      <w:r>
        <w:rPr>
          <w:rStyle w:val="FootnoteReference"/>
          <w:rFonts w:eastAsia="Calibri"/>
        </w:rPr>
        <w:footnoteRef/>
      </w:r>
      <w:hyperlink r:id="rId28" w:history="1">
        <w:r>
          <w:rPr>
            <w:rStyle w:val="Hyperlink"/>
            <w:rFonts w:ascii="Times New Roman" w:hAnsi="Times New Roman" w:cs="Times New Roman"/>
          </w:rPr>
          <w:t xml:space="preserve"> </w:t>
        </w:r>
        <w:r>
          <w:rPr>
            <w:rStyle w:val="Hyperlink"/>
            <w:rFonts w:ascii="Times New Roman" w:hAnsi="Times New Roman" w:cs="Times New Roman"/>
          </w:rPr>
          <w:tab/>
          <w:t>https://ec.europa.eu/energy/sites/ener/files/documents/1_en_act_part1_v6_0.pdf</w:t>
        </w:r>
      </w:hyperlink>
    </w:p>
  </w:footnote>
  <w:footnote w:id="3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r>
        <w:rPr>
          <w:rStyle w:val="Hyperlink"/>
          <w:rFonts w:ascii="Times New Roman" w:hAnsi="Times New Roman" w:cs="Times New Roman"/>
        </w:rPr>
        <w:t>https://publications.europa.eu/en/publication-detail/-/publication/28e1c485-476a-11e8-be1d-01aa75ed71a1</w:t>
      </w:r>
    </w:p>
  </w:footnote>
  <w:footnote w:id="31">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29" w:history="1">
        <w:r>
          <w:rPr>
            <w:rStyle w:val="Hyperlink"/>
            <w:rFonts w:ascii="Times New Roman" w:hAnsi="Times New Roman" w:cs="Times New Roman"/>
          </w:rPr>
          <w:t>https://ec.europa.eu/research/sam/pdf/c_2018_1919_ec_decision_consolidated.pdf</w:t>
        </w:r>
      </w:hyperlink>
    </w:p>
  </w:footnote>
  <w:footnote w:id="3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0" w:history="1">
        <w:r>
          <w:rPr>
            <w:rStyle w:val="Hyperlink"/>
            <w:rFonts w:ascii="Times New Roman" w:hAnsi="Times New Roman" w:cs="Times New Roman"/>
          </w:rPr>
          <w:t>https://ec.europa.eu/research/sam/pdf/sam_ccu_report.pdf</w:t>
        </w:r>
      </w:hyperlink>
    </w:p>
  </w:footnote>
  <w:footnote w:id="3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1" w:history="1">
        <w:r>
          <w:rPr>
            <w:rStyle w:val="Hyperlink"/>
            <w:rFonts w:ascii="Times New Roman" w:hAnsi="Times New Roman" w:cs="Times New Roman"/>
          </w:rPr>
          <w:t>https://ec.europa.eu/info/sites/info/files/2018_11_gcsa_statement_gene_editing_1.pdf</w:t>
        </w:r>
      </w:hyperlink>
    </w:p>
  </w:footnote>
  <w:footnote w:id="34">
    <w:p>
      <w:pPr>
        <w:pStyle w:val="FootnoteText"/>
      </w:pPr>
      <w:r>
        <w:rPr>
          <w:rStyle w:val="FootnoteReference"/>
          <w:rFonts w:eastAsiaTheme="minorHAnsi"/>
        </w:rPr>
        <w:footnoteRef/>
      </w:r>
      <w:r>
        <w:t xml:space="preserve"> https://ec.europa.eu/growth/industry/policy/european-battery-alliance_en</w:t>
      </w:r>
    </w:p>
  </w:footnote>
  <w:footnote w:id="3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2" w:history="1">
        <w:r>
          <w:rPr>
            <w:rStyle w:val="Hyperlink"/>
            <w:rFonts w:ascii="Times New Roman" w:hAnsi="Times New Roman" w:cs="Times New Roman"/>
          </w:rPr>
          <w:t>https://ec.europa.eu/transport/sites/transport/files/3rd-mobility-pack/com20180283_en.pdf</w:t>
        </w:r>
      </w:hyperlink>
    </w:p>
  </w:footnote>
  <w:footnote w:id="36">
    <w:p>
      <w:pPr>
        <w:pStyle w:val="FootnoteText"/>
      </w:pPr>
      <w:r>
        <w:rPr>
          <w:rStyle w:val="FootnoteReference"/>
          <w:rFonts w:eastAsiaTheme="minorHAnsi"/>
        </w:rPr>
        <w:footnoteRef/>
      </w:r>
      <w:r>
        <w:t xml:space="preserve"> https://ec.europa.eu/commission/news/endocrine-disruptors-strategy-and-european-citizens-initiative-2018-nov-07_en</w:t>
      </w:r>
    </w:p>
  </w:footnote>
  <w:footnote w:id="3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t>Situation as of 11 February 2019 (extraction from Horizon 2020 dashboard).</w:t>
      </w:r>
    </w:p>
  </w:footnote>
  <w:footnote w:id="3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3" w:history="1">
        <w:r>
          <w:rPr>
            <w:rStyle w:val="Hyperlink"/>
            <w:rFonts w:ascii="Times New Roman" w:hAnsi="Times New Roman" w:cs="Times New Roman"/>
          </w:rPr>
          <w:t>https://ec.europa.eu/info/sites/info/files/eic_hlg_bz_web.pdf</w:t>
        </w:r>
      </w:hyperlink>
    </w:p>
  </w:footnote>
  <w:footnote w:id="3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4" w:history="1">
        <w:r>
          <w:rPr>
            <w:rStyle w:val="Hyperlink"/>
            <w:rFonts w:ascii="Times New Roman" w:hAnsi="Times New Roman" w:cs="Times New Roman"/>
          </w:rPr>
          <w:t>https://eur-lex.europa.eu/legal-content/EN/TXT/?uri=COM:2016:733:FIN</w:t>
        </w:r>
      </w:hyperlink>
    </w:p>
  </w:footnote>
  <w:footnote w:id="4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5" w:history="1">
        <w:r>
          <w:rPr>
            <w:rStyle w:val="Hyperlink"/>
            <w:rFonts w:ascii="Times New Roman" w:hAnsi="Times New Roman" w:cs="Times New Roman"/>
          </w:rPr>
          <w:t>http://ec.europa.eu/research/eic/pdf/eic_recommendations_set-1_2017.pdf</w:t>
        </w:r>
      </w:hyperlink>
    </w:p>
  </w:footnote>
  <w:footnote w:id="41">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6" w:history="1">
        <w:r>
          <w:rPr>
            <w:rStyle w:val="Hyperlink"/>
            <w:rFonts w:ascii="Times New Roman" w:hAnsi="Times New Roman" w:cs="Times New Roman"/>
          </w:rPr>
          <w:t>https://www.consilium.europa.eu/en/press/press-releases/2018/06/29/20180628-euco-conclusions-final/</w:t>
        </w:r>
      </w:hyperlink>
    </w:p>
  </w:footnote>
  <w:footnote w:id="4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7" w:history="1">
        <w:r>
          <w:rPr>
            <w:rStyle w:val="Hyperlink"/>
            <w:rFonts w:ascii="Times New Roman" w:hAnsi="Times New Roman" w:cs="Times New Roman"/>
          </w:rPr>
          <w:t>http://ec.europa.eu/research/iscp/index.cfm?pg=countries</w:t>
        </w:r>
      </w:hyperlink>
    </w:p>
  </w:footnote>
  <w:footnote w:id="4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8" w:history="1">
        <w:r>
          <w:rPr>
            <w:rStyle w:val="Hyperlink"/>
            <w:rFonts w:ascii="Times New Roman" w:hAnsi="Times New Roman" w:cs="Times New Roman"/>
          </w:rPr>
          <w:t>http://ec.europa.eu/research/iscp/index.cfm?pg=regions</w:t>
        </w:r>
      </w:hyperlink>
    </w:p>
  </w:footnote>
  <w:footnote w:id="44">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39" w:history="1">
        <w:r>
          <w:rPr>
            <w:rStyle w:val="Hyperlink"/>
            <w:rFonts w:ascii="Times New Roman" w:hAnsi="Times New Roman" w:cs="Times New Roman"/>
          </w:rPr>
          <w:t>https://ec.europa.eu/programmes/horizon2020/en/news/widening-participation-horizon-2020-report-analysis-fp-participation-patterns-and-ri</w:t>
        </w:r>
      </w:hyperlink>
    </w:p>
  </w:footnote>
  <w:footnote w:id="4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0" w:history="1">
        <w:r>
          <w:rPr>
            <w:rStyle w:val="Hyperlink"/>
            <w:rFonts w:ascii="Times New Roman" w:hAnsi="Times New Roman" w:cs="Times New Roman"/>
          </w:rPr>
          <w:t>https://rio.jrc.ec.europa.eu/en/library/peer-review-estonian-research-and-innovation-system-factsheet</w:t>
        </w:r>
      </w:hyperlink>
    </w:p>
  </w:footnote>
  <w:footnote w:id="4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t>https://publications.europa.eu/en/publication-detail/-/publication/4365f75a-5efe-11e8-ab9c-01aa75ed71a1/language-en</w:t>
      </w:r>
    </w:p>
  </w:footnote>
  <w:footnote w:id="4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1" w:history="1">
        <w:r>
          <w:rPr>
            <w:rStyle w:val="Hyperlink"/>
            <w:rFonts w:ascii="Times New Roman" w:hAnsi="Times New Roman" w:cs="Times New Roman"/>
          </w:rPr>
          <w:t>https://ec.europa.eu/research/swafs/pdf/pub_gender_equality/interim_evaluation_gender_long_final.pdf</w:t>
        </w:r>
      </w:hyperlink>
    </w:p>
  </w:footnote>
  <w:footnote w:id="4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2" w:history="1">
        <w:r>
          <w:rPr>
            <w:rStyle w:val="Hyperlink"/>
            <w:rFonts w:ascii="Times New Roman" w:hAnsi="Times New Roman" w:cs="Times New Roman"/>
          </w:rPr>
          <w:t>http://www.ncpacademy.eu/wp-content/uploads/2018/09/20180222_Gender-Equality-in-H2020.pdf</w:t>
        </w:r>
      </w:hyperlink>
    </w:p>
  </w:footnote>
  <w:footnote w:id="4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3" w:history="1">
        <w:r>
          <w:rPr>
            <w:rStyle w:val="Hyperlink"/>
            <w:rFonts w:ascii="Times New Roman" w:hAnsi="Times New Roman" w:cs="Times New Roman"/>
          </w:rPr>
          <w:t>http://ec.europa.eu/research/swafs/pdf/pub_gender_equality/KI-07-17-199-EN-N.pdf</w:t>
        </w:r>
      </w:hyperlink>
    </w:p>
  </w:footnote>
  <w:footnote w:id="50">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t>See in particular recital 10;</w:t>
      </w:r>
      <w:r>
        <w:rPr>
          <w:rFonts w:ascii="Times New Roman" w:hAnsi="Times New Roman" w:cs="Times New Roman"/>
        </w:rPr>
        <w:tab/>
      </w:r>
      <w:r>
        <w:rPr>
          <w:rFonts w:ascii="Times New Roman" w:hAnsi="Times New Roman" w:cs="Times New Roman"/>
        </w:rPr>
        <w:br/>
      </w:r>
      <w:hyperlink r:id="rId44" w:history="1">
        <w:r>
          <w:rPr>
            <w:rStyle w:val="Hyperlink"/>
            <w:rFonts w:ascii="Times New Roman" w:hAnsi="Times New Roman" w:cs="Times New Roman"/>
          </w:rPr>
          <w:t>http://ec.europa.eu/research/participants/data/ref/h2020/legal_basis/fp/h2020-eu-establact_en.pdf</w:t>
        </w:r>
      </w:hyperlink>
      <w:r>
        <w:rPr>
          <w:rFonts w:ascii="Times New Roman" w:hAnsi="Times New Roman" w:cs="Times New Roman"/>
        </w:rPr>
        <w:t xml:space="preserve"> </w:t>
      </w:r>
    </w:p>
  </w:footnote>
  <w:footnote w:id="51">
    <w:p>
      <w:pPr>
        <w:pStyle w:val="FootnoteText"/>
      </w:pPr>
      <w:r>
        <w:rPr>
          <w:rStyle w:val="FootnoteReference"/>
          <w:rFonts w:eastAsiaTheme="minorHAnsi"/>
        </w:rPr>
        <w:footnoteRef/>
      </w:r>
      <w:r>
        <w:t xml:space="preserve"> Thid does not include expenditure outside of the specific objectives, such as administrative expenditure. </w:t>
      </w:r>
    </w:p>
  </w:footnote>
  <w:footnote w:id="52">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5" w:history="1">
        <w:r>
          <w:rPr>
            <w:rStyle w:val="Hyperlink"/>
            <w:rFonts w:ascii="Times New Roman" w:hAnsi="Times New Roman" w:cs="Times New Roman"/>
          </w:rPr>
          <w:t>https://rio.jrc.ec.europa.eu/en/policy-support-facility/mle-national-practices-widening-participation-and-strengthening-synergies</w:t>
        </w:r>
      </w:hyperlink>
    </w:p>
  </w:footnote>
  <w:footnote w:id="53">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6" w:history="1">
        <w:r>
          <w:rPr>
            <w:rStyle w:val="Hyperlink"/>
            <w:rFonts w:ascii="Times New Roman" w:hAnsi="Times New Roman" w:cs="Times New Roman"/>
          </w:rPr>
          <w:t>https://www.eca.europa.eu/en/Pages/DocItem.aspx?did=47542</w:t>
        </w:r>
      </w:hyperlink>
    </w:p>
  </w:footnote>
  <w:footnote w:id="54">
    <w:p>
      <w:pPr>
        <w:pStyle w:val="FootnoteText"/>
        <w:ind w:left="284" w:hanging="284"/>
        <w:jc w:val="both"/>
        <w:rPr>
          <w:rStyle w:val="Hyperlink"/>
          <w:rFonts w:ascii="Times New Roman" w:hAnsi="Times New Roman" w:cs="Times New Roman"/>
        </w:rPr>
      </w:pPr>
      <w:r>
        <w:rPr>
          <w:rStyle w:val="Hyperlink"/>
        </w:rPr>
        <w:footnoteRef/>
      </w:r>
      <w:r>
        <w:rPr>
          <w:rStyle w:val="Hyperlink"/>
          <w:rFonts w:ascii="Times New Roman" w:hAnsi="Times New Roman" w:cs="Times New Roman"/>
        </w:rPr>
        <w:t xml:space="preserve"> </w:t>
      </w:r>
      <w:r>
        <w:rPr>
          <w:rStyle w:val="Hyperlink"/>
          <w:rFonts w:ascii="Times New Roman" w:hAnsi="Times New Roman" w:cs="Times New Roman"/>
        </w:rPr>
        <w:tab/>
        <w:t>https://eur-lex.europa.eu/legal-content/EN/TXT/?qid=1558436373644&amp;uri=CELEX:32018R1563</w:t>
      </w:r>
    </w:p>
  </w:footnote>
  <w:footnote w:id="5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7" w:history="1">
        <w:r>
          <w:rPr>
            <w:rStyle w:val="Hyperlink"/>
            <w:rFonts w:ascii="Times New Roman" w:hAnsi="Times New Roman" w:cs="Times New Roman"/>
          </w:rPr>
          <w:t>https://ec.europa.eu/knowledge4policy/food-fraud_en</w:t>
        </w:r>
      </w:hyperlink>
    </w:p>
  </w:footnote>
  <w:footnote w:id="56">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8" w:history="1">
        <w:r>
          <w:rPr>
            <w:rStyle w:val="Hyperlink"/>
            <w:rFonts w:ascii="Times New Roman" w:hAnsi="Times New Roman" w:cs="Times New Roman"/>
          </w:rPr>
          <w:t>https://ec.europa.eu/knowledge4policy/global-food-nutrition-security_en</w:t>
        </w:r>
      </w:hyperlink>
    </w:p>
  </w:footnote>
  <w:footnote w:id="57">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49" w:history="1">
        <w:r>
          <w:rPr>
            <w:rStyle w:val="Hyperlink"/>
            <w:rFonts w:ascii="Times New Roman" w:hAnsi="Times New Roman" w:cs="Times New Roman"/>
          </w:rPr>
          <w:t>https://ec.europa.eu/jrc/en/event/conference/technology-transfer-competence-centre</w:t>
        </w:r>
      </w:hyperlink>
    </w:p>
  </w:footnote>
  <w:footnote w:id="58">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50" w:history="1">
        <w:r>
          <w:rPr>
            <w:rStyle w:val="Hyperlink"/>
            <w:rFonts w:ascii="Times New Roman" w:hAnsi="Times New Roman" w:cs="Times New Roman"/>
          </w:rPr>
          <w:t>https://ec.europa.eu/jrc/communities/en/community/jrc-alumni-network/article/ec-competence-centre-foresight</w:t>
        </w:r>
      </w:hyperlink>
    </w:p>
  </w:footnote>
  <w:footnote w:id="59">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51" w:history="1">
        <w:r>
          <w:rPr>
            <w:rStyle w:val="Hyperlink"/>
            <w:rFonts w:ascii="Times New Roman" w:hAnsi="Times New Roman" w:cs="Times New Roman"/>
          </w:rPr>
          <w:t>https://ec.europa.eu/commission/publications/reflection-paper-towards-sustainable-europe-2030_en</w:t>
        </w:r>
      </w:hyperlink>
    </w:p>
  </w:footnote>
  <w:footnote w:id="60">
    <w:p>
      <w:pPr>
        <w:pStyle w:val="FootnoteText"/>
      </w:pPr>
      <w:r>
        <w:rPr>
          <w:rStyle w:val="FootnoteReference"/>
          <w:rFonts w:eastAsiaTheme="minorHAnsi"/>
        </w:rPr>
        <w:footnoteRef/>
      </w:r>
      <w:r>
        <w:t xml:space="preserve"> EIT InnoEnergy, EIT Climate-KIC, EIT Digital, EIT RawMaterials, EIT Health, EIT Food. </w:t>
      </w:r>
    </w:p>
  </w:footnote>
  <w:footnote w:id="61">
    <w:p>
      <w:pPr>
        <w:pStyle w:val="FootnoteText"/>
      </w:pPr>
      <w:r>
        <w:rPr>
          <w:rStyle w:val="FootnoteReference"/>
          <w:rFonts w:eastAsiaTheme="minorHAnsi"/>
        </w:rPr>
        <w:footnoteRef/>
      </w:r>
      <w:r>
        <w:t xml:space="preserve"> https://www.forbes.com/consent/?toURL=https://www.forbes.com/30-under-30/2018/</w:t>
      </w:r>
    </w:p>
  </w:footnote>
  <w:footnote w:id="62">
    <w:p>
      <w:pPr>
        <w:pStyle w:val="FootnoteText"/>
      </w:pPr>
      <w:r>
        <w:rPr>
          <w:rStyle w:val="FootnoteReference"/>
          <w:rFonts w:eastAsiaTheme="minorHAnsi"/>
        </w:rPr>
        <w:footnoteRef/>
      </w:r>
      <w:r>
        <w:t xml:space="preserve"> https://ec.europa.eu/info/funding-tenders/opportunities/portal/screen/home</w:t>
      </w:r>
    </w:p>
  </w:footnote>
  <w:footnote w:id="63">
    <w:p>
      <w:pPr>
        <w:pStyle w:val="FootnoteText"/>
      </w:pPr>
      <w:r>
        <w:rPr>
          <w:rStyle w:val="FootnoteReference"/>
          <w:rFonts w:eastAsiaTheme="minorHAnsi"/>
        </w:rPr>
        <w:footnoteRef/>
      </w:r>
      <w:r>
        <w:t xml:space="preserve"> https://ec.europa.eu/info/funding-tenders/opportunities/portal/screen/opportunities/horizon-dashboard</w:t>
      </w:r>
    </w:p>
  </w:footnote>
  <w:footnote w:id="64">
    <w:p>
      <w:pPr>
        <w:pStyle w:val="FootnoteText"/>
      </w:pPr>
      <w:r>
        <w:rPr>
          <w:rStyle w:val="FootnoteReference"/>
          <w:rFonts w:eastAsiaTheme="minorHAnsi"/>
        </w:rPr>
        <w:footnoteRef/>
      </w:r>
      <w:r>
        <w:t xml:space="preserve"> https://cordis.europa.eu</w:t>
      </w:r>
    </w:p>
  </w:footnote>
  <w:footnote w:id="65">
    <w:p>
      <w:pPr>
        <w:pStyle w:val="FootnoteText"/>
        <w:ind w:left="284" w:hanging="284"/>
        <w:jc w:val="both"/>
        <w:rPr>
          <w:rFonts w:ascii="Times New Roman" w:hAnsi="Times New Roman" w:cs="Times New Roman"/>
        </w:rPr>
      </w:pPr>
      <w:r>
        <w:rPr>
          <w:rStyle w:val="FootnoteReference"/>
          <w:rFonts w:eastAsia="Calibri"/>
        </w:rPr>
        <w:footnoteRef/>
      </w:r>
      <w:r>
        <w:rPr>
          <w:rFonts w:ascii="Times New Roman" w:hAnsi="Times New Roman" w:cs="Times New Roman"/>
        </w:rPr>
        <w:t xml:space="preserve"> </w:t>
      </w:r>
      <w:r>
        <w:rPr>
          <w:rFonts w:ascii="Times New Roman" w:hAnsi="Times New Roman" w:cs="Times New Roman"/>
        </w:rPr>
        <w:tab/>
      </w:r>
      <w:hyperlink r:id="rId52" w:history="1">
        <w:r>
          <w:rPr>
            <w:rStyle w:val="Hyperlink"/>
            <w:rFonts w:ascii="Times New Roman" w:hAnsi="Times New Roman" w:cs="Times New Roman"/>
          </w:rPr>
          <w:t>https://ec.europa.eu/info/sites/info/files/turning_fair_into_reality_1.pdf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7ED"/>
    <w:multiLevelType w:val="hybridMultilevel"/>
    <w:tmpl w:val="6700DD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77F4FFD"/>
    <w:multiLevelType w:val="hybridMultilevel"/>
    <w:tmpl w:val="A9AC9928"/>
    <w:lvl w:ilvl="0" w:tplc="4634911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4B6811"/>
    <w:multiLevelType w:val="hybridMultilevel"/>
    <w:tmpl w:val="22509C3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507337"/>
    <w:multiLevelType w:val="hybridMultilevel"/>
    <w:tmpl w:val="9C9A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D86DD8"/>
    <w:multiLevelType w:val="hybridMultilevel"/>
    <w:tmpl w:val="69043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904B974-94BB-4D32-9BBA-E62D9C8A3B6F"/>
    <w:docVar w:name="LW_COVERPAGE_TYPE" w:val="1"/>
    <w:docVar w:name="LW_CROSSREFERENCE" w:val="&lt;UNUSED&gt;"/>
    <w:docVar w:name="LW_DocType" w:val="NORMAL"/>
    <w:docVar w:name="LW_EMISSION" w:val="3.7.2019"/>
    <w:docVar w:name="LW_EMISSION_ISODATE" w:val="2019-07-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Annual Report on Research and Technological Development Activities of the European Union and Monitoring of Horizon 2020 in 2018&lt;/FMT&gt;"/>
    <w:docVar w:name="LW_TYPE.DOC.CP" w:val="REPORT FROM THE COMMISSION TO THE EUROPEAN PARLIAMENT AND THE COUNCIL"/>
    <w:docVar w:name="Stamp" w:val="\\dossiers.dgt.cec.eu.int\dossiers\RTD\RTD-2019-00046\RTD-2019-00046-00-00-EN-EDT-00.20190521092806407219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europarl.europa.eu/sides/getDoc.do?pubRef=-//EP//TEXT+TA+P8-TA-2018-0509+0+DOC+XML+V0//EN&amp;language=EN" TargetMode="External"/><Relationship Id="rId18" Type="http://schemas.openxmlformats.org/officeDocument/2006/relationships/hyperlink" Target="http://europa.eu/rapid/press-release_IP-18-2763_en.htm" TargetMode="External"/><Relationship Id="rId26" Type="http://schemas.openxmlformats.org/officeDocument/2006/relationships/hyperlink" Target="https://ec.europa.eu/research/bioeconomy/pdf/ec_bioeconomy_strategy_2018.pdf" TargetMode="External"/><Relationship Id="rId39" Type="http://schemas.openxmlformats.org/officeDocument/2006/relationships/hyperlink" Target="https://ec.europa.eu/programmes/horizon2020/en/news/widening-participation-horizon-2020-report-analysis-fp-participation-patterns-and-ri" TargetMode="External"/><Relationship Id="rId3" Type="http://schemas.openxmlformats.org/officeDocument/2006/relationships/hyperlink" Target="https://ec.europa.eu/info/sites/info/files/rec-17-015-srip-report2018_mep-web-20180228.pdf" TargetMode="External"/><Relationship Id="rId21" Type="http://schemas.openxmlformats.org/officeDocument/2006/relationships/hyperlink" Target="https://eur-lex.europa.eu/legal-content/EN/TXT/PDF/?uri=CELEX:32018H0790&amp;from=EN" TargetMode="External"/><Relationship Id="rId34" Type="http://schemas.openxmlformats.org/officeDocument/2006/relationships/hyperlink" Target="https://eur-lex.europa.eu/legal-content/EN/TXT/?uri=COM:2016:733:FIN" TargetMode="External"/><Relationship Id="rId42" Type="http://schemas.openxmlformats.org/officeDocument/2006/relationships/hyperlink" Target="http://www.ncpacademy.eu/wp-content/uploads/2018/09/20180222_Gender-Equality-in-H2020.pdf" TargetMode="External"/><Relationship Id="rId47" Type="http://schemas.openxmlformats.org/officeDocument/2006/relationships/hyperlink" Target="https://ec.europa.eu/knowledge4policy/food-fraud_en" TargetMode="External"/><Relationship Id="rId50" Type="http://schemas.openxmlformats.org/officeDocument/2006/relationships/hyperlink" Target="https://ec.europa.eu/jrc/communities/en/community/jrc-alumni-network/article/ec-competence-centre-foresight" TargetMode="External"/><Relationship Id="rId7" Type="http://schemas.openxmlformats.org/officeDocument/2006/relationships/hyperlink" Target="https://ec.europa.eu/digital-single-market/en/news/eu-member-states-sign-cooperate-artificial-intelligence" TargetMode="External"/><Relationship Id="rId12" Type="http://schemas.openxmlformats.org/officeDocument/2006/relationships/hyperlink" Target="https://www.consilium.europa.eu/media/37219/st14406-en18.pdf" TargetMode="External"/><Relationship Id="rId17" Type="http://schemas.openxmlformats.org/officeDocument/2006/relationships/hyperlink" Target="https://publications.europa.eu/en/publication-detail/-/publication/0635b07f-07bb-11e7-8a35-01aa75ed71a1/language-en" TargetMode="External"/><Relationship Id="rId25" Type="http://schemas.openxmlformats.org/officeDocument/2006/relationships/hyperlink" Target="https://www.arcticscienceministerial.org/files/ASM2_Joint_Statement.pdf" TargetMode="External"/><Relationship Id="rId33" Type="http://schemas.openxmlformats.org/officeDocument/2006/relationships/hyperlink" Target="https://ec.europa.eu/info/sites/info/files/eic_hlg_bz_web.pdf" TargetMode="External"/><Relationship Id="rId38" Type="http://schemas.openxmlformats.org/officeDocument/2006/relationships/hyperlink" Target="http://ec.europa.eu/research/iscp/index.cfm?pg=regions" TargetMode="External"/><Relationship Id="rId46" Type="http://schemas.openxmlformats.org/officeDocument/2006/relationships/hyperlink" Target="https://www.eca.europa.eu/en/Pages/DocItem.aspx?did=47542" TargetMode="External"/><Relationship Id="rId2" Type="http://schemas.openxmlformats.org/officeDocument/2006/relationships/hyperlink" Target="https://ec.europa.eu/info/sites/info/files/file_import/2019-european-semester-annual-growth-survey_en_1.pdf" TargetMode="External"/><Relationship Id="rId16" Type="http://schemas.openxmlformats.org/officeDocument/2006/relationships/hyperlink" Target="https://ec.europa.eu/info/news/eic-pilot-eu1734-million-top-class-innovators-bring-their-innovations-faster-market-2018-dec-20_en" TargetMode="External"/><Relationship Id="rId20" Type="http://schemas.openxmlformats.org/officeDocument/2006/relationships/hyperlink" Target="https://publications.europa.eu/en/web/eu-law-and-publications/publication-detail/-/publication/5253a1af-ee10-11e8-b690-01aa75ed71a1" TargetMode="External"/><Relationship Id="rId29" Type="http://schemas.openxmlformats.org/officeDocument/2006/relationships/hyperlink" Target="https://ec.europa.eu/research/sam/pdf/c_2018_1919_ec_decision_consolidated.pdf" TargetMode="External"/><Relationship Id="rId41" Type="http://schemas.openxmlformats.org/officeDocument/2006/relationships/hyperlink" Target="https://ec.europa.eu/research/swafs/pdf/pub_gender_equality/interim_evaluation_gender_long_final.pdf" TargetMode="External"/><Relationship Id="rId1" Type="http://schemas.openxmlformats.org/officeDocument/2006/relationships/hyperlink" Target="https://ec.europa.eu/info/sites/info/files/com-2018-306-a-renewed-european-agenda-_for_research-and-innovation_may_2018_en_0.pdf" TargetMode="External"/><Relationship Id="rId6" Type="http://schemas.openxmlformats.org/officeDocument/2006/relationships/hyperlink" Target="https://eur-lex.europa.eu/content/news/general-data-protection-regulation-GDPR-applies-from-25-May-2018.html%20" TargetMode="External"/><Relationship Id="rId11" Type="http://schemas.openxmlformats.org/officeDocument/2006/relationships/hyperlink" Target="https://ec.europa.eu/research/evaluations/pdf/archive/other_reports_studies_and_documents/hlg_2017_report.pd" TargetMode="External"/><Relationship Id="rId24" Type="http://schemas.openxmlformats.org/officeDocument/2006/relationships/hyperlink" Target="https://ec.europa.eu/research/index.cfm?pg=events&amp;eventcode=187D5765-E38F-9AFC-958DA987ECDD0613" TargetMode="External"/><Relationship Id="rId32" Type="http://schemas.openxmlformats.org/officeDocument/2006/relationships/hyperlink" Target="https://ec.europa.eu/transport/sites/transport/files/3rd-mobility-pack/com20180283_en.pdf" TargetMode="External"/><Relationship Id="rId37" Type="http://schemas.openxmlformats.org/officeDocument/2006/relationships/hyperlink" Target="http://ec.europa.eu/research/iscp/index.cfm?pg=countries" TargetMode="External"/><Relationship Id="rId40" Type="http://schemas.openxmlformats.org/officeDocument/2006/relationships/hyperlink" Target="https://rio.jrc.ec.europa.eu/en/library/peer-review-estonian-research-and-innovation-system-factsheet" TargetMode="External"/><Relationship Id="rId45" Type="http://schemas.openxmlformats.org/officeDocument/2006/relationships/hyperlink" Target="https://rio.jrc.ec.europa.eu/en/policy-support-facility/mle-national-practices-widening-participation-and-strengthening-synergies" TargetMode="External"/><Relationship Id="rId5" Type="http://schemas.openxmlformats.org/officeDocument/2006/relationships/hyperlink" Target="https://ec.europa.eu/research/evaluations/pdf/archive/h2020_evaluations/swd(2017)220-in-depth-interim_evaluation-h2020.pdf" TargetMode="External"/><Relationship Id="rId15" Type="http://schemas.openxmlformats.org/officeDocument/2006/relationships/hyperlink" Target="https://ec.europa.eu/info/publications/2018-european-semester-country-reports_en" TargetMode="External"/><Relationship Id="rId23" Type="http://schemas.openxmlformats.org/officeDocument/2006/relationships/hyperlink" Target="https://ec.europa.eu/info/funding-tenders/opportunities/portal/screen/opportunities/topic-details/lc-cla-01-2018" TargetMode="External"/><Relationship Id="rId28" Type="http://schemas.openxmlformats.org/officeDocument/2006/relationships/hyperlink" Target="file:///C:\Users\evroucl\Cl&#233;ment\%09https:\ec.europa.eu\energy\sites\ener\files\documents\1_en_act_part1_v6_0.pdf" TargetMode="External"/><Relationship Id="rId36" Type="http://schemas.openxmlformats.org/officeDocument/2006/relationships/hyperlink" Target="https://www.consilium.europa.eu/en/press/press-releases/2018/06/29/20180628-euco-conclusions-final/" TargetMode="External"/><Relationship Id="rId49" Type="http://schemas.openxmlformats.org/officeDocument/2006/relationships/hyperlink" Target="https://ec.europa.eu/jrc/en/event/conference/technology-transfer-competence-centre" TargetMode="External"/><Relationship Id="rId10" Type="http://schemas.openxmlformats.org/officeDocument/2006/relationships/hyperlink" Target="https://ec.europa.eu/clima/sites/clima/files/docs/pages/com_2018_733_en.pdf" TargetMode="External"/><Relationship Id="rId19" Type="http://schemas.openxmlformats.org/officeDocument/2006/relationships/hyperlink" Target="https://ec.europa.eu/info/sites/info/files/rec-17-015-srip-report2018_mep-web-20180228.pdf" TargetMode="External"/><Relationship Id="rId31" Type="http://schemas.openxmlformats.org/officeDocument/2006/relationships/hyperlink" Target="https://ec.europa.eu/info/sites/info/files/2018_11_gcsa_statement_gene_editing_1.pdf" TargetMode="External"/><Relationship Id="rId44" Type="http://schemas.openxmlformats.org/officeDocument/2006/relationships/hyperlink" Target="http://ec.europa.eu/research/participants/data/ref/h2020/legal_basis/fp/h2020-eu-establact_en.pdf" TargetMode="External"/><Relationship Id="rId52" Type="http://schemas.openxmlformats.org/officeDocument/2006/relationships/hyperlink" Target="https://ec.europa.eu/info/sites/info/files/turning_fair_into_reality_1.pdf" TargetMode="External"/><Relationship Id="rId4" Type="http://schemas.openxmlformats.org/officeDocument/2006/relationships/hyperlink" Target="https://ec.europa.eu/commission/sites/beta-political/files/communication_investment_plan_for_europe_nov2018.pdf" TargetMode="External"/><Relationship Id="rId9" Type="http://schemas.openxmlformats.org/officeDocument/2006/relationships/hyperlink" Target="https://www.ipcc.ch/site/assets/uploads/sites/2/2018/07/SR15_SPM_High_Res.pdf" TargetMode="External"/><Relationship Id="rId14" Type="http://schemas.openxmlformats.org/officeDocument/2006/relationships/hyperlink" Target="https://ec.europa.eu/info/sites/info/files/mazzucato_report_2018.pdf" TargetMode="External"/><Relationship Id="rId22" Type="http://schemas.openxmlformats.org/officeDocument/2006/relationships/hyperlink" Target="https://ec.europa.eu/commission/commissioners/2014-2019/moedas/announcements/plan-s-and-coalition-s-accelerating-transition-full-and-immediate-open-access-scientific_en" TargetMode="External"/><Relationship Id="rId27" Type="http://schemas.openxmlformats.org/officeDocument/2006/relationships/hyperlink" Target="https://ec.europa.eu/clima/sites/clima/files/docs/pages/com_2018_733_en.pdf" TargetMode="External"/><Relationship Id="rId30" Type="http://schemas.openxmlformats.org/officeDocument/2006/relationships/hyperlink" Target="https://ec.europa.eu/research/sam/pdf/sam_ccu_report.pdf" TargetMode="External"/><Relationship Id="rId35" Type="http://schemas.openxmlformats.org/officeDocument/2006/relationships/hyperlink" Target="http://ec.europa.eu/research/eic/pdf/eic_recommendations_set-1_2017.pdf" TargetMode="External"/><Relationship Id="rId43" Type="http://schemas.openxmlformats.org/officeDocument/2006/relationships/hyperlink" Target="http://ec.europa.eu/research/swafs/pdf/pub_gender_equality/KI-07-17-199-EN-N.pdf" TargetMode="External"/><Relationship Id="rId48" Type="http://schemas.openxmlformats.org/officeDocument/2006/relationships/hyperlink" Target="https://ec.europa.eu/knowledge4policy/global-food-nutrition-security_en" TargetMode="External"/><Relationship Id="rId8" Type="http://schemas.openxmlformats.org/officeDocument/2006/relationships/hyperlink" Target="https://ec.europa.eu/digital-single-market/en/eurohpc-joint-undertaking" TargetMode="External"/><Relationship Id="rId51" Type="http://schemas.openxmlformats.org/officeDocument/2006/relationships/hyperlink" Target="https://ec.europa.eu/commission/publications/reflection-paper-towards-sustainable-europe-2030_e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A9CE70-1DA8-4133-B516-A9F012D8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3672</Words>
  <Characters>21265</Characters>
  <Application>Microsoft Office Word</Application>
  <DocSecurity>0</DocSecurity>
  <Lines>348</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2019-06-05T12:19:00Z</cp:lastPrinted>
  <dcterms:created xsi:type="dcterms:W3CDTF">2019-06-06T10:17:00Z</dcterms:created>
  <dcterms:modified xsi:type="dcterms:W3CDTF">2019-06-27T08:23:00Z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