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94B0C1-A197-4150-9027-67F5A8532ED0" style="width:450.75pt;height:320.2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Дейности на ЕС в областта на научните изследвания и технологичното развитие и мониторинг на програма „Хоризонт 2020“ през 2018 г.</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 xml:space="preserve">Контекст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Настоящият годишен доклад за дейностите на ЕС в областта на научните изследвания и технологичното развитие и разпространението на резултатите е изготвен съгласно член 190 от Договора за функционирането на Европейския съюз и член 7 от Договора за Евратом. В него се представя кратък и неизчерпателен обзор на ключовите мерки, предприети през 2018 г. </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 xml:space="preserve">Политически контекст </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В Съобщението относно </w:t>
      </w:r>
      <w:r>
        <w:rPr>
          <w:rFonts w:ascii="Times New Roman" w:hAnsi="Times New Roman"/>
          <w:b/>
          <w:i/>
          <w:noProof/>
          <w:color w:val="000000"/>
          <w:sz w:val="24"/>
        </w:rPr>
        <w:t>Обновена Европейска програма за научни изследвания и иновации — шансът на Европа да определи своето бъдеще</w:t>
      </w:r>
      <w:r>
        <w:rPr>
          <w:rStyle w:val="FootnoteReference"/>
          <w:rFonts w:eastAsiaTheme="minorHAnsi"/>
          <w:noProof/>
          <w:sz w:val="24"/>
        </w:rPr>
        <w:footnoteReference w:id="1"/>
      </w:r>
      <w:r>
        <w:rPr>
          <w:rFonts w:ascii="Times New Roman" w:hAnsi="Times New Roman"/>
          <w:noProof/>
          <w:color w:val="000000"/>
          <w:sz w:val="24"/>
        </w:rPr>
        <w:t>, което Комисията изготви за неформалната среща на Европейския съвет в София на 16 май 2018 г., научните изследвания и иновациите бяха поставени в центъра на дневния ред за заетост, растеж, справедливост и демократична промяна, както и за подготовката за бъдещето на ЕС, В този контекст Комисията прие законодателни предложения за разходни програми в рамките на бюджета на ЕС за периода 2021—2027 г., които понастоящем са предмет на междуинституционални преговори.</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През 2018 г. за пета поредна година </w:t>
      </w:r>
      <w:r>
        <w:rPr>
          <w:rFonts w:ascii="Times New Roman" w:hAnsi="Times New Roman"/>
          <w:b/>
          <w:noProof/>
          <w:color w:val="000000"/>
          <w:sz w:val="24"/>
        </w:rPr>
        <w:t>икономиката на ЕС</w:t>
      </w:r>
      <w:r>
        <w:rPr>
          <w:rFonts w:ascii="Times New Roman" w:hAnsi="Times New Roman"/>
          <w:noProof/>
          <w:color w:val="000000"/>
          <w:sz w:val="24"/>
        </w:rPr>
        <w:t xml:space="preserve"> продължи да нараства, но несигурността в световен план придобива застрашителни размери. </w:t>
      </w:r>
      <w:r>
        <w:rPr>
          <w:rFonts w:ascii="Times New Roman" w:hAnsi="Times New Roman"/>
          <w:noProof/>
          <w:sz w:val="24"/>
        </w:rPr>
        <w:t>Макроикономическите показатели, като например трудовата заетост и инвестициите, се върнаха към тенденциите отпреди финансовата криза</w:t>
      </w:r>
      <w:r>
        <w:rPr>
          <w:rStyle w:val="FootnoteReference"/>
          <w:rFonts w:eastAsiaTheme="minorHAnsi"/>
          <w:noProof/>
          <w:sz w:val="24"/>
        </w:rPr>
        <w:footnoteReference w:id="2"/>
      </w:r>
      <w:r>
        <w:rPr>
          <w:rFonts w:ascii="Times New Roman" w:hAnsi="Times New Roman"/>
          <w:noProof/>
          <w:sz w:val="24"/>
        </w:rPr>
        <w:t>, но бавните подобрения на производителността продължават да забавят икономическия растеж</w:t>
      </w:r>
      <w:r>
        <w:rPr>
          <w:rStyle w:val="FootnoteReference"/>
          <w:rFonts w:eastAsiaTheme="minorHAnsi"/>
          <w:noProof/>
          <w:sz w:val="24"/>
        </w:rPr>
        <w:footnoteReference w:id="3"/>
      </w:r>
      <w:r>
        <w:rPr>
          <w:rFonts w:ascii="Times New Roman" w:hAnsi="Times New Roman"/>
          <w:noProof/>
          <w:sz w:val="24"/>
        </w:rPr>
        <w:t>.</w:t>
      </w:r>
      <w:r>
        <w:rPr>
          <w:rFonts w:ascii="Times New Roman" w:hAnsi="Times New Roman"/>
          <w:noProof/>
          <w:color w:val="000000"/>
          <w:sz w:val="24"/>
        </w:rPr>
        <w:t xml:space="preserve"> До ноември Европейският фонд за стратегически инвестиции беше подкрепил проекти във всички държави членки на обща инвестиционна стойност от 360 милиарда евро, от които две трети са от частни ресурси</w:t>
      </w:r>
      <w:r>
        <w:rPr>
          <w:rStyle w:val="FootnoteReference"/>
          <w:rFonts w:eastAsiaTheme="minorHAnsi"/>
          <w:noProof/>
          <w:sz w:val="24"/>
        </w:rPr>
        <w:footnoteReference w:id="4"/>
      </w:r>
      <w:r>
        <w:rPr>
          <w:rFonts w:ascii="Times New Roman" w:hAnsi="Times New Roman"/>
          <w:noProof/>
          <w:color w:val="000000"/>
          <w:sz w:val="24"/>
        </w:rPr>
        <w:t>. „Хоризонт 2020“ допринесе пряко за това положително развитие, като през периода 2014— 2018 г. създаде около 592 000 нови работни места</w:t>
      </w:r>
      <w:r>
        <w:rPr>
          <w:rStyle w:val="FootnoteReference"/>
          <w:rFonts w:eastAsiaTheme="minorHAnsi"/>
          <w:noProof/>
          <w:sz w:val="24"/>
        </w:rPr>
        <w:footnoteReference w:id="5"/>
      </w:r>
      <w:r>
        <w:rPr>
          <w:rFonts w:ascii="Times New Roman" w:hAnsi="Times New Roman"/>
          <w:noProof/>
          <w:color w:val="000000"/>
          <w:sz w:val="24"/>
        </w:rPr>
        <w:t>.</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ЕС задържа въпросите, свързани с </w:t>
      </w:r>
      <w:r>
        <w:rPr>
          <w:rFonts w:ascii="Times New Roman" w:hAnsi="Times New Roman"/>
          <w:b/>
          <w:noProof/>
          <w:color w:val="000000"/>
          <w:sz w:val="24"/>
        </w:rPr>
        <w:t>цифровия единен пазар,</w:t>
      </w:r>
      <w:r>
        <w:rPr>
          <w:rFonts w:ascii="Times New Roman" w:hAnsi="Times New Roman"/>
          <w:noProof/>
          <w:color w:val="000000"/>
          <w:sz w:val="24"/>
        </w:rPr>
        <w:t xml:space="preserve"> на първите места в дневния ред. Освен че гарантира защитата на личните данни, новият Общ регламент относно защитата на данните (който влезе в сила на 25 май 2018 г.</w:t>
      </w:r>
      <w:r>
        <w:rPr>
          <w:rStyle w:val="FootnoteReference"/>
          <w:rFonts w:eastAsiaTheme="minorHAnsi"/>
          <w:noProof/>
          <w:sz w:val="24"/>
        </w:rPr>
        <w:footnoteReference w:id="6"/>
      </w:r>
      <w:r>
        <w:rPr>
          <w:rFonts w:ascii="Times New Roman" w:hAnsi="Times New Roman"/>
          <w:noProof/>
          <w:color w:val="000000"/>
          <w:sz w:val="24"/>
        </w:rPr>
        <w:t>) също така ще подкрепи научните изследвания и иновациите. Комисията подкрепи споделянето на усилията на национално равнище по отношение на изкуствения интелект</w:t>
      </w:r>
      <w:r>
        <w:rPr>
          <w:rStyle w:val="FootnoteReference"/>
          <w:rFonts w:eastAsiaTheme="minorHAnsi"/>
          <w:noProof/>
          <w:sz w:val="24"/>
        </w:rPr>
        <w:footnoteReference w:id="7"/>
      </w:r>
      <w:r>
        <w:rPr>
          <w:rFonts w:ascii="Times New Roman" w:hAnsi="Times New Roman"/>
          <w:noProof/>
          <w:color w:val="000000"/>
          <w:sz w:val="24"/>
        </w:rPr>
        <w:t>. За пореден път „Хоризонт 2020“ изигра важна роля, по-специално като подкрепи създаването на ново съвместно предприятие за високо</w:t>
      </w:r>
      <w:r>
        <w:rPr>
          <w:noProof/>
        </w:rPr>
        <w:noBreakHyphen/>
      </w:r>
      <w:r>
        <w:rPr>
          <w:rFonts w:ascii="Times New Roman" w:hAnsi="Times New Roman"/>
          <w:noProof/>
          <w:color w:val="000000"/>
          <w:sz w:val="24"/>
        </w:rPr>
        <w:t>производителни изчислителни технологии, което следва да гарантира стратегическата самостоятелност на Европа в областта</w:t>
      </w:r>
      <w:r>
        <w:rPr>
          <w:rStyle w:val="FootnoteReference"/>
          <w:rFonts w:eastAsiaTheme="minorHAnsi"/>
          <w:noProof/>
          <w:sz w:val="24"/>
        </w:rPr>
        <w:footnoteReference w:id="8"/>
      </w:r>
      <w:r>
        <w:rPr>
          <w:rFonts w:ascii="Times New Roman" w:hAnsi="Times New Roman"/>
          <w:noProof/>
          <w:color w:val="000000"/>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Енергетиката и климатът</w:t>
      </w:r>
      <w:r>
        <w:rPr>
          <w:rFonts w:ascii="Times New Roman" w:hAnsi="Times New Roman"/>
          <w:noProof/>
          <w:sz w:val="24"/>
        </w:rPr>
        <w:t xml:space="preserve"> продължиха да заемат челни позиции в световния и европейския дневен ред. В специален доклад на Междуправителствения комитет по изменение на климата (IPCC) до създателите на политики беше очертана по драматичен начин неотложността на вземането на мерки срещу изменението на климата</w:t>
      </w:r>
      <w:r>
        <w:rPr>
          <w:rStyle w:val="FootnoteReference"/>
          <w:rFonts w:eastAsiaTheme="minorHAnsi"/>
          <w:noProof/>
          <w:sz w:val="24"/>
        </w:rPr>
        <w:footnoteReference w:id="9"/>
      </w:r>
      <w:r>
        <w:rPr>
          <w:rFonts w:ascii="Times New Roman" w:hAnsi="Times New Roman"/>
          <w:noProof/>
          <w:sz w:val="24"/>
        </w:rPr>
        <w:t>.  Комисията продължи да изпълнява ангажиментите на ЕС по отношение на енергетиката и климата в съответствие с Парижкото споразумение относно изменението на климата от 2015 г., както и с целите за устойчиво развитие на ООН (ЦУР)</w:t>
      </w:r>
      <w:r>
        <w:rPr>
          <w:rStyle w:val="FootnoteReference"/>
          <w:rFonts w:eastAsiaTheme="minorHAnsi"/>
          <w:noProof/>
          <w:sz w:val="24"/>
        </w:rPr>
        <w:footnoteReference w:id="10"/>
      </w:r>
      <w:r>
        <w:rPr>
          <w:rFonts w:ascii="Times New Roman" w:hAnsi="Times New Roman"/>
          <w:noProof/>
          <w:sz w:val="24"/>
        </w:rPr>
        <w:t>.  Поради това Комисията приложи законодателството, необходимо за достигане на национално определените приноси на ЕС за намаляване на емисиите на парникови газове с 40 % до 2030 г. (в сравнение с 1990 г.). Освен това през ноември 2018 г. Европейската комисия представи визията си за постигане на нулеви нетни емисии на парникови газове до 2050 г.</w:t>
      </w:r>
      <w:r>
        <w:rPr>
          <w:rStyle w:val="FootnoteReference"/>
          <w:rFonts w:eastAsiaTheme="minorHAnsi"/>
          <w:noProof/>
        </w:rPr>
        <w:footnoteReference w:id="11"/>
      </w:r>
      <w:r>
        <w:rPr>
          <w:rFonts w:ascii="Times New Roman" w:hAnsi="Times New Roman"/>
          <w:noProof/>
          <w:sz w:val="24"/>
        </w:rPr>
        <w:t xml:space="preserve"> В дългосрочната стратегия се очертават промени от технологичен, икономически и обществен характер, които се изискват, за да се постигне неутралност по отношение на климата и да се гарантира социално справедлив преход.  Това равнище на ангажираност следва да бъде в основите на световното лидерство на ЕС в тази област, съгласувано с влиятелната роля, застъпена от председателя Юнкер в речта му за „състоянието на Съюза“ от 2018 г.</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Рамка на политиката</w:t>
      </w:r>
    </w:p>
    <w:p>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Програма „Хоризонт Европа“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 7 юни Комисията прие предложенията си за „</w:t>
      </w:r>
      <w:r>
        <w:rPr>
          <w:rFonts w:ascii="Times New Roman" w:hAnsi="Times New Roman"/>
          <w:b/>
          <w:noProof/>
          <w:sz w:val="24"/>
        </w:rPr>
        <w:t>Хоризонт Европа</w:t>
      </w:r>
      <w:r>
        <w:rPr>
          <w:rFonts w:ascii="Times New Roman" w:hAnsi="Times New Roman"/>
          <w:noProof/>
          <w:sz w:val="24"/>
        </w:rPr>
        <w:t xml:space="preserve">“, рамката на политиката в областта на научните изследвания и иновациите за периода 2021—2027 г. (периодът на следващата многогодишна финансова рамка). Законодателният пакет се състои от предложения за: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Регламент за създаване на „Хоризонт Европа“ и за определяне на правилата за участие;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Решение за специфична програма за изпълнение на „Хоризонт Европа“; както и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Регламент за създаване на програмата за научни изследвания и обучение на Европейската общност за атомна енергия (Евратом) за периода 2021—2025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Пакетът е насочен към допълнително опростяване на правилата, като в същото време се гарантира приемственост, като например да продължи прилагането на основните принципи на рамковите програми на ЕС за научни изследвания и иновации (високи постижения, въздействие и откритост). Той беше изготвен въз основа на обстойни консултации със заинтересовани страни и публични личности, както и на друга важна информация, като например „</w:t>
      </w:r>
      <w:r>
        <w:rPr>
          <w:rFonts w:ascii="Times New Roman" w:hAnsi="Times New Roman"/>
          <w:i/>
          <w:noProof/>
          <w:sz w:val="24"/>
        </w:rPr>
        <w:t>LAB – FAB – APP: Investing in the European future we want</w:t>
      </w:r>
      <w:r>
        <w:rPr>
          <w:rFonts w:ascii="Times New Roman" w:hAnsi="Times New Roman"/>
          <w:noProof/>
          <w:sz w:val="24"/>
        </w:rPr>
        <w:t>“</w:t>
      </w:r>
      <w:r>
        <w:rPr>
          <w:rFonts w:ascii="Times New Roman" w:hAnsi="Times New Roman"/>
          <w:noProof/>
          <w:sz w:val="24"/>
          <w:vertAlign w:val="superscript"/>
        </w:rPr>
        <w:footnoteReference w:id="12"/>
      </w:r>
      <w:r>
        <w:rPr>
          <w:rFonts w:ascii="Times New Roman" w:hAnsi="Times New Roman"/>
          <w:noProof/>
          <w:sz w:val="24"/>
        </w:rPr>
        <w:t xml:space="preserve"> („Изследвания — производство — приложение: Инвестиране в желаното от нас европейско бъдеще“) — докладът на независимата Група на високо равнище относно увеличаване на въздействието на програмите на ЕС за научни изследвания и иновации (с председател Pascal Lamy).</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До края на 2018 г. Съветът по конкурентоспособността беше постигнал съгласие за частичен общ подход по отношение на основния регламент</w:t>
      </w:r>
      <w:r>
        <w:rPr>
          <w:rStyle w:val="FootnoteReference"/>
          <w:rFonts w:eastAsiaTheme="minorHAnsi"/>
          <w:noProof/>
          <w:sz w:val="24"/>
        </w:rPr>
        <w:footnoteReference w:id="13"/>
      </w:r>
      <w:r>
        <w:rPr>
          <w:rFonts w:ascii="Times New Roman" w:hAnsi="Times New Roman"/>
          <w:noProof/>
          <w:sz w:val="24"/>
        </w:rPr>
        <w:t>, а Европейският парламент</w:t>
      </w:r>
      <w:r>
        <w:rPr>
          <w:rStyle w:val="FootnoteReference"/>
          <w:rFonts w:eastAsiaTheme="minorHAnsi"/>
          <w:noProof/>
          <w:sz w:val="24"/>
        </w:rPr>
        <w:footnoteReference w:id="14"/>
      </w:r>
      <w:r>
        <w:rPr>
          <w:rFonts w:ascii="Times New Roman" w:hAnsi="Times New Roman"/>
          <w:noProof/>
          <w:sz w:val="24"/>
        </w:rPr>
        <w:t xml:space="preserve"> бе приел на пленарно заседание доклад за пакета от своята Комисия по промишленост, изследвания и енергетика (ITRE).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Предложенията на Комисията са структурирани в три стълба: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отворена наука;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глобални предизвикателства и конкурентоспособност на промишлеността; както и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отворени иновации.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Допълнителна част ще бъде посветена на укрепването на европейското научноизследователско пространство (ЕНП).</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Като отразява значимостта на борбата с изменението на климата в съответствие с поетите от Съюза задължения за изпълнение на Парижкото споразумение и на целите за устойчиво развитие, „Хоризонт Европа“ има за цел поне 35 % от общия финансов пакет да бъдат за включване на действия в областта на климата.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откритостта на планирането, предложен е </w:t>
      </w:r>
      <w:r>
        <w:rPr>
          <w:rFonts w:ascii="Times New Roman" w:hAnsi="Times New Roman"/>
          <w:b/>
          <w:noProof/>
          <w:sz w:val="24"/>
        </w:rPr>
        <w:t>процес на стратегическо планиране</w:t>
      </w:r>
      <w:r>
        <w:rPr>
          <w:rFonts w:ascii="Times New Roman" w:hAnsi="Times New Roman"/>
          <w:noProof/>
          <w:sz w:val="24"/>
        </w:rPr>
        <w:t>, който ще предостави многогодишни стратегически насоки, основаващи се на съвместно проектиран от държавите членки и заинтересованите страни подход. Този приобщаващ процес ще благоприятства също така полезни взаимодействия с други програми и политики на ЕС, както и постоянен диалог с гражданското общество.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Вторият стълб („глобални предизвикателства и конкурентоспособност на промишлеността“) ще включва създаването на ограничен брой проектирани съвместно с крайните потребители „</w:t>
      </w:r>
      <w:r>
        <w:rPr>
          <w:rFonts w:ascii="Times New Roman" w:hAnsi="Times New Roman"/>
          <w:b/>
          <w:noProof/>
          <w:sz w:val="24"/>
        </w:rPr>
        <w:t>мисии</w:t>
      </w:r>
      <w:r>
        <w:rPr>
          <w:rFonts w:ascii="Times New Roman" w:hAnsi="Times New Roman"/>
          <w:noProof/>
          <w:sz w:val="24"/>
        </w:rPr>
        <w:t>“, основаващи се на междусекторен, междудисциплинарен модел и ясни цели от самото начало. Вдъхновен от доклада „</w:t>
      </w:r>
      <w:r>
        <w:rPr>
          <w:rFonts w:ascii="Times New Roman" w:hAnsi="Times New Roman"/>
          <w:i/>
          <w:noProof/>
          <w:sz w:val="24"/>
        </w:rPr>
        <w:t>Missions</w:t>
      </w:r>
      <w:r>
        <w:rPr>
          <w:rFonts w:ascii="Times New Roman" w:hAnsi="Times New Roman"/>
          <w:noProof/>
          <w:sz w:val="24"/>
        </w:rPr>
        <w:t>:</w:t>
      </w:r>
      <w:r>
        <w:rPr>
          <w:rFonts w:ascii="Times New Roman" w:hAnsi="Times New Roman"/>
          <w:i/>
          <w:noProof/>
          <w:sz w:val="24"/>
        </w:rPr>
        <w:t xml:space="preserve"> Mission-oriented research &amp; innovation in the European Union“</w:t>
      </w:r>
      <w:r>
        <w:rPr>
          <w:rStyle w:val="FootnoteReference"/>
          <w:rFonts w:eastAsiaTheme="minorHAnsi"/>
          <w:noProof/>
          <w:sz w:val="24"/>
        </w:rPr>
        <w:footnoteReference w:id="15"/>
      </w:r>
      <w:r>
        <w:rPr>
          <w:rFonts w:ascii="Times New Roman" w:hAnsi="Times New Roman"/>
          <w:noProof/>
          <w:sz w:val="24"/>
        </w:rPr>
        <w:t xml:space="preserve"> (</w:t>
      </w:r>
      <w:r>
        <w:rPr>
          <w:rFonts w:ascii="Times New Roman" w:hAnsi="Times New Roman"/>
          <w:i/>
          <w:noProof/>
          <w:sz w:val="24"/>
        </w:rPr>
        <w:t>Мисии:</w:t>
      </w:r>
      <w:r>
        <w:rPr>
          <w:rFonts w:ascii="Times New Roman" w:hAnsi="Times New Roman"/>
          <w:noProof/>
          <w:sz w:val="24"/>
        </w:rPr>
        <w:t xml:space="preserve"> </w:t>
      </w:r>
      <w:r>
        <w:rPr>
          <w:rFonts w:ascii="Times New Roman" w:eastAsia="Times New Roman" w:hAnsi="Times New Roman" w:cs="Times New Roman"/>
          <w:noProof/>
          <w:sz w:val="24"/>
          <w:szCs w:val="24"/>
        </w:rPr>
        <w:br/>
      </w:r>
      <w:r>
        <w:rPr>
          <w:rFonts w:ascii="Times New Roman" w:hAnsi="Times New Roman"/>
          <w:i/>
          <w:noProof/>
          <w:sz w:val="24"/>
        </w:rPr>
        <w:t xml:space="preserve">Ориентираните към мисии научни изследвания и иновации в Европейския съюз: подход, който решава проблемите и стимулира основания на иновациите растеж), </w:t>
      </w:r>
      <w:r>
        <w:rPr>
          <w:rFonts w:ascii="Times New Roman" w:hAnsi="Times New Roman"/>
          <w:noProof/>
          <w:sz w:val="24"/>
        </w:rPr>
        <w:t xml:space="preserve">подходът, основан на  мисии, ще постави акцент върху посоката на политиката в областта на научните изследвания и иновациите.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 третия стълб („отворени иновации“) ще бъдат използвани два допълващи се инструмента, за да се канализира подкрепата на </w:t>
      </w:r>
      <w:r>
        <w:rPr>
          <w:rFonts w:ascii="Times New Roman" w:hAnsi="Times New Roman"/>
          <w:b/>
          <w:noProof/>
          <w:sz w:val="24"/>
        </w:rPr>
        <w:t>Европейския съвет по иновациите</w:t>
      </w:r>
      <w:r>
        <w:rPr>
          <w:rFonts w:ascii="Times New Roman" w:hAnsi="Times New Roman"/>
          <w:noProof/>
          <w:sz w:val="24"/>
        </w:rPr>
        <w:t xml:space="preserve"> (</w:t>
      </w:r>
      <w:r>
        <w:rPr>
          <w:rFonts w:ascii="Times New Roman" w:hAnsi="Times New Roman"/>
          <w:b/>
          <w:noProof/>
          <w:sz w:val="24"/>
        </w:rPr>
        <w:t>ЕСИ</w:t>
      </w:r>
      <w:r>
        <w:rPr>
          <w:rFonts w:ascii="Times New Roman" w:hAnsi="Times New Roman"/>
          <w:noProof/>
          <w:sz w:val="24"/>
        </w:rPr>
        <w:t>) за водещи до пробив и създаващи пазари иновации в рамките на целия спектър от научните изследвания и иновациите до внедряването им на пазара и разрастването на дружествата:</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инструментът </w:t>
      </w:r>
      <w:r>
        <w:rPr>
          <w:rFonts w:ascii="Times New Roman" w:hAnsi="Times New Roman"/>
          <w:noProof/>
          <w:sz w:val="24"/>
          <w:u w:val="single"/>
        </w:rPr>
        <w:t xml:space="preserve"> „Изследвач“ за авангардни научни изследвания</w:t>
      </w:r>
      <w:r>
        <w:rPr>
          <w:rFonts w:ascii="Times New Roman" w:hAnsi="Times New Roman"/>
          <w:noProof/>
          <w:sz w:val="24"/>
        </w:rPr>
        <w:t xml:space="preserve"> ще подкрепя научни изследвания, които благоприятстват трансформационните промени и потенциалните създаващи пазари иновации; и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инструментът </w:t>
      </w:r>
      <w:r>
        <w:rPr>
          <w:rFonts w:ascii="Times New Roman" w:hAnsi="Times New Roman"/>
          <w:noProof/>
          <w:sz w:val="24"/>
          <w:u w:val="single"/>
        </w:rPr>
        <w:t>„Ускорител“</w:t>
      </w:r>
      <w:r>
        <w:rPr>
          <w:rFonts w:ascii="Times New Roman" w:hAnsi="Times New Roman"/>
          <w:noProof/>
          <w:sz w:val="24"/>
        </w:rPr>
        <w:t xml:space="preserve"> ще предостави съобразено смесено финансиране в подкрепа на създаващите пазари иновации и разрастването на иновативните предприятия.</w:t>
      </w:r>
    </w:p>
    <w:p>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Европейски семестър</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част от цикъла на икономическите политики на европейския семестър Комисията публикува доклади за всяка държава членка</w:t>
      </w:r>
      <w:r>
        <w:rPr>
          <w:rStyle w:val="FootnoteReference"/>
          <w:rFonts w:eastAsiaTheme="minorHAnsi"/>
          <w:noProof/>
          <w:sz w:val="24"/>
        </w:rPr>
        <w:footnoteReference w:id="16"/>
      </w:r>
      <w:r>
        <w:rPr>
          <w:rFonts w:ascii="Times New Roman" w:hAnsi="Times New Roman"/>
          <w:noProof/>
          <w:sz w:val="24"/>
        </w:rPr>
        <w:t>. Общо тринадесет държави членки получиха специфични за държавата препоръки, в които бяха подчертани предизвикателствата, свързани с качеството и ефективността на националните системи за научни изследвания и иновации с акцент върху:</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постигане на по-високо качество на науката, по-стабилна научна основа и повече въздействие посредством публични инвестиции за научни изследвания и иновации;</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подобряване на връзките между науката и предприятията; както и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премахване на затрудненията, които засягат бизнес средата и инвестициите за иновации.</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rPr>
        <w:t>Отворени иновации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В първата фаза на пилотния проект на ЕСИ (вж. Раздел 4.2) беше предоставена подкрепа на значителен брой новатори, като до края на годината бяха финансирани 1276 проекта с общата сума от 731,15 милиона евро</w:t>
      </w:r>
      <w:r>
        <w:rPr>
          <w:rStyle w:val="FootnoteReference"/>
          <w:rFonts w:eastAsiaTheme="minorHAnsi"/>
          <w:noProof/>
          <w:sz w:val="24"/>
        </w:rPr>
        <w:footnoteReference w:id="17"/>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предприе стъпки, за да гарантира, че иновативните европейски предприятия имат по-добър достъп до финансиране, което е двигател на производителността</w:t>
      </w:r>
      <w:r>
        <w:rPr>
          <w:rStyle w:val="FootnoteReference"/>
          <w:rFonts w:eastAsiaTheme="minorHAnsi"/>
          <w:noProof/>
          <w:sz w:val="24"/>
        </w:rPr>
        <w:footnoteReference w:id="18"/>
      </w:r>
      <w:r>
        <w:rPr>
          <w:rFonts w:ascii="Times New Roman" w:hAnsi="Times New Roman"/>
          <w:noProof/>
          <w:sz w:val="24"/>
        </w:rPr>
        <w:t>. Тя даде началото на VentureEU</w:t>
      </w:r>
      <w:r>
        <w:rPr>
          <w:rStyle w:val="FootnoteReference"/>
          <w:rFonts w:eastAsiaTheme="minorHAnsi"/>
          <w:noProof/>
          <w:sz w:val="24"/>
        </w:rPr>
        <w:footnoteReference w:id="19"/>
      </w:r>
      <w:r>
        <w:rPr>
          <w:rFonts w:ascii="Times New Roman" w:hAnsi="Times New Roman"/>
          <w:noProof/>
          <w:sz w:val="24"/>
        </w:rPr>
        <w:t xml:space="preserve">— програма за общоевропейски фондове за инвестиции във фондове за рисков капитал, чиято цел е удвояване на рисковия капитал, наличен в Европа.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изданието от 2018 г. на </w:t>
      </w:r>
      <w:r>
        <w:rPr>
          <w:rFonts w:ascii="Times New Roman" w:hAnsi="Times New Roman"/>
          <w:b/>
          <w:i/>
          <w:noProof/>
          <w:sz w:val="24"/>
        </w:rPr>
        <w:t>Показатели в областта на науката, изследванията и иновациите в ЕС</w:t>
      </w:r>
      <w:r>
        <w:rPr>
          <w:rStyle w:val="FootnoteReference"/>
          <w:rFonts w:eastAsiaTheme="minorHAnsi"/>
          <w:noProof/>
          <w:sz w:val="24"/>
        </w:rPr>
        <w:footnoteReference w:id="20"/>
      </w:r>
      <w:r>
        <w:rPr>
          <w:rFonts w:ascii="Times New Roman" w:hAnsi="Times New Roman"/>
          <w:noProof/>
          <w:sz w:val="24"/>
        </w:rPr>
        <w:t xml:space="preserve"> беше подчертано, че икономическият просперитет и социалният модел на ЕС зависят от способността му да създава и разпространява иновации. Необходимо е ЕС да се възползва от нововъзникващите технологии и иновации, за да преодолее сериозни проблеми с производителността и поддържа икономическия растеж.</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rPr>
        <w:t>Отворена наука</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установи механизми за управление за </w:t>
      </w:r>
      <w:r>
        <w:rPr>
          <w:rFonts w:ascii="Times New Roman" w:hAnsi="Times New Roman"/>
          <w:b/>
          <w:noProof/>
          <w:sz w:val="24"/>
        </w:rPr>
        <w:t>Европейския облак за отворена наука</w:t>
      </w:r>
      <w:r>
        <w:rPr>
          <w:rFonts w:ascii="Times New Roman" w:hAnsi="Times New Roman"/>
          <w:noProof/>
          <w:sz w:val="24"/>
        </w:rPr>
        <w:t xml:space="preserve"> (EOSC), чиято цел е да се използва потенциалът на научните изследвания и иновациите на ЕС посредством свързване на „хора, данни, услуги и обучение, публикации […] отвъд граници и научни дисциплини“</w:t>
      </w:r>
      <w:r>
        <w:rPr>
          <w:rStyle w:val="FootnoteReference"/>
          <w:rFonts w:eastAsiaTheme="minorHAnsi"/>
          <w:noProof/>
          <w:sz w:val="24"/>
        </w:rPr>
        <w:footnoteReference w:id="21"/>
      </w:r>
      <w:r>
        <w:rPr>
          <w:rFonts w:ascii="Times New Roman" w:hAnsi="Times New Roman"/>
          <w:noProof/>
          <w:sz w:val="24"/>
        </w:rPr>
        <w:t xml:space="preserve">. Тя свика първото заседание на борда на EOSC, който се състои от представители на държавите членки и на асоциираните държави.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Предвид технологичното и институционалното развитие Комисията актуализира своята </w:t>
      </w:r>
      <w:r>
        <w:rPr>
          <w:rFonts w:ascii="Times New Roman" w:hAnsi="Times New Roman"/>
          <w:b/>
          <w:noProof/>
          <w:sz w:val="24"/>
        </w:rPr>
        <w:t>Препоръка относно достъпа до научна информация и нейното съхранение</w:t>
      </w:r>
      <w:r>
        <w:rPr>
          <w:rStyle w:val="FootnoteReference"/>
          <w:rFonts w:eastAsiaTheme="minorHAnsi"/>
          <w:noProof/>
          <w:sz w:val="24"/>
        </w:rPr>
        <w:footnoteReference w:id="22"/>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 оглед на ускоряване на прехода към свободен достъп Комисията работи с национални агенции за финансиране, за да подкрепи изпълнението на </w:t>
      </w:r>
      <w:r>
        <w:rPr>
          <w:rFonts w:ascii="Times New Roman" w:hAnsi="Times New Roman"/>
          <w:b/>
          <w:noProof/>
          <w:sz w:val="24"/>
        </w:rPr>
        <w:t>Plan S</w:t>
      </w:r>
      <w:r>
        <w:rPr>
          <w:rStyle w:val="FootnoteReference"/>
          <w:rFonts w:eastAsiaTheme="minorHAnsi"/>
          <w:noProof/>
          <w:sz w:val="24"/>
        </w:rPr>
        <w:footnoteReference w:id="23"/>
      </w:r>
      <w:r>
        <w:rPr>
          <w:rFonts w:ascii="Times New Roman" w:hAnsi="Times New Roman"/>
          <w:noProof/>
          <w:sz w:val="24"/>
        </w:rPr>
        <w:t xml:space="preserve">. </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rPr>
        <w:t>Отвореност към света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Международното сътрудничество в областта на научните изследвания и иновациите  засили влиянието на ЕС като глобален фактор в контекст, в който все повече внимание се отдава на научната дипломация.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„Хоризонт 2020“ продължава да подкрепя оперативната и научната работа на междуправителствената научно-политическа платформа относно биоразнобразието и предлаганите от екосистемите услуги (</w:t>
      </w:r>
      <w:r>
        <w:rPr>
          <w:rFonts w:ascii="Times New Roman" w:hAnsi="Times New Roman"/>
          <w:b/>
          <w:noProof/>
          <w:sz w:val="24"/>
        </w:rPr>
        <w:t>IPBES</w:t>
      </w:r>
      <w:r>
        <w:rPr>
          <w:rFonts w:ascii="Times New Roman" w:hAnsi="Times New Roman"/>
          <w:noProof/>
          <w:sz w:val="24"/>
        </w:rPr>
        <w:t>) и Междуправителствения комитет по изменение на климата (</w:t>
      </w:r>
      <w:r>
        <w:rPr>
          <w:rFonts w:ascii="Times New Roman" w:hAnsi="Times New Roman"/>
          <w:b/>
          <w:noProof/>
          <w:sz w:val="24"/>
        </w:rPr>
        <w:t>IPCC</w:t>
      </w:r>
      <w:r>
        <w:rPr>
          <w:rFonts w:ascii="Times New Roman" w:hAnsi="Times New Roman"/>
          <w:noProof/>
          <w:sz w:val="24"/>
        </w:rPr>
        <w:t>). Специализираните покани за представяне на предложения по „Хоризонт 2020“ подкрепят изграждането на допълнителни научни познания</w:t>
      </w:r>
      <w:r>
        <w:rPr>
          <w:rStyle w:val="FootnoteReference"/>
          <w:rFonts w:eastAsiaTheme="minorHAnsi"/>
          <w:noProof/>
          <w:sz w:val="24"/>
        </w:rPr>
        <w:footnoteReference w:id="24"/>
      </w:r>
      <w:r>
        <w:rPr>
          <w:rFonts w:ascii="Times New Roman" w:hAnsi="Times New Roman"/>
          <w:noProof/>
          <w:sz w:val="24"/>
        </w:rPr>
        <w:t>, както и функционирането на тези органи, като по този начин допринасят за многостранното сътрудничество.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Съвместно с Германия и Финландия Комисията организира </w:t>
      </w:r>
      <w:r>
        <w:rPr>
          <w:rFonts w:ascii="Times New Roman" w:hAnsi="Times New Roman"/>
          <w:b/>
          <w:noProof/>
          <w:sz w:val="24"/>
        </w:rPr>
        <w:t>втората министерска среща за научноизследователската дейност в Арктика</w:t>
      </w:r>
      <w:r>
        <w:rPr>
          <w:rStyle w:val="FootnoteReference"/>
          <w:rFonts w:eastAsiaTheme="minorHAnsi"/>
          <w:noProof/>
          <w:sz w:val="24"/>
        </w:rPr>
        <w:footnoteReference w:id="25"/>
      </w:r>
      <w:r>
        <w:rPr>
          <w:rFonts w:ascii="Times New Roman" w:hAnsi="Times New Roman"/>
          <w:noProof/>
          <w:sz w:val="24"/>
        </w:rPr>
        <w:t>, която доведе до приемането на съвместно изявление от страна на ЕС, 23 държави и шест организации на коренното население</w:t>
      </w:r>
      <w:r>
        <w:rPr>
          <w:rStyle w:val="FootnoteReference"/>
          <w:rFonts w:eastAsiaTheme="minorHAnsi"/>
          <w:noProof/>
          <w:sz w:val="24"/>
        </w:rPr>
        <w:footnoteReference w:id="2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 дългогодишния ангажимент на ЕС за сътрудничество в областта на научните изследвания и иновациите по отношение на </w:t>
      </w:r>
      <w:r>
        <w:rPr>
          <w:rFonts w:ascii="Times New Roman" w:hAnsi="Times New Roman"/>
          <w:b/>
          <w:noProof/>
          <w:sz w:val="24"/>
        </w:rPr>
        <w:t>Атлантическия океан</w:t>
      </w:r>
      <w:r>
        <w:rPr>
          <w:rFonts w:ascii="Times New Roman" w:hAnsi="Times New Roman"/>
          <w:noProof/>
          <w:sz w:val="24"/>
        </w:rPr>
        <w:t xml:space="preserve"> Комисията подписа споразумения за сътрудничество с Аржентина и Кабо Верде за укрепване и насърчаване на сътрудничеството в областта на научните изследвания и иновациите по отношение на „синия растеж“ и за справяне с предизвикателствата, свързани с Атлантическия океан, включително наблюдение на океана, продоволствена сигурност, полярни научни изследвания и променливост на климата.</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rPr>
        <w:t>Други мерки на политиката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публикува две важни съобщения относно глобалните предизвикателствата пред научните изследвания и иновациите:</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i/>
          <w:noProof/>
          <w:sz w:val="24"/>
        </w:rPr>
        <w:t>Устойчива биоикономика за Европа: укрепване на връзката между икономиката, обществото и околната среда</w:t>
      </w:r>
      <w:r>
        <w:rPr>
          <w:rStyle w:val="FootnoteReference"/>
          <w:rFonts w:eastAsiaTheme="minorHAnsi"/>
          <w:noProof/>
          <w:sz w:val="24"/>
        </w:rPr>
        <w:footnoteReference w:id="27"/>
      </w:r>
      <w:r>
        <w:rPr>
          <w:rFonts w:ascii="Times New Roman" w:hAnsi="Times New Roman"/>
          <w:noProof/>
          <w:sz w:val="24"/>
        </w:rPr>
        <w:t xml:space="preserve"> актуализирана стратегия за биоикономика на ЕС. Научните изследвания и иновациите ще продължат да заемат ключова роля в трите набора от действия, които трябва да стартират през 2019 г.: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укрепване и разрастване на секторите на биоикономиката;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внедряване на местни биоикономики в цяла Европа; и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разбиране на екологичните граници на биоикономиката; както и</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i/>
          <w:noProof/>
          <w:sz w:val="24"/>
        </w:rPr>
        <w:t>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w:t>
      </w:r>
      <w:r>
        <w:rPr>
          <w:rStyle w:val="FootnoteReference"/>
          <w:rFonts w:eastAsiaTheme="minorHAnsi"/>
          <w:noProof/>
          <w:sz w:val="24"/>
        </w:rPr>
        <w:footnoteReference w:id="28"/>
      </w:r>
      <w:r>
        <w:rPr>
          <w:rFonts w:ascii="Times New Roman" w:hAnsi="Times New Roman"/>
          <w:noProof/>
          <w:sz w:val="24"/>
        </w:rPr>
        <w:t xml:space="preserve">, където се посочва как ЕС е започнал да прилага трансформацията, необходима за постигане на неутрална по отношение на климата икономика, и където се очертават седем конкретни успешни варианта. Също така в него се подчертава значимостта на мобилизирането на средства и внедряването на научни изследвания и иновации за подпомагане на широк набор от дейности, необходими за превръщането на неутралната по отношение на климата икономика в реалност.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Продължи работата по прилагане на 20-те мерки на политиката, изложени в Съобщението за </w:t>
      </w:r>
      <w:r>
        <w:rPr>
          <w:rFonts w:ascii="Times New Roman" w:hAnsi="Times New Roman"/>
          <w:i/>
          <w:noProof/>
          <w:sz w:val="24"/>
        </w:rPr>
        <w:t>Ускоряване на иновацията в областта на чистата енергия</w:t>
      </w:r>
      <w:r>
        <w:rPr>
          <w:rStyle w:val="FootnoteReference"/>
          <w:rFonts w:eastAsiaTheme="minorHAnsi"/>
          <w:noProof/>
          <w:sz w:val="24"/>
        </w:rPr>
        <w:footnoteReference w:id="29"/>
      </w:r>
      <w:r>
        <w:rPr>
          <w:rFonts w:ascii="Times New Roman" w:hAnsi="Times New Roman"/>
          <w:i/>
          <w:noProof/>
          <w:sz w:val="24"/>
        </w:rPr>
        <w:t xml:space="preserve">, </w:t>
      </w:r>
      <w:r>
        <w:rPr>
          <w:rFonts w:ascii="Times New Roman" w:hAnsi="Times New Roman"/>
          <w:noProof/>
          <w:sz w:val="24"/>
        </w:rPr>
        <w:t>които чрез научни изследвания и иновации допринасят за постигане на целите на Енергийния съюз.</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Стратегическата група на високо равнище за индустриалните технологии публикува своя подход на политиката към главните базови технологии (ГБТ)</w:t>
      </w:r>
      <w:r>
        <w:rPr>
          <w:rStyle w:val="FootnoteReference"/>
          <w:rFonts w:eastAsiaTheme="minorHAnsi"/>
          <w:noProof/>
          <w:sz w:val="24"/>
        </w:rPr>
        <w:footnoteReference w:id="30"/>
      </w:r>
      <w:r>
        <w:rPr>
          <w:rFonts w:ascii="Times New Roman" w:hAnsi="Times New Roman"/>
          <w:noProof/>
          <w:sz w:val="24"/>
        </w:rPr>
        <w:t xml:space="preserve">, като утвърди шестте ГБТ, установени през 2009 г., и предложи включването на две нови ГБТ: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изкуствен интелект; както и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цифрова сигурност и свързаност.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Групата на главните научни съветници (GCSA — групата, която наследи групата на високо равнище към Механизма за научни становища (ГВР към МНС</w:t>
      </w:r>
      <w:r>
        <w:rPr>
          <w:rStyle w:val="FootnoteReference"/>
          <w:rFonts w:eastAsiaTheme="minorHAnsi"/>
          <w:noProof/>
          <w:sz w:val="24"/>
        </w:rPr>
        <w:footnoteReference w:id="31"/>
      </w:r>
      <w:r>
        <w:rPr>
          <w:rFonts w:ascii="Times New Roman" w:hAnsi="Times New Roman"/>
          <w:noProof/>
          <w:sz w:val="24"/>
        </w:rPr>
        <w:t xml:space="preserve">), представи значимо научно становище по отношение на </w:t>
      </w:r>
      <w:r>
        <w:rPr>
          <w:rFonts w:ascii="Times New Roman" w:hAnsi="Times New Roman"/>
          <w:i/>
          <w:noProof/>
          <w:sz w:val="24"/>
        </w:rPr>
        <w:t>Новите технологии за улавяне и използване на въглерод</w:t>
      </w:r>
      <w:r>
        <w:rPr>
          <w:rStyle w:val="FootnoteReference"/>
          <w:rFonts w:eastAsiaTheme="minorHAnsi"/>
          <w:noProof/>
          <w:sz w:val="24"/>
        </w:rPr>
        <w:footnoteReference w:id="32"/>
      </w:r>
      <w:r>
        <w:rPr>
          <w:rFonts w:ascii="Times New Roman" w:hAnsi="Times New Roman"/>
          <w:noProof/>
          <w:sz w:val="24"/>
        </w:rPr>
        <w:t xml:space="preserve"> и издаде насоки по отношение на чувствителните регулаторни предизвикателства, като например генното редактиране</w:t>
      </w:r>
      <w:r>
        <w:rPr>
          <w:rStyle w:val="FootnoteReference"/>
          <w:rFonts w:eastAsiaTheme="minorHAnsi"/>
          <w:noProof/>
          <w:sz w:val="24"/>
        </w:rPr>
        <w:footnoteReference w:id="33"/>
      </w:r>
      <w:r>
        <w:rPr>
          <w:rFonts w:ascii="Times New Roman" w:hAnsi="Times New Roman"/>
          <w:noProof/>
          <w:sz w:val="24"/>
        </w:rPr>
        <w:t xml:space="preserve">. Също така групата е в пряко взаимодействие с широката общественост.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Други инициативи на високо равнище, които засягат важни междусекторни приоритети на политиката, включваха Европейския алианс за акумулаторните батерии</w:t>
      </w:r>
      <w:r>
        <w:rPr>
          <w:rStyle w:val="FootnoteReference"/>
          <w:rFonts w:eastAsiaTheme="minorHAnsi"/>
          <w:noProof/>
        </w:rPr>
        <w:footnoteReference w:id="34"/>
      </w:r>
      <w:r>
        <w:rPr>
          <w:rFonts w:ascii="Times New Roman" w:hAnsi="Times New Roman"/>
          <w:noProof/>
          <w:sz w:val="24"/>
        </w:rPr>
        <w:t xml:space="preserve"> и Съобщенията </w:t>
      </w:r>
      <w:r>
        <w:rPr>
          <w:rFonts w:ascii="Times New Roman" w:hAnsi="Times New Roman"/>
          <w:i/>
          <w:noProof/>
          <w:sz w:val="24"/>
        </w:rPr>
        <w:t>По пътя към автоматизираната мобилност: стратегия на ЕС за мобилността на бъдещето</w:t>
      </w:r>
      <w:r>
        <w:rPr>
          <w:rStyle w:val="FootnoteReference"/>
          <w:rFonts w:eastAsiaTheme="minorHAnsi"/>
          <w:noProof/>
          <w:sz w:val="24"/>
        </w:rPr>
        <w:footnoteReference w:id="35"/>
      </w:r>
      <w:r>
        <w:rPr>
          <w:rFonts w:ascii="Times New Roman" w:hAnsi="Times New Roman"/>
          <w:noProof/>
          <w:sz w:val="24"/>
        </w:rPr>
        <w:t xml:space="preserve"> и </w:t>
      </w:r>
      <w:r>
        <w:rPr>
          <w:rFonts w:ascii="Times New Roman" w:hAnsi="Times New Roman"/>
          <w:i/>
          <w:noProof/>
          <w:sz w:val="24"/>
        </w:rPr>
        <w:t>Веществата, нарушаващи функциите на ендокринната система</w:t>
      </w:r>
      <w:r>
        <w:rPr>
          <w:rStyle w:val="FootnoteReference"/>
          <w:rFonts w:eastAsiaTheme="minorHAnsi"/>
          <w:i/>
          <w:noProof/>
        </w:rPr>
        <w:footnoteReference w:id="36"/>
      </w:r>
      <w:r>
        <w:rPr>
          <w:rFonts w:ascii="Times New Roman" w:hAnsi="Times New Roman"/>
          <w:i/>
          <w:noProof/>
          <w:sz w:val="24"/>
        </w:rPr>
        <w:t>.</w:t>
      </w:r>
      <w:r>
        <w:rPr>
          <w:rFonts w:ascii="Times New Roman" w:hAnsi="Times New Roman"/>
          <w:noProof/>
          <w:sz w:val="24"/>
        </w:rPr>
        <w:t xml:space="preserve"> Аспектите на научните изследвания са от особено значение за изпълнението на предложените стратегии.</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Изпълнение на „Хоризонт 2020“</w:t>
      </w:r>
    </w:p>
    <w:p>
      <w:pPr>
        <w:spacing w:after="240" w:line="240" w:lineRule="auto"/>
        <w:ind w:left="567" w:hanging="567"/>
        <w:jc w:val="both"/>
        <w:rPr>
          <w:rFonts w:ascii="Times New Roman" w:eastAsia="Times New Roman" w:hAnsi="Times New Roman" w:cs="Times New Roman"/>
          <w:b/>
          <w:noProof/>
          <w:sz w:val="24"/>
          <w:szCs w:val="24"/>
        </w:rPr>
      </w:pPr>
      <w:r>
        <w:rPr>
          <w:rFonts w:ascii="Times New Roman" w:hAnsi="Times New Roman"/>
          <w:b/>
          <w:noProof/>
          <w:sz w:val="24"/>
        </w:rPr>
        <w:t xml:space="preserve">4.1 </w:t>
      </w:r>
      <w:r>
        <w:rPr>
          <w:noProof/>
        </w:rPr>
        <w:tab/>
      </w:r>
      <w:r>
        <w:rPr>
          <w:rFonts w:ascii="Times New Roman" w:hAnsi="Times New Roman"/>
          <w:b/>
          <w:noProof/>
          <w:sz w:val="24"/>
        </w:rPr>
        <w:t>Отклик на поканите за представяне на предложения</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До края на 2018 г.</w:t>
      </w:r>
      <w:r>
        <w:rPr>
          <w:rStyle w:val="FootnoteReference"/>
          <w:rFonts w:eastAsiaTheme="minorHAnsi"/>
          <w:noProof/>
          <w:sz w:val="24"/>
        </w:rPr>
        <w:footnoteReference w:id="37"/>
      </w:r>
      <w:r>
        <w:rPr>
          <w:rFonts w:ascii="Times New Roman" w:hAnsi="Times New Roman"/>
          <w:noProof/>
          <w:color w:val="000000"/>
          <w:sz w:val="24"/>
        </w:rPr>
        <w:t xml:space="preserve"> изтекоха 679 крайни срока на покани по „Хоризонт 2020“, като бяха представени общо 191 731</w:t>
      </w:r>
      <w:r>
        <w:rPr>
          <w:rFonts w:ascii="Times New Roman" w:hAnsi="Times New Roman"/>
          <w:b/>
          <w:noProof/>
          <w:color w:val="000000"/>
          <w:sz w:val="24"/>
        </w:rPr>
        <w:t xml:space="preserve"> </w:t>
      </w:r>
      <w:r>
        <w:rPr>
          <w:rFonts w:ascii="Times New Roman" w:hAnsi="Times New Roman"/>
          <w:noProof/>
          <w:color w:val="000000"/>
          <w:sz w:val="24"/>
        </w:rPr>
        <w:t xml:space="preserve"> отговарящи на условията предложения, с които бе поискано финансово участие от ЕС в размер на общо 290,3 милиарда евро. От тях за финансиране бяха одобрени 23 250 предложения, като общият процент на успеваемост на отговарящите на условията предложения през първите пет години достигна 12,13 %. До края на декември бяха подписани общо 21 599 споразумения за отпускане на безвъзмездни средства, като за тях беше отпуснато финансиране от бюджета на ЕС в размер на 38,97 милиарда евро.</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През периода 2014—2018 г. участници в държавите — членки на ЕС, получиха 91,5 % от финансирането, а останалите финансови средства бяха получени от участници от асоциирани държави (7,2 %) и от държави извън ЕС (1,3 %). Докато делът на участие на асоциираните държави (7,2 %) е в съответствие с полученото финансиране, този на държавите извън ЕС е значително по-висок (3,9 %), което показва интерес към международната откритост, който не е обвързан с финансирането.</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Висшите учебни заведения остават на първо място по получено финансиране (39,8 %), докато 25,9 % от финансирането от ЕС по стълбове 2 и 3 отиват за МСП.</w:t>
      </w:r>
    </w:p>
    <w:p>
      <w:pPr>
        <w:spacing w:after="240" w:line="240" w:lineRule="auto"/>
        <w:ind w:left="567" w:hanging="567"/>
        <w:jc w:val="both"/>
        <w:rPr>
          <w:rFonts w:ascii="Times New Roman" w:eastAsia="Times New Roman" w:hAnsi="Times New Roman" w:cs="Times New Roman"/>
          <w:b/>
          <w:noProof/>
          <w:sz w:val="24"/>
          <w:szCs w:val="24"/>
        </w:rPr>
      </w:pPr>
      <w:r>
        <w:rPr>
          <w:rFonts w:ascii="Times New Roman" w:hAnsi="Times New Roman"/>
          <w:b/>
          <w:noProof/>
          <w:sz w:val="24"/>
        </w:rPr>
        <w:t xml:space="preserve">4.2. </w:t>
      </w:r>
      <w:r>
        <w:rPr>
          <w:noProof/>
        </w:rPr>
        <w:tab/>
      </w:r>
      <w:r>
        <w:rPr>
          <w:rFonts w:ascii="Times New Roman" w:hAnsi="Times New Roman"/>
          <w:b/>
          <w:noProof/>
          <w:sz w:val="24"/>
        </w:rPr>
        <w:t>Ключови характеристики на „Хоризонт 2020“</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Първа фаза на пилотния проект на ЕСИ</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Групата на високо равнище от новатори</w:t>
      </w:r>
      <w:r>
        <w:rPr>
          <w:rFonts w:ascii="Times New Roman" w:hAnsi="Times New Roman"/>
          <w:noProof/>
          <w:sz w:val="24"/>
        </w:rPr>
        <w:t xml:space="preserve">, която беше избрана да помогне на комисар Moedas да създаде ЕСИ, изготви доклад </w:t>
      </w:r>
      <w:r>
        <w:rPr>
          <w:rFonts w:ascii="Times New Roman" w:hAnsi="Times New Roman"/>
          <w:i/>
          <w:noProof/>
          <w:sz w:val="24"/>
        </w:rPr>
        <w:t>„Финансиране — Осведоменост — Мащаб — Талант“</w:t>
      </w:r>
      <w:r>
        <w:rPr>
          <w:rFonts w:ascii="Times New Roman" w:hAnsi="Times New Roman"/>
          <w:noProof/>
          <w:sz w:val="24"/>
        </w:rPr>
        <w:t xml:space="preserve"> </w:t>
      </w:r>
      <w:r>
        <w:rPr>
          <w:rFonts w:ascii="Times New Roman" w:hAnsi="Times New Roman"/>
          <w:i/>
          <w:noProof/>
          <w:sz w:val="24"/>
        </w:rPr>
        <w:t>(FAST)</w:t>
      </w:r>
      <w:r>
        <w:rPr>
          <w:rStyle w:val="FootnoteReference"/>
          <w:rFonts w:eastAsiaTheme="minorHAnsi"/>
          <w:noProof/>
          <w:sz w:val="24"/>
        </w:rPr>
        <w:footnoteReference w:id="38"/>
      </w:r>
      <w:r>
        <w:rPr>
          <w:rFonts w:ascii="Times New Roman" w:hAnsi="Times New Roman"/>
          <w:noProof/>
          <w:sz w:val="24"/>
        </w:rPr>
        <w:t xml:space="preserve"> (</w:t>
      </w:r>
      <w:r>
        <w:rPr>
          <w:rFonts w:ascii="Times New Roman" w:hAnsi="Times New Roman"/>
          <w:i/>
          <w:noProof/>
          <w:sz w:val="24"/>
        </w:rPr>
        <w:t>Funding-Awareness-Scale-Talent (FAST)</w:t>
      </w:r>
      <w:r>
        <w:rPr>
          <w:rFonts w:ascii="Times New Roman" w:hAnsi="Times New Roman"/>
          <w:noProof/>
          <w:sz w:val="24"/>
        </w:rPr>
        <w:t>, в който бяха подчертани варианти за подобряване на подкрепата за създаващите пазари иновации в ЕС.  Въз основа на доклада и на по-ранни стъпки от страна на колегиума на комисарите</w:t>
      </w:r>
      <w:r>
        <w:rPr>
          <w:rStyle w:val="FootnoteReference"/>
          <w:rFonts w:eastAsiaTheme="minorHAnsi"/>
          <w:noProof/>
          <w:sz w:val="24"/>
        </w:rPr>
        <w:footnoteReference w:id="39"/>
      </w:r>
      <w:r>
        <w:rPr>
          <w:rFonts w:ascii="Times New Roman" w:hAnsi="Times New Roman"/>
          <w:noProof/>
          <w:sz w:val="24"/>
        </w:rPr>
        <w:t xml:space="preserve"> в работната програма за периода 2018—2020 г. беше включен пилотен проект за ЕСИ.</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В съответствие с препоръките на групата</w:t>
      </w:r>
      <w:r>
        <w:rPr>
          <w:rStyle w:val="FootnoteReference"/>
          <w:rFonts w:eastAsiaTheme="minorHAnsi"/>
          <w:noProof/>
          <w:sz w:val="24"/>
        </w:rPr>
        <w:footnoteReference w:id="40"/>
      </w:r>
      <w:r>
        <w:rPr>
          <w:rFonts w:ascii="Times New Roman" w:hAnsi="Times New Roman"/>
          <w:noProof/>
          <w:sz w:val="24"/>
        </w:rPr>
        <w:t xml:space="preserve"> пилотният проект включва изцяло съответното финансиране за иновации по „Хоризонт 2020“ в единна схема, която обхваща инструмента за МСП, проектите „Бърз път към иновации“, „Отворени бъдещи и навлизащи технологии“ (FET Open) и наградите по програмата „Хоризонт“. </w:t>
      </w:r>
    </w:p>
    <w:p>
      <w:pPr>
        <w:spacing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Тази част от работната програма следва да подпомогне до 1000 проекта, с общ бюджет в размер на 2,7 милиарда евро. Въздействието ѝ ще бъде оценено спрямо следните показатели: </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rPr>
      </w:pPr>
      <w:r>
        <w:rPr>
          <w:rFonts w:ascii="Times New Roman" w:hAnsi="Times New Roman"/>
          <w:noProof/>
          <w:sz w:val="24"/>
        </w:rPr>
        <w:t>развиване на нови пазари;</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rPr>
      </w:pPr>
      <w:r>
        <w:rPr>
          <w:rFonts w:ascii="Times New Roman" w:hAnsi="Times New Roman"/>
          <w:noProof/>
          <w:sz w:val="24"/>
        </w:rPr>
        <w:t>привличане на частни инвестиции; както и</w:t>
      </w:r>
    </w:p>
    <w:p>
      <w:pPr>
        <w:pStyle w:val="ListParagraph"/>
        <w:numPr>
          <w:ilvl w:val="0"/>
          <w:numId w:val="6"/>
        </w:numPr>
        <w:spacing w:after="240" w:line="240" w:lineRule="auto"/>
        <w:contextualSpacing w:val="0"/>
        <w:jc w:val="both"/>
        <w:rPr>
          <w:rFonts w:ascii="Times New Roman" w:eastAsia="Times New Roman" w:hAnsi="Times New Roman" w:cs="Times New Roman"/>
          <w:bCs/>
          <w:noProof/>
          <w:sz w:val="24"/>
          <w:szCs w:val="24"/>
        </w:rPr>
      </w:pPr>
      <w:r>
        <w:rPr>
          <w:rFonts w:ascii="Times New Roman" w:hAnsi="Times New Roman"/>
          <w:noProof/>
          <w:sz w:val="24"/>
        </w:rPr>
        <w:t>растеж на подпомогнатите предприятия.</w:t>
      </w:r>
    </w:p>
    <w:p>
      <w:pPr>
        <w:spacing w:after="240" w:line="240" w:lineRule="auto"/>
        <w:jc w:val="both"/>
        <w:rPr>
          <w:rFonts w:ascii="Times New Roman" w:eastAsia="Times New Roman" w:hAnsi="Times New Roman" w:cs="Times New Roman"/>
          <w:bCs/>
          <w:noProof/>
          <w:sz w:val="24"/>
          <w:szCs w:val="24"/>
          <w:u w:val="single"/>
        </w:rPr>
      </w:pPr>
      <w:r>
        <w:rPr>
          <w:rFonts w:ascii="Times New Roman" w:hAnsi="Times New Roman"/>
          <w:noProof/>
          <w:sz w:val="24"/>
        </w:rPr>
        <w:t xml:space="preserve">През юни 2018 г. </w:t>
      </w:r>
      <w:r>
        <w:rPr>
          <w:rFonts w:ascii="Times New Roman" w:hAnsi="Times New Roman"/>
          <w:b/>
          <w:noProof/>
          <w:sz w:val="24"/>
        </w:rPr>
        <w:t>Европейският съвет</w:t>
      </w:r>
      <w:r>
        <w:rPr>
          <w:rFonts w:ascii="Times New Roman" w:hAnsi="Times New Roman"/>
          <w:noProof/>
          <w:sz w:val="24"/>
        </w:rPr>
        <w:t xml:space="preserve"> прикани Комисията да разработи втора фаза на инициативата</w:t>
      </w:r>
      <w:r>
        <w:rPr>
          <w:rStyle w:val="FootnoteReference"/>
          <w:rFonts w:eastAsiaTheme="minorHAnsi"/>
          <w:noProof/>
          <w:sz w:val="24"/>
        </w:rPr>
        <w:footnoteReference w:id="41"/>
      </w:r>
      <w:r>
        <w:rPr>
          <w:rFonts w:ascii="Times New Roman" w:hAnsi="Times New Roman"/>
          <w:noProof/>
          <w:sz w:val="24"/>
        </w:rPr>
        <w:t>, която да бъде насочена към изготвяне на решения за смесено финансиране и към експериментиране с нови договорености за управление на програмата</w:t>
      </w:r>
      <w:r>
        <w:rPr>
          <w:rFonts w:ascii="Times New Roman" w:hAnsi="Times New Roman"/>
          <w:i/>
          <w:noProof/>
          <w:sz w:val="24"/>
        </w:rPr>
        <w:t>.</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Международно сътрудничество</w:t>
      </w:r>
    </w:p>
    <w:p>
      <w:pPr>
        <w:tabs>
          <w:tab w:val="num" w:pos="1440"/>
        </w:tabs>
        <w:spacing w:after="240" w:line="240" w:lineRule="auto"/>
        <w:jc w:val="both"/>
        <w:rPr>
          <w:rFonts w:ascii="Times New Roman" w:eastAsia="Times New Roman" w:hAnsi="Times New Roman" w:cs="Times New Roman"/>
          <w:noProof/>
          <w:sz w:val="24"/>
          <w:szCs w:val="24"/>
        </w:rPr>
      </w:pPr>
      <w:bookmarkStart w:id="2" w:name="_Toc467661706"/>
      <w:r>
        <w:rPr>
          <w:rFonts w:ascii="Times New Roman" w:hAnsi="Times New Roman"/>
          <w:noProof/>
          <w:sz w:val="24"/>
        </w:rPr>
        <w:t xml:space="preserve">Научното сътрудничество продължава да бъде един от основните стълбове в международните отношения на ЕС. Комисията актуализира </w:t>
      </w:r>
      <w:r>
        <w:rPr>
          <w:rFonts w:ascii="Times New Roman" w:hAnsi="Times New Roman"/>
          <w:b/>
          <w:noProof/>
          <w:sz w:val="24"/>
        </w:rPr>
        <w:t>пътните карти на научните изследвания и иновациите</w:t>
      </w:r>
      <w:r>
        <w:rPr>
          <w:rFonts w:ascii="Times New Roman" w:hAnsi="Times New Roman"/>
          <w:noProof/>
          <w:sz w:val="24"/>
        </w:rPr>
        <w:t xml:space="preserve"> с основни партньори както на държавно, така и на регионално равнище. В тях диалозите относно политиката  се обединяват със сътрудничеството на проектно равнище, включено в дейностите на работната програма „Хоризонт 2020“. </w:t>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специално Комисията актуализира пътните карти в областта на науката и технологиите за сътрудничество със:</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 държавно (двустранно) равнище</w:t>
      </w:r>
      <w:r>
        <w:rPr>
          <w:rStyle w:val="FootnoteReference"/>
          <w:rFonts w:eastAsiaTheme="minorHAnsi"/>
          <w:noProof/>
          <w:sz w:val="24"/>
        </w:rPr>
        <w:footnoteReference w:id="42"/>
      </w:r>
      <w:r>
        <w:rPr>
          <w:rFonts w:ascii="Times New Roman" w:hAnsi="Times New Roman"/>
          <w:noProof/>
          <w:sz w:val="24"/>
        </w:rPr>
        <w:t xml:space="preserve"> — Австралия, Бразилия, Канада, Китай, Индия, Япония, Южна Корея, Мексико, Нова Зеландия, Русия, Южна Африка и Съединените щати; както и</w:t>
      </w:r>
    </w:p>
    <w:p>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 регионално равнище</w:t>
      </w:r>
      <w:r>
        <w:rPr>
          <w:rStyle w:val="FootnoteReference"/>
          <w:rFonts w:eastAsiaTheme="minorHAnsi"/>
          <w:noProof/>
          <w:sz w:val="24"/>
        </w:rPr>
        <w:footnoteReference w:id="43"/>
      </w:r>
      <w:r>
        <w:rPr>
          <w:rFonts w:ascii="Times New Roman" w:hAnsi="Times New Roman"/>
          <w:noProof/>
          <w:sz w:val="24"/>
        </w:rPr>
        <w:t xml:space="preserve">— Африканския съюз, Югоизточна Азия, Източното партньорство, Общността на латиноамериканските и карибските държави, Средиземноморието и Близкия изток, както и Западните Балкани.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 проектно равнище действията в рамките на програмата „Мария Склодовска-Кюри“ продължават да съставляват повече от половината участия на държави извън ЕС в „Хоризонт 2020“.</w:t>
      </w:r>
    </w:p>
    <w:bookmarkEnd w:id="2"/>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Разширяване на участието</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Комисията публикува обширна оценка на моделите на участие и на резултатите от научните изследвания и иновациите на отговарящите на условията държави в </w:t>
      </w:r>
      <w:r>
        <w:rPr>
          <w:rFonts w:ascii="Times New Roman" w:hAnsi="Times New Roman"/>
          <w:i/>
          <w:noProof/>
          <w:sz w:val="24"/>
        </w:rPr>
        <w:t>„Разпространяване на високите научни постижения и разширяване на участието в „Хоризонт 2020“</w:t>
      </w:r>
      <w:r>
        <w:rPr>
          <w:rStyle w:val="FootnoteReference"/>
          <w:rFonts w:eastAsiaTheme="minorHAnsi"/>
          <w:noProof/>
          <w:sz w:val="24"/>
        </w:rPr>
        <w:footnoteReference w:id="44"/>
      </w:r>
      <w:r>
        <w:rPr>
          <w:rFonts w:ascii="Times New Roman" w:hAnsi="Times New Roman"/>
          <w:noProof/>
          <w:sz w:val="24"/>
        </w:rPr>
        <w:t>. Като цяло разширяването на участието на държавите е в съответствие с техните национални инвестиции за научни изследвания и иновации.</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Бяха подписани общо 44 споразумения за предоставяне на безвъзмездни средства на обща стойност 62,38 милиона евро за изпълнение на проектите за „разпространяване на високи научни постижения“. От тях 13 ще подпомогнат създаването на „катедри ЕНП“ в Естония, Кипър, Литва, Люксембург, Португалия, Словакия, Словения и Чехия.</w:t>
      </w:r>
    </w:p>
    <w:p>
      <w:pPr>
        <w:spacing w:after="240" w:line="240" w:lineRule="auto"/>
        <w:jc w:val="both"/>
        <w:rPr>
          <w:rFonts w:ascii="Times New Roman" w:eastAsia="Times New Roman" w:hAnsi="Times New Roman" w:cs="Times New Roman"/>
          <w:bCs/>
          <w:noProof/>
          <w:sz w:val="24"/>
          <w:szCs w:val="24"/>
        </w:rPr>
      </w:pPr>
      <w:r>
        <w:rPr>
          <w:noProof/>
        </w:rPr>
        <w:t xml:space="preserve"> </w:t>
      </w:r>
      <w:r>
        <w:rPr>
          <w:rFonts w:ascii="Times New Roman" w:hAnsi="Times New Roman"/>
          <w:noProof/>
          <w:sz w:val="24"/>
        </w:rPr>
        <w:t xml:space="preserve">През 2018 г. беше представена нова пилотна дейност — Разширяване на стипендиите, която е разработена по модела на индивидуалните стипендии от действията по програмата „Мария Склодовска-Кюри“. Те ще предоставят допълнителни възможности около 120 изследователи, независимо от тяхната национална принадлежност, да използват стипендия в държава, предвидена за разширяване на участието. </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Механизмът за подкрепа в областта на политиките</w:t>
      </w:r>
      <w:r>
        <w:rPr>
          <w:rFonts w:ascii="Times New Roman" w:hAnsi="Times New Roman"/>
          <w:noProof/>
          <w:sz w:val="24"/>
        </w:rPr>
        <w:t xml:space="preserve"> също така предостави подкрепа за реформиране на политиката в държавите, предвидени за разширяване на участието, като например партньорска оценка на системата за научни изследвания и иновации на Естония</w:t>
      </w:r>
      <w:r>
        <w:rPr>
          <w:rStyle w:val="FootnoteReference"/>
          <w:rFonts w:eastAsiaTheme="minorHAnsi"/>
          <w:noProof/>
          <w:sz w:val="24"/>
        </w:rPr>
        <w:footnoteReference w:id="45"/>
      </w:r>
      <w:r>
        <w:rPr>
          <w:rFonts w:ascii="Times New Roman" w:hAnsi="Times New Roman"/>
          <w:noProof/>
          <w:sz w:val="24"/>
        </w:rPr>
        <w:t xml:space="preserve"> с оглед на планираната от нея стратегия за периода 2021—2027 г. за научни изследвания, иновации и предприемачество.</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Беше дадено начало на проекта „Напред“ като част от новата стратегия на ЕС за </w:t>
      </w:r>
      <w:r>
        <w:rPr>
          <w:rFonts w:ascii="Times New Roman" w:hAnsi="Times New Roman"/>
          <w:b/>
          <w:noProof/>
          <w:sz w:val="24"/>
        </w:rPr>
        <w:t>най-отдалечените региони.</w:t>
      </w:r>
      <w:r>
        <w:rPr>
          <w:rFonts w:ascii="Times New Roman" w:hAnsi="Times New Roman"/>
          <w:noProof/>
          <w:sz w:val="24"/>
        </w:rPr>
        <w:t xml:space="preserve"> Като обединява институции и заинтересовани страни от Азорските острови, Гваделупа, Канарските острови, Мадейра, Майот, Мартиника, Реюнион, Сен Мартен и Френска Гвиана, проектът ще включва и първоначален анализ на средата за научни изследвания и иновации и ще разработи обща стратегия и тематични планове за действие.</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Обществени и хуманитарни науки (ОХН)</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общо 136 теми в рамките както на стълба „Водещи позиции в промишлеността“, така и на стълба „Обществени предизвикателства“ изрично се изисква принос от обществените и хуманитарните науки.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третия мониторингов доклад относно интегрирането на ОХН в „Хоризонт 2020“</w:t>
      </w:r>
      <w:r>
        <w:rPr>
          <w:rStyle w:val="FootnoteReference"/>
          <w:rFonts w:eastAsiaTheme="minorHAnsi"/>
          <w:noProof/>
          <w:sz w:val="24"/>
        </w:rPr>
        <w:footnoteReference w:id="46"/>
      </w:r>
      <w:r>
        <w:rPr>
          <w:rFonts w:ascii="Times New Roman" w:hAnsi="Times New Roman"/>
          <w:noProof/>
          <w:sz w:val="24"/>
        </w:rPr>
        <w:t xml:space="preserve"> беше установено, че 32 % от проектите, финансирани по теми, отбелязани като ОХН, са координирани от партньор от областта на ОХН. Докато икономиката и социологията са представени добре, все още е необходимо да се подобри интегрирането на други дисциплини в областта на ОХН, като например право, история и антропология.</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Пол</w:t>
      </w:r>
    </w:p>
    <w:p>
      <w:p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rPr>
        <w:t>Различни форми на подкрепа допринесоха за положителни тенденции в тази област</w:t>
      </w:r>
      <w:r>
        <w:rPr>
          <w:rStyle w:val="FootnoteReference"/>
          <w:rFonts w:eastAsiaTheme="minorHAnsi"/>
          <w:noProof/>
          <w:sz w:val="24"/>
        </w:rPr>
        <w:footnoteReference w:id="47"/>
      </w:r>
      <w:r>
        <w:rPr>
          <w:rFonts w:ascii="Times New Roman" w:hAnsi="Times New Roman"/>
          <w:noProof/>
          <w:sz w:val="24"/>
        </w:rPr>
        <w:t>; като например:</w:t>
      </w:r>
    </w:p>
    <w:p>
      <w:pPr>
        <w:numPr>
          <w:ilvl w:val="0"/>
          <w:numId w:val="3"/>
        </w:num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rPr>
        <w:t>мрежите от националните звена за контакт</w:t>
      </w:r>
      <w:r>
        <w:rPr>
          <w:rStyle w:val="FootnoteReference"/>
          <w:rFonts w:eastAsiaTheme="minorHAnsi"/>
          <w:noProof/>
          <w:sz w:val="24"/>
        </w:rPr>
        <w:footnoteReference w:id="48"/>
      </w:r>
      <w:r>
        <w:rPr>
          <w:rFonts w:ascii="Times New Roman" w:hAnsi="Times New Roman"/>
          <w:noProof/>
          <w:sz w:val="24"/>
        </w:rPr>
        <w:t xml:space="preserve"> организираха специфични обучения за свързаните с половете аспекти; както и</w:t>
      </w:r>
    </w:p>
    <w:p>
      <w:pPr>
        <w:numPr>
          <w:ilvl w:val="0"/>
          <w:numId w:val="3"/>
        </w:numPr>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Комисията и Хелзинкската група публикуваха </w:t>
      </w:r>
      <w:r>
        <w:rPr>
          <w:rFonts w:ascii="Times New Roman" w:hAnsi="Times New Roman"/>
          <w:i/>
          <w:noProof/>
          <w:sz w:val="24"/>
        </w:rPr>
        <w:t>Насоки за улесняване на изпълнението на целите за насърчаване на равенството между половете в областта на научните изследвания и иновациите</w:t>
      </w:r>
      <w:r>
        <w:rPr>
          <w:rStyle w:val="FootnoteReference"/>
          <w:rFonts w:eastAsiaTheme="minorHAnsi"/>
          <w:noProof/>
          <w:sz w:val="24"/>
        </w:rPr>
        <w:footnoteReference w:id="49"/>
      </w:r>
      <w:r>
        <w:rPr>
          <w:rFonts w:ascii="Times New Roman" w:hAnsi="Times New Roman"/>
          <w:noProof/>
          <w:sz w:val="24"/>
        </w:rPr>
        <w:t>, в които се обхваща проектирането на рамки, благоприятстващи въвеждането на квоти по пол за лицата, вземащи решения.</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Действия в областта на климата и устойчивото развитие</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В регламента за „Хоризонт 2020“</w:t>
      </w:r>
      <w:r>
        <w:rPr>
          <w:rStyle w:val="FootnoteReference"/>
          <w:rFonts w:eastAsiaTheme="minorHAnsi"/>
          <w:noProof/>
          <w:sz w:val="24"/>
        </w:rPr>
        <w:footnoteReference w:id="50"/>
      </w:r>
      <w:r>
        <w:rPr>
          <w:rFonts w:ascii="Times New Roman" w:hAnsi="Times New Roman"/>
          <w:noProof/>
          <w:sz w:val="24"/>
        </w:rPr>
        <w:t xml:space="preserve"> очакваният дял от бюджета за действия в областта на климата и за устойчиво развитие за периода на програмата е определен съответно на 35 % и 60 %. До 2018 г. включително разходите са достигнали най-малко 30 % за действията в областта на климата,</w:t>
      </w:r>
      <w:r>
        <w:rPr>
          <w:rStyle w:val="FootnoteReference"/>
          <w:rFonts w:eastAsiaTheme="minorHAnsi"/>
          <w:noProof/>
        </w:rPr>
        <w:footnoteReference w:id="51"/>
      </w:r>
      <w:r>
        <w:rPr>
          <w:rFonts w:ascii="Times New Roman" w:hAnsi="Times New Roman"/>
          <w:noProof/>
          <w:sz w:val="24"/>
        </w:rPr>
        <w:t xml:space="preserve"> и 69 % — за устойчиво развитие. Понастоящем се полагат допълнителни усилия, по-специално чрез съответните приоритетни области.</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Полезни взаимодействия с други програми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Беше публикуван доклад относно </w:t>
      </w:r>
      <w:r>
        <w:rPr>
          <w:rFonts w:ascii="Times New Roman" w:hAnsi="Times New Roman"/>
          <w:b/>
          <w:noProof/>
          <w:sz w:val="24"/>
        </w:rPr>
        <w:t>процеса на взаимно обучение с цел разширяване на участието и осигуряване на полезни взаимодействия</w:t>
      </w:r>
      <w:r>
        <w:rPr>
          <w:rFonts w:ascii="Times New Roman" w:hAnsi="Times New Roman"/>
          <w:noProof/>
          <w:sz w:val="24"/>
        </w:rPr>
        <w:t xml:space="preserve"> между програмите на ЕС за научни изследвания и иновации и политиката на сближаване</w:t>
      </w:r>
      <w:r>
        <w:rPr>
          <w:rStyle w:val="FootnoteReference"/>
          <w:rFonts w:eastAsiaTheme="minorHAnsi"/>
          <w:noProof/>
          <w:sz w:val="24"/>
        </w:rPr>
        <w:footnoteReference w:id="52"/>
      </w:r>
      <w:r>
        <w:rPr>
          <w:rFonts w:ascii="Times New Roman" w:hAnsi="Times New Roman"/>
          <w:noProof/>
          <w:sz w:val="24"/>
        </w:rPr>
        <w:t>, в който са участвали 12 държави членки и една асоциирана държава. От него стана ясно, че макар и да съществуват регулаторни пречки на проектно равнище, ефективните полезни взаимодействия ще зависят от капацитета да се насърчава диалогът относно политиката на програмно равнище.</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Специалният доклад 28/2018</w:t>
      </w:r>
      <w:r>
        <w:rPr>
          <w:rStyle w:val="FootnoteReference"/>
          <w:rFonts w:eastAsiaTheme="minorHAnsi"/>
          <w:noProof/>
          <w:sz w:val="24"/>
        </w:rPr>
        <w:footnoteReference w:id="53"/>
      </w:r>
      <w:r>
        <w:rPr>
          <w:rFonts w:ascii="Times New Roman" w:hAnsi="Times New Roman"/>
          <w:noProof/>
          <w:sz w:val="24"/>
        </w:rPr>
        <w:t xml:space="preserve"> на Европейската сметна палата даде основание за насърчаване на допълнителна комуникация по отношение на </w:t>
      </w:r>
      <w:r>
        <w:rPr>
          <w:rFonts w:ascii="Times New Roman" w:hAnsi="Times New Roman"/>
          <w:b/>
          <w:noProof/>
          <w:sz w:val="24"/>
        </w:rPr>
        <w:t xml:space="preserve"> „печата за високи постижения“</w:t>
      </w:r>
      <w:r>
        <w:rPr>
          <w:rFonts w:ascii="Times New Roman" w:hAnsi="Times New Roman"/>
          <w:noProof/>
          <w:sz w:val="24"/>
        </w:rPr>
        <w:t>. До днешна дата управляващите органи на европейските структурни и инвестиционни фондове в 15 държави членки са разработили 35 различни схеми за „печата за високи постижения“.</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Евратом</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С Регламент на Съвета (Евратом) № 2018/1563</w:t>
      </w:r>
      <w:r>
        <w:rPr>
          <w:rStyle w:val="FootnoteReference"/>
          <w:rFonts w:eastAsiaTheme="minorHAnsi"/>
          <w:noProof/>
          <w:sz w:val="24"/>
        </w:rPr>
        <w:footnoteReference w:id="54"/>
      </w:r>
      <w:r>
        <w:rPr>
          <w:rFonts w:ascii="Times New Roman" w:hAnsi="Times New Roman"/>
          <w:noProof/>
          <w:sz w:val="24"/>
        </w:rPr>
        <w:t xml:space="preserve"> беше установена рамката на програмата за научни изследвания и обучение на Евратом за периода 2019—2020 г.</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Непреки действия</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До края на 2018 г. бяха приключени 3 покани за представяне на предложения, като бяха представени общо 136 отговарящи на условията предложения, с които беше поискано финансово участие от Евратом в размер на общо 500,8 милиона евро. От тях 47 бяха избрани за финансиране с участие от Евратом в размер на 196,9 милиона евро, като общият процент на успеваемост на отговарящите на условията пълни предложения от 2014 г. насам е 34,56 %.</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Преки действия, изпълнени от Съвместния изследователски център (JRC)</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Преките действия по програмата, изпълнени от JRC, обхванаха научните изследвания и обучението в следните области:</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ядрена безопасност, включително безопасност на реактора, горивото и горивните цикли, управление на ядрените отпадъци, мониторинг на околната среда, както и готовност и реагиране в аварийни ситуации; </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ядрени гаранции, неразпространение и сигурност, включително борба с незаконния трафик и ядрена криминалистика. </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основни научни познания, стандарти и референтни материали, които са от съществено значение за ядрената безопасност, сигурност и гаранции, включително научни изследвания върху приложенията на ядрената наука, които не са свързани с енергетиката, като например медицински и космически приложения.</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Проведените научни изследвания и натрупаният опит, по-специално в областта на ядрената безопасност и неразпространението, насърчават необходимите умения за управление на знанията и осигуряват образование и обучение на напреднало ниво в ядрената област. Това позволява на JRC да отговори на търсенето на научна и техническа подкрепа по отношение на политиките, свързани с ЕС.</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 xml:space="preserve">Програмата за научни изследвания и обучение </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Подкрепата от програмата за научни изследвания и обучение доведе до публикуването на над 800 статии в рецензирани научни списания с висок импакт фактор и до над 800 доктората по физика и технология на синтезa. Над 900 изследователи получиха достъп до научноизследователски инфраструктури.</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6. </w:t>
      </w:r>
      <w:r>
        <w:rPr>
          <w:noProof/>
        </w:rPr>
        <w:tab/>
      </w:r>
      <w:r>
        <w:rPr>
          <w:rFonts w:ascii="Times New Roman" w:hAnsi="Times New Roman"/>
          <w:b/>
          <w:smallCaps/>
          <w:noProof/>
          <w:sz w:val="24"/>
        </w:rPr>
        <w:t>Преки дейности на JRC извън ядрената област</w:t>
      </w:r>
      <w:r>
        <w:rPr>
          <w:noProof/>
        </w:rPr>
        <w:noBreakHyphen/>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Миналата година беше годината на пробивите в дейностите на JRC по управление на знанията заради стартирането на четири </w:t>
      </w:r>
      <w:r>
        <w:rPr>
          <w:rFonts w:ascii="Times New Roman" w:hAnsi="Times New Roman"/>
          <w:b/>
          <w:noProof/>
          <w:sz w:val="24"/>
        </w:rPr>
        <w:t>центъра за знания</w:t>
      </w:r>
      <w:r>
        <w:rPr>
          <w:rFonts w:ascii="Times New Roman" w:hAnsi="Times New Roman"/>
          <w:noProof/>
          <w:sz w:val="24"/>
        </w:rPr>
        <w:t xml:space="preserve">, с което броят им достигна 6: </w:t>
      </w:r>
      <w:r>
        <w:rPr>
          <w:rFonts w:ascii="Times New Roman" w:eastAsia="Times New Roman" w:hAnsi="Times New Roman" w:cs="Times New Roman"/>
          <w:noProof/>
          <w:sz w:val="24"/>
          <w:szCs w:val="24"/>
        </w:rPr>
        <w:br/>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отговор на загрижеността на потребителите Центърът за знания в областта на измамите с храни и тяхното качество</w:t>
      </w:r>
      <w:r>
        <w:rPr>
          <w:rStyle w:val="FootnoteReference"/>
          <w:rFonts w:eastAsiaTheme="minorHAnsi"/>
          <w:noProof/>
          <w:sz w:val="24"/>
        </w:rPr>
        <w:footnoteReference w:id="55"/>
      </w:r>
      <w:r>
        <w:rPr>
          <w:rFonts w:ascii="Times New Roman" w:hAnsi="Times New Roman"/>
          <w:noProof/>
          <w:sz w:val="24"/>
        </w:rPr>
        <w:t xml:space="preserve"> осигурява достъп до съвременни научни познания по въпросите за измамите с храните и проблемите относно качеството на храните;</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дава достъп до последните иновативни решения и научни изследвания, Центърът за знания в областта на световната продоволствена и хранителна сигурност</w:t>
      </w:r>
      <w:r>
        <w:rPr>
          <w:rStyle w:val="FootnoteReference"/>
          <w:rFonts w:eastAsiaTheme="minorHAnsi"/>
          <w:noProof/>
          <w:sz w:val="24"/>
        </w:rPr>
        <w:footnoteReference w:id="56"/>
      </w:r>
      <w:r>
        <w:rPr>
          <w:rFonts w:ascii="Times New Roman" w:hAnsi="Times New Roman"/>
          <w:noProof/>
          <w:sz w:val="24"/>
        </w:rPr>
        <w:t xml:space="preserve"> има за цел да подобри действията за намаляване на продоволствената несигурност и недохранването в държави, намиращи се в състояние на продоволствена несигурност;</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центърът за експертни познания в областта на трансфера на технологии</w:t>
      </w:r>
      <w:r>
        <w:rPr>
          <w:rStyle w:val="FootnoteReference"/>
          <w:rFonts w:eastAsiaTheme="minorHAnsi"/>
          <w:noProof/>
          <w:sz w:val="24"/>
        </w:rPr>
        <w:footnoteReference w:id="57"/>
      </w:r>
      <w:r>
        <w:rPr>
          <w:rFonts w:ascii="Times New Roman" w:hAnsi="Times New Roman"/>
          <w:noProof/>
          <w:sz w:val="24"/>
        </w:rPr>
        <w:t xml:space="preserve"> е основна платформа за подкрепа на политиката и изграждане на капацитет в трансфера на технологии на равнище ЕС, национално, регионално и местно равнище;  както и</w:t>
      </w:r>
    </w:p>
    <w:p>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центърът за експертни познания в областта на прогнозирането</w:t>
      </w:r>
      <w:r>
        <w:rPr>
          <w:rStyle w:val="FootnoteReference"/>
          <w:rFonts w:eastAsiaTheme="minorHAnsi"/>
          <w:noProof/>
          <w:sz w:val="24"/>
        </w:rPr>
        <w:footnoteReference w:id="58"/>
      </w:r>
      <w:r>
        <w:rPr>
          <w:rFonts w:ascii="Times New Roman" w:hAnsi="Times New Roman"/>
          <w:noProof/>
          <w:sz w:val="24"/>
        </w:rPr>
        <w:t xml:space="preserve"> осигурява пряк стратегически и ориентиран към бъдещето принос за разработването на политиките на ЕС. </w:t>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Други ключови постижения се отнасяха до:</w:t>
      </w:r>
    </w:p>
    <w:p>
      <w:pPr>
        <w:numPr>
          <w:ilvl w:val="0"/>
          <w:numId w:val="7"/>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емисиите от превозни средства</w:t>
      </w:r>
      <w:r>
        <w:rPr>
          <w:rFonts w:ascii="Times New Roman" w:hAnsi="Times New Roman"/>
          <w:noProof/>
          <w:sz w:val="24"/>
        </w:rPr>
        <w:t xml:space="preserve"> — JRC е готов да поеме задължението за проверка (от името на Комисията) дали превозните средства отговарят на изискванията за „емисиите при реални условия“; както и </w:t>
      </w:r>
    </w:p>
    <w:p>
      <w:pPr>
        <w:numPr>
          <w:ilvl w:val="0"/>
          <w:numId w:val="7"/>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ЦУР</w:t>
      </w:r>
      <w:r>
        <w:rPr>
          <w:rFonts w:ascii="Times New Roman" w:hAnsi="Times New Roman"/>
          <w:noProof/>
          <w:sz w:val="24"/>
        </w:rPr>
        <w:t xml:space="preserve"> — JRC допринесе към документа за размисъл на Комисията </w:t>
      </w:r>
      <w:r>
        <w:rPr>
          <w:rFonts w:ascii="Times New Roman" w:hAnsi="Times New Roman"/>
          <w:i/>
          <w:noProof/>
          <w:sz w:val="24"/>
        </w:rPr>
        <w:t>Устойчива Европа до 2030 г.</w:t>
      </w:r>
      <w:r>
        <w:rPr>
          <w:rFonts w:ascii="Times New Roman" w:hAnsi="Times New Roman"/>
          <w:noProof/>
          <w:sz w:val="24"/>
          <w:vertAlign w:val="superscript"/>
        </w:rPr>
        <w:footnoteReference w:id="59"/>
      </w:r>
      <w:r>
        <w:rPr>
          <w:rFonts w:ascii="Times New Roman" w:hAnsi="Times New Roman"/>
          <w:noProof/>
          <w:sz w:val="24"/>
        </w:rPr>
        <w:t>, по-специално чрез качествен прогнозен анализ.</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7. </w:t>
      </w:r>
      <w:r>
        <w:rPr>
          <w:noProof/>
        </w:rPr>
        <w:tab/>
      </w:r>
      <w:r>
        <w:rPr>
          <w:rFonts w:ascii="Times New Roman" w:hAnsi="Times New Roman"/>
          <w:b/>
          <w:smallCaps/>
          <w:noProof/>
          <w:sz w:val="24"/>
        </w:rPr>
        <w:t>Европейски институт за иновации и технологии (EIT)</w:t>
      </w:r>
    </w:p>
    <w:p>
      <w:pPr>
        <w:spacing w:after="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rPr>
        <w:t>През 2018 г. EIT продължи да оказва финансова подкрепа за шестте налични общности на знанието и иновациите (ОЗИ)</w:t>
      </w:r>
      <w:r>
        <w:rPr>
          <w:rStyle w:val="FootnoteReference"/>
          <w:rFonts w:eastAsiaTheme="minorHAnsi"/>
          <w:noProof/>
        </w:rPr>
        <w:footnoteReference w:id="60"/>
      </w:r>
      <w:r>
        <w:rPr>
          <w:rFonts w:ascii="Times New Roman" w:hAnsi="Times New Roman"/>
          <w:noProof/>
          <w:sz w:val="24"/>
        </w:rPr>
        <w:t>. Освен това EIT финансира дейности, насочени към насърчаване на сътрудничеството между ОЗИ (съвместни дейности на различни ОЗИ) по отношение на основни аспекти от дейностите на ОЗИ с оглед увеличаване на въздействието им, например върху човешкия капитал и развиването на умения, комуникацията и предоставянето на информация. Общото финансово участие на EIT за изпълнението на бизнес плановете на ОЗИ за 2018 г. възлиза на 400 милиона евро.</w:t>
      </w:r>
    </w:p>
    <w:p>
      <w:pPr>
        <w:spacing w:after="0" w:line="240" w:lineRule="auto"/>
        <w:jc w:val="both"/>
        <w:textAlignment w:val="bottom"/>
        <w:rPr>
          <w:rFonts w:ascii="Times New Roman" w:eastAsia="Calibri" w:hAnsi="Times New Roman" w:cs="Times New Roman"/>
          <w:noProof/>
          <w:sz w:val="24"/>
          <w:szCs w:val="24"/>
        </w:rPr>
      </w:pPr>
    </w:p>
    <w:p>
      <w:pPr>
        <w:spacing w:after="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rPr>
        <w:t>В началото на годината списание „Forbes“ оповести своя списък „Forbes 30 under 30“ („30 под 30“) за 2018 г., в който бяха включени девет предприемачи, подпомогнати от общностите на EIT</w:t>
      </w:r>
      <w:r>
        <w:rPr>
          <w:rStyle w:val="FootnoteReference"/>
          <w:rFonts w:eastAsiaTheme="minorHAnsi"/>
          <w:noProof/>
        </w:rPr>
        <w:footnoteReference w:id="61"/>
      </w:r>
      <w:r>
        <w:rPr>
          <w:rFonts w:ascii="Times New Roman" w:hAnsi="Times New Roman"/>
          <w:noProof/>
          <w:sz w:val="24"/>
        </w:rPr>
        <w:t>.</w:t>
      </w:r>
    </w:p>
    <w:p>
      <w:pPr>
        <w:spacing w:after="120" w:line="240" w:lineRule="auto"/>
        <w:jc w:val="both"/>
        <w:textAlignment w:val="bottom"/>
        <w:rPr>
          <w:rFonts w:ascii="Times New Roman" w:eastAsia="Calibri" w:hAnsi="Times New Roman" w:cs="Times New Roman"/>
          <w:noProof/>
          <w:sz w:val="24"/>
          <w:szCs w:val="24"/>
        </w:rPr>
      </w:pPr>
    </w:p>
    <w:p>
      <w:pPr>
        <w:spacing w:after="12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rPr>
        <w:t xml:space="preserve">През 2018 г. EIT отправи две покани за създаването на две нови общности на знанието и иновациите (ОЗИ), което доведе до общо осем Общности на иновациите:  </w:t>
      </w:r>
    </w:p>
    <w:p>
      <w:pPr>
        <w:numPr>
          <w:ilvl w:val="0"/>
          <w:numId w:val="4"/>
        </w:numPr>
        <w:spacing w:after="12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rPr>
        <w:t xml:space="preserve">градска мобилност — с консорциум от 48 членове, EIT — „Градска мобилност“ е посветена на ускоряване на решенията, които подобряват колективното използване на градските пространства, като същевременно гарантират устойчива и достъпна мултимодална мобилност; както и </w:t>
      </w:r>
    </w:p>
    <w:p>
      <w:pPr>
        <w:numPr>
          <w:ilvl w:val="0"/>
          <w:numId w:val="4"/>
        </w:numPr>
        <w:spacing w:after="24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rPr>
        <w:t>производство — с консорциум от 50 партньори, мисията на EIT — „Производство“ е да се обединят европейските участници в производството в иновационни екосистеми с цел подкрепа на  устойчивото и конкурентното производство.</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8. </w:t>
      </w:r>
      <w:r>
        <w:rPr>
          <w:noProof/>
        </w:rPr>
        <w:tab/>
      </w:r>
      <w:r>
        <w:rPr>
          <w:rFonts w:ascii="Times New Roman" w:hAnsi="Times New Roman"/>
          <w:b/>
          <w:smallCaps/>
          <w:noProof/>
          <w:sz w:val="24"/>
        </w:rPr>
        <w:t>Комуникация, използване и разпространение на резултатите</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създаде нов </w:t>
      </w:r>
      <w:r>
        <w:rPr>
          <w:rFonts w:ascii="Times New Roman" w:hAnsi="Times New Roman"/>
          <w:b/>
          <w:noProof/>
          <w:sz w:val="24"/>
        </w:rPr>
        <w:t>портал за възможности за финансиране на предприятия и за възможности за търгове</w:t>
      </w:r>
      <w:r>
        <w:rPr>
          <w:rStyle w:val="FootnoteReference"/>
          <w:rFonts w:eastAsiaTheme="minorHAnsi"/>
          <w:b/>
          <w:noProof/>
        </w:rPr>
        <w:footnoteReference w:id="62"/>
      </w:r>
      <w:r>
        <w:rPr>
          <w:rFonts w:ascii="Times New Roman" w:hAnsi="Times New Roman"/>
          <w:noProof/>
          <w:sz w:val="24"/>
        </w:rPr>
        <w:t>. Понастоящем това е единната входна точка за намиране и управление на безвъзмездни средства от ЕС и договори за обществени поръчки; до началото на следващия многогодишен период през 2021 г. в него ще бъдат обхванати всички централно управлявани програми.</w:t>
      </w:r>
    </w:p>
    <w:p>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Информационното табло на „Хоризонт 2020“</w:t>
      </w:r>
      <w:r>
        <w:rPr>
          <w:rStyle w:val="FootnoteReference"/>
          <w:rFonts w:eastAsiaTheme="minorHAnsi"/>
          <w:b/>
          <w:noProof/>
        </w:rPr>
        <w:footnoteReference w:id="63"/>
      </w:r>
      <w:r>
        <w:rPr>
          <w:rFonts w:ascii="Times New Roman" w:hAnsi="Times New Roman"/>
          <w:noProof/>
          <w:sz w:val="24"/>
        </w:rPr>
        <w:t xml:space="preserve"> работи успешно, като предложи мощни нови аналитични функции, които ще предоставят информация за докладване по програмите, анализ на въздействието и обратна връзка по отношение на разработването на политики.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Уебсайтът CORDIS</w:t>
      </w:r>
      <w:r>
        <w:rPr>
          <w:rStyle w:val="FootnoteReference"/>
          <w:rFonts w:eastAsiaTheme="minorHAnsi"/>
          <w:b/>
          <w:noProof/>
        </w:rPr>
        <w:footnoteReference w:id="64"/>
      </w:r>
      <w:r>
        <w:rPr>
          <w:rFonts w:ascii="Times New Roman" w:hAnsi="Times New Roman"/>
          <w:b/>
          <w:noProof/>
          <w:sz w:val="24"/>
        </w:rPr>
        <w:t xml:space="preserve"> </w:t>
      </w:r>
      <w:r>
        <w:rPr>
          <w:rFonts w:ascii="Times New Roman" w:hAnsi="Times New Roman"/>
          <w:noProof/>
          <w:sz w:val="24"/>
        </w:rPr>
        <w:t>бе преработен с оглед подобряването му за ползване от потребителите и укрепване на мисията му като основна обществена услуга на Европейската комисия за разпространение на информация относно резултатите от всички научноизследователски проекти, финансирани от ЕС, посредством неговото прозрачно хранилище с отворен достъп за данни относно проекти на ЕС — от „РП1“ до „Хоризонт 2020“, и многоезични статии и публикации, които спомагат за насърчаване на използването и иновациите.</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Надграждайки върху успеха на схемите за свободен достъп и за отворени данни, Комисията допринесе за изготвянето на</w:t>
      </w:r>
      <w:r>
        <w:rPr>
          <w:rFonts w:ascii="Times New Roman" w:hAnsi="Times New Roman"/>
          <w:i/>
          <w:noProof/>
          <w:sz w:val="24"/>
        </w:rPr>
        <w:t xml:space="preserve"> </w:t>
      </w:r>
      <w:r>
        <w:rPr>
          <w:rFonts w:ascii="Times New Roman" w:hAnsi="Times New Roman"/>
          <w:b/>
          <w:i/>
          <w:noProof/>
          <w:sz w:val="24"/>
        </w:rPr>
        <w:t>Превръщането на FAIR в реалност</w:t>
      </w:r>
      <w:r>
        <w:rPr>
          <w:rStyle w:val="FootnoteReference"/>
          <w:rFonts w:eastAsiaTheme="minorHAnsi"/>
          <w:noProof/>
          <w:sz w:val="24"/>
        </w:rPr>
        <w:footnoteReference w:id="65"/>
      </w:r>
      <w:r>
        <w:rPr>
          <w:rFonts w:ascii="Times New Roman" w:hAnsi="Times New Roman"/>
          <w:noProof/>
          <w:sz w:val="24"/>
        </w:rPr>
        <w:t xml:space="preserve"> — окончателния доклад на експертната ѝ група относно принципите за лесни за намиране, достъпни, оперативно съвместими и многократно използваеми данни (FAIR), в който също така е изложен план за действие за използване на потенциала на основаните на данни научни изследвания и иновации.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От януари 2019 г. с клаузата за свободен достъп от </w:t>
      </w:r>
      <w:r>
        <w:rPr>
          <w:rFonts w:ascii="Times New Roman" w:hAnsi="Times New Roman"/>
          <w:b/>
          <w:noProof/>
          <w:sz w:val="24"/>
        </w:rPr>
        <w:t>образеца на споразумение за безвъзмездни средства</w:t>
      </w:r>
      <w:r>
        <w:rPr>
          <w:rFonts w:ascii="Times New Roman" w:hAnsi="Times New Roman"/>
          <w:noProof/>
          <w:sz w:val="24"/>
        </w:rPr>
        <w:t xml:space="preserve"> по „ Хоризонт 2020“ се гарантира пълната наличност на 54 635 научни публикации, получени посредством текущите проекти по „Хоризонт 2020“.</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9. </w:t>
      </w:r>
      <w:r>
        <w:rPr>
          <w:noProof/>
        </w:rPr>
        <w:tab/>
      </w:r>
      <w:r>
        <w:rPr>
          <w:rFonts w:ascii="Times New Roman" w:hAnsi="Times New Roman"/>
          <w:b/>
          <w:smallCaps/>
          <w:noProof/>
          <w:sz w:val="24"/>
        </w:rPr>
        <w:t xml:space="preserve">Перспективи  </w:t>
      </w:r>
    </w:p>
    <w:p>
      <w:pPr>
        <w:spacing w:after="240" w:line="240" w:lineRule="auto"/>
        <w:jc w:val="both"/>
        <w:textAlignment w:val="bottom"/>
        <w:rPr>
          <w:rFonts w:ascii="Times New Roman" w:eastAsia="Times New Roman" w:hAnsi="Times New Roman" w:cs="Times New Roman"/>
          <w:noProof/>
          <w:sz w:val="24"/>
          <w:szCs w:val="24"/>
        </w:rPr>
      </w:pPr>
      <w:r>
        <w:rPr>
          <w:rFonts w:ascii="Times New Roman" w:hAnsi="Times New Roman"/>
          <w:noProof/>
          <w:sz w:val="24"/>
        </w:rPr>
        <w:t>През 2019 г. ще продължат междуинституционалните преговори за „</w:t>
      </w:r>
      <w:r>
        <w:rPr>
          <w:rFonts w:ascii="Times New Roman" w:hAnsi="Times New Roman"/>
          <w:b/>
          <w:noProof/>
          <w:sz w:val="24"/>
        </w:rPr>
        <w:t>Хоризонт Европа</w:t>
      </w:r>
      <w:r>
        <w:rPr>
          <w:rFonts w:ascii="Times New Roman" w:hAnsi="Times New Roman"/>
          <w:noProof/>
          <w:sz w:val="24"/>
        </w:rPr>
        <w:t xml:space="preserve">“. Ако бъде постигнато политическо споразумение с Европейския парламент и Съвета относно съществени елементи от законодателния пакет, ще стане възможно да започне съвместна работата по разработването на дейностите по програмата и навременното им изпълнение. Това ще гарантира непрекъсната подкрепа от страна на ЕС и ефективнa насоченост въз основа на постоянен диалог с всички заинтересовани страни. </w:t>
      </w:r>
    </w:p>
    <w:p>
      <w:pPr>
        <w:spacing w:after="240" w:line="240" w:lineRule="auto"/>
        <w:jc w:val="both"/>
        <w:textAlignment w:val="bottom"/>
        <w:rPr>
          <w:rFonts w:ascii="Times New Roman" w:eastAsia="Times New Roman" w:hAnsi="Times New Roman" w:cs="Times New Roman"/>
          <w:noProof/>
          <w:sz w:val="24"/>
          <w:szCs w:val="24"/>
        </w:rPr>
      </w:pPr>
      <w:r>
        <w:rPr>
          <w:rFonts w:ascii="Times New Roman" w:hAnsi="Times New Roman"/>
          <w:noProof/>
          <w:sz w:val="24"/>
        </w:rPr>
        <w:t xml:space="preserve">Ще бъдат положени значителни усилия за изработване на </w:t>
      </w:r>
      <w:r>
        <w:rPr>
          <w:rFonts w:ascii="Times New Roman" w:hAnsi="Times New Roman"/>
          <w:b/>
          <w:noProof/>
          <w:sz w:val="24"/>
        </w:rPr>
        <w:t>цялостна политика на ЕС</w:t>
      </w:r>
      <w:r>
        <w:rPr>
          <w:rFonts w:ascii="Times New Roman" w:hAnsi="Times New Roman"/>
          <w:noProof/>
          <w:sz w:val="24"/>
        </w:rPr>
        <w:t xml:space="preserve"> за насърчаване на повече и по-добри научни изследвания и иновации в Европа, които подкрепят устойчивото развитие и изпълняват стратегическите цели на ЕС, по-специално чрез разработване на всеобхватна стратегия и рамка за инвестиране на ресурсите на ЕС, стимулиране на реформи и подобряване на условията на регулаторната рамка.</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770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eastAsia="Calibri"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http://ec.europa.eu/transparency/regdoc/rep/1/2018/BG/COM-2018-306-F1-BG-MAIN-PART-1.PDF</w:t>
      </w:r>
    </w:p>
  </w:footnote>
  <w:footnote w:id="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https://ec.europa.eu/info/sites/info/files/file_import/2019-european-semester-annual-growth-survey_en_1.pdf</w:t>
      </w:r>
    </w:p>
  </w:footnote>
  <w:footnote w:id="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https://ec.europa.eu/info/sites/info/files/rec-17-015-srip-report2018_mep-web-20180228.pdf</w:t>
      </w:r>
    </w:p>
  </w:footnote>
  <w:footnote w:id="4">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http://ec.europa.eu/transparency/regdoc/rep/1/2018/BG/COM-2018-771-F1-BG-MAIN-PART-1.PDF</w:t>
      </w:r>
    </w:p>
  </w:footnote>
  <w:footnote w:id="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https://ec.europa.eu/research/evaluations/pdf/archive/h2020_evaluations/swd(2017)220-in-depth-interim_evaluation-h2020.pdf</w:t>
      </w:r>
    </w:p>
  </w:footnote>
  <w:footnote w:id="6">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https://eur-lex.europa.eu/content/news/general-data-protection-regulation-GDPR-applies-from-25-May-2018.html?locale=bg</w:t>
      </w:r>
    </w:p>
  </w:footnote>
  <w:footnote w:id="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https://ec.europa.eu/digital-single-market/en/news/eu-member-states-sign-cooperate-artificial-intelligence</w:t>
      </w:r>
      <w:r>
        <w:rPr>
          <w:rStyle w:val="Hyperlink"/>
          <w:rFonts w:ascii="Times New Roman" w:hAnsi="Times New Roman"/>
        </w:rPr>
        <w:t>.</w:t>
      </w:r>
    </w:p>
  </w:footnote>
  <w:footnote w:id="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https://ec.europa.eu/digital-single-market/en/eurohpc-joint-undertaking</w:t>
      </w:r>
    </w:p>
  </w:footnote>
  <w:footnote w:id="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https://www.ipcc.ch/site/assets/uploads/sites/2/2018/07/SR15_SPM_High_Res.pdf</w:t>
      </w:r>
    </w:p>
  </w:footnote>
  <w:footnote w:id="10">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https://eur-lex.europa.eu/legal-content/BG/TXT/PDF/?uri=CELEX:52018DC0773&amp;qid=1554481631122&amp;from=BGhttps://ec.europa.eu/clima/sites/clima/files/docs/pages/com_2018_733_en.pdf</w:t>
      </w:r>
    </w:p>
  </w:footnote>
  <w:footnote w:id="11">
    <w:p>
      <w:pPr>
        <w:pStyle w:val="FootnoteText"/>
        <w:ind w:left="284" w:hanging="284"/>
        <w:rPr>
          <w:rFonts w:ascii="Times New Roman" w:hAnsi="Times New Roman"/>
        </w:rPr>
      </w:pPr>
      <w:r>
        <w:rPr>
          <w:rStyle w:val="FootnoteReference"/>
          <w:rFonts w:eastAsiaTheme="minorHAnsi"/>
        </w:rPr>
        <w:footnoteRef/>
      </w:r>
      <w:r>
        <w:rPr>
          <w:rFonts w:ascii="Times New Roman" w:hAnsi="Times New Roman"/>
        </w:rPr>
        <w:t xml:space="preserve"> https://eur-lex.europa.eu/legal-content/BG/TXT/PDF/?uri=CELEX:52018DC0773&amp;qid=1554481631122&amp;from=BGhttps://ec.europa.eu/clima/sites/clima/files/docs/pages/com_2018_733_en.pdf</w:t>
      </w:r>
    </w:p>
  </w:footnote>
  <w:footnote w:id="1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https://ec.europa.eu/research/evaluations/pdf/archive/other_reports_studies_and_documents/hlg_2017_report.pd</w:t>
      </w:r>
      <w:r>
        <w:rPr>
          <w:rStyle w:val="Hyperlink"/>
          <w:rFonts w:ascii="Times New Roman" w:hAnsi="Times New Roman"/>
        </w:rPr>
        <w:t>f</w:t>
      </w:r>
    </w:p>
  </w:footnote>
  <w:footnote w:id="1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https://www.consilium.europa.eu/media/37219/st14406-en18.pdf</w:t>
      </w:r>
    </w:p>
  </w:footnote>
  <w:footnote w:id="14">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http://www.europarl.europa.eu/doceo/document/TA-8-2018-0509_BG.html?redirect</w:t>
      </w:r>
    </w:p>
  </w:footnote>
  <w:footnote w:id="1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https://ec.europa.eu/info/sites/info/files/mazzucato_report_2018.pdf</w:t>
      </w:r>
    </w:p>
  </w:footnote>
  <w:footnote w:id="16">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https://ec.europa.eu/info/publications/2018-european-semester-country-reports_bg</w:t>
      </w:r>
    </w:p>
  </w:footnote>
  <w:footnote w:id="1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https://ec.europa.eu/info/news/eic-pilot-eu1734-million-top-class-innovators-bring-their-innovations-faster-market-2018-dec-20_bg</w:t>
      </w:r>
    </w:p>
  </w:footnote>
  <w:footnote w:id="1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https://publications.europa.eu/bg/publication-detail/-/publication/0635b07f-07bb-11e7-8a35-01aa75ed71a1</w:t>
      </w:r>
    </w:p>
  </w:footnote>
  <w:footnote w:id="1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http://europa.eu/rapid/press-release_IP-18-2763_bg.htm</w:t>
      </w:r>
    </w:p>
  </w:footnote>
  <w:footnote w:id="20">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https://ec.europa.eu/info/sites/info/files/rec-17-015-srip-report2018_mep-web-20180228.pdf</w:t>
      </w:r>
    </w:p>
  </w:footnote>
  <w:footnote w:id="21">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https://publications.europa.eu/bg/publication-detail/-/publication/5253a1af-ee10-11e8-b690-01aa75ed71a1</w:t>
      </w:r>
    </w:p>
  </w:footnote>
  <w:footnote w:id="2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https://eur-lex.europa.eu/legal-content/BG/TXT/PDF/?uri=CELEX:32018H0790&amp;from=BG</w:t>
      </w:r>
    </w:p>
  </w:footnote>
  <w:footnote w:id="2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https://ec.europa.eu/commission/commissioners/2014-2019/moedas/announcements/plan-s-and-coalition-s-accelerating-transition-full-and-immediate-open-access-scientific_en</w:t>
      </w:r>
    </w:p>
  </w:footnote>
  <w:footnote w:id="24">
    <w:p>
      <w:pPr>
        <w:pStyle w:val="FootnoteText"/>
        <w:ind w:left="284" w:hanging="284"/>
        <w:jc w:val="both"/>
        <w:rPr>
          <w:rFonts w:ascii="Times New Roman" w:hAnsi="Times New Roman" w:cs="Times New Roman"/>
          <w:i/>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https://ec.europa.eu/info/funding-tenders/opportunities/portal/screen/opportunities/topic-details/lc-cla-01-2018</w:t>
      </w:r>
      <w:r>
        <w:rPr>
          <w:rStyle w:val="Hyperlink"/>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https://ec.europa.eu/research/index.cfm?pg=events&amp;eventcode=187D5765-E38F-9AFC-958DA987ECDD0613</w:t>
      </w:r>
      <w:r>
        <w:rPr>
          <w:rStyle w:val="Hyperlink"/>
          <w:rFonts w:ascii="Times New Roman" w:hAnsi="Times New Roman"/>
        </w:rPr>
        <w:t>.</w:t>
      </w:r>
    </w:p>
  </w:footnote>
  <w:footnote w:id="26">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https://www.arcticscienceministerial.org/files/ASM2_Joint_Statement.pdf</w:t>
      </w:r>
    </w:p>
  </w:footnote>
  <w:footnote w:id="2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https://ec.europa.eu/research/bioeconomy/pdf/ec_bioeconomy_strategy_2018.pdf</w:t>
      </w:r>
    </w:p>
  </w:footnote>
  <w:footnote w:id="2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https://ec.europa.eu/clima/sites/clima/files/docs/pages/com_2018_733_en.pdf</w:t>
      </w:r>
    </w:p>
  </w:footnote>
  <w:footnote w:id="2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https://ec.europa.eu/energy/sites/ener/files/documents/1_en_act_part1_v6_0.pdf</w:t>
      </w:r>
    </w:p>
  </w:footnote>
  <w:footnote w:id="30">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Style w:val="Hyperlink"/>
          <w:rFonts w:ascii="Times New Roman" w:hAnsi="Times New Roman"/>
          <w:color w:val="auto"/>
        </w:rPr>
        <w:t>https://publications.europa.eu/bg/publication-detail/-/publication/28e1c485-476a-11e8-be1d-01aa75ed71a1</w:t>
      </w:r>
    </w:p>
  </w:footnote>
  <w:footnote w:id="31">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https://ec.europa.eu/research/sam/pdf/c_2018_1919_ec_decision_consolidated.pdf</w:t>
      </w:r>
    </w:p>
  </w:footnote>
  <w:footnote w:id="3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https://ec.europa.eu/research/sam/pdf/sam_ccu_report.pdf</w:t>
      </w:r>
    </w:p>
  </w:footnote>
  <w:footnote w:id="3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https://ec.europa.eu/info/sites/info/files/2018_11_gcsa_statement_gene_editing_1.pdf</w:t>
      </w:r>
    </w:p>
  </w:footnote>
  <w:footnote w:id="34">
    <w:p>
      <w:pPr>
        <w:pStyle w:val="FootnoteText"/>
      </w:pPr>
      <w:r>
        <w:rPr>
          <w:rStyle w:val="FootnoteReference"/>
          <w:rFonts w:eastAsiaTheme="minorHAnsi"/>
        </w:rPr>
        <w:footnoteRef/>
      </w:r>
      <w:r>
        <w:t xml:space="preserve"> </w:t>
      </w:r>
      <w:r>
        <w:rPr>
          <w:rFonts w:ascii="Times New Roman" w:hAnsi="Times New Roman"/>
        </w:rPr>
        <w:t>https://ec.europa.eu/growth/industry/policy/european-battery-alliance_bg</w:t>
      </w:r>
    </w:p>
  </w:footnote>
  <w:footnote w:id="3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https://ec.europa.eu/transport/sites/transport/files/3rd-mobility-pack/com20180283_en.pdf</w:t>
      </w:r>
    </w:p>
  </w:footnote>
  <w:footnote w:id="36">
    <w:p>
      <w:pPr>
        <w:pStyle w:val="FootnoteText"/>
      </w:pPr>
      <w:r>
        <w:rPr>
          <w:rStyle w:val="FootnoteReference"/>
          <w:rFonts w:eastAsiaTheme="minorHAnsi"/>
        </w:rPr>
        <w:footnoteRef/>
      </w:r>
      <w:r>
        <w:t xml:space="preserve"> </w:t>
      </w:r>
      <w:r>
        <w:rPr>
          <w:rFonts w:ascii="Times New Roman" w:hAnsi="Times New Roman"/>
        </w:rPr>
        <w:t>https://ec.europa.eu/commission/news/endocrine-disruptors-strategy-and-european-citizens-initiative-2018-nov-07_en</w:t>
      </w:r>
    </w:p>
  </w:footnote>
  <w:footnote w:id="3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Положението до 11 февруари 2019 г. (извадка от информационното табло на „Хоризонт 2020“).</w:t>
      </w:r>
    </w:p>
  </w:footnote>
  <w:footnote w:id="3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https://ec.europa.eu/info/sites/info/files/eic_hlg_bz_web.pdf</w:t>
      </w:r>
    </w:p>
  </w:footnote>
  <w:footnote w:id="3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https://eur-lex.europa.eu/legal-content/BG/TXT/?uri=COM%3A2016%3A733%3AFIN</w:t>
      </w:r>
    </w:p>
  </w:footnote>
  <w:footnote w:id="40">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http://ec.europa.eu/research/eic/pdf/eic_recommendations_set-1_2017.pdf</w:t>
      </w:r>
    </w:p>
  </w:footnote>
  <w:footnote w:id="41">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https://www.consilium.europa.eu/bg/press/press-releases/2018/06/29/20180628-euco-conclusions-final/</w:t>
      </w:r>
    </w:p>
  </w:footnote>
  <w:footnote w:id="4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http://ec.europa.eu/research/iscp/index.cfm?pg=countries</w:t>
      </w:r>
    </w:p>
  </w:footnote>
  <w:footnote w:id="4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http://ec.europa.eu/research/iscp/index.cfm?pg=regions</w:t>
      </w:r>
    </w:p>
  </w:footnote>
  <w:footnote w:id="44">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https://ec.europa.eu/programmes/horizon2020/en/news/widening-participation-horizon-2020-report-analysis-fp-participation-patterns-and-ri</w:t>
      </w:r>
    </w:p>
  </w:footnote>
  <w:footnote w:id="4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https://rio.jrc.ec.europa.eu/en/library/peer-review-estonian-research-and-innovation-system-factsheet</w:t>
      </w:r>
    </w:p>
  </w:footnote>
  <w:footnote w:id="46">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https://publications.europa.eu/bg/publication-detail/-/publication/4365f75a-5efe-11e8-ab9c-01aa75ed71a1</w:t>
      </w:r>
    </w:p>
  </w:footnote>
  <w:footnote w:id="4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https://ec.europa.eu/research/swafs/pdf/pub_gender_equality/interim_evaluation_gender_long_final.pdf</w:t>
      </w:r>
    </w:p>
  </w:footnote>
  <w:footnote w:id="4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http://www.ncpacademy.eu/wp-content/uploads/2018/09/20180222_Gender-Equality-in-H2020.pdf</w:t>
      </w:r>
    </w:p>
  </w:footnote>
  <w:footnote w:id="4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http://ec.europa.eu/research/swafs/pdf/pub_gender_equality/KI-07-17-199-EN-N.pdf</w:t>
      </w:r>
    </w:p>
  </w:footnote>
  <w:footnote w:id="50">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Вж. по-специално съображение 10;</w:t>
      </w:r>
      <w:r>
        <w:tab/>
      </w:r>
      <w:r>
        <w:rPr>
          <w:rFonts w:ascii="Times New Roman" w:hAnsi="Times New Roman" w:cs="Times New Roman"/>
        </w:rPr>
        <w:br/>
      </w:r>
      <w:r>
        <w:rPr>
          <w:rFonts w:ascii="Times New Roman" w:hAnsi="Times New Roman"/>
        </w:rPr>
        <w:t xml:space="preserve">http://ec.europa.eu/research/participants/data/ref/h2020/legal_basis/fp/h2020-eu-establact_bg.pdf </w:t>
      </w:r>
    </w:p>
  </w:footnote>
  <w:footnote w:id="51">
    <w:p>
      <w:pPr>
        <w:pStyle w:val="FootnoteText"/>
        <w:rPr>
          <w:rFonts w:ascii="Times New Roman" w:hAnsi="Times New Roman"/>
        </w:rPr>
      </w:pPr>
      <w:r>
        <w:rPr>
          <w:rStyle w:val="FootnoteReference"/>
          <w:rFonts w:eastAsiaTheme="minorHAnsi"/>
        </w:rPr>
        <w:footnoteRef/>
      </w:r>
      <w:r>
        <w:t xml:space="preserve"> </w:t>
      </w:r>
      <w:r>
        <w:rPr>
          <w:rFonts w:ascii="Times New Roman" w:hAnsi="Times New Roman"/>
        </w:rPr>
        <w:t xml:space="preserve">Това не включва разходи извън специфичните цели, като например административни разходи. </w:t>
      </w:r>
    </w:p>
  </w:footnote>
  <w:footnote w:id="52">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https://rio.jrc.ec.europa.eu/en/policy-support-facility/mle-national-practices-widening-participation-and-strengthening-synergies</w:t>
      </w:r>
    </w:p>
  </w:footnote>
  <w:footnote w:id="53">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https://www.eca.europa.eu/bg/Pages/DocItem.aspx?did=47542</w:t>
      </w:r>
    </w:p>
  </w:footnote>
  <w:footnote w:id="54">
    <w:p>
      <w:pPr>
        <w:pStyle w:val="FootnoteText"/>
        <w:ind w:left="284" w:hanging="284"/>
        <w:jc w:val="both"/>
        <w:rPr>
          <w:rStyle w:val="Hyperlink"/>
          <w:rFonts w:ascii="Times New Roman" w:hAnsi="Times New Roman" w:cs="Times New Roman"/>
          <w:color w:val="auto"/>
        </w:rPr>
      </w:pPr>
      <w:r>
        <w:rPr>
          <w:rFonts w:ascii="Times New Roman" w:hAnsi="Times New Roman"/>
        </w:rPr>
        <w:t>S</w:t>
      </w:r>
    </w:p>
  </w:footnote>
  <w:footnote w:id="5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https://ec.europa.eu/knowledge4policy/node/4719_bg</w:t>
      </w:r>
    </w:p>
  </w:footnote>
  <w:footnote w:id="56">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https://ec.europa.eu/knowledge4policy/node/32026_bg</w:t>
      </w:r>
    </w:p>
  </w:footnote>
  <w:footnote w:id="57">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https://ec.europa.eu/jrc/en/event/conference/technology-transfer-competence-centre</w:t>
      </w:r>
    </w:p>
  </w:footnote>
  <w:footnote w:id="58">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https://ec.europa.eu/jrc/communities/en/community/jrc-alumni-network/article/ec-competence-centre-foresight</w:t>
      </w:r>
    </w:p>
  </w:footnote>
  <w:footnote w:id="59">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https://ec.europa.eu/commission/publications/reflection-paper-towards-sustainable-europe-2030_bg</w:t>
      </w:r>
    </w:p>
  </w:footnote>
  <w:footnote w:id="60">
    <w:p>
      <w:pPr>
        <w:pStyle w:val="FootnoteText"/>
      </w:pPr>
      <w:r>
        <w:rPr>
          <w:rStyle w:val="FootnoteReference"/>
          <w:rFonts w:eastAsiaTheme="minorHAnsi"/>
        </w:rPr>
        <w:footnoteRef/>
      </w:r>
      <w:r>
        <w:t xml:space="preserve"> </w:t>
      </w:r>
      <w:r>
        <w:rPr>
          <w:rFonts w:ascii="Times New Roman" w:hAnsi="Times New Roman"/>
        </w:rPr>
        <w:t>EIT „Иновативна енергетика“, ОЗИ „Климат“ на EIT, „EIT — Цифрови технологии“, „EIT — Суровини“, „EIT — Здраве“, „EIT — Суровини“, „EIT — Храни“.</w:t>
      </w:r>
      <w:r>
        <w:t xml:space="preserve"> </w:t>
      </w:r>
    </w:p>
  </w:footnote>
  <w:footnote w:id="61">
    <w:p>
      <w:pPr>
        <w:pStyle w:val="FootnoteText"/>
      </w:pPr>
      <w:r>
        <w:rPr>
          <w:rStyle w:val="FootnoteReference"/>
          <w:rFonts w:eastAsiaTheme="minorHAnsi"/>
        </w:rPr>
        <w:footnoteRef/>
      </w:r>
      <w:r>
        <w:t xml:space="preserve"> </w:t>
      </w:r>
      <w:r>
        <w:rPr>
          <w:rFonts w:ascii="Times New Roman" w:hAnsi="Times New Roman"/>
        </w:rPr>
        <w:t>https://www.forbes.com/consent/?toURL=https://www.forbes.com/30-under-30/2018/</w:t>
      </w:r>
    </w:p>
  </w:footnote>
  <w:footnote w:id="62">
    <w:p>
      <w:pPr>
        <w:pStyle w:val="FootnoteText"/>
      </w:pPr>
      <w:r>
        <w:rPr>
          <w:rStyle w:val="FootnoteReference"/>
          <w:rFonts w:eastAsiaTheme="minorHAnsi"/>
        </w:rPr>
        <w:footnoteRef/>
      </w:r>
      <w:r>
        <w:t xml:space="preserve"> </w:t>
      </w:r>
      <w:r>
        <w:rPr>
          <w:rFonts w:ascii="Times New Roman" w:hAnsi="Times New Roman"/>
        </w:rPr>
        <w:t>https://ec.europa.eu/info/funding-tenders/opportunities/portal/screen/home</w:t>
      </w:r>
    </w:p>
  </w:footnote>
  <w:footnote w:id="63">
    <w:p>
      <w:pPr>
        <w:pStyle w:val="FootnoteText"/>
      </w:pPr>
      <w:r>
        <w:rPr>
          <w:rStyle w:val="FootnoteReference"/>
          <w:rFonts w:eastAsiaTheme="minorHAnsi"/>
        </w:rPr>
        <w:footnoteRef/>
      </w:r>
      <w:r>
        <w:t xml:space="preserve"> </w:t>
      </w:r>
      <w:r>
        <w:rPr>
          <w:rFonts w:ascii="Times New Roman" w:hAnsi="Times New Roman"/>
        </w:rPr>
        <w:t>https://ec.europa.eu/info/funding-tenders/opportunities/portal/screen/opportunities/horizon-dashboard</w:t>
      </w:r>
    </w:p>
  </w:footnote>
  <w:footnote w:id="64">
    <w:p>
      <w:pPr>
        <w:pStyle w:val="FootnoteText"/>
      </w:pPr>
      <w:r>
        <w:rPr>
          <w:rStyle w:val="FootnoteReference"/>
          <w:rFonts w:eastAsiaTheme="minorHAnsi"/>
        </w:rPr>
        <w:footnoteRef/>
      </w:r>
      <w:r>
        <w:t xml:space="preserve"> </w:t>
      </w:r>
      <w:r>
        <w:rPr>
          <w:rFonts w:ascii="Times New Roman" w:hAnsi="Times New Roman"/>
        </w:rPr>
        <w:t>https://cordis.europa.eu</w:t>
      </w:r>
    </w:p>
  </w:footnote>
  <w:footnote w:id="65">
    <w:p>
      <w:pPr>
        <w:pStyle w:val="FootnoteText"/>
        <w:ind w:left="284" w:hanging="284"/>
        <w:jc w:val="both"/>
        <w:rPr>
          <w:rFonts w:ascii="Times New Roman" w:hAnsi="Times New Roman" w:cs="Times New Roman"/>
        </w:rPr>
      </w:pPr>
      <w:r>
        <w:rPr>
          <w:rStyle w:val="FootnoteReference"/>
          <w:rFonts w:eastAsiaTheme="minorHAnsi"/>
        </w:rPr>
        <w:footnoteRef/>
      </w:r>
      <w:r>
        <w:rPr>
          <w:rFonts w:ascii="Times New Roman" w:hAnsi="Times New Roman"/>
        </w:rPr>
        <w:t xml:space="preserve"> </w:t>
      </w:r>
      <w:r>
        <w:tab/>
      </w:r>
      <w:r>
        <w:rPr>
          <w:rFonts w:ascii="Times New Roman" w:hAnsi="Times New Roman"/>
        </w:rPr>
        <w:t>https://ec.europa.eu/info/sites/info/files/turning_fair_into_reality_1.pdf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94B0C1-A197-4150-9027-67F5A8532ED0"/>
    <w:docVar w:name="LW_COVERPAGE_TYPE" w:val="1"/>
    <w:docVar w:name="LW_CROSSREFERENCE" w:val="&lt;UNUSED&gt;"/>
    <w:docVar w:name="LW_DocType" w:val="NORMAL"/>
    <w:docVar w:name="LW_EMISSION" w:val="3.7.2019"/>
    <w:docVar w:name="LW_EMISSION_ISODATE" w:val="2019-07-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3?\u1086?\u1076?\u1080?\u1096?\u1077?\u1085? \u1076?\u1086?\u1082?\u1083?\u1072?\u1076? \u1079?\u1072? \u1076?\u1077?\u1081?\u1085?\u1086?\u1089?\u1090?\u1080?\u1090?\u1077? \u1085?\u1072? \u1045?\u1074?\u1088?\u1086?\u1087?\u1077?\u1081?\u1089?\u1082?\u1080?\u1103? \u1089?\u1098?\u1102?\u1079? \u1074? \u1086?\u1073?\u1083?\u1072?\u1089?\u1090?\u1090?\u1072? \u1085?\u1072? \u1085?\u1072?\u1091?\u1095?\u1085?\u1080?\u1090?\u1077? \u1080?\u1079?\u1089?\u1083?\u1077?\u1076?\u1074?\u1072?\u1085?\u1080?\u1103? \u1080? \u1090?\u1077?\u1093?\u1085?\u1086?\u1083?\u1086?\u1075?\u1080?\u1095?\u1085?\u1086?\u1090?\u1086? \u1088?\u1072?\u1079?\u1074?\u1080?\u1090?\u1080?\u1077? \u1080? \u1084?\u1086?\u1085?\u1080?\u1090?\u1086?\u1088?\u1080?\u1085?\u1075? \u1085?\u1072? \u1087?\u1088?\u1086?\u1075?\u1088?\u1072?\u1084?\u1072? \u8222?\u1061?\u1086?\u1088?\u1080?\u1079?\u1086?\u1085?\u1090? 2020\u8220? \u1087?\u1088?\u1077?\u1079? 2018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RTD\RTD-2019-00046\RTD-2019-00046-00-00-EN-EDT-00.2019052109280640721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36A807-7892-40AD-B08D-C5E55DC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4315</Words>
  <Characters>25892</Characters>
  <Application>Microsoft Office Word</Application>
  <DocSecurity>0</DocSecurity>
  <Lines>446</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24</cp:revision>
  <cp:lastPrinted>2019-06-05T12:19:00Z</cp:lastPrinted>
  <dcterms:created xsi:type="dcterms:W3CDTF">2019-06-07T08:01:00Z</dcterms:created>
  <dcterms:modified xsi:type="dcterms:W3CDTF">2019-06-27T08:23:00Z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