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8DFEE2F1-48C3-49AF-AD82-D788C3F6BAD6"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ПРИЛОЖЕНИЕ </w:t>
      </w:r>
    </w:p>
    <w:p>
      <w:pPr>
        <w:pStyle w:val="Heading1"/>
        <w:numPr>
          <w:ilvl w:val="0"/>
          <w:numId w:val="1"/>
        </w:numPr>
        <w:rPr>
          <w:noProof/>
        </w:rPr>
      </w:pPr>
      <w:r>
        <w:rPr>
          <w:noProof/>
        </w:rPr>
        <w:t>ЕСТЕСТВО И ОБХВАТ НА ПРАВИЛАТА И ЗАДЪЛЖЕНИЯТА</w:t>
      </w:r>
    </w:p>
    <w:p>
      <w:pPr>
        <w:pStyle w:val="NumPar1"/>
        <w:numPr>
          <w:ilvl w:val="0"/>
          <w:numId w:val="11"/>
        </w:numPr>
        <w:rPr>
          <w:noProof/>
        </w:rPr>
      </w:pPr>
      <w:r>
        <w:rPr>
          <w:noProof/>
        </w:rPr>
        <w:t xml:space="preserve">Въз основа на правомощията, предоставени от Съвета за преговори в Световната търговска организация (СТО) по Програмата за развитие от Доха, целта на многостранните преговори относно улесняването на инвестициите следва да бъде създаването на многостранна рамка от правила с оглед на улесняването на преките чуждестранни инвестиции (ПЧИ) в световен мащаб. Целта е да се създаде по-прозрачен, ефикасен и предсказуем климат за улесняване на трансграничните инвестиции. Тази рамка следва да е съсредоточена върху ПЧИ, за сметка на краткосрочните движения на капитали, и да има за цел да осигури подходящи условия за международните инвестиции, така че те да допринасят за устойчивото развитие, като същевременно се запази способността на приемащите страни да регулират дейността на инвеститорите на съответните си територии. </w:t>
      </w:r>
    </w:p>
    <w:p>
      <w:pPr>
        <w:pStyle w:val="NumPar1"/>
        <w:rPr>
          <w:noProof/>
        </w:rPr>
      </w:pPr>
      <w:r>
        <w:rPr>
          <w:noProof/>
        </w:rPr>
        <w:t>В съответствие със Съвместното изявление на министрите относно улесняването на инвестициите за развитие, прието от 70 страни — членки на СТО, по време на единадесетата Министерска конференция на СТО на 13 декември 2017 г., тези преговори няма да се занимават с достъпа до пазара, закрилата на инвестициите и уреждането на спорове между инвеститор и държава.</w:t>
      </w:r>
    </w:p>
    <w:p>
      <w:pPr>
        <w:pStyle w:val="NumPar1"/>
        <w:rPr>
          <w:noProof/>
        </w:rPr>
      </w:pPr>
      <w:r>
        <w:rPr>
          <w:noProof/>
        </w:rPr>
        <w:t xml:space="preserve">Преговорите следва да се провеждат и приключат, като се вземат надлежно предвид правата и задълженията на страните членки в рамките на СТО, като се съблюдават принципите на прозрачност и приобщаване и като се надгражда върху съществуващите споразумения на СТО. </w:t>
      </w:r>
    </w:p>
    <w:p>
      <w:pPr>
        <w:pStyle w:val="NumPar1"/>
        <w:rPr>
          <w:noProof/>
        </w:rPr>
      </w:pPr>
      <w:r>
        <w:rPr>
          <w:noProof/>
        </w:rPr>
        <w:t>Целта на преговорите следва да е разработването на правила и задължения, отговарящи на високи стандарти, с участието на възможно най-голям брой страни — членки на СТО. При преговорите следва да се отчитат конкретните възможности и предизвикателства за страните — членки на СТО, във връзка с улесняването на инвестициите. Съответно правилата и задълженията следва да предвиждат подходяща степен на гъвкавост.</w:t>
      </w:r>
    </w:p>
    <w:p>
      <w:pPr>
        <w:pStyle w:val="NumPar1"/>
        <w:rPr>
          <w:noProof/>
        </w:rPr>
      </w:pPr>
      <w:r>
        <w:rPr>
          <w:noProof/>
        </w:rPr>
        <w:t xml:space="preserve">В договорените от Европейския съюз (ЕС) правила и задължения следва да се взема предвид задължението за недискриминация в съществуващите споразумения на СТО, доколкото те са релевантни и приложими в контекста на улесняването на инвестициите. </w:t>
      </w:r>
    </w:p>
    <w:p>
      <w:pPr>
        <w:pStyle w:val="Heading1"/>
        <w:numPr>
          <w:ilvl w:val="0"/>
          <w:numId w:val="10"/>
        </w:numPr>
        <w:tabs>
          <w:tab w:val="clear" w:pos="850"/>
          <w:tab w:val="num" w:pos="567"/>
        </w:tabs>
        <w:spacing w:before="240"/>
        <w:ind w:left="851" w:hanging="851"/>
        <w:rPr>
          <w:noProof/>
          <w:szCs w:val="24"/>
        </w:rPr>
      </w:pPr>
      <w:r>
        <w:rPr>
          <w:noProof/>
        </w:rPr>
        <w:t>ПРЕДЛОЖЕНО СЪДЪРЖАНИЕ НА ПРАВИЛАТА И ЗАДЪЛЖЕНИЯТА</w:t>
      </w:r>
    </w:p>
    <w:p>
      <w:pPr>
        <w:pStyle w:val="NumPar1"/>
        <w:rPr>
          <w:noProof/>
        </w:rPr>
      </w:pPr>
      <w:r>
        <w:rPr>
          <w:noProof/>
        </w:rPr>
        <w:t xml:space="preserve">В резултат на преговорите следва да бъде разработена нова рамка от правила в СТО, чиято цел е улесняването на ПЧИ. Тази рамка следва да създаде прозрачна, ефикасна и предсказуема среда за международните инвестиции, което ще е от полза за предприятията от ЕС, независимо от техния размер, включително за микропредприятията и за малките и средните предприятия, и следва също да укрепи капацитета на развиващите се и на най-слабо развитите страни за привличане на ПЧИ, като по този начин се засили участието им във веригите за създаване на стойност в световен мащаб. </w:t>
      </w:r>
    </w:p>
    <w:p>
      <w:pPr>
        <w:pStyle w:val="NumPar1"/>
        <w:rPr>
          <w:b/>
          <w:bCs/>
          <w:smallCaps/>
          <w:noProof/>
        </w:rPr>
      </w:pPr>
      <w:r>
        <w:rPr>
          <w:noProof/>
        </w:rPr>
        <w:t>Преговорите ще се водят по открит и приобщаващ начин. Следователно те могат да обхващат всякакви аспекти на улесняването на инвестициите, предложени от участващите страни членки. Като се отчита междусекторното естество на улесняването на инвестициите, преговорите могат да обхванат въпроси като:</w:t>
      </w:r>
    </w:p>
    <w:p>
      <w:pPr>
        <w:pStyle w:val="Tiret1"/>
        <w:numPr>
          <w:ilvl w:val="0"/>
          <w:numId w:val="12"/>
        </w:numPr>
        <w:rPr>
          <w:noProof/>
        </w:rPr>
      </w:pPr>
      <w:r>
        <w:rPr>
          <w:noProof/>
        </w:rPr>
        <w:t>Елементи, насочени към подобряване на прозрачността и предвидимостта на инвестиционните мерки, включително на правилата и условията, приложими към въвеждането и действието на ПЧИ (публикуване и достъпност на мерките и информацията; изпращане на уведомления до СТО; информационни центрове);</w:t>
      </w:r>
    </w:p>
    <w:p>
      <w:pPr>
        <w:pStyle w:val="Tiret1"/>
        <w:rPr>
          <w:noProof/>
        </w:rPr>
      </w:pPr>
      <w:r>
        <w:rPr>
          <w:noProof/>
        </w:rPr>
        <w:t>Елементи, насочени към рационализиране и ускоряване на административните процедури и изисквания (административни процедури и изисквания за представяне на документация; срокове за административните процедури; обработване на непълни заявления; такси и възнаграждения; преразглеждане на административните процедури; използване на електронното управление; обслужване на едно гише; точка за контакт/звено за контакт/механизми с участие на омбудсман, включително контакти със съответните заинтересовани страни и предотвратяване на спорове);</w:t>
      </w:r>
    </w:p>
    <w:p>
      <w:pPr>
        <w:pStyle w:val="Tiret1"/>
        <w:rPr>
          <w:noProof/>
        </w:rPr>
      </w:pPr>
      <w:r>
        <w:rPr>
          <w:noProof/>
        </w:rPr>
        <w:t xml:space="preserve">Елементи, чиято цел е засилването на международното сътрудничество, обменът на информация, обменът на най-добри практики (международно сътрудничество между страните членки; международно сътрудничество на многостранно равнище посредством Комитета на СТО по въпросите на улесняването на инвестициите); </w:t>
      </w:r>
    </w:p>
    <w:p>
      <w:pPr>
        <w:pStyle w:val="Tiret1"/>
        <w:rPr>
          <w:noProof/>
        </w:rPr>
      </w:pPr>
      <w:r>
        <w:rPr>
          <w:noProof/>
        </w:rPr>
        <w:t>Свързано с развитието измерение (предизвикателства пред по-слабо развитите страни; обмен на най-добри практики; разпоредби за специално и диференцирано третиране; техническа помощ и изграждане на капацитет) и насърчаване на корпоративна социална отговорност и на устойчивото развитие.</w:t>
      </w:r>
    </w:p>
    <w:p>
      <w:pPr>
        <w:pStyle w:val="NumPar1"/>
        <w:rPr>
          <w:noProof/>
        </w:rPr>
      </w:pPr>
      <w:r>
        <w:rPr>
          <w:noProof/>
        </w:rPr>
        <w:t xml:space="preserve">Европейският съюз може също така да започне преговори по други аспекти от значение за улесняването на ПЧИ, предложени от участващите страни членки, в съответствие с тези указания. </w:t>
      </w:r>
    </w:p>
    <w:p>
      <w:pPr>
        <w:pStyle w:val="NumPar1"/>
        <w:rPr>
          <w:noProof/>
        </w:rPr>
      </w:pPr>
      <w:r>
        <w:rPr>
          <w:noProof/>
        </w:rPr>
        <w:t>Всяко договорено от Европейския съюз правило или задължение следва да отговаря на правната рамка на ЕС.</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2CCC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269F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30475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CEC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F838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8E64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269E1A"/>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483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8 11:07: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8DFEE2F1-48C3-49AF-AD82-D788C3F6BAD6"/>
    <w:docVar w:name="LW_COVERPAGE_TYPE" w:val="1"/>
    <w:docVar w:name="LW_CROSSREFERENCE" w:val="&lt;UNUSED&gt;"/>
    <w:docVar w:name="LW_DocType" w:val="ANNEX"/>
    <w:docVar w:name="LW_EMISSION" w:val="3.7.2019"/>
    <w:docVar w:name="LW_EMISSION_ISODATE" w:val="2019-07-03"/>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76?\u1086?\u1087?\u1098?\u1083?\u1074?\u1072?\u1085?\u1077? \u1085?\u1072? \u1091?\u1082?\u1072?\u1079?\u1072?\u1085?\u1080?\u1103?\u1090?\u1072? \u1079?\u1072? \u1074?\u1086?\u1076?\u1077?\u1085?\u1077? \u1085?\u1072? \u1087?\u1088?\u1077?\u1075?\u1086?\u1074?\u1086?\u1088?\u1080? \u1079?\u1072? \u1055?\u1088?\u1086?\u1075?\u1088?\u1072?\u1084?\u1072?\u1090?\u1072? \u1079?\u1072? \u1088?\u1072?\u1079?\u1074?\u1080?\u1090?\u1080?\u1077? \u1086?\u1090? \u1044?\u1086?\u1093?\u1072? \u1087?\u1086? \u1086?\u1090?\u1085?\u1086?\u1096?\u1077?\u1085?\u1080?\u1077? \u1085?\u1072? \u1087?\u1088?\u1077?\u1075?\u1086?\u1074?\u1086?\u1088?\u1080?\u1090?\u1077? \u1079?\u1072? \u1089?\u1098?\u1079?\u1076?\u1072?\u1074?\u1072?\u1085?\u1077? \u1085?\u1072? \u1084?\u1085?\u1086?\u1075?\u1086?\u1089?\u1090?\u1088?\u1072?\u1085?\u1085?\u1072? \u1088?\u1072?\u1084?\u1082?\u1072? \u1079?\u1072? \u1091?\u1083?\u1077?\u1089?\u1085?\u1103?\u1074?\u1072?\u1085?\u1077? \u1085?\u1072? \u1080?\u1085?\u1074?\u1077?\u1089?\u1090?\u1080?\u1094?\u1080?\u1080?\u1090?\u1077?"/>
    <w:docVar w:name="LW_OBJETACTEPRINCIPAL.CP" w:val="\u1079?\u1072? \u1076?\u1086?\u1087?\u1098?\u1083?\u1074?\u1072?\u1085?\u1077? \u1085?\u1072? \u1091?\u1082?\u1072?\u1079?\u1072?\u1085?\u1080?\u1103?\u1090?\u1072? \u1079?\u1072? \u1074?\u1086?\u1076?\u1077?\u1085?\u1077? \u1085?\u1072? \u1087?\u1088?\u1077?\u1075?\u1086?\u1074?\u1086?\u1088?\u1080? \u1079?\u1072? \u1055?\u1088?\u1086?\u1075?\u1088?\u1072?\u1084?\u1072?\u1090?\u1072? \u1079?\u1072? \u1088?\u1072?\u1079?\u1074?\u1080?\u1090?\u1080?\u1077? \u1086?\u1090? \u1044?\u1086?\u1093?\u1072? \u1087?\u1086? \u1086?\u1090?\u1085?\u1086?\u1096?\u1077?\u1085?\u1080?\u1077? \u1085?\u1072? \u1087?\u1088?\u1077?\u1075?\u1086?\u1074?\u1086?\u1088?\u1080?\u1090?\u1077? \u1079?\u1072? \u1089?\u1098?\u1079?\u1076?\u1072?\u1074?\u1072?\u1085?\u1077? \u1085?\u1072? \u1084?\u1085?\u1086?\u1075?\u1086?\u1089?\u1090?\u1088?\u1072?\u1085?\u1085?\u1072? \u1088?\u1072?\u1084?\u1082?\u1072? \u1079?\u1072? \u1091?\u1083?\u1077?\u1089?\u1085?\u1103?\u1074?\u1072?\u1085?\u1077? \u1085?\u1072? \u1080?\u1085?\u1074?\u1077?\u1089?\u1090?\u1080?\u1094?\u1080?\u1080?\u1090?\u1077?"/>
    <w:docVar w:name="LW_PART_NBR" w:val="1"/>
    <w:docVar w:name="LW_PART_NBR_TOTAL" w:val="1"/>
    <w:docVar w:name="LW_REF.INST.NEW" w:val="COM"/>
    <w:docVar w:name="LW_REF.INST.NEW_ADOPTED" w:val="final"/>
    <w:docVar w:name="LW_REF.INST.NEW_TEXT" w:val="(2019)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 \u1088?\u1077?\u1096?\u1077?\u1085?\u1080?\u1077? \u1085?\u1072? \u1057?\u1098?\u1074?\u1077?\u1090?\u1072?"/>
    <w:docVar w:name="LW_TYPEACTEPRINCIPAL.CP" w:val="\u1055?\u1088?\u1077?\u1087?\u1086?\u1088?\u1098?\u1082?\u1072?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footnotereference">
    <w:name w:val="footnotereference"/>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footnotereference">
    <w:name w:val="footnotereference"/>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30963">
      <w:bodyDiv w:val="1"/>
      <w:marLeft w:val="0"/>
      <w:marRight w:val="0"/>
      <w:marTop w:val="0"/>
      <w:marBottom w:val="0"/>
      <w:divBdr>
        <w:top w:val="none" w:sz="0" w:space="0" w:color="auto"/>
        <w:left w:val="none" w:sz="0" w:space="0" w:color="auto"/>
        <w:bottom w:val="none" w:sz="0" w:space="0" w:color="auto"/>
        <w:right w:val="none" w:sz="0" w:space="0" w:color="auto"/>
      </w:divBdr>
    </w:div>
    <w:div w:id="343677140">
      <w:bodyDiv w:val="1"/>
      <w:marLeft w:val="0"/>
      <w:marRight w:val="0"/>
      <w:marTop w:val="0"/>
      <w:marBottom w:val="0"/>
      <w:divBdr>
        <w:top w:val="none" w:sz="0" w:space="0" w:color="auto"/>
        <w:left w:val="none" w:sz="0" w:space="0" w:color="auto"/>
        <w:bottom w:val="none" w:sz="0" w:space="0" w:color="auto"/>
        <w:right w:val="none" w:sz="0" w:space="0" w:color="auto"/>
      </w:divBdr>
    </w:div>
    <w:div w:id="451680546">
      <w:bodyDiv w:val="1"/>
      <w:marLeft w:val="0"/>
      <w:marRight w:val="0"/>
      <w:marTop w:val="0"/>
      <w:marBottom w:val="0"/>
      <w:divBdr>
        <w:top w:val="none" w:sz="0" w:space="0" w:color="auto"/>
        <w:left w:val="none" w:sz="0" w:space="0" w:color="auto"/>
        <w:bottom w:val="none" w:sz="0" w:space="0" w:color="auto"/>
        <w:right w:val="none" w:sz="0" w:space="0" w:color="auto"/>
      </w:divBdr>
    </w:div>
    <w:div w:id="1216819399">
      <w:bodyDiv w:val="1"/>
      <w:marLeft w:val="0"/>
      <w:marRight w:val="0"/>
      <w:marTop w:val="0"/>
      <w:marBottom w:val="0"/>
      <w:divBdr>
        <w:top w:val="none" w:sz="0" w:space="0" w:color="auto"/>
        <w:left w:val="none" w:sz="0" w:space="0" w:color="auto"/>
        <w:bottom w:val="none" w:sz="0" w:space="0" w:color="auto"/>
        <w:right w:val="none" w:sz="0" w:space="0" w:color="auto"/>
      </w:divBdr>
    </w:div>
    <w:div w:id="1876889501">
      <w:bodyDiv w:val="1"/>
      <w:marLeft w:val="0"/>
      <w:marRight w:val="0"/>
      <w:marTop w:val="0"/>
      <w:marBottom w:val="0"/>
      <w:divBdr>
        <w:top w:val="none" w:sz="0" w:space="0" w:color="auto"/>
        <w:left w:val="none" w:sz="0" w:space="0" w:color="auto"/>
        <w:bottom w:val="none" w:sz="0" w:space="0" w:color="auto"/>
        <w:right w:val="none" w:sz="0" w:space="0" w:color="auto"/>
      </w:divBdr>
    </w:div>
    <w:div w:id="18990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E87F13-0BBE-466F-91DB-F6FBB79E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662</Words>
  <Characters>4097</Characters>
  <Application>Microsoft Office Word</Application>
  <DocSecurity>0</DocSecurity>
  <Lines>78</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2019-06-27T13:10:00Z</dcterms:created>
  <dcterms:modified xsi:type="dcterms:W3CDTF">2019-06-28T09:07:00Z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ies>
</file>