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FC" w:rsidRDefault="007900BA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6ADD004-414D-4453-BBBA-1019281343F2" style="width:450.75pt;height:307.5pt">
            <v:imagedata r:id="rId8" o:title=""/>
          </v:shape>
        </w:pict>
      </w:r>
    </w:p>
    <w:bookmarkEnd w:id="0"/>
    <w:p w:rsidR="00A849FC" w:rsidRDefault="00A849FC">
      <w:pPr>
        <w:rPr>
          <w:noProof/>
        </w:rPr>
        <w:sectPr w:rsidR="00A849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849FC" w:rsidRDefault="007900BA">
      <w:pPr>
        <w:keepNext/>
        <w:keepLines/>
        <w:numPr>
          <w:ilvl w:val="0"/>
          <w:numId w:val="11"/>
        </w:numPr>
        <w:spacing w:after="240"/>
        <w:ind w:left="1004"/>
        <w:jc w:val="both"/>
        <w:outlineLvl w:val="0"/>
        <w:rPr>
          <w:rFonts w:ascii="Times New Roman" w:eastAsiaTheme="majorEastAsia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Theme="majorEastAsia" w:hAnsi="Times New Roman"/>
          <w:b/>
          <w:noProof/>
          <w:sz w:val="24"/>
        </w:rPr>
        <w:lastRenderedPageBreak/>
        <w:t>Въведение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При присъединяването съм към Европейските общности през 1973 г. Ирландия не поиска ирландският език да стане един от официалните и </w:t>
      </w:r>
      <w:r>
        <w:rPr>
          <w:rFonts w:ascii="Times New Roman" w:hAnsi="Times New Roman"/>
          <w:noProof/>
          <w:sz w:val="24"/>
        </w:rPr>
        <w:t>работните езици на институциите, а само Договорите да бъдат преведени на ирландски и гражданите на тази държава да имат право да комуникират с институциите на ирландски. В съответствие с това ирландският език не бе добавен към списъка с официалните и работ</w:t>
      </w:r>
      <w:r>
        <w:rPr>
          <w:rFonts w:ascii="Times New Roman" w:hAnsi="Times New Roman"/>
          <w:noProof/>
          <w:sz w:val="24"/>
        </w:rPr>
        <w:t>ните езици в Регламент № 1</w:t>
      </w:r>
      <w:r>
        <w:rPr>
          <w:rFonts w:ascii="Times New Roman" w:hAnsi="Times New Roman"/>
          <w:noProof/>
          <w:sz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и институциите не са изготвяли или публикували законодателни актове на ирландски език.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През 2005 г. Ирландия поиска ирландският език да стане официален и работен език на Съюза</w:t>
      </w:r>
      <w:r>
        <w:rPr>
          <w:rFonts w:ascii="Times New Roman" w:hAnsi="Times New Roman"/>
          <w:noProof/>
          <w:sz w:val="24"/>
        </w:rPr>
        <w:t>, като предложи ограничен режим, съгласно който на ир</w:t>
      </w:r>
      <w:r>
        <w:rPr>
          <w:rFonts w:ascii="Times New Roman" w:hAnsi="Times New Roman"/>
          <w:noProof/>
          <w:sz w:val="24"/>
        </w:rPr>
        <w:t>ландски ще се изготвят само регламентите, които се приемат съвместно от Европейския парламент (ЕП) и от Съвета. Съветът предостави този статут на ирландския език от 1 януари 2007 г. с Регламент (ЕО) № 920/2005</w:t>
      </w:r>
      <w:r>
        <w:rPr>
          <w:rFonts w:ascii="Times New Roman" w:hAnsi="Times New Roman"/>
          <w:noProof/>
          <w:sz w:val="24"/>
          <w:vertAlign w:val="superscript"/>
        </w:rPr>
        <w:footnoteReference w:id="3"/>
      </w:r>
      <w:r>
        <w:rPr>
          <w:rFonts w:ascii="Times New Roman" w:hAnsi="Times New Roman"/>
          <w:noProof/>
          <w:sz w:val="24"/>
        </w:rPr>
        <w:t>, като включи дерогация, която гласи, че на ир</w:t>
      </w:r>
      <w:r>
        <w:rPr>
          <w:rFonts w:ascii="Times New Roman" w:hAnsi="Times New Roman"/>
          <w:noProof/>
          <w:sz w:val="24"/>
        </w:rPr>
        <w:t>ландски език трябва да се изготвят само регламенти на ЕС и на Съвета. Дерогацията беше приета за 5 години и след преглед през 2010 г. бе удължена за още 5 години до 31 декември 2016 г.</w:t>
      </w:r>
      <w:r>
        <w:rPr>
          <w:rFonts w:ascii="Times New Roman" w:hAnsi="Times New Roman"/>
          <w:noProof/>
          <w:sz w:val="24"/>
          <w:vertAlign w:val="superscript"/>
        </w:rPr>
        <w:footnoteReference w:id="4"/>
      </w:r>
      <w:r>
        <w:rPr>
          <w:rFonts w:ascii="Times New Roman" w:hAnsi="Times New Roman"/>
          <w:noProof/>
          <w:sz w:val="24"/>
        </w:rPr>
        <w:t xml:space="preserve"> През 2015 г., като част от своята политика за насърчаване на използван</w:t>
      </w:r>
      <w:r>
        <w:rPr>
          <w:rFonts w:ascii="Times New Roman" w:hAnsi="Times New Roman"/>
          <w:noProof/>
          <w:sz w:val="24"/>
        </w:rPr>
        <w:t>ето и владеенето на ирландския език, ирландското правителство поиска от Съвета постепенно да намали обхвата на дерогацията с оглед постепенното ѝ прекратяване до 1 януари 2022 г. В съответствие с това през декември 2015 г. Съветът прие Регламент (ЕС, Еврат</w:t>
      </w:r>
      <w:r>
        <w:rPr>
          <w:rFonts w:ascii="Times New Roman" w:hAnsi="Times New Roman"/>
          <w:noProof/>
          <w:sz w:val="24"/>
        </w:rPr>
        <w:t>ом) 2015/2264</w:t>
      </w:r>
      <w:r>
        <w:rPr>
          <w:rFonts w:ascii="Times New Roman" w:hAnsi="Times New Roman"/>
          <w:noProof/>
          <w:sz w:val="24"/>
          <w:vertAlign w:val="superscript"/>
        </w:rPr>
        <w:footnoteReference w:id="5"/>
      </w:r>
      <w:r>
        <w:rPr>
          <w:rFonts w:ascii="Times New Roman" w:hAnsi="Times New Roman"/>
          <w:noProof/>
          <w:sz w:val="24"/>
        </w:rPr>
        <w:t>. Това породи безпрецедентна ситуация, в която институциите трябваше да развият нов езиков режим със съществуваща държава членка.</w:t>
      </w:r>
    </w:p>
    <w:p w:rsidR="00A849FC" w:rsidRDefault="007900BA">
      <w:pPr>
        <w:spacing w:after="120"/>
        <w:jc w:val="both"/>
        <w:rPr>
          <w:b/>
          <w:noProof/>
          <w:szCs w:val="24"/>
        </w:rPr>
      </w:pPr>
      <w:r>
        <w:rPr>
          <w:rFonts w:ascii="Times New Roman" w:hAnsi="Times New Roman"/>
          <w:b/>
          <w:noProof/>
          <w:sz w:val="24"/>
        </w:rPr>
        <w:t>В приложенията към Регламент (ЕС, Евратом) 2015/2264 е посочен график за постепенното ограничаване на дерогацият</w:t>
      </w:r>
      <w:r>
        <w:rPr>
          <w:rFonts w:ascii="Times New Roman" w:hAnsi="Times New Roman"/>
          <w:b/>
          <w:noProof/>
          <w:sz w:val="24"/>
        </w:rPr>
        <w:t>а</w:t>
      </w:r>
      <w:r>
        <w:rPr>
          <w:rFonts w:ascii="Times New Roman" w:hAnsi="Times New Roman"/>
          <w:noProof/>
          <w:sz w:val="24"/>
        </w:rPr>
        <w:t>, както следва:</w:t>
      </w:r>
    </w:p>
    <w:p w:rsidR="00A849FC" w:rsidRDefault="007900BA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първа стъпка (от 1 януари 2017 г.) — директиви на ЕП и на Съвета;</w:t>
      </w:r>
    </w:p>
    <w:p w:rsidR="00A849FC" w:rsidRDefault="007900BA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втора стъпка (от 1 януари 2018 г.) — решения на ЕП и на Съвета;</w:t>
      </w:r>
    </w:p>
    <w:p w:rsidR="00A849FC" w:rsidRDefault="007900BA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трета стъпка (от 1 януари 2020 г.) — регламенти и директиви на Съвета и решения на Съвета, когато не се </w:t>
      </w:r>
      <w:r>
        <w:rPr>
          <w:rFonts w:ascii="Times New Roman" w:hAnsi="Times New Roman"/>
          <w:noProof/>
          <w:sz w:val="24"/>
        </w:rPr>
        <w:t>посочва адресат; както и</w:t>
      </w:r>
    </w:p>
    <w:p w:rsidR="00A849FC" w:rsidRDefault="007900BA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четвърта стъпка (от 1 януари 2021 г.) — регламенти и директиви на Комисията и решения на Комисията, когато не се посочва адресат.</w:t>
      </w:r>
    </w:p>
    <w:p w:rsidR="00A849FC" w:rsidRDefault="00A849F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849FC" w:rsidRDefault="007900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Съгласно Регламента Комисията е длъжна да докладва двукратно на Съвета относно изпълнението на Регла</w:t>
      </w:r>
      <w:r>
        <w:rPr>
          <w:rFonts w:ascii="Times New Roman" w:hAnsi="Times New Roman"/>
          <w:noProof/>
          <w:sz w:val="24"/>
        </w:rPr>
        <w:t xml:space="preserve">мента преди да се прекрати прилагането на дерогацията. Комисията трябва да докладва не по-късно от октомври 2019 г. относно напредъка на институциите при прилагането на постепенното ограничаване на обхвата на дерогацията. След като проучи доклада, Съветът </w:t>
      </w:r>
      <w:r>
        <w:rPr>
          <w:rFonts w:ascii="Times New Roman" w:hAnsi="Times New Roman"/>
          <w:noProof/>
          <w:sz w:val="24"/>
        </w:rPr>
        <w:t xml:space="preserve">може да вземе решение да преразгледа графика, определен в приложението. 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Комисията трябва да докладва отново, не по-късно от юни 2021 г., „дали институциите разполагат с достатъчен капацитет, в сравнение с останалите официални езици, да прилагат Регламент № 1 за определяне на езиковия режим на Европейската икономическа общност </w:t>
      </w:r>
      <w:r>
        <w:rPr>
          <w:rFonts w:ascii="Times New Roman" w:hAnsi="Times New Roman"/>
          <w:noProof/>
          <w:sz w:val="24"/>
        </w:rPr>
        <w:t>и Регламент № 1 относно определянето на езиковия режим в Европейската общност за атомна енергия без дерогация, считано от 1 януари 2022 г.“. В отсъствието на регламент на Съвета, който да предвижда друго, дерогацията ще спре да се прилага, считано от 1 яну</w:t>
      </w:r>
      <w:r>
        <w:rPr>
          <w:rFonts w:ascii="Times New Roman" w:hAnsi="Times New Roman"/>
          <w:noProof/>
          <w:sz w:val="24"/>
        </w:rPr>
        <w:t xml:space="preserve">ари 2022 г. 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настоящия </w:t>
      </w:r>
      <w:r>
        <w:rPr>
          <w:rFonts w:ascii="Times New Roman" w:hAnsi="Times New Roman"/>
          <w:b/>
          <w:noProof/>
          <w:sz w:val="24"/>
        </w:rPr>
        <w:t>първи доклад за изпълнение</w:t>
      </w:r>
      <w:r>
        <w:rPr>
          <w:rFonts w:ascii="Times New Roman" w:hAnsi="Times New Roman"/>
          <w:noProof/>
          <w:sz w:val="24"/>
        </w:rPr>
        <w:t xml:space="preserve"> се разглежда постигнатият напредък между януари 2016 г. и средата на 2019 г.</w:t>
      </w:r>
    </w:p>
    <w:p w:rsidR="00A849FC" w:rsidRDefault="007900BA">
      <w:pPr>
        <w:keepNext/>
        <w:keepLines/>
        <w:numPr>
          <w:ilvl w:val="0"/>
          <w:numId w:val="11"/>
        </w:numPr>
        <w:spacing w:after="240"/>
        <w:ind w:left="1004"/>
        <w:jc w:val="both"/>
        <w:outlineLvl w:val="0"/>
        <w:rPr>
          <w:rFonts w:ascii="Times New Roman" w:eastAsiaTheme="majorEastAsia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Theme="majorEastAsia" w:hAnsi="Times New Roman"/>
          <w:b/>
          <w:noProof/>
          <w:sz w:val="24"/>
        </w:rPr>
        <w:t>Напредък при прилагането на постепенното ограничаване на обхвата на дерогацията</w:t>
      </w:r>
    </w:p>
    <w:p w:rsidR="00A849FC" w:rsidRDefault="007900BA">
      <w:pPr>
        <w:keepNext/>
        <w:keepLines/>
        <w:numPr>
          <w:ilvl w:val="0"/>
          <w:numId w:val="19"/>
        </w:numPr>
        <w:tabs>
          <w:tab w:val="left" w:pos="2268"/>
        </w:tabs>
        <w:spacing w:after="240"/>
        <w:jc w:val="both"/>
        <w:outlineLvl w:val="1"/>
        <w:rPr>
          <w:rFonts w:ascii="Times New Roman" w:eastAsiaTheme="majorEastAsia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eastAsiaTheme="majorEastAsia" w:hAnsi="Times New Roman"/>
          <w:b/>
          <w:i/>
          <w:noProof/>
          <w:sz w:val="24"/>
        </w:rPr>
        <w:t xml:space="preserve">Сътрудничество с Ирландия 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Институциите и Ирлан</w:t>
      </w:r>
      <w:r>
        <w:rPr>
          <w:rFonts w:ascii="Times New Roman" w:hAnsi="Times New Roman"/>
          <w:noProof/>
          <w:sz w:val="24"/>
        </w:rPr>
        <w:t>дия работят заедно за прилагане на Регламент (ЕС, Евратом) 2015/2264. Съгласно член 2 от Регламента „ирландските власти и Комисията, съвместно с останалите институции на Съюза, провеждат редовни срещи, за да следят набирането от институциите на Съюза на до</w:t>
      </w:r>
      <w:r>
        <w:rPr>
          <w:rFonts w:ascii="Times New Roman" w:hAnsi="Times New Roman"/>
          <w:noProof/>
          <w:sz w:val="24"/>
        </w:rPr>
        <w:t>статъчен брой служители с ирландски език, така че да могат успешно да се справят с постепенното ограничаване на обхвата на дерогацията, [...] както и за да следят капацитета и използването на външни изпълнители, с оглед да се отговори на езиковите нужди на</w:t>
      </w:r>
      <w:r>
        <w:rPr>
          <w:rFonts w:ascii="Times New Roman" w:hAnsi="Times New Roman"/>
          <w:noProof/>
          <w:sz w:val="24"/>
        </w:rPr>
        <w:t xml:space="preserve"> институциите на Съюза, свързани с ирландския език“.</w:t>
      </w:r>
    </w:p>
    <w:p w:rsidR="00A849FC" w:rsidRDefault="007900BA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съответствие с това бе създадена </w:t>
      </w:r>
      <w:r>
        <w:rPr>
          <w:rFonts w:ascii="Times New Roman" w:hAnsi="Times New Roman"/>
          <w:b/>
          <w:noProof/>
          <w:sz w:val="24"/>
        </w:rPr>
        <w:t>група за наблюдение на дерогацията за ирландския език</w:t>
      </w:r>
      <w:r>
        <w:rPr>
          <w:rFonts w:ascii="Times New Roman" w:hAnsi="Times New Roman"/>
          <w:noProof/>
          <w:sz w:val="24"/>
        </w:rPr>
        <w:t>, съставена от представители на Ирландия и на езиковите служби на институциите на Съюза. Групата започна работа пре</w:t>
      </w:r>
      <w:r>
        <w:rPr>
          <w:rFonts w:ascii="Times New Roman" w:hAnsi="Times New Roman"/>
          <w:noProof/>
          <w:sz w:val="24"/>
        </w:rPr>
        <w:t>з 2016 г. и ще продължи да работи до момента, в който Регламентът спре да се прилага. Тя има двустепенна структура:</w:t>
      </w:r>
    </w:p>
    <w:p w:rsidR="00A849FC" w:rsidRDefault="007900BA">
      <w:pPr>
        <w:numPr>
          <w:ilvl w:val="0"/>
          <w:numId w:val="23"/>
        </w:numPr>
        <w:spacing w:after="120"/>
        <w:ind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ръководно ниво, в рамките на което Комисията (представлявана от генерална дирекция „Писмени преводи“), в сътрудничество с останалите институ</w:t>
      </w:r>
      <w:r>
        <w:rPr>
          <w:rFonts w:ascii="Times New Roman" w:hAnsi="Times New Roman"/>
          <w:noProof/>
          <w:sz w:val="24"/>
        </w:rPr>
        <w:t xml:space="preserve">ции и с Ирландия (представлявана от Министерство на културата, наследството и </w:t>
      </w:r>
      <w:r>
        <w:rPr>
          <w:rFonts w:ascii="Times New Roman" w:hAnsi="Times New Roman"/>
          <w:i/>
          <w:noProof/>
          <w:sz w:val="24"/>
        </w:rPr>
        <w:t>Gaeltacht</w:t>
      </w:r>
      <w:r>
        <w:rPr>
          <w:rFonts w:ascii="Times New Roman" w:hAnsi="Times New Roman"/>
          <w:noProof/>
          <w:sz w:val="24"/>
        </w:rPr>
        <w:t xml:space="preserve">), провежда ежегодни срещи за наблюдение на напредъка и приемане на годишни приоритети в следните области: </w:t>
      </w:r>
    </w:p>
    <w:p w:rsidR="00A849FC" w:rsidRDefault="007900BA">
      <w:pPr>
        <w:numPr>
          <w:ilvl w:val="1"/>
          <w:numId w:val="23"/>
        </w:numPr>
        <w:spacing w:after="0"/>
        <w:ind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набиране на съответните служители за институциите;</w:t>
      </w:r>
    </w:p>
    <w:p w:rsidR="00A849FC" w:rsidRDefault="007900BA">
      <w:pPr>
        <w:numPr>
          <w:ilvl w:val="1"/>
          <w:numId w:val="23"/>
        </w:numPr>
        <w:spacing w:after="0"/>
        <w:ind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капацитет </w:t>
      </w:r>
      <w:r>
        <w:rPr>
          <w:rFonts w:ascii="Times New Roman" w:hAnsi="Times New Roman"/>
          <w:noProof/>
          <w:sz w:val="24"/>
        </w:rPr>
        <w:t>на външните доставчици на услуги;</w:t>
      </w:r>
    </w:p>
    <w:p w:rsidR="00A849FC" w:rsidRDefault="007900BA">
      <w:pPr>
        <w:numPr>
          <w:ilvl w:val="1"/>
          <w:numId w:val="23"/>
        </w:numPr>
        <w:spacing w:after="0"/>
        <w:ind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засилено сътрудничество в областта на езиковите ресурси; както и </w:t>
      </w:r>
    </w:p>
    <w:p w:rsidR="00A849FC" w:rsidRDefault="007900BA">
      <w:pPr>
        <w:numPr>
          <w:ilvl w:val="1"/>
          <w:numId w:val="23"/>
        </w:numPr>
        <w:spacing w:after="0"/>
        <w:ind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въпроси, свързани с достъпността на достиженията на правото на ЕС; и </w:t>
      </w:r>
    </w:p>
    <w:p w:rsidR="00A849FC" w:rsidRDefault="007900BA">
      <w:pPr>
        <w:numPr>
          <w:ilvl w:val="0"/>
          <w:numId w:val="23"/>
        </w:numPr>
        <w:spacing w:after="240"/>
        <w:ind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оперативно ниво, в рамките на което представители на езиковите служби на институциите </w:t>
      </w:r>
      <w:r>
        <w:rPr>
          <w:rFonts w:ascii="Times New Roman" w:hAnsi="Times New Roman"/>
          <w:noProof/>
          <w:sz w:val="24"/>
        </w:rPr>
        <w:t xml:space="preserve">и Министерство на културата, наследството и </w:t>
      </w:r>
      <w:r>
        <w:rPr>
          <w:rFonts w:ascii="Times New Roman" w:hAnsi="Times New Roman"/>
          <w:i/>
          <w:noProof/>
          <w:sz w:val="24"/>
        </w:rPr>
        <w:t>Gaeltacht</w:t>
      </w:r>
      <w:r>
        <w:rPr>
          <w:rFonts w:ascii="Times New Roman" w:hAnsi="Times New Roman"/>
          <w:noProof/>
          <w:sz w:val="24"/>
        </w:rPr>
        <w:t xml:space="preserve"> провеждат срещи поне два пъти годишно, работят по годишните приоритети и докладват на ръководното ниво за постигнатия напредък. </w:t>
      </w:r>
    </w:p>
    <w:p w:rsidR="00A849FC" w:rsidRDefault="007900B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От приемането на Регламента насам Комисията и Ирландия организираха съвместно три годишни конференции в Дъблин относно ирландския език. </w:t>
      </w:r>
    </w:p>
    <w:p w:rsidR="00A849FC" w:rsidRDefault="007900B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Напредъкът</w:t>
      </w:r>
      <w:r>
        <w:rPr>
          <w:rFonts w:ascii="Times New Roman" w:hAnsi="Times New Roman"/>
          <w:noProof/>
          <w:sz w:val="24"/>
        </w:rPr>
        <w:t xml:space="preserve"> в основните области е описан по-долу.</w:t>
      </w:r>
    </w:p>
    <w:p w:rsidR="00A849FC" w:rsidRDefault="007900B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 w:rsidR="00A849FC" w:rsidRDefault="007900BA">
      <w:pPr>
        <w:keepNext/>
        <w:keepLines/>
        <w:tabs>
          <w:tab w:val="left" w:pos="2268"/>
        </w:tabs>
        <w:spacing w:after="240"/>
        <w:ind w:left="567" w:hanging="567"/>
        <w:jc w:val="both"/>
        <w:outlineLvl w:val="1"/>
        <w:rPr>
          <w:rFonts w:ascii="Times New Roman" w:eastAsiaTheme="majorEastAsia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eastAsiaTheme="majorEastAsia" w:hAnsi="Times New Roman"/>
          <w:b/>
          <w:i/>
          <w:noProof/>
          <w:sz w:val="24"/>
        </w:rPr>
        <w:t>б.</w:t>
      </w:r>
      <w:r>
        <w:rPr>
          <w:noProof/>
        </w:rPr>
        <w:tab/>
      </w:r>
      <w:r>
        <w:rPr>
          <w:rFonts w:ascii="Times New Roman" w:eastAsiaTheme="majorEastAsia" w:hAnsi="Times New Roman"/>
          <w:b/>
          <w:i/>
          <w:noProof/>
          <w:sz w:val="24"/>
        </w:rPr>
        <w:t>Осигуряване на писмени преводи на ирландски език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Потребностите на</w:t>
      </w:r>
      <w:r>
        <w:rPr>
          <w:rFonts w:ascii="Times New Roman" w:hAnsi="Times New Roman"/>
          <w:noProof/>
          <w:sz w:val="24"/>
        </w:rPr>
        <w:t xml:space="preserve"> институциите от писмени преводи са свързани преди всичко със законодателни актове и едва след това с други незаконодателни документи — в съответствие с политически изисквания и други изисквания, свързани с комуникацията. С осъществяването на първите две с</w:t>
      </w:r>
      <w:r>
        <w:rPr>
          <w:rFonts w:ascii="Times New Roman" w:hAnsi="Times New Roman"/>
          <w:noProof/>
          <w:sz w:val="24"/>
        </w:rPr>
        <w:t xml:space="preserve">тъпки през 2017 и 2018 г. (добавяне на директиви и решения, приети от ЕП и от Съвета) институциите започнаха да увеличават обхвата на законодателните актове, превеждани на ирландски език. </w:t>
      </w:r>
      <w:r>
        <w:rPr>
          <w:rFonts w:ascii="Times New Roman" w:hAnsi="Times New Roman"/>
          <w:b/>
          <w:noProof/>
          <w:sz w:val="24"/>
        </w:rPr>
        <w:t>Първите две стъпки бяха осъществени изцяло</w:t>
      </w:r>
      <w:r>
        <w:rPr>
          <w:rFonts w:ascii="Times New Roman" w:hAnsi="Times New Roman"/>
          <w:noProof/>
          <w:sz w:val="24"/>
        </w:rPr>
        <w:t xml:space="preserve">. 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съответствие със съоб</w:t>
      </w:r>
      <w:r>
        <w:rPr>
          <w:rFonts w:ascii="Times New Roman" w:hAnsi="Times New Roman"/>
          <w:noProof/>
          <w:sz w:val="24"/>
        </w:rPr>
        <w:t>ражение 4 от Регламент (ЕС, Евратом) 2015/2264 институциите също така превеждаха и друго съдържание, за да се увеличи наличието на информация на ирландски език относно дейностите на Съюза. Взети заедно, регулаторният материал и допълнителното съдържание по</w:t>
      </w:r>
      <w:r>
        <w:rPr>
          <w:rFonts w:ascii="Times New Roman" w:hAnsi="Times New Roman"/>
          <w:noProof/>
          <w:sz w:val="24"/>
        </w:rPr>
        <w:t>казват, че институциите</w:t>
      </w:r>
      <w:r>
        <w:rPr>
          <w:rFonts w:ascii="Times New Roman" w:hAnsi="Times New Roman"/>
          <w:noProof/>
          <w:sz w:val="24"/>
          <w:vertAlign w:val="superscript"/>
        </w:rPr>
        <w:footnoteReference w:id="6"/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са увеличили повече от двукратно обема на писмените преводи на ирландски език</w:t>
      </w:r>
      <w:r>
        <w:rPr>
          <w:rFonts w:ascii="Times New Roman" w:hAnsi="Times New Roman"/>
          <w:noProof/>
          <w:sz w:val="24"/>
        </w:rPr>
        <w:t xml:space="preserve"> от 2016 г. насам. </w:t>
      </w:r>
    </w:p>
    <w:p w:rsidR="00A849FC" w:rsidRDefault="007900BA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За да се подготви за осъществяването на следващите стъпки, насрочени за 2020 и 2021 г., Комисията анализира прогнозите за нуждите по видове документи. Прогнозите сочат, че стъпките за 2020 и 2021 г. могат да доведат до </w:t>
      </w:r>
      <w:r>
        <w:rPr>
          <w:rFonts w:ascii="Times New Roman" w:hAnsi="Times New Roman"/>
          <w:b/>
          <w:noProof/>
          <w:sz w:val="24"/>
        </w:rPr>
        <w:t xml:space="preserve">допълнително двукратно увеличение на </w:t>
      </w:r>
      <w:r>
        <w:rPr>
          <w:rFonts w:ascii="Times New Roman" w:hAnsi="Times New Roman"/>
          <w:b/>
          <w:noProof/>
          <w:sz w:val="24"/>
        </w:rPr>
        <w:t>обема</w:t>
      </w:r>
      <w:r>
        <w:rPr>
          <w:rFonts w:ascii="Times New Roman" w:hAnsi="Times New Roman"/>
          <w:noProof/>
          <w:sz w:val="24"/>
        </w:rPr>
        <w:t xml:space="preserve"> за някои институции в периода между края на 2018 г. и 2021 г. След изтичането на дерогацията през 2022 г. оставащият сегмент от нуждите (например съобщения, консултации и доклади) се очаква да доведе до допълнително увеличение с 40 % на цялостните ну</w:t>
      </w:r>
      <w:r>
        <w:rPr>
          <w:rFonts w:ascii="Times New Roman" w:hAnsi="Times New Roman"/>
          <w:noProof/>
          <w:sz w:val="24"/>
        </w:rPr>
        <w:t>жди от писмени преводи на ирландски език в рамките на Комисията</w:t>
      </w:r>
      <w:r>
        <w:rPr>
          <w:rFonts w:ascii="Times New Roman" w:hAnsi="Times New Roman"/>
          <w:b/>
          <w:noProof/>
          <w:sz w:val="24"/>
          <w:vertAlign w:val="superscript"/>
        </w:rPr>
        <w:footnoteReference w:id="7"/>
      </w:r>
      <w:r>
        <w:rPr>
          <w:rFonts w:ascii="Times New Roman" w:hAnsi="Times New Roman"/>
          <w:noProof/>
          <w:sz w:val="24"/>
        </w:rPr>
        <w:t>. В резултат на това се очаква да се увеличи значително и търсенето на ирландски език във всички други езикови служби.</w:t>
      </w:r>
      <w:r>
        <w:rPr>
          <w:rFonts w:ascii="Times New Roman" w:hAnsi="Times New Roman"/>
          <w:b/>
          <w:noProof/>
          <w:sz w:val="24"/>
          <w:vertAlign w:val="superscript"/>
        </w:rPr>
        <w:t xml:space="preserve"> </w:t>
      </w:r>
    </w:p>
    <w:p w:rsidR="00A849FC" w:rsidRDefault="007900BA">
      <w:pPr>
        <w:keepNext/>
        <w:keepLines/>
        <w:tabs>
          <w:tab w:val="left" w:pos="2268"/>
        </w:tabs>
        <w:spacing w:after="240"/>
        <w:ind w:left="567" w:hanging="567"/>
        <w:jc w:val="both"/>
        <w:outlineLvl w:val="1"/>
        <w:rPr>
          <w:rFonts w:ascii="Times New Roman" w:eastAsiaTheme="majorEastAsia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eastAsiaTheme="majorEastAsia" w:hAnsi="Times New Roman"/>
          <w:b/>
          <w:i/>
          <w:noProof/>
          <w:sz w:val="24"/>
        </w:rPr>
        <w:t>в.</w:t>
      </w:r>
      <w:r>
        <w:rPr>
          <w:noProof/>
        </w:rPr>
        <w:tab/>
      </w:r>
      <w:r>
        <w:rPr>
          <w:rFonts w:ascii="Times New Roman" w:eastAsiaTheme="majorEastAsia" w:hAnsi="Times New Roman"/>
          <w:b/>
          <w:i/>
          <w:noProof/>
          <w:sz w:val="24"/>
        </w:rPr>
        <w:t xml:space="preserve">Набиране на служители с ирландски език </w:t>
      </w:r>
    </w:p>
    <w:p w:rsidR="00A849FC" w:rsidRDefault="007900BA">
      <w:pPr>
        <w:spacing w:after="24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Ключовият елемент във връзка </w:t>
      </w:r>
      <w:r>
        <w:rPr>
          <w:rFonts w:ascii="Times New Roman" w:hAnsi="Times New Roman"/>
          <w:noProof/>
          <w:sz w:val="24"/>
        </w:rPr>
        <w:t xml:space="preserve">с капацитета за прилагане на Регламент (ЕС, Евратом) 2015/2264 е наличието на </w:t>
      </w:r>
      <w:r>
        <w:rPr>
          <w:rFonts w:ascii="Times New Roman" w:hAnsi="Times New Roman"/>
          <w:b/>
          <w:noProof/>
          <w:sz w:val="24"/>
        </w:rPr>
        <w:t>достатъчен брой служители с ирландски език</w:t>
      </w:r>
      <w:r>
        <w:rPr>
          <w:rFonts w:ascii="Times New Roman" w:hAnsi="Times New Roman"/>
          <w:noProof/>
          <w:sz w:val="24"/>
        </w:rPr>
        <w:t>. През 2015 г. институциите и Ирландия определиха основното предизвикателство, което ще възникне към края на периода на дерогацията: мал</w:t>
      </w:r>
      <w:r>
        <w:rPr>
          <w:rFonts w:ascii="Times New Roman" w:hAnsi="Times New Roman"/>
          <w:noProof/>
          <w:sz w:val="24"/>
        </w:rPr>
        <w:t xml:space="preserve">ката група експерти с ирландски език. Следователно за да разполагат с изграден производствен капацитет към 1 януари 2022 г., институциите планираха поредица от </w:t>
      </w:r>
      <w:r>
        <w:rPr>
          <w:rFonts w:ascii="Times New Roman" w:hAnsi="Times New Roman"/>
          <w:b/>
          <w:noProof/>
          <w:sz w:val="24"/>
        </w:rPr>
        <w:t>конкурси на EPSO през 2016, 2018 и 2020 г.</w:t>
      </w:r>
    </w:p>
    <w:p w:rsidR="00A849FC" w:rsidRDefault="007900BA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Бе изготвена прогнозна оценка въз основа на нуждите о</w:t>
      </w:r>
      <w:r>
        <w:rPr>
          <w:rFonts w:ascii="Times New Roman" w:hAnsi="Times New Roman"/>
          <w:noProof/>
          <w:sz w:val="24"/>
        </w:rPr>
        <w:t>т персонал на всички институции въз основа на данните за броя на служителите от 2014 г.</w:t>
      </w:r>
      <w:r>
        <w:rPr>
          <w:rFonts w:ascii="Times New Roman" w:hAnsi="Times New Roman"/>
          <w:noProof/>
          <w:sz w:val="24"/>
          <w:vertAlign w:val="superscript"/>
        </w:rPr>
        <w:footnoteReference w:id="8"/>
      </w:r>
      <w:r>
        <w:rPr>
          <w:rFonts w:ascii="Times New Roman" w:hAnsi="Times New Roman"/>
          <w:noProof/>
          <w:sz w:val="24"/>
        </w:rPr>
        <w:t>. Впоследствие бе извършен преглед на ресурсите и понастоящем се правят корекции по комбинацията от ресурси — вътрешен персонал, капацитет за външни преводи и ресурси н</w:t>
      </w:r>
      <w:r>
        <w:rPr>
          <w:rFonts w:ascii="Times New Roman" w:hAnsi="Times New Roman"/>
          <w:noProof/>
          <w:sz w:val="24"/>
        </w:rPr>
        <w:t>а езиковите технологии. За да се постигне увеличение на писмените преводи на ирландски език, е изключително важно да продължи развитието и комбинирането — в различна степен в различните институции — на тези три аспекта на капацитета за превод на ирландския</w:t>
      </w:r>
      <w:r>
        <w:rPr>
          <w:rFonts w:ascii="Times New Roman" w:hAnsi="Times New Roman"/>
          <w:noProof/>
          <w:sz w:val="24"/>
        </w:rPr>
        <w:t xml:space="preserve"> език.</w:t>
      </w:r>
    </w:p>
    <w:p w:rsidR="00A849FC" w:rsidRDefault="007900BA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Институциите продължават да разкриват нови позиции в своите ирландски езикови департаменти. От края на 2015 г. насам </w:t>
      </w:r>
      <w:r>
        <w:rPr>
          <w:rFonts w:ascii="Times New Roman" w:hAnsi="Times New Roman"/>
          <w:b/>
          <w:noProof/>
          <w:sz w:val="24"/>
        </w:rPr>
        <w:t>броят на вътрешния персонал с ирландски език се увеличи от 58 на 102 души</w:t>
      </w:r>
      <w:r>
        <w:rPr>
          <w:rFonts w:ascii="Times New Roman" w:hAnsi="Times New Roman"/>
          <w:noProof/>
          <w:sz w:val="24"/>
        </w:rPr>
        <w:t>.</w:t>
      </w:r>
    </w:p>
    <w:p w:rsidR="00A849FC" w:rsidRDefault="007900BA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През 2016 г. бяха обявени конкурси на EPSO за писмени пре</w:t>
      </w:r>
      <w:r>
        <w:rPr>
          <w:rFonts w:ascii="Times New Roman" w:hAnsi="Times New Roman"/>
          <w:noProof/>
          <w:sz w:val="24"/>
        </w:rPr>
        <w:t>водачи и езикови асистенти с ирландски език (GA)</w:t>
      </w:r>
      <w:r>
        <w:rPr>
          <w:rFonts w:ascii="Times New Roman" w:hAnsi="Times New Roman"/>
          <w:noProof/>
          <w:sz w:val="24"/>
          <w:vertAlign w:val="superscript"/>
        </w:rPr>
        <w:footnoteReference w:id="9"/>
      </w:r>
      <w:r>
        <w:rPr>
          <w:rFonts w:ascii="Times New Roman" w:hAnsi="Times New Roman"/>
          <w:noProof/>
          <w:sz w:val="24"/>
        </w:rPr>
        <w:t>. В рамките на конкурса за писмени преводачи бяха получени 210 кандидатури, а издържалите кандидати бяха 10 при заложена цел от 62. 8 от тези 10 кандидати вече бяха назначени в институциите</w:t>
      </w:r>
      <w:r>
        <w:rPr>
          <w:rFonts w:ascii="Times New Roman" w:hAnsi="Times New Roman"/>
          <w:noProof/>
          <w:sz w:val="24"/>
          <w:vertAlign w:val="superscript"/>
        </w:rPr>
        <w:footnoteReference w:id="10"/>
      </w:r>
      <w:r>
        <w:rPr>
          <w:rFonts w:ascii="Times New Roman" w:hAnsi="Times New Roman"/>
          <w:noProof/>
          <w:sz w:val="24"/>
        </w:rPr>
        <w:t xml:space="preserve"> на временни дого</w:t>
      </w:r>
      <w:r>
        <w:rPr>
          <w:rFonts w:ascii="Times New Roman" w:hAnsi="Times New Roman"/>
          <w:noProof/>
          <w:sz w:val="24"/>
        </w:rPr>
        <w:t>вори, така че капацитетът нетно се увеличи с 2 души. За конкурса за езикови асистенти целта за набиране на персонал беше 13 души; издържалите кандидати бяха 9 от 118 кандидатури, като 6 от тези кандидати бяха вече назначени в институциите</w:t>
      </w:r>
      <w:r>
        <w:rPr>
          <w:rFonts w:ascii="Times New Roman" w:hAnsi="Times New Roman"/>
          <w:noProof/>
          <w:sz w:val="24"/>
          <w:vertAlign w:val="superscript"/>
        </w:rPr>
        <w:footnoteReference w:id="11"/>
      </w:r>
      <w:r>
        <w:rPr>
          <w:rFonts w:ascii="Times New Roman" w:hAnsi="Times New Roman"/>
          <w:noProof/>
          <w:sz w:val="24"/>
        </w:rPr>
        <w:t xml:space="preserve"> на временни дого</w:t>
      </w:r>
      <w:r>
        <w:rPr>
          <w:rFonts w:ascii="Times New Roman" w:hAnsi="Times New Roman"/>
          <w:noProof/>
          <w:sz w:val="24"/>
        </w:rPr>
        <w:t>вори, т.е. капацитетът нетно се увеличи с 3 души.</w:t>
      </w:r>
    </w:p>
    <w:p w:rsidR="00A849FC" w:rsidRDefault="007900BA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През 2017 г. бе обявен конкурс на EPSO за юрист-лингвисти. Бяха получени 26 кандидатури, а издържалите кандидати бяха 3. </w:t>
      </w:r>
    </w:p>
    <w:p w:rsidR="00A849FC" w:rsidRDefault="007900BA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рамките на проведения през 2018 г. конкурс на EPSO за писмени преводачи бяха </w:t>
      </w:r>
      <w:r>
        <w:rPr>
          <w:rFonts w:ascii="Times New Roman" w:hAnsi="Times New Roman"/>
          <w:noProof/>
          <w:sz w:val="24"/>
        </w:rPr>
        <w:t>получени 190 кандидатури, а издържалите кандидати бяха 15. С цел максимално увеличаване на шансовете за успех в процедурата за подбор срокът за подаване на заявления бе удължен с 2 седмици, а последователността на тестване бе променена, така че тестовете п</w:t>
      </w:r>
      <w:r>
        <w:rPr>
          <w:rFonts w:ascii="Times New Roman" w:hAnsi="Times New Roman"/>
          <w:noProof/>
          <w:sz w:val="24"/>
        </w:rPr>
        <w:t>о писмен превод бяха проведени преди тестовете, които се провеждат на компютър.</w:t>
      </w:r>
    </w:p>
    <w:p w:rsidR="00A849FC" w:rsidRDefault="007900BA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Конкурсите на EPSO за лингвисти с ирландски език продължават да привличат достатъчен интерес, но постигането на заложените цели в съответствие с прогнозираните нужди продължава</w:t>
      </w:r>
      <w:r>
        <w:rPr>
          <w:rFonts w:ascii="Times New Roman" w:hAnsi="Times New Roman"/>
          <w:noProof/>
          <w:sz w:val="24"/>
        </w:rPr>
        <w:t xml:space="preserve"> да бъде предизвикателство.</w:t>
      </w:r>
    </w:p>
    <w:p w:rsidR="00A849FC" w:rsidRDefault="007900BA">
      <w:pPr>
        <w:spacing w:after="120"/>
        <w:ind w:left="567" w:hanging="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Таблица 1: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Конкурси на EPSO, 2016—2018 г.</w:t>
      </w:r>
    </w:p>
    <w:tbl>
      <w:tblPr>
        <w:tblW w:w="0" w:type="auto"/>
        <w:tblInd w:w="-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18"/>
        <w:gridCol w:w="1134"/>
        <w:gridCol w:w="1417"/>
        <w:gridCol w:w="1559"/>
        <w:gridCol w:w="1418"/>
        <w:gridCol w:w="1276"/>
      </w:tblGrid>
      <w:tr w:rsidR="00A849FC">
        <w:trPr>
          <w:cantSplit/>
          <w:trHeight w:val="20"/>
        </w:trPr>
        <w:tc>
          <w:tcPr>
            <w:tcW w:w="7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Година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Конкурс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Брой кандидати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Допуснати до тестове по писмен превод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Поканени в център за оценяване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Списък на EPSO с одобрените кандидати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Цел</w:t>
            </w:r>
          </w:p>
        </w:tc>
      </w:tr>
      <w:tr w:rsidR="00A849FC">
        <w:trPr>
          <w:cantSplit/>
          <w:trHeight w:val="20"/>
        </w:trPr>
        <w:tc>
          <w:tcPr>
            <w:tcW w:w="769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2016</w:t>
            </w:r>
          </w:p>
        </w:tc>
        <w:tc>
          <w:tcPr>
            <w:tcW w:w="14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849FC" w:rsidRDefault="007900B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Писмени преводачи</w:t>
            </w:r>
          </w:p>
        </w:tc>
        <w:tc>
          <w:tcPr>
            <w:tcW w:w="1134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43*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62</w:t>
            </w:r>
          </w:p>
        </w:tc>
      </w:tr>
      <w:tr w:rsidR="00A849FC">
        <w:trPr>
          <w:cantSplit/>
          <w:trHeight w:val="41"/>
        </w:trPr>
        <w:tc>
          <w:tcPr>
            <w:tcW w:w="769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A849F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A849FC">
        <w:trPr>
          <w:cantSplit/>
          <w:trHeight w:val="20"/>
        </w:trPr>
        <w:tc>
          <w:tcPr>
            <w:tcW w:w="769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849FC" w:rsidRDefault="007900B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Асистенти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118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</w:t>
            </w:r>
          </w:p>
        </w:tc>
      </w:tr>
      <w:tr w:rsidR="00A849FC">
        <w:trPr>
          <w:cantSplit/>
          <w:trHeight w:val="20"/>
        </w:trPr>
        <w:tc>
          <w:tcPr>
            <w:tcW w:w="769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2017</w:t>
            </w:r>
          </w:p>
        </w:tc>
        <w:tc>
          <w:tcPr>
            <w:tcW w:w="14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7900BA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Юрист-лингвисти</w:t>
            </w:r>
          </w:p>
        </w:tc>
        <w:tc>
          <w:tcPr>
            <w:tcW w:w="1134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keepNext/>
              <w:keepLines/>
              <w:tabs>
                <w:tab w:val="left" w:pos="2268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</w:tr>
      <w:tr w:rsidR="00A849FC">
        <w:trPr>
          <w:cantSplit/>
          <w:trHeight w:val="20"/>
        </w:trPr>
        <w:tc>
          <w:tcPr>
            <w:tcW w:w="769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A849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A849FC">
            <w:pPr>
              <w:keepNext/>
              <w:keepLines/>
              <w:tabs>
                <w:tab w:val="left" w:pos="2268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keepNext/>
              <w:keepLines/>
              <w:tabs>
                <w:tab w:val="left" w:pos="2268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A849FC">
        <w:trPr>
          <w:cantSplit/>
          <w:trHeight w:val="20"/>
        </w:trPr>
        <w:tc>
          <w:tcPr>
            <w:tcW w:w="769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2018</w:t>
            </w:r>
          </w:p>
        </w:tc>
        <w:tc>
          <w:tcPr>
            <w:tcW w:w="14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7900BA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Писмени преводачи </w:t>
            </w:r>
          </w:p>
        </w:tc>
        <w:tc>
          <w:tcPr>
            <w:tcW w:w="1134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190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114**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17***</w:t>
            </w:r>
          </w:p>
        </w:tc>
        <w:tc>
          <w:tcPr>
            <w:tcW w:w="14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7900BA">
            <w:pPr>
              <w:keepNext/>
              <w:keepLines/>
              <w:tabs>
                <w:tab w:val="left" w:pos="2268"/>
              </w:tabs>
              <w:spacing w:after="0"/>
              <w:jc w:val="center"/>
              <w:outlineLvl w:val="1"/>
              <w:rPr>
                <w:rFonts w:ascii="Times New Roman" w:eastAsiaTheme="majorEastAsia" w:hAnsi="Times New Roman" w:cs="Times New Roman"/>
                <w:noProof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:rsidR="00A849FC" w:rsidRDefault="007900BA">
            <w:pPr>
              <w:keepNext/>
              <w:keepLines/>
              <w:tabs>
                <w:tab w:val="left" w:pos="2268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72</w:t>
            </w:r>
          </w:p>
        </w:tc>
      </w:tr>
      <w:tr w:rsidR="00A849FC">
        <w:trPr>
          <w:cantSplit/>
          <w:trHeight w:val="40"/>
        </w:trPr>
        <w:tc>
          <w:tcPr>
            <w:tcW w:w="769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A849F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A849FC" w:rsidRDefault="00A849FC">
            <w:pPr>
              <w:keepNext/>
              <w:keepLines/>
              <w:tabs>
                <w:tab w:val="left" w:pos="2268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A849FC" w:rsidRDefault="00A849FC">
            <w:pPr>
              <w:keepNext/>
              <w:keepLines/>
              <w:tabs>
                <w:tab w:val="left" w:pos="2268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highlight w:val="yellow"/>
              </w:rPr>
            </w:pPr>
          </w:p>
        </w:tc>
      </w:tr>
    </w:tbl>
    <w:p w:rsidR="00A849FC" w:rsidRDefault="007900BA">
      <w:pPr>
        <w:spacing w:after="0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 прием въз основа на тестове, които се провеждат на компютър</w:t>
      </w:r>
    </w:p>
    <w:p w:rsidR="00A849FC" w:rsidRDefault="007900BA">
      <w:pPr>
        <w:spacing w:after="0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** прием въз основа само на заявления</w:t>
      </w:r>
    </w:p>
    <w:p w:rsidR="00A849FC" w:rsidRDefault="007900BA">
      <w:pPr>
        <w:spacing w:after="0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 xml:space="preserve">*** тестове, които се </w:t>
      </w:r>
      <w:r>
        <w:rPr>
          <w:rFonts w:ascii="Times New Roman" w:hAnsi="Times New Roman"/>
          <w:noProof/>
          <w:sz w:val="20"/>
        </w:rPr>
        <w:t>провеждат на компютър и са интегрирани в център за оценяване</w:t>
      </w:r>
    </w:p>
    <w:p w:rsidR="00A849FC" w:rsidRDefault="00A849FC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За да компенсират малкия брой кандидати, издържали конкурсите на EPSO, институциите също така инвестират значителни суми за </w:t>
      </w:r>
      <w:r>
        <w:rPr>
          <w:rFonts w:ascii="Times New Roman" w:hAnsi="Times New Roman"/>
          <w:b/>
          <w:noProof/>
          <w:sz w:val="24"/>
        </w:rPr>
        <w:t>набиране и обучение на срочно наети служители</w:t>
      </w:r>
      <w:r>
        <w:rPr>
          <w:rFonts w:ascii="Times New Roman" w:hAnsi="Times New Roman"/>
          <w:noProof/>
          <w:sz w:val="24"/>
        </w:rPr>
        <w:t xml:space="preserve"> с цел изграждане на капа</w:t>
      </w:r>
      <w:r>
        <w:rPr>
          <w:rFonts w:ascii="Times New Roman" w:hAnsi="Times New Roman"/>
          <w:noProof/>
          <w:sz w:val="24"/>
        </w:rPr>
        <w:t>цитет за писмени преводи. Като алтернативна мярка между 2015 г. и средата на 2019 г. те обявиха 14 процедури за подбор на срочно наети служители</w:t>
      </w:r>
      <w:r>
        <w:rPr>
          <w:rFonts w:ascii="Times New Roman" w:hAnsi="Times New Roman"/>
          <w:noProof/>
          <w:sz w:val="24"/>
          <w:vertAlign w:val="superscript"/>
        </w:rPr>
        <w:footnoteReference w:id="12"/>
      </w:r>
      <w:r>
        <w:rPr>
          <w:rFonts w:ascii="Times New Roman" w:hAnsi="Times New Roman"/>
          <w:noProof/>
          <w:sz w:val="24"/>
        </w:rPr>
        <w:t xml:space="preserve">. Допълнителните възможности за обучение, създадени от Ирландия, и обучението на срочно наети служители от </w:t>
      </w:r>
      <w:r>
        <w:rPr>
          <w:rFonts w:ascii="Times New Roman" w:hAnsi="Times New Roman"/>
          <w:noProof/>
          <w:sz w:val="24"/>
        </w:rPr>
        <w:t>страна на институциите осигуриха прагматичен начин за решаване на проблема с ниския процент на успеваемост в конкурсите на EPSO. В допълнение към това в началото на 2019 г. EPSO стартира процедура за подбор на договорно наети писмени преводачи.</w:t>
      </w:r>
    </w:p>
    <w:p w:rsidR="00A849FC" w:rsidRDefault="007900BA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Макар че де</w:t>
      </w:r>
      <w:r>
        <w:rPr>
          <w:rFonts w:ascii="Times New Roman" w:hAnsi="Times New Roman"/>
          <w:noProof/>
          <w:sz w:val="24"/>
        </w:rPr>
        <w:t xml:space="preserve">рогацията не се отнася за </w:t>
      </w:r>
      <w:r>
        <w:rPr>
          <w:rFonts w:ascii="Times New Roman" w:hAnsi="Times New Roman"/>
          <w:b/>
          <w:noProof/>
          <w:sz w:val="24"/>
        </w:rPr>
        <w:t>устните преводи</w:t>
      </w:r>
      <w:r>
        <w:rPr>
          <w:rFonts w:ascii="Times New Roman" w:hAnsi="Times New Roman"/>
          <w:noProof/>
          <w:sz w:val="24"/>
        </w:rPr>
        <w:t xml:space="preserve">, те също трябва да бъдат отчетени, тъй като устните преводачи обикновено представляват част от същата група потенциални служители. Всички институции на ЕС трябва да разполагат с достатъчен брой устни преводачи, за </w:t>
      </w:r>
      <w:r>
        <w:rPr>
          <w:rFonts w:ascii="Times New Roman" w:hAnsi="Times New Roman"/>
          <w:noProof/>
          <w:sz w:val="24"/>
        </w:rPr>
        <w:t>да могат да задоволяват нуждите във връзка с ирландски език след изтичането на дерогацията. Досега те успяват да задоволяват нуждите, ограничени до устен превод от ирландски език („пасивен ирландски език“). Службата за устни преводи на Комисията — ГД „Устн</w:t>
      </w:r>
      <w:r>
        <w:rPr>
          <w:rFonts w:ascii="Times New Roman" w:hAnsi="Times New Roman"/>
          <w:noProof/>
          <w:sz w:val="24"/>
        </w:rPr>
        <w:t>и преводи“, използва за целта трима постоянни устни преводачи (двама с пасивен и един с активен ирландски език) и достатъчен брой акредитирани външни преводачи, които могат да бъдат мобилизирани да обслужват Комисията, Съвета, Европейския икономически и со</w:t>
      </w:r>
      <w:r>
        <w:rPr>
          <w:rFonts w:ascii="Times New Roman" w:hAnsi="Times New Roman"/>
          <w:noProof/>
          <w:sz w:val="24"/>
        </w:rPr>
        <w:t>циален комитет (ЕИСК) и Комитета на регионите (КР). Исканията за устен превод от ирландски език в четирите институции, обслужвани от ГД „Устни преводи“, намаляха от 20 през 2011 г. на 4 през 2018 г., а през 2019 г. до момента има 2 искания. Досега към ГД „</w:t>
      </w:r>
      <w:r>
        <w:rPr>
          <w:rFonts w:ascii="Times New Roman" w:hAnsi="Times New Roman"/>
          <w:noProof/>
          <w:sz w:val="24"/>
        </w:rPr>
        <w:t xml:space="preserve">Устни преводи“ не е отправяно искане за осигуряване на устен превод на ирландски език („активен ирландски език“), като този факт е отчетен изрично в обмен на писма между ГД „Устни преводи“ и ирландското Министерство на културата, наследството и </w:t>
      </w:r>
      <w:r>
        <w:rPr>
          <w:rFonts w:ascii="Times New Roman" w:hAnsi="Times New Roman"/>
          <w:i/>
          <w:noProof/>
          <w:sz w:val="24"/>
        </w:rPr>
        <w:t>Gaeltacht</w:t>
      </w:r>
      <w:r>
        <w:rPr>
          <w:rFonts w:ascii="Times New Roman" w:hAnsi="Times New Roman"/>
          <w:noProof/>
          <w:sz w:val="24"/>
        </w:rPr>
        <w:t xml:space="preserve">. </w:t>
      </w:r>
      <w:r>
        <w:rPr>
          <w:rFonts w:ascii="Times New Roman" w:hAnsi="Times New Roman"/>
          <w:noProof/>
          <w:sz w:val="24"/>
        </w:rPr>
        <w:t>В ЕП (както и в ирландския парламент) устни преводи понастоящем се осигуряват само от ирландски език, но не и на този език, в пленарните сесии (включително нощното заседание) и за други заседания с предварително известие. Съдът няма нужда от устни преводач</w:t>
      </w:r>
      <w:r>
        <w:rPr>
          <w:rFonts w:ascii="Times New Roman" w:hAnsi="Times New Roman"/>
          <w:noProof/>
          <w:sz w:val="24"/>
        </w:rPr>
        <w:t xml:space="preserve">и с ирландски език, тъй като досега не е внасян иск на ирландски език. </w:t>
      </w:r>
    </w:p>
    <w:p w:rsidR="00A849FC" w:rsidRDefault="007900BA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Службата за публикации (СП) се нуждае от капацитет с ирландски език на равнище асистенти, за да извършва </w:t>
      </w:r>
      <w:r>
        <w:rPr>
          <w:rFonts w:ascii="Times New Roman" w:hAnsi="Times New Roman"/>
          <w:b/>
          <w:noProof/>
          <w:sz w:val="24"/>
        </w:rPr>
        <w:t>езикови редакции и корекции</w:t>
      </w:r>
      <w:r>
        <w:rPr>
          <w:rFonts w:ascii="Times New Roman" w:hAnsi="Times New Roman"/>
          <w:noProof/>
          <w:sz w:val="24"/>
        </w:rPr>
        <w:t>. Понастоящем СП разполага с един срочно нает служит</w:t>
      </w:r>
      <w:r>
        <w:rPr>
          <w:rFonts w:ascii="Times New Roman" w:hAnsi="Times New Roman"/>
          <w:noProof/>
          <w:sz w:val="24"/>
        </w:rPr>
        <w:t>ел с ирландски език, като целта ѝ е постепенно да изгради капацитет с ирландски език, така че да се постигне съответствие с повечето други езици. Предвид малкия брой позиции и тяхната специфика не е икономически ефективно да се организира конкурс на EPSO с</w:t>
      </w:r>
      <w:r>
        <w:rPr>
          <w:rFonts w:ascii="Times New Roman" w:hAnsi="Times New Roman"/>
          <w:noProof/>
          <w:sz w:val="24"/>
        </w:rPr>
        <w:t xml:space="preserve">амо за СП. </w:t>
      </w:r>
    </w:p>
    <w:p w:rsidR="00A849FC" w:rsidRDefault="007900BA">
      <w:pPr>
        <w:spacing w:after="24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Ирландия също положи значителни усилия </w:t>
      </w:r>
      <w:r>
        <w:rPr>
          <w:rFonts w:ascii="Times New Roman" w:hAnsi="Times New Roman"/>
          <w:noProof/>
          <w:sz w:val="24"/>
        </w:rPr>
        <w:t>за подготовката на кандидати за работа в институциите и за стимулиране на набора на персонал. От 2007 г. насам тя разработи поредица от университетски курсове по ирландски език и курсове с използване на ир</w:t>
      </w:r>
      <w:r>
        <w:rPr>
          <w:rFonts w:ascii="Times New Roman" w:hAnsi="Times New Roman"/>
          <w:noProof/>
          <w:sz w:val="24"/>
        </w:rPr>
        <w:t>ландски език, по-специално в рамките на Инициативата за усъвършенстване на езиковите умения по ирландски език. През 2015 г. тя създаде център за високи постижения в областта на професионалното развитие с ирландски език в Европейския съюз с цел да улесни ко</w:t>
      </w:r>
      <w:r>
        <w:rPr>
          <w:rFonts w:ascii="Times New Roman" w:hAnsi="Times New Roman"/>
          <w:noProof/>
          <w:sz w:val="24"/>
        </w:rPr>
        <w:t xml:space="preserve">ординацията между висшите учебни заведения, участващи в инициативата. Пак през 2015 г. тя отдели бюджет в размер на 4,7 милиона евро за създаване на 15 нови специализирани курса в участващите учебни заведения за 8-годишен период. </w:t>
      </w:r>
      <w:r>
        <w:rPr>
          <w:rFonts w:ascii="Times New Roman" w:hAnsi="Times New Roman"/>
          <w:noProof/>
          <w:color w:val="000000"/>
          <w:sz w:val="24"/>
        </w:rPr>
        <w:t>Всички курсове, финансиран</w:t>
      </w:r>
      <w:r>
        <w:rPr>
          <w:rFonts w:ascii="Times New Roman" w:hAnsi="Times New Roman"/>
          <w:noProof/>
          <w:color w:val="000000"/>
          <w:sz w:val="24"/>
        </w:rPr>
        <w:t>и по инициативата, включително курсовете по право, понастоящем осигуряват обучение по трети език на ЕС и включват модули за психометрични умения с цел подготовка на учащите за конкурсите на EPSO. Комисията помогна за създаването на и продължава да подпомаг</w:t>
      </w:r>
      <w:r>
        <w:rPr>
          <w:rFonts w:ascii="Times New Roman" w:hAnsi="Times New Roman"/>
          <w:noProof/>
          <w:color w:val="000000"/>
          <w:sz w:val="24"/>
        </w:rPr>
        <w:t>а магистърски курс по конферентен превод в Националния университет на Ирландия в Голуей.</w:t>
      </w:r>
    </w:p>
    <w:p w:rsidR="00A849FC" w:rsidRDefault="007900BA">
      <w:pPr>
        <w:spacing w:after="24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периода 2016—2018 г. </w:t>
      </w:r>
      <w:r>
        <w:rPr>
          <w:rFonts w:ascii="Times New Roman" w:hAnsi="Times New Roman"/>
          <w:b/>
          <w:noProof/>
          <w:sz w:val="24"/>
        </w:rPr>
        <w:t>професионалната реализация в институциите на ЕС за лингвисти с ирландски език бе насърчавана</w:t>
      </w:r>
      <w:r>
        <w:rPr>
          <w:rFonts w:ascii="Times New Roman" w:hAnsi="Times New Roman"/>
          <w:noProof/>
          <w:sz w:val="24"/>
        </w:rPr>
        <w:t xml:space="preserve"> от Ирландия и от самите институции чрез рекламни ка</w:t>
      </w:r>
      <w:r>
        <w:rPr>
          <w:rFonts w:ascii="Times New Roman" w:hAnsi="Times New Roman"/>
          <w:noProof/>
          <w:sz w:val="24"/>
        </w:rPr>
        <w:t>мпании, кариерни изложения, посещения в университети и посещения на ирландски студенти в институциите, специални събития във връзка с началото на програмите, статии в пресата и интервюта по радиото. Годишните конференции в Дъблин бяха насочени към теми, св</w:t>
      </w:r>
      <w:r>
        <w:rPr>
          <w:rFonts w:ascii="Times New Roman" w:hAnsi="Times New Roman"/>
          <w:noProof/>
          <w:sz w:val="24"/>
        </w:rPr>
        <w:t>ързани с писмения и устния превод на ирландски език, и повишиха осведомеността относно възможностите и относно профила на служителите с ирландски език, от които се нуждаят институциите.</w:t>
      </w:r>
      <w:r>
        <w:rPr>
          <w:rFonts w:ascii="Times New Roman" w:hAnsi="Times New Roman"/>
          <w:noProof/>
          <w:color w:val="000000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За да могат да достигнат до младите хора, говорещи ирландски, през 201</w:t>
      </w:r>
      <w:r>
        <w:rPr>
          <w:rFonts w:ascii="Times New Roman" w:hAnsi="Times New Roman"/>
          <w:noProof/>
          <w:sz w:val="24"/>
        </w:rPr>
        <w:t>7 г. Комисията и Ирландия обявиха специален конкурс за млади писмени преводачи, насочен към ученици с ирландски език в средните училища (на гимназиално ниво). През 2018 г. участваха общо 21 училища.</w:t>
      </w:r>
    </w:p>
    <w:p w:rsidR="00A849FC" w:rsidRDefault="007900BA">
      <w:pPr>
        <w:spacing w:after="24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Като цяло, въпреки редицата прагматични </w:t>
      </w:r>
      <w:r>
        <w:rPr>
          <w:rFonts w:ascii="Times New Roman" w:hAnsi="Times New Roman"/>
          <w:i/>
          <w:noProof/>
          <w:sz w:val="24"/>
        </w:rPr>
        <w:t>sui generis</w:t>
      </w:r>
      <w:r>
        <w:rPr>
          <w:rFonts w:ascii="Times New Roman" w:hAnsi="Times New Roman"/>
          <w:noProof/>
          <w:sz w:val="24"/>
        </w:rPr>
        <w:t xml:space="preserve"> мерки</w:t>
      </w:r>
      <w:r>
        <w:rPr>
          <w:rFonts w:ascii="Times New Roman" w:hAnsi="Times New Roman"/>
          <w:noProof/>
          <w:sz w:val="24"/>
        </w:rPr>
        <w:t xml:space="preserve">, предприети за повишаване на капацитета за устни и писмени преводи от и на ирландски език, досегашният опит показва, че през следващите 3 години ще бъдат необходими значителни усилия, за да се отговори на прогнозираните нужди. </w:t>
      </w:r>
    </w:p>
    <w:p w:rsidR="00A849FC" w:rsidRDefault="007900BA">
      <w:pPr>
        <w:keepNext/>
        <w:keepLines/>
        <w:tabs>
          <w:tab w:val="left" w:pos="2268"/>
        </w:tabs>
        <w:spacing w:after="240"/>
        <w:ind w:left="567" w:hanging="567"/>
        <w:jc w:val="both"/>
        <w:outlineLvl w:val="1"/>
        <w:rPr>
          <w:rFonts w:ascii="Times New Roman" w:eastAsiaTheme="majorEastAsia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eastAsiaTheme="majorEastAsia" w:hAnsi="Times New Roman"/>
          <w:b/>
          <w:i/>
          <w:noProof/>
          <w:sz w:val="24"/>
        </w:rPr>
        <w:t>г.</w:t>
      </w:r>
      <w:r>
        <w:rPr>
          <w:noProof/>
        </w:rPr>
        <w:tab/>
      </w:r>
      <w:r>
        <w:rPr>
          <w:rFonts w:ascii="Times New Roman" w:eastAsiaTheme="majorEastAsia" w:hAnsi="Times New Roman"/>
          <w:b/>
          <w:i/>
          <w:noProof/>
          <w:sz w:val="24"/>
        </w:rPr>
        <w:t>Капацитет на външните до</w:t>
      </w:r>
      <w:r>
        <w:rPr>
          <w:rFonts w:ascii="Times New Roman" w:eastAsiaTheme="majorEastAsia" w:hAnsi="Times New Roman"/>
          <w:b/>
          <w:i/>
          <w:noProof/>
          <w:sz w:val="24"/>
        </w:rPr>
        <w:t>ставчици на услуги</w:t>
      </w:r>
    </w:p>
    <w:p w:rsidR="00A849FC" w:rsidRDefault="007900BA">
      <w:pPr>
        <w:spacing w:after="24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Институциите </w:t>
      </w:r>
      <w:r>
        <w:rPr>
          <w:rFonts w:ascii="Times New Roman" w:hAnsi="Times New Roman"/>
          <w:b/>
          <w:noProof/>
          <w:sz w:val="24"/>
        </w:rPr>
        <w:t>възлагат на външни изпълнители различен дял от писмените преводи, които трябва да извършат</w:t>
      </w:r>
      <w:r>
        <w:rPr>
          <w:rFonts w:ascii="Times New Roman" w:hAnsi="Times New Roman"/>
          <w:noProof/>
          <w:sz w:val="24"/>
        </w:rPr>
        <w:t>. Комисията е най-големият ползвател на външни изпълнители от гледна точка на обема. Институциите очакват да използват в по-голяма сте</w:t>
      </w:r>
      <w:r>
        <w:rPr>
          <w:rFonts w:ascii="Times New Roman" w:hAnsi="Times New Roman"/>
          <w:noProof/>
          <w:sz w:val="24"/>
        </w:rPr>
        <w:t>пен пазара за външни преводи от и на ирландски език за допълване на вътрешния си капацитет.</w:t>
      </w:r>
    </w:p>
    <w:p w:rsidR="00A849FC" w:rsidRDefault="007900BA">
      <w:pPr>
        <w:spacing w:after="24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рамките на отчетния период Комисията и ЕП организираха допълнителни </w:t>
      </w:r>
      <w:r>
        <w:rPr>
          <w:rFonts w:ascii="Times New Roman" w:hAnsi="Times New Roman"/>
          <w:b/>
          <w:noProof/>
          <w:sz w:val="24"/>
        </w:rPr>
        <w:t>покани за участие в тръжни процедури за преводачески услуги</w:t>
      </w:r>
      <w:r>
        <w:rPr>
          <w:rFonts w:ascii="Times New Roman" w:hAnsi="Times New Roman"/>
          <w:noProof/>
          <w:sz w:val="24"/>
        </w:rPr>
        <w:t xml:space="preserve"> с цел повишаване на капацитета и п</w:t>
      </w:r>
      <w:r>
        <w:rPr>
          <w:rFonts w:ascii="Times New Roman" w:hAnsi="Times New Roman"/>
          <w:noProof/>
          <w:sz w:val="24"/>
        </w:rPr>
        <w:t xml:space="preserve">одобряване на нивото на участие и качеството. Новите договори на Комисията влязоха в сила през юли 2018 г. Първоначалните резултати са окуражителни, макар че обемът на възлаганите на външни изпълнители преводи все още представлява само малка част от това, </w:t>
      </w:r>
      <w:r>
        <w:rPr>
          <w:rFonts w:ascii="Times New Roman" w:hAnsi="Times New Roman"/>
          <w:noProof/>
          <w:sz w:val="24"/>
        </w:rPr>
        <w:t>което ще бъде необходимо за посрещане на нуждите, в случай че няма дерогация. През ноември 2018 г. ЕП, заедно със Съвета, Сметната палата, ЕИСК и КР, обяви покана за участие в тръжна процедура. През март 2019 г. ЕП обяви още една покана за участие в тръжна</w:t>
      </w:r>
      <w:r>
        <w:rPr>
          <w:rFonts w:ascii="Times New Roman" w:hAnsi="Times New Roman"/>
          <w:noProof/>
          <w:sz w:val="24"/>
        </w:rPr>
        <w:t xml:space="preserve"> процедура за осигуряване на външни писмени преводи, която включва ирландски език. През май 2019 г. Комисията също публикува нова покана за участие в тръжна процедура за осигуряване на външни писмени преводи, която включва ирландски език. Тези процедури вс</w:t>
      </w:r>
      <w:r>
        <w:rPr>
          <w:rFonts w:ascii="Times New Roman" w:hAnsi="Times New Roman"/>
          <w:noProof/>
          <w:sz w:val="24"/>
        </w:rPr>
        <w:t xml:space="preserve">е още не са завършили. По време на обхванатия от настоящия доклад период бяха организирани </w:t>
      </w:r>
      <w:r>
        <w:rPr>
          <w:rFonts w:ascii="Times New Roman" w:hAnsi="Times New Roman"/>
          <w:b/>
          <w:noProof/>
          <w:sz w:val="24"/>
        </w:rPr>
        <w:t>събития за повишаване на осведомеността</w:t>
      </w:r>
      <w:r>
        <w:rPr>
          <w:rFonts w:ascii="Times New Roman" w:hAnsi="Times New Roman"/>
          <w:noProof/>
          <w:sz w:val="24"/>
        </w:rPr>
        <w:t xml:space="preserve"> за външни доставчици на услуги във връзка с възможностите за работа с Комисията. За да се достигне до възможно най-много дост</w:t>
      </w:r>
      <w:r>
        <w:rPr>
          <w:rFonts w:ascii="Times New Roman" w:hAnsi="Times New Roman"/>
          <w:noProof/>
          <w:sz w:val="24"/>
        </w:rPr>
        <w:t>авчици, тези събития включваха както уебинари, така и събития на живо. Настоящите и бъдещите нужди от външни писмени преводи бяха основна тема на годишната конференция през 2018 г. в Дъблин.</w:t>
      </w:r>
    </w:p>
    <w:p w:rsidR="00A849FC" w:rsidRDefault="007900BA">
      <w:pPr>
        <w:spacing w:after="24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Службите за устни преводи на Комисията (ГД „Устни преводи“), ЕП и</w:t>
      </w:r>
      <w:r>
        <w:rPr>
          <w:rFonts w:ascii="Times New Roman" w:hAnsi="Times New Roman"/>
          <w:noProof/>
          <w:sz w:val="24"/>
        </w:rPr>
        <w:t xml:space="preserve"> Съда имат достъп до </w:t>
      </w:r>
      <w:r>
        <w:rPr>
          <w:rFonts w:ascii="Times New Roman" w:hAnsi="Times New Roman"/>
          <w:b/>
          <w:noProof/>
          <w:sz w:val="24"/>
        </w:rPr>
        <w:t>11 акредитирани външни устни преводачи от ирландски език</w:t>
      </w:r>
      <w:r>
        <w:rPr>
          <w:rFonts w:ascii="Times New Roman" w:hAnsi="Times New Roman"/>
          <w:noProof/>
          <w:sz w:val="24"/>
        </w:rPr>
        <w:t>; само 5 от тях са с активен ирландски език. След тестовете за акредитация през 2016, 2017 и 2019 г. нямаше одобрени кандидати.</w:t>
      </w:r>
    </w:p>
    <w:p w:rsidR="00A849FC" w:rsidRDefault="007900BA">
      <w:pPr>
        <w:spacing w:after="240" w:line="276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noProof/>
          <w:color w:val="0D0D0D" w:themeColor="text1" w:themeTint="F2"/>
          <w:sz w:val="24"/>
        </w:rPr>
        <w:t>През април 2019 г. СП публикува покана за участие в</w:t>
      </w:r>
      <w:r>
        <w:rPr>
          <w:rFonts w:ascii="Times New Roman" w:hAnsi="Times New Roman"/>
          <w:noProof/>
          <w:color w:val="0D0D0D" w:themeColor="text1" w:themeTint="F2"/>
          <w:sz w:val="24"/>
        </w:rPr>
        <w:t xml:space="preserve"> тръжна процедура за външни доставчици на услуги; тъй като не бяха получени оферти, поканата за участие в тръжна процедура ще бъде публикувана повторно.</w:t>
      </w:r>
    </w:p>
    <w:p w:rsidR="00A849FC" w:rsidRDefault="007900BA">
      <w:pPr>
        <w:keepNext/>
        <w:keepLines/>
        <w:tabs>
          <w:tab w:val="left" w:pos="2268"/>
        </w:tabs>
        <w:spacing w:after="240"/>
        <w:ind w:left="567" w:hanging="567"/>
        <w:jc w:val="both"/>
        <w:outlineLvl w:val="1"/>
        <w:rPr>
          <w:rFonts w:ascii="Times New Roman" w:eastAsiaTheme="majorEastAsia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eastAsiaTheme="majorEastAsia" w:hAnsi="Times New Roman"/>
          <w:b/>
          <w:i/>
          <w:noProof/>
          <w:sz w:val="24"/>
        </w:rPr>
        <w:t>д.</w:t>
      </w:r>
      <w:r>
        <w:rPr>
          <w:noProof/>
        </w:rPr>
        <w:tab/>
      </w:r>
      <w:r>
        <w:rPr>
          <w:rFonts w:ascii="Times New Roman" w:eastAsiaTheme="majorEastAsia" w:hAnsi="Times New Roman"/>
          <w:b/>
          <w:i/>
          <w:noProof/>
          <w:sz w:val="24"/>
        </w:rPr>
        <w:t>Ресурси с ирландски език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Капацитетът за писмени преводи обхваща и езиковите ресурси. Институциите и Ирландия продължиха </w:t>
      </w:r>
      <w:r>
        <w:rPr>
          <w:rFonts w:ascii="Times New Roman" w:hAnsi="Times New Roman"/>
          <w:b/>
          <w:noProof/>
          <w:sz w:val="24"/>
        </w:rPr>
        <w:t>терминологичния</w:t>
      </w:r>
      <w:r>
        <w:rPr>
          <w:rFonts w:ascii="Times New Roman" w:hAnsi="Times New Roman"/>
          <w:noProof/>
          <w:sz w:val="24"/>
        </w:rPr>
        <w:t xml:space="preserve"> проект GA IATE</w:t>
      </w:r>
      <w:r>
        <w:rPr>
          <w:rFonts w:ascii="Times New Roman" w:hAnsi="Times New Roman"/>
          <w:noProof/>
          <w:sz w:val="24"/>
          <w:vertAlign w:val="superscript"/>
        </w:rPr>
        <w:footnoteReference w:id="13"/>
      </w:r>
      <w:r>
        <w:rPr>
          <w:rFonts w:ascii="Times New Roman" w:hAnsi="Times New Roman"/>
          <w:noProof/>
          <w:sz w:val="24"/>
        </w:rPr>
        <w:t>, който се провежда вече 11-а година и за който Ирландия е одобрила финансиране до края на 2021 г. По проекта са генерирани 65 592</w:t>
      </w:r>
      <w:r>
        <w:rPr>
          <w:rFonts w:ascii="Times New Roman" w:hAnsi="Times New Roman"/>
          <w:noProof/>
          <w:sz w:val="24"/>
        </w:rPr>
        <w:t xml:space="preserve"> записа (спрямо 56 860 през 2015 г.). Институциите започнаха да работят с Ирландия за изграждане на мрежа от владеещи ирландски език  терминолози в Ирландия.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Инструментите за </w:t>
      </w:r>
      <w:r>
        <w:rPr>
          <w:rFonts w:ascii="Times New Roman" w:hAnsi="Times New Roman"/>
          <w:b/>
          <w:noProof/>
          <w:sz w:val="24"/>
        </w:rPr>
        <w:t>компютърно подпомогнат превод</w:t>
      </w:r>
      <w:r>
        <w:rPr>
          <w:rFonts w:ascii="Times New Roman" w:hAnsi="Times New Roman"/>
          <w:noProof/>
          <w:sz w:val="24"/>
        </w:rPr>
        <w:t xml:space="preserve"> и машинният превод са от изключително значение за е</w:t>
      </w:r>
      <w:r>
        <w:rPr>
          <w:rFonts w:ascii="Times New Roman" w:hAnsi="Times New Roman"/>
          <w:noProof/>
          <w:sz w:val="24"/>
        </w:rPr>
        <w:t xml:space="preserve">фикасността на услугите за писмени преводи. Те се захранват от двуезични или многоезични корпуси, често под формата на преводачески памети въз основа на предишни писмени преводи. Euramis, междуинституционалната банка за </w:t>
      </w:r>
      <w:r>
        <w:rPr>
          <w:rFonts w:ascii="Times New Roman" w:hAnsi="Times New Roman"/>
          <w:b/>
          <w:noProof/>
          <w:sz w:val="24"/>
        </w:rPr>
        <w:t>преводачески памети</w:t>
      </w:r>
      <w:r>
        <w:rPr>
          <w:rFonts w:ascii="Times New Roman" w:hAnsi="Times New Roman"/>
          <w:noProof/>
          <w:sz w:val="24"/>
        </w:rPr>
        <w:t>, понастоящем съд</w:t>
      </w:r>
      <w:r>
        <w:rPr>
          <w:rFonts w:ascii="Times New Roman" w:hAnsi="Times New Roman"/>
          <w:noProof/>
          <w:sz w:val="24"/>
        </w:rPr>
        <w:t>ържа около 5,8 милиона сегмента от и на ирландски език (спрямо 3,5 милиона през 2015 г.). Това представлява около една десета от съхраняваните за повечето други езикови двойки сегменти, които са между 30 и 50 милиона.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Ирландия се ангажира да предостави на </w:t>
      </w:r>
      <w:r>
        <w:rPr>
          <w:rFonts w:ascii="Times New Roman" w:hAnsi="Times New Roman"/>
          <w:noProof/>
          <w:sz w:val="24"/>
        </w:rPr>
        <w:t>институциите преводачески памети, съдържащи съгласувани текстове от националното законодателство на английски и ирландски език. Между институциите и Ирландия беше изготвено споразумение, което предстои да бъде финализирано.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През март 2018 г. бе разработена</w:t>
      </w:r>
      <w:r>
        <w:rPr>
          <w:rFonts w:ascii="Times New Roman" w:hAnsi="Times New Roman"/>
          <w:noProof/>
          <w:sz w:val="24"/>
        </w:rPr>
        <w:t xml:space="preserve"> система за </w:t>
      </w:r>
      <w:r>
        <w:rPr>
          <w:rFonts w:ascii="Times New Roman" w:hAnsi="Times New Roman"/>
          <w:b/>
          <w:noProof/>
          <w:sz w:val="24"/>
        </w:rPr>
        <w:t>машинен превод</w:t>
      </w:r>
      <w:r>
        <w:rPr>
          <w:rFonts w:ascii="Times New Roman" w:hAnsi="Times New Roman"/>
          <w:noProof/>
          <w:sz w:val="24"/>
        </w:rPr>
        <w:t xml:space="preserve"> от и на ирландски език въз основа на технологията за невромашинен превод като част от системата eTranslation</w:t>
      </w:r>
      <w:r>
        <w:rPr>
          <w:rFonts w:ascii="Times New Roman" w:hAnsi="Times New Roman"/>
          <w:noProof/>
          <w:sz w:val="24"/>
          <w:vertAlign w:val="superscript"/>
        </w:rPr>
        <w:footnoteReference w:id="14"/>
      </w:r>
      <w:r>
        <w:rPr>
          <w:rFonts w:ascii="Times New Roman" w:hAnsi="Times New Roman"/>
          <w:noProof/>
          <w:sz w:val="24"/>
        </w:rPr>
        <w:t xml:space="preserve"> на Комисията, като тя е достъпна за институциите и за ирландските органи. Тъй като машинният превод се основава на данн</w:t>
      </w:r>
      <w:r>
        <w:rPr>
          <w:rFonts w:ascii="Times New Roman" w:hAnsi="Times New Roman"/>
          <w:noProof/>
          <w:sz w:val="24"/>
        </w:rPr>
        <w:t>и, а данните се получават от Euramis, относително малкото количество данни, използвани за обучение на системите за ирландски език, означава, че резултатите от машинния превод от и на ирландски език не са толкова добри, колкото резултатите за други езици. Е</w:t>
      </w:r>
      <w:r>
        <w:rPr>
          <w:rFonts w:ascii="Times New Roman" w:hAnsi="Times New Roman"/>
          <w:noProof/>
          <w:sz w:val="24"/>
        </w:rPr>
        <w:t>вропейската инициатива за координация на езиковите ресурси цели да бъдат събрани повече езикови данни с цел подобряване на системите.</w:t>
      </w:r>
    </w:p>
    <w:p w:rsidR="00A849FC" w:rsidRDefault="007900B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СП работи с ирландското правителство и ирландската междуинституционална езикова група за съгласуване на Междуинституционал</w:t>
      </w:r>
      <w:r>
        <w:rPr>
          <w:rFonts w:ascii="Times New Roman" w:hAnsi="Times New Roman"/>
          <w:noProof/>
          <w:sz w:val="24"/>
        </w:rPr>
        <w:t xml:space="preserve">ното ръководство за изготвяне на публикациите с новия официален стандарт за ирландския език. СП също така разполага с инструменти за  компютърно подпомогната коректура, които са пригодени за използване с текстове на ирландски език от </w:t>
      </w:r>
      <w:r>
        <w:rPr>
          <w:rFonts w:ascii="Times New Roman" w:hAnsi="Times New Roman"/>
          <w:i/>
          <w:noProof/>
          <w:sz w:val="24"/>
        </w:rPr>
        <w:t>Официален вестник</w:t>
      </w:r>
      <w:r>
        <w:rPr>
          <w:rFonts w:ascii="Times New Roman" w:hAnsi="Times New Roman"/>
          <w:noProof/>
          <w:sz w:val="24"/>
        </w:rPr>
        <w:t>. Пон</w:t>
      </w:r>
      <w:r>
        <w:rPr>
          <w:rFonts w:ascii="Times New Roman" w:hAnsi="Times New Roman"/>
          <w:noProof/>
          <w:sz w:val="24"/>
        </w:rPr>
        <w:t>астоящем тяхното използване се разширява, така че да се обхване съдебната практика на ирландски език.</w:t>
      </w:r>
    </w:p>
    <w:p w:rsidR="00A849FC" w:rsidRDefault="007900BA">
      <w:pPr>
        <w:keepNext/>
        <w:keepLines/>
        <w:tabs>
          <w:tab w:val="left" w:pos="2268"/>
        </w:tabs>
        <w:spacing w:after="240"/>
        <w:ind w:left="567" w:hanging="567"/>
        <w:jc w:val="both"/>
        <w:outlineLvl w:val="1"/>
        <w:rPr>
          <w:rFonts w:ascii="Times New Roman" w:eastAsiaTheme="majorEastAsia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eastAsiaTheme="majorEastAsia" w:hAnsi="Times New Roman"/>
          <w:b/>
          <w:i/>
          <w:noProof/>
          <w:sz w:val="24"/>
        </w:rPr>
        <w:t>е.</w:t>
      </w:r>
      <w:r>
        <w:rPr>
          <w:noProof/>
        </w:rPr>
        <w:tab/>
      </w:r>
      <w:r>
        <w:rPr>
          <w:rFonts w:ascii="Times New Roman" w:eastAsiaTheme="majorEastAsia" w:hAnsi="Times New Roman"/>
          <w:b/>
          <w:i/>
          <w:noProof/>
          <w:sz w:val="24"/>
        </w:rPr>
        <w:t>Въпроси, свързани с достъпността на достиженията на правото на ЕС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Ирландският език е първият официален и работен език на ЕС, на който корпусът от право</w:t>
      </w:r>
      <w:r>
        <w:rPr>
          <w:rFonts w:ascii="Times New Roman" w:hAnsi="Times New Roman"/>
          <w:noProof/>
          <w:sz w:val="24"/>
        </w:rPr>
        <w:t>то на ЕС (достиженията на правото на ЕС) не е превеждан предварително. Понастоящем достиженията на правото на ЕС обхващат около 160 000 страници (</w:t>
      </w:r>
      <w:r>
        <w:rPr>
          <w:rFonts w:ascii="Times New Roman" w:hAnsi="Times New Roman"/>
          <w:i/>
          <w:noProof/>
          <w:sz w:val="24"/>
        </w:rPr>
        <w:t>Официален вестник</w:t>
      </w:r>
      <w:r>
        <w:rPr>
          <w:rFonts w:ascii="Times New Roman" w:hAnsi="Times New Roman"/>
          <w:noProof/>
          <w:sz w:val="24"/>
        </w:rPr>
        <w:t>) правен текст и представляват важна част от преводаческите памети на институциите, както и б</w:t>
      </w:r>
      <w:r>
        <w:rPr>
          <w:rFonts w:ascii="Times New Roman" w:hAnsi="Times New Roman"/>
          <w:noProof/>
          <w:sz w:val="24"/>
        </w:rPr>
        <w:t>огат източник на терминология. За да се преодолее липсата на версия на ирландски език, Правната служба на Комисията изготви приоритетен списък от основни актове и консолидирани версии на актове, наброяващи около 11 000 страници, за които преводът на ирланд</w:t>
      </w:r>
      <w:r>
        <w:rPr>
          <w:rFonts w:ascii="Times New Roman" w:hAnsi="Times New Roman"/>
          <w:noProof/>
          <w:sz w:val="24"/>
        </w:rPr>
        <w:t>ски език би бил от най-голяма полза. Институциите ги превеждат съвместно, доколкото позволяват ресурсите; досега са преведени около 4697 страници. Преводите обаче не се считат за автентичен текст на актовете и служат единствено за подобряване на преводачес</w:t>
      </w:r>
      <w:r>
        <w:rPr>
          <w:rFonts w:ascii="Times New Roman" w:hAnsi="Times New Roman"/>
          <w:noProof/>
          <w:sz w:val="24"/>
        </w:rPr>
        <w:t>ките памети и за подпомагане на оперативната ефикасност. Съдът на ЕС превежда съдебна практика и текстови сегменти/изрази, които се появяват често в неговите текстове.</w:t>
      </w:r>
    </w:p>
    <w:p w:rsidR="00A849FC" w:rsidRDefault="007900B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Като принос към усилията на институциите, считано от септември 2018 г. </w:t>
      </w:r>
      <w:r>
        <w:rPr>
          <w:rFonts w:ascii="Times New Roman" w:hAnsi="Times New Roman"/>
          <w:b/>
          <w:noProof/>
          <w:sz w:val="24"/>
        </w:rPr>
        <w:t>Ирландия финансир</w:t>
      </w:r>
      <w:r>
        <w:rPr>
          <w:rFonts w:ascii="Times New Roman" w:hAnsi="Times New Roman"/>
          <w:b/>
          <w:noProof/>
          <w:sz w:val="24"/>
        </w:rPr>
        <w:t>а стажантска програма</w:t>
      </w:r>
      <w:r>
        <w:rPr>
          <w:rFonts w:ascii="Times New Roman" w:hAnsi="Times New Roman"/>
          <w:noProof/>
          <w:sz w:val="24"/>
        </w:rPr>
        <w:t xml:space="preserve"> за превод на достиженията на правото на ЕС. Предвиден е бюджет до 2021 г. за финансиране на 12 кандидати годишно, които ще преминават през 5-месечни стажове в службите за писмени преводи на основните институции (по двама стажанти в ЕП</w:t>
      </w:r>
      <w:r>
        <w:rPr>
          <w:rFonts w:ascii="Times New Roman" w:hAnsi="Times New Roman"/>
          <w:noProof/>
          <w:sz w:val="24"/>
        </w:rPr>
        <w:t>, Съвета и Комисията два пъти годишно). В рамките на първия кръг през септември/октомври 2018 г. стаж започнаха само четирима от очакваните шестима стажанти (двама в ЕП, един в Съвета и един в Комисията), докато в рамките на втория кръг през март 2019 г. у</w:t>
      </w:r>
      <w:r>
        <w:rPr>
          <w:rFonts w:ascii="Times New Roman" w:hAnsi="Times New Roman"/>
          <w:noProof/>
          <w:sz w:val="24"/>
        </w:rPr>
        <w:t>частваха трима (двама в Комисията и един в Съвета). Ирландия се съгласи да включи ЕИСК и КР в програмата и през март 2019 г. един стажант започна своя стаж в съвместните комитети. През април 2019 г. Ирландия увеличи безвъзмездните средства</w:t>
      </w:r>
      <w:r>
        <w:rPr>
          <w:rFonts w:ascii="Times New Roman" w:hAnsi="Times New Roman"/>
          <w:noProof/>
          <w:sz w:val="24"/>
          <w:vertAlign w:val="superscript"/>
        </w:rPr>
        <w:footnoteReference w:id="15"/>
      </w:r>
      <w:r>
        <w:rPr>
          <w:rFonts w:ascii="Times New Roman" w:hAnsi="Times New Roman"/>
          <w:noProof/>
          <w:sz w:val="24"/>
        </w:rPr>
        <w:t xml:space="preserve"> за осигуряване </w:t>
      </w:r>
      <w:r>
        <w:rPr>
          <w:rFonts w:ascii="Times New Roman" w:hAnsi="Times New Roman"/>
          <w:noProof/>
          <w:sz w:val="24"/>
        </w:rPr>
        <w:t xml:space="preserve">на общо 10 стажанти, които да преминат през 10-месечни стажове с начало през октомври 2019 г. (2 стажанти за Комисията, 3 стажанти, включително 1 коректор за ЕП, 2 стажанти за Съвета, 2 стажанти за ЕИСК и КР и 1 коректор за СП). </w:t>
      </w:r>
    </w:p>
    <w:p w:rsidR="00A849FC" w:rsidRDefault="007900B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 w:rsidR="00A849FC" w:rsidRDefault="007900BA">
      <w:pPr>
        <w:keepNext/>
        <w:keepLines/>
        <w:numPr>
          <w:ilvl w:val="0"/>
          <w:numId w:val="11"/>
        </w:numPr>
        <w:spacing w:after="240"/>
        <w:ind w:left="1004"/>
        <w:jc w:val="both"/>
        <w:outlineLvl w:val="0"/>
        <w:rPr>
          <w:rFonts w:ascii="Times New Roman" w:eastAsiaTheme="majorEastAsia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Theme="majorEastAsia" w:hAnsi="Times New Roman"/>
          <w:b/>
          <w:noProof/>
          <w:sz w:val="24"/>
        </w:rPr>
        <w:t xml:space="preserve">Заключения 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Институциите са се ангажирали изцяло с прилагането на Регламент (ЕС, Евратом) 2015/2264. Тяхното сътрудничество с Ирландия улесни напредъка във всички области, определени в Регламента. Те успешно осъществиха първите две стъпки за постепенно увеличение (кои</w:t>
      </w:r>
      <w:r>
        <w:rPr>
          <w:rFonts w:ascii="Times New Roman" w:hAnsi="Times New Roman"/>
          <w:noProof/>
          <w:sz w:val="24"/>
        </w:rPr>
        <w:t xml:space="preserve">то обхващат директиви и решения, приети от ЕП и от Съвета) и увеличиха повече от двукратно обема на писмените преводи на ирландски език от 2016 г. насам. 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 да се изгради стабилен и достатъчен вътрешен капацитет, в рамките на отчетния период бяха организи</w:t>
      </w:r>
      <w:r>
        <w:rPr>
          <w:rFonts w:ascii="Times New Roman" w:hAnsi="Times New Roman"/>
          <w:noProof/>
          <w:sz w:val="24"/>
        </w:rPr>
        <w:t>рани четири конкурса на EPSO, но те доведоха до назначаването на едва 10 преводачи и 9 асистенти през 2017 г. и на 15 преводачи и 3 юрист-лингвисти през 2019 г. От края на 2015 г. насам институциите увеличиха броя на вътрешните служители с ирландски език о</w:t>
      </w:r>
      <w:r>
        <w:rPr>
          <w:rFonts w:ascii="Times New Roman" w:hAnsi="Times New Roman"/>
          <w:noProof/>
          <w:sz w:val="24"/>
        </w:rPr>
        <w:t xml:space="preserve">т 58 на 102 души. Въпреки тези значителни и съвместни усилия напредъкът е по-бавен от очакваното поради малката група лингвисти с ирландски език и ниския процент на успеваемост в конкурсите на EPSO. Бяха организирани 14 процедури за подбор за срочно наети </w:t>
      </w:r>
      <w:r>
        <w:rPr>
          <w:rFonts w:ascii="Times New Roman" w:hAnsi="Times New Roman"/>
          <w:noProof/>
          <w:sz w:val="24"/>
        </w:rPr>
        <w:t>служители, за да се компенсира недостигът на кандидати, издържали конкурсите на EPSO, като се предлагат временни позиции, в рамките на които служителите получават обучение в институциите.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 цел допълване на вътрешния капацитет и разширяване на групата от в</w:t>
      </w:r>
      <w:r>
        <w:rPr>
          <w:rFonts w:ascii="Times New Roman" w:hAnsi="Times New Roman"/>
          <w:noProof/>
          <w:sz w:val="24"/>
        </w:rPr>
        <w:t>ъншни доставчици, която институциите могат да използват, Комисията и ЕП организираха допълнителни покани за участие в тръжни процедури за външни услуги за писмени преводи на ирландски език, както и тестове за акредитация на външни устни преводачи.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Бе пости</w:t>
      </w:r>
      <w:r>
        <w:rPr>
          <w:rFonts w:ascii="Times New Roman" w:hAnsi="Times New Roman"/>
          <w:noProof/>
          <w:sz w:val="24"/>
        </w:rPr>
        <w:t xml:space="preserve">гнат напредък по изграждането на технологични ресурси на ирландски език и бе разработена нова система за двойката английски/ирландски на принципа на навромашинния превод като част от системата eTranslation, макар че настоящите корпуси и памети продължават </w:t>
      </w:r>
      <w:r>
        <w:rPr>
          <w:rFonts w:ascii="Times New Roman" w:hAnsi="Times New Roman"/>
          <w:noProof/>
          <w:sz w:val="24"/>
        </w:rPr>
        <w:t>да бъдат относително малки. За да се увеличат наличните ресурси с езикови данни, между институциите и Ирландия бе изготвено споразумение за споделяне на двуезичните корпуси на ирландското национално законодателство, което предстои да бъде финализирано. Инс</w:t>
      </w:r>
      <w:r>
        <w:rPr>
          <w:rFonts w:ascii="Times New Roman" w:hAnsi="Times New Roman"/>
          <w:noProof/>
          <w:sz w:val="24"/>
        </w:rPr>
        <w:t>титуциите и Ирландия също така продължават да работят по терминологичния проект IATE.</w:t>
      </w:r>
    </w:p>
    <w:p w:rsidR="00A849FC" w:rsidRDefault="007900BA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Прогнозите за нуждите от писмен превод показват, че осъществяването на предвидените за 2020 и 2021 г. стъпки ще изисква значително по-голям капацитет. Цялостните нужди бе</w:t>
      </w:r>
      <w:r>
        <w:rPr>
          <w:rFonts w:ascii="Times New Roman" w:hAnsi="Times New Roman"/>
          <w:noProof/>
          <w:sz w:val="24"/>
        </w:rPr>
        <w:t xml:space="preserve">з дерогацията от Регламент № 1 обхващат писмения превод не само на законодателни актове, но и на политически текстове, съобщения, консултации и доклади. Трябва да бъдат отчетени и нуждите от устни преводи. Институциите ще трябва да положат огромни усилия, </w:t>
      </w:r>
      <w:r>
        <w:rPr>
          <w:rFonts w:ascii="Times New Roman" w:hAnsi="Times New Roman"/>
          <w:noProof/>
          <w:sz w:val="24"/>
        </w:rPr>
        <w:t>като работят във взаимодействие с Ирландия, за да изградят достатъчен капацитет, който да отговори на прогнозираните нужди. След като през 2015 г. бяха направени прогнозни изчисления на нуждите, беше извършен преглед на ресурсите. Комбинацията от ресурси п</w:t>
      </w:r>
      <w:r>
        <w:rPr>
          <w:rFonts w:ascii="Times New Roman" w:hAnsi="Times New Roman"/>
          <w:noProof/>
          <w:sz w:val="24"/>
        </w:rPr>
        <w:t>родължава да се коригира, като точните нужди от персонал са под постоянно наблюдение. За да се постигне увеличение на писмените преводи на ирландски език, е изключително важно да продължи развитието и комбинирането — в различна степен в различните институц</w:t>
      </w:r>
      <w:r>
        <w:rPr>
          <w:rFonts w:ascii="Times New Roman" w:hAnsi="Times New Roman"/>
          <w:noProof/>
          <w:sz w:val="24"/>
        </w:rPr>
        <w:t xml:space="preserve">ии — и на трите аспекта на капацитета: вътрешен персонал, външни писмени преводи и ресурси във връзка с езиковите технологии.  </w:t>
      </w:r>
    </w:p>
    <w:p w:rsidR="00A849FC" w:rsidRDefault="007900BA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Комисията ще докладва отново на Съвета до юни 2021 г. по отношение на въпроса дали институциите разполагат с достатъчен капаците</w:t>
      </w:r>
      <w:r>
        <w:rPr>
          <w:rFonts w:ascii="Times New Roman" w:hAnsi="Times New Roman"/>
          <w:noProof/>
          <w:sz w:val="24"/>
        </w:rPr>
        <w:t>т в сравнение с останалите официални езици, така че Регламент № 1 да започне да се прилага без дерогация от 1 януари 2022 г.</w:t>
      </w:r>
    </w:p>
    <w:p w:rsidR="00A849FC" w:rsidRDefault="00A849FC">
      <w:pPr>
        <w:rPr>
          <w:noProof/>
        </w:rPr>
      </w:pPr>
    </w:p>
    <w:sectPr w:rsidR="00A849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FC" w:rsidRDefault="007900BA">
      <w:pPr>
        <w:spacing w:after="0" w:line="240" w:lineRule="auto"/>
      </w:pPr>
      <w:r>
        <w:separator/>
      </w:r>
    </w:p>
  </w:endnote>
  <w:endnote w:type="continuationSeparator" w:id="0">
    <w:p w:rsidR="00A849FC" w:rsidRDefault="007900BA">
      <w:pPr>
        <w:spacing w:after="0" w:line="240" w:lineRule="auto"/>
      </w:pPr>
      <w:r>
        <w:continuationSeparator/>
      </w:r>
    </w:p>
  </w:endnote>
  <w:endnote w:type="continuationNotice" w:id="1">
    <w:p w:rsidR="00A849FC" w:rsidRDefault="00A84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FC" w:rsidRDefault="00A84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FC" w:rsidRDefault="007900BA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FC" w:rsidRDefault="00A849FC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FC" w:rsidRDefault="00A849F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0821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49FC" w:rsidRDefault="007900B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49FC" w:rsidRDefault="00A849F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75396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7900BA" w:rsidRDefault="007900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49FC" w:rsidRDefault="00A84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FC" w:rsidRDefault="007900BA">
      <w:pPr>
        <w:spacing w:after="0" w:line="240" w:lineRule="auto"/>
      </w:pPr>
      <w:r>
        <w:separator/>
      </w:r>
    </w:p>
  </w:footnote>
  <w:footnote w:type="continuationSeparator" w:id="0">
    <w:p w:rsidR="00A849FC" w:rsidRDefault="007900BA">
      <w:pPr>
        <w:spacing w:after="0" w:line="240" w:lineRule="auto"/>
      </w:pPr>
      <w:r>
        <w:continuationSeparator/>
      </w:r>
    </w:p>
  </w:footnote>
  <w:footnote w:type="continuationNotice" w:id="1">
    <w:p w:rsidR="00A849FC" w:rsidRDefault="00A849FC">
      <w:pPr>
        <w:spacing w:after="0" w:line="240" w:lineRule="auto"/>
      </w:pPr>
    </w:p>
  </w:footnote>
  <w:footnote w:id="2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Регламент № 1 на Съвета от 15 април 1958 г. за определяне на езиковия режим на Европ</w:t>
      </w:r>
      <w:r>
        <w:rPr>
          <w:rFonts w:ascii="Times New Roman" w:hAnsi="Times New Roman"/>
        </w:rPr>
        <w:t>ейската икономическа общност (ОВ 17, 6.10.1958 г., стр. 385) и Регламент № 1 на Съвета от 15 април 1958 г. относно определянето на езиковия режим на Европейската общност за атомна енергия (ОВ 17, 6.10.1958 г., стр. 401).</w:t>
      </w:r>
    </w:p>
  </w:footnote>
  <w:footnote w:id="3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Регламент (ЕО) № 920/2005 на </w:t>
      </w:r>
      <w:r>
        <w:rPr>
          <w:rFonts w:ascii="Times New Roman" w:hAnsi="Times New Roman"/>
        </w:rPr>
        <w:t>Съвета за изменение на Регламент № 1 от 15 април 1958 г. за определяне на езиковия режим на Европейската икономическа общност, и на Регламент № 1 от 15 април 1958 година относно определянето на езиковия режим в Европейската общност за атомна енергия, както</w:t>
      </w:r>
      <w:r>
        <w:rPr>
          <w:rFonts w:ascii="Times New Roman" w:hAnsi="Times New Roman"/>
        </w:rPr>
        <w:t xml:space="preserve"> и за въвеждане за мерки за временна дерогация от тези регламенти (ОВ L 156, 18.6.2005 г., стр. 3).</w:t>
      </w:r>
    </w:p>
  </w:footnote>
  <w:footnote w:id="4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Регламент (ЕС) № 1257/2010 на Съвета за удължаване на срока на действие на мерките за временна дерогация от Регламент № 1 от 15 април 1958 г. за определя</w:t>
      </w:r>
      <w:r>
        <w:rPr>
          <w:rFonts w:ascii="Times New Roman" w:hAnsi="Times New Roman"/>
        </w:rPr>
        <w:t>не на езиковия режим на Европейската икономическа общност и от Регламент № 1 от 15 април 1958 г. относно определянето на езиковия режим в Европейската общност за атомна енергия, въведени с Регламент (ЕО) № 920/2005 (ОВ L 343, 29.12.2010 г., стр. 5).</w:t>
      </w:r>
    </w:p>
  </w:footnote>
  <w:footnote w:id="5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Регламент (ЕС, Евратом) 2015/2264 на Съвета за удължаване на срока на действие и постепенно премахване на мерките за временна дерогация от Регламент № 1 от 15 април 1958 г. за определяне на езиковия режим на Европейската икономическа общност и от Регламент</w:t>
      </w:r>
      <w:r>
        <w:rPr>
          <w:rFonts w:ascii="Times New Roman" w:hAnsi="Times New Roman"/>
        </w:rPr>
        <w:t xml:space="preserve"> № 1 от 15 април 1958 г. относно определянето на езиковия режим в Европейската общност за атомна енергия, въведени с Регламент (ЕО) № 920/2005 (ОВ L 322, 8.12.2015 г., стр. 1).</w:t>
      </w:r>
    </w:p>
  </w:footnote>
  <w:footnote w:id="6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Институциите на ЕС с най-големите служби за писмени преводи, т.е. Комисията,</w:t>
      </w:r>
      <w:r>
        <w:rPr>
          <w:rFonts w:ascii="Times New Roman" w:hAnsi="Times New Roman"/>
        </w:rPr>
        <w:t xml:space="preserve"> ЕП и Съветът.</w:t>
      </w:r>
    </w:p>
  </w:footnote>
  <w:footnote w:id="7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  </w:t>
      </w:r>
      <w:r>
        <w:tab/>
      </w:r>
      <w:r>
        <w:rPr>
          <w:rFonts w:ascii="Times New Roman" w:hAnsi="Times New Roman"/>
        </w:rPr>
        <w:t>Само за Комисията увеличението беше приблизително от 8000 на 19 000 стр. между 2016 и 2018 г., а прогнозите са за увеличение от 19 000 на приблизително 50 000 стр. между 2018 и 2021 г. и от 50 000 на приблизително 83 000 стр. към 2022 г</w:t>
      </w:r>
      <w:r>
        <w:rPr>
          <w:rFonts w:ascii="Times New Roman" w:hAnsi="Times New Roman"/>
        </w:rPr>
        <w:t>.</w:t>
      </w:r>
    </w:p>
  </w:footnote>
  <w:footnote w:id="8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Финансова обосновка, изготвена от Комисията за приемането на Регламент (ЕС, Евратом) 2015/2264.</w:t>
      </w:r>
    </w:p>
  </w:footnote>
  <w:footnote w:id="9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GA е езиковият код по ISO за ирландски език.</w:t>
      </w:r>
    </w:p>
  </w:footnote>
  <w:footnote w:id="10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Четирима в ЕП, двама в Съвета и двама в Комисията.</w:t>
      </w:r>
    </w:p>
  </w:footnote>
  <w:footnote w:id="11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2 в ЕП, 3 в Съвета и 1 в Комисията (Правна служба)</w:t>
      </w:r>
      <w:r>
        <w:rPr>
          <w:rFonts w:ascii="Times New Roman" w:hAnsi="Times New Roman"/>
        </w:rPr>
        <w:t>.</w:t>
      </w:r>
    </w:p>
  </w:footnote>
  <w:footnote w:id="12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ЕП: 1 за писмени преводачи съответно през 2016 и 2019 г. и 1 за асистенти през 2017 г.; 1 за юрист-лингвисти през 2017 г.; Съвет: 1 за писмени преводачи съответно през 2016, 2017 и 2018 г. и 1 за асистенти през 2017 г.; 1 за юрист-лингвисти през 2017 </w:t>
      </w:r>
      <w:r>
        <w:rPr>
          <w:rFonts w:ascii="Times New Roman" w:hAnsi="Times New Roman"/>
        </w:rPr>
        <w:t>г.; Комисия: 1 за писмени преводачи съответно през 2017, 2018 и 2019 г.; Съд: 1 за юрист</w:t>
      </w:r>
      <w:r>
        <w:noBreakHyphen/>
      </w:r>
      <w:r>
        <w:rPr>
          <w:rFonts w:ascii="Times New Roman" w:hAnsi="Times New Roman"/>
        </w:rPr>
        <w:t>лингвисти с ирландски език през 2017 г. и 1 за коректори през 2018 г.</w:t>
      </w:r>
    </w:p>
  </w:footnote>
  <w:footnote w:id="13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Терминологичната база данни, която се използва от всички институции, също така е отчасти достъ</w:t>
      </w:r>
      <w:r>
        <w:rPr>
          <w:rFonts w:ascii="Times New Roman" w:hAnsi="Times New Roman"/>
        </w:rPr>
        <w:t>пна за обществеността.</w:t>
      </w:r>
    </w:p>
  </w:footnote>
  <w:footnote w:id="14">
    <w:p w:rsidR="00A849FC" w:rsidRDefault="007900BA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Системата eTranslation (наричана преди MT@EC) осигурява машинен превод за генералните дирекции на Комисията както и за останалите институции и за държавите членки (публични органи).</w:t>
      </w:r>
    </w:p>
  </w:footnote>
  <w:footnote w:id="15">
    <w:p w:rsidR="00A849FC" w:rsidRDefault="007900BA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  </w:t>
      </w:r>
      <w:r>
        <w:rPr>
          <w:rFonts w:ascii="Times New Roman" w:hAnsi="Times New Roman"/>
        </w:rPr>
        <w:t xml:space="preserve">От 120 000 EUR на 200 000 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FC" w:rsidRDefault="00A84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FC" w:rsidRDefault="00A849FC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FC" w:rsidRDefault="00A849FC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FC" w:rsidRDefault="00A849F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FC" w:rsidRDefault="00A849F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FC" w:rsidRDefault="00A84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27E"/>
    <w:multiLevelType w:val="hybridMultilevel"/>
    <w:tmpl w:val="3BAECBE2"/>
    <w:lvl w:ilvl="0" w:tplc="08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86214"/>
    <w:multiLevelType w:val="hybridMultilevel"/>
    <w:tmpl w:val="12A82302"/>
    <w:lvl w:ilvl="0" w:tplc="55F89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4DE"/>
    <w:multiLevelType w:val="hybridMultilevel"/>
    <w:tmpl w:val="89E473E0"/>
    <w:lvl w:ilvl="0" w:tplc="4634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021"/>
    <w:multiLevelType w:val="multilevel"/>
    <w:tmpl w:val="E0B89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83695"/>
    <w:multiLevelType w:val="hybridMultilevel"/>
    <w:tmpl w:val="7722EC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5D17"/>
    <w:multiLevelType w:val="hybridMultilevel"/>
    <w:tmpl w:val="F6D276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47FFE"/>
    <w:multiLevelType w:val="hybridMultilevel"/>
    <w:tmpl w:val="DC6800A2"/>
    <w:lvl w:ilvl="0" w:tplc="C2B09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E1F"/>
    <w:multiLevelType w:val="hybridMultilevel"/>
    <w:tmpl w:val="AAB0CFA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277DE"/>
    <w:multiLevelType w:val="multilevel"/>
    <w:tmpl w:val="B1E05A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4E2898"/>
    <w:multiLevelType w:val="hybridMultilevel"/>
    <w:tmpl w:val="A3185F4C"/>
    <w:lvl w:ilvl="0" w:tplc="2F948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A392C"/>
    <w:multiLevelType w:val="hybridMultilevel"/>
    <w:tmpl w:val="6268A160"/>
    <w:lvl w:ilvl="0" w:tplc="9AB2302C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11884"/>
    <w:multiLevelType w:val="hybridMultilevel"/>
    <w:tmpl w:val="87AC336C"/>
    <w:lvl w:ilvl="0" w:tplc="DC2ABE9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43264"/>
    <w:multiLevelType w:val="hybridMultilevel"/>
    <w:tmpl w:val="D8EEBE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4E83"/>
    <w:multiLevelType w:val="hybridMultilevel"/>
    <w:tmpl w:val="9706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01A2"/>
    <w:multiLevelType w:val="hybridMultilevel"/>
    <w:tmpl w:val="990CF5B0"/>
    <w:lvl w:ilvl="0" w:tplc="4634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A3FC4"/>
    <w:multiLevelType w:val="hybridMultilevel"/>
    <w:tmpl w:val="B0E84878"/>
    <w:lvl w:ilvl="0" w:tplc="B63C90F6">
      <w:start w:val="1"/>
      <w:numFmt w:val="lowerLetter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D5A59"/>
    <w:multiLevelType w:val="hybridMultilevel"/>
    <w:tmpl w:val="09C65E16"/>
    <w:lvl w:ilvl="0" w:tplc="971A50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53AC1"/>
    <w:multiLevelType w:val="hybridMultilevel"/>
    <w:tmpl w:val="5DAAB6C0"/>
    <w:lvl w:ilvl="0" w:tplc="DC2ABE9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864AD"/>
    <w:multiLevelType w:val="hybridMultilevel"/>
    <w:tmpl w:val="10F6F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10185"/>
    <w:multiLevelType w:val="hybridMultilevel"/>
    <w:tmpl w:val="E826B932"/>
    <w:lvl w:ilvl="0" w:tplc="4A4843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C0980"/>
    <w:multiLevelType w:val="hybridMultilevel"/>
    <w:tmpl w:val="59687A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17"/>
  </w:num>
  <w:num w:numId="18">
    <w:abstractNumId w:val="11"/>
  </w:num>
  <w:num w:numId="19">
    <w:abstractNumId w:val="16"/>
  </w:num>
  <w:num w:numId="20">
    <w:abstractNumId w:val="5"/>
  </w:num>
  <w:num w:numId="21">
    <w:abstractNumId w:val="21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06ADD004-414D-4453-BBBA-1019281343F2"/>
    <w:docVar w:name="LW_COVERPAGE_TYPE" w:val="1"/>
    <w:docVar w:name="LW_CROSSREFERENCE" w:val="&lt;UNUSED&gt;"/>
    <w:docVar w:name="LW_DocType" w:val="NORMAL"/>
    <w:docVar w:name="LW_EMISSION" w:val="4.7.2019"/>
    <w:docVar w:name="LW_EMISSION_ISODATE" w:val="2019-07-04"/>
    <w:docVar w:name="LW_EMISSION_LOCATION" w:val="BRX"/>
    <w:docVar w:name="LW_EMISSION_PREFIX" w:val="Брюксел, "/>
    <w:docVar w:name="LW_EMISSION_SUFFIX" w:val=" \u1075?."/>
    <w:docVar w:name="LW_ID_DOCTYPE_NONLW" w:val="CP-004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31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86?\u1090?\u1085?\u1086?\u1089?\u1085?\u1086? \u1085?\u1072?\u1087?\u1088?\u1077?\u1076?\u1098?\u1082?\u1072? \u1085?\u1072? \u1080?\u1085?\u1089?\u1090?\u1080?\u1090?\u1091?\u1094?\u1080?\u1080?\u1090?\u1077? \u1085?\u1072? \u1057?\u1098?\u1102?\u1079?\u1072? \u1087?\u1088?\u1080? \u1087?\u1088?\u1080?\u1083?\u1072?\u1075?\u1072?\u1085?\u1077?\u1090?\u1086? \u1085?\u1072? \u1087?\u1086?\u1089?\u1090?\u1077?\u1087?\u1077?\u1085?\u1085?\u1086?\u1090?\u1086? \u1086?\u1075?\u1088?\u1072?\u1085?\u1080?\u1095?\u1072?\u1074?\u1072?\u1085?\u1077? \u1085?\u1072? \u1086?\u1073?\u1093?\u1074?\u1072?\u1090?\u1072? \u1085?\u1072? \u1076?\u1077?\u1088?\u1086?\u1075?\u1072?\u1094?\u1080?\u1103?\u1090?\u1072? \u1079?\u1072? \u1080?\u1088?\u1083?\u1072?\u1085?\u1076?\u1089?\u1082?\u1080?\u1103? \u1077?\u1079?\u1080?\u1082?"/>
    <w:docVar w:name="LW_TYPE.DOC.CP" w:val="\u1044?\u1054?\u1050?\u1051?\u1040?\u1044? \u1053?\u1040? \u1050?\u1054?\u1052?\u1048?\u1057?\u1048?\u1071?\u1058?\u1040? \u1044?\u1054? \u1057?\u1066?\u1042?\u1045?\u1058?\u1040?"/>
  </w:docVars>
  <w:rsids>
    <w:rsidRoot w:val="00A849FC"/>
    <w:rsid w:val="007900BA"/>
    <w:rsid w:val="00A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3046D54F-2A80-4AE1-A604-1D16CCAD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ubject">
    <w:name w:val="Subject"/>
    <w:basedOn w:val="Normal"/>
    <w:next w:val="Normal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semiHidden/>
    <w:unhideWhenUsed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Enclosures">
    <w:name w:val="Enclosures"/>
    <w:basedOn w:val="Normal"/>
    <w:next w:val="Normal"/>
    <w:pPr>
      <w:keepNext/>
      <w:keepLines/>
      <w:tabs>
        <w:tab w:val="left" w:pos="5642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Subject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ZDGName">
    <w:name w:val="Z_DGName"/>
    <w:basedOn w:val="Normal"/>
    <w:uiPriority w:val="99"/>
    <w:pPr>
      <w:widowControl w:val="0"/>
      <w:snapToGrid w:val="0"/>
      <w:spacing w:after="0" w:line="240" w:lineRule="auto"/>
      <w:ind w:right="85"/>
    </w:pPr>
    <w:rPr>
      <w:rFonts w:ascii="Arial" w:eastAsia="Times New Roman" w:hAnsi="Arial" w:cs="Times New Roman"/>
      <w:sz w:val="16"/>
      <w:szCs w:val="20"/>
    </w:rPr>
  </w:style>
  <w:style w:type="paragraph" w:customStyle="1" w:styleId="ZCom">
    <w:name w:val="Z_Com"/>
    <w:basedOn w:val="Normal"/>
    <w:next w:val="ZDGName"/>
    <w:uiPriority w:val="99"/>
    <w:pPr>
      <w:widowControl w:val="0"/>
      <w:snapToGrid w:val="0"/>
      <w:spacing w:after="0" w:line="240" w:lineRule="auto"/>
      <w:ind w:right="85"/>
      <w:jc w:val="both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_"/>
    <w:basedOn w:val="DefaultParagraphFont"/>
    <w:link w:val="Footnote0"/>
    <w:rPr>
      <w:sz w:val="20"/>
      <w:szCs w:val="20"/>
      <w:shd w:val="clear" w:color="auto" w:fill="FFFFFF"/>
    </w:rPr>
  </w:style>
  <w:style w:type="character" w:customStyle="1" w:styleId="Bodytext5Italic">
    <w:name w:val="Body text (5) + Italic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Footnote0">
    <w:name w:val="Footnote"/>
    <w:basedOn w:val="Normal"/>
    <w:link w:val="Footnote"/>
    <w:pPr>
      <w:widowControl w:val="0"/>
      <w:shd w:val="clear" w:color="auto" w:fill="FFFFFF"/>
      <w:spacing w:after="0" w:line="350" w:lineRule="exact"/>
      <w:ind w:hanging="400"/>
      <w:jc w:val="both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italic">
    <w:name w:val="italic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LegalNumPar">
    <w:name w:val="LegalNumPar"/>
    <w:basedOn w:val="Normal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pPr>
      <w:numPr>
        <w:ilvl w:val="2"/>
        <w:numId w:val="13"/>
      </w:numPr>
      <w:spacing w:line="36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1C8BB2-AD00-4D8E-A769-663CD30A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3891</Words>
  <Characters>21480</Characters>
  <Application>Microsoft Office Word</Application>
  <DocSecurity>0</DocSecurity>
  <Lines>429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LAGES CARVALHO Patrick (SG)</cp:lastModifiedBy>
  <cp:revision>22</cp:revision>
  <cp:lastPrinted>2019-05-24T08:59:00Z</cp:lastPrinted>
  <dcterms:created xsi:type="dcterms:W3CDTF">2019-06-06T10:09:00Z</dcterms:created>
  <dcterms:modified xsi:type="dcterms:W3CDTF">2019-06-28T05:43:00Z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reated using">
    <vt:lpwstr>LW 6.0.1, Build 20180503</vt:lpwstr>
  </property>
  <property fmtid="{D5CDD505-2E9C-101B-9397-08002B2CF9AE}" pid="7" name="Last edited using">
    <vt:lpwstr>LW 6.0.1, Build 20180503</vt:lpwstr>
  </property>
</Properties>
</file>