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29" w:rsidRDefault="0060536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2DDEAAE-D40C-4984-B6D1-635DE1C25C8C" style="width:450pt;height:321pt">
            <v:imagedata r:id="rId8" o:title=""/>
          </v:shape>
        </w:pict>
      </w:r>
    </w:p>
    <w:bookmarkEnd w:id="0"/>
    <w:p w:rsidR="00D87E29" w:rsidRDefault="00D87E29">
      <w:pPr>
        <w:rPr>
          <w:noProof/>
        </w:rPr>
        <w:sectPr w:rsidR="00D87E2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87E29" w:rsidRDefault="0060536A">
      <w:pPr>
        <w:keepNext/>
        <w:keepLines/>
        <w:numPr>
          <w:ilvl w:val="0"/>
          <w:numId w:val="11"/>
        </w:numPr>
        <w:spacing w:after="240"/>
        <w:ind w:left="1004"/>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lastRenderedPageBreak/>
        <w:t>Introduction</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 xml:space="preserve">Lors de son adhésion aux Communautés européennes en 1973, l’Irlande n’avait pas demandé que l’irlandais soit l’une des langues </w:t>
      </w:r>
      <w:r>
        <w:rPr>
          <w:rFonts w:ascii="Times New Roman" w:hAnsi="Times New Roman"/>
          <w:noProof/>
          <w:sz w:val="24"/>
        </w:rPr>
        <w:t xml:space="preserve">officielles et de travail des institutions, mais seulement que les traités soient traduits en irlandais et que ses citoyens aient le droit de communiquer avec les institutions en irlandais. Par conséquent, l’irlandais n’avait pas été ajouté à la liste des </w:t>
      </w:r>
      <w:r>
        <w:rPr>
          <w:rFonts w:ascii="Times New Roman" w:hAnsi="Times New Roman"/>
          <w:noProof/>
          <w:sz w:val="24"/>
        </w:rPr>
        <w:t>langues officielles et de travail du règlement nº 1</w:t>
      </w:r>
      <w:r>
        <w:rPr>
          <w:rFonts w:ascii="Times New Roman" w:hAnsi="Times New Roman"/>
          <w:noProof/>
          <w:sz w:val="24"/>
          <w:vertAlign w:val="superscript"/>
        </w:rPr>
        <w:footnoteReference w:id="2"/>
      </w:r>
      <w:r>
        <w:rPr>
          <w:rFonts w:ascii="Times New Roman" w:hAnsi="Times New Roman"/>
          <w:noProof/>
          <w:sz w:val="24"/>
        </w:rPr>
        <w:t xml:space="preserve"> et les institutions n’avaient pas rédigé ni publié de législation en irlandais.</w:t>
      </w:r>
    </w:p>
    <w:p w:rsidR="00D87E29" w:rsidRDefault="0060536A">
      <w:pPr>
        <w:spacing w:after="240"/>
        <w:jc w:val="both"/>
        <w:rPr>
          <w:rFonts w:ascii="Times New Roman" w:hAnsi="Times New Roman" w:cs="Times New Roman"/>
          <w:noProof/>
          <w:sz w:val="24"/>
          <w:szCs w:val="24"/>
        </w:rPr>
      </w:pPr>
      <w:r>
        <w:rPr>
          <w:rFonts w:ascii="Times New Roman" w:hAnsi="Times New Roman"/>
          <w:b/>
          <w:noProof/>
          <w:sz w:val="24"/>
        </w:rPr>
        <w:t>En 2005, l’Irlande a demandé que l’irlandais devienne une langue officielle et de travail de l’Union</w:t>
      </w:r>
      <w:r>
        <w:rPr>
          <w:rFonts w:ascii="Times New Roman" w:hAnsi="Times New Roman"/>
          <w:noProof/>
          <w:sz w:val="24"/>
        </w:rPr>
        <w:t>, en proposant un régim</w:t>
      </w:r>
      <w:r>
        <w:rPr>
          <w:rFonts w:ascii="Times New Roman" w:hAnsi="Times New Roman"/>
          <w:noProof/>
          <w:sz w:val="24"/>
        </w:rPr>
        <w:t>e restreint en vertu duquel seuls les règlements adoptés conjointement par le Parlement européen et le Conseil seraient rédigés en irlandais. Le Conseil a accordé ce statut à compter du 1</w:t>
      </w:r>
      <w:r>
        <w:rPr>
          <w:rFonts w:ascii="Times New Roman" w:hAnsi="Times New Roman"/>
          <w:noProof/>
          <w:sz w:val="24"/>
          <w:vertAlign w:val="superscript"/>
        </w:rPr>
        <w:t>er</w:t>
      </w:r>
      <w:r>
        <w:rPr>
          <w:rFonts w:ascii="Times New Roman" w:hAnsi="Times New Roman"/>
          <w:noProof/>
          <w:sz w:val="24"/>
        </w:rPr>
        <w:t xml:space="preserve"> janvier 2007 par le règlement (CE) nº 920/2005</w:t>
      </w:r>
      <w:r>
        <w:rPr>
          <w:rFonts w:ascii="Times New Roman" w:hAnsi="Times New Roman"/>
          <w:noProof/>
          <w:sz w:val="24"/>
          <w:vertAlign w:val="superscript"/>
        </w:rPr>
        <w:footnoteReference w:id="3"/>
      </w:r>
      <w:r>
        <w:rPr>
          <w:rFonts w:ascii="Times New Roman" w:hAnsi="Times New Roman"/>
          <w:noProof/>
          <w:sz w:val="24"/>
        </w:rPr>
        <w:t>, avec une dérogati</w:t>
      </w:r>
      <w:r>
        <w:rPr>
          <w:rFonts w:ascii="Times New Roman" w:hAnsi="Times New Roman"/>
          <w:noProof/>
          <w:sz w:val="24"/>
        </w:rPr>
        <w:t>on prévoyant que seuls les règlements du Parlement européen et du Conseil devaient être rédigés en irlandais. Cette dérogation a été adoptée pour une période de cinq ans et, à la suite d’un réexamen en 2010, a été prorogée pour une période supplémentaire d</w:t>
      </w:r>
      <w:r>
        <w:rPr>
          <w:rFonts w:ascii="Times New Roman" w:hAnsi="Times New Roman"/>
          <w:noProof/>
          <w:sz w:val="24"/>
        </w:rPr>
        <w:t>e cinq ans, jusqu’au 31 décembre 2016</w:t>
      </w:r>
      <w:r>
        <w:rPr>
          <w:rFonts w:ascii="Times New Roman" w:hAnsi="Times New Roman"/>
          <w:noProof/>
          <w:sz w:val="24"/>
          <w:vertAlign w:val="superscript"/>
        </w:rPr>
        <w:footnoteReference w:id="4"/>
      </w:r>
      <w:r>
        <w:rPr>
          <w:rFonts w:ascii="Times New Roman" w:hAnsi="Times New Roman"/>
          <w:noProof/>
          <w:sz w:val="24"/>
        </w:rPr>
        <w:t>. En 2015, dans le cadre de sa politique visant à encourager l’utilisation et la connaissance de l’irlandais, le gouvernement irlandais a demandé au Conseil de réduire progressivement le champ d’application de la dérog</w:t>
      </w:r>
      <w:r>
        <w:rPr>
          <w:rFonts w:ascii="Times New Roman" w:hAnsi="Times New Roman"/>
          <w:noProof/>
          <w:sz w:val="24"/>
        </w:rPr>
        <w:t>ation en vue de la supprimer progressivement d’ici au 1</w:t>
      </w:r>
      <w:r>
        <w:rPr>
          <w:rFonts w:ascii="Times New Roman" w:hAnsi="Times New Roman"/>
          <w:noProof/>
          <w:sz w:val="24"/>
          <w:vertAlign w:val="superscript"/>
        </w:rPr>
        <w:t>er</w:t>
      </w:r>
      <w:r>
        <w:rPr>
          <w:rFonts w:ascii="Times New Roman" w:hAnsi="Times New Roman"/>
          <w:noProof/>
          <w:sz w:val="24"/>
        </w:rPr>
        <w:t> janvier 2022. En conséquence, le Conseil a adopté le règlement (UE, Euratom) 2015/2264</w:t>
      </w:r>
      <w:r>
        <w:rPr>
          <w:rFonts w:ascii="Times New Roman" w:hAnsi="Times New Roman"/>
          <w:noProof/>
          <w:sz w:val="24"/>
          <w:vertAlign w:val="superscript"/>
        </w:rPr>
        <w:footnoteReference w:id="5"/>
      </w:r>
      <w:r>
        <w:rPr>
          <w:rFonts w:ascii="Times New Roman" w:hAnsi="Times New Roman"/>
          <w:noProof/>
          <w:sz w:val="24"/>
        </w:rPr>
        <w:t xml:space="preserve"> en décembre 2015. Cela a engendré une situation inédite qui a obligé les institutions à mettre en place un nou</w:t>
      </w:r>
      <w:r>
        <w:rPr>
          <w:rFonts w:ascii="Times New Roman" w:hAnsi="Times New Roman"/>
          <w:noProof/>
          <w:sz w:val="24"/>
        </w:rPr>
        <w:t>veau régime linguistique avec un État membre existant.</w:t>
      </w:r>
    </w:p>
    <w:p w:rsidR="00D87E29" w:rsidRDefault="0060536A">
      <w:pPr>
        <w:spacing w:after="120"/>
        <w:jc w:val="both"/>
        <w:rPr>
          <w:b/>
          <w:noProof/>
          <w:szCs w:val="24"/>
        </w:rPr>
      </w:pPr>
      <w:r>
        <w:rPr>
          <w:rFonts w:ascii="Times New Roman" w:hAnsi="Times New Roman"/>
          <w:noProof/>
          <w:sz w:val="24"/>
        </w:rPr>
        <w:t>L’</w:t>
      </w:r>
      <w:r>
        <w:rPr>
          <w:rFonts w:ascii="Times New Roman" w:hAnsi="Times New Roman"/>
          <w:b/>
          <w:noProof/>
          <w:sz w:val="24"/>
        </w:rPr>
        <w:t>annexe du règlement</w:t>
      </w:r>
      <w:r>
        <w:rPr>
          <w:rFonts w:ascii="Times New Roman" w:hAnsi="Times New Roman"/>
          <w:noProof/>
          <w:sz w:val="24"/>
        </w:rPr>
        <w:t xml:space="preserve"> </w:t>
      </w:r>
      <w:r>
        <w:rPr>
          <w:rFonts w:ascii="Times New Roman" w:hAnsi="Times New Roman"/>
          <w:b/>
          <w:noProof/>
          <w:sz w:val="24"/>
        </w:rPr>
        <w:t>(UE, Euratom) 2015/2264</w:t>
      </w:r>
      <w:r>
        <w:rPr>
          <w:rFonts w:ascii="Times New Roman" w:hAnsi="Times New Roman"/>
          <w:noProof/>
          <w:sz w:val="24"/>
        </w:rPr>
        <w:t xml:space="preserve"> </w:t>
      </w:r>
      <w:r>
        <w:rPr>
          <w:rFonts w:ascii="Times New Roman" w:hAnsi="Times New Roman"/>
          <w:b/>
          <w:noProof/>
          <w:sz w:val="24"/>
        </w:rPr>
        <w:t>établit un calendrier applicable à la réduction progressive de la dérogation</w:t>
      </w:r>
      <w:r>
        <w:rPr>
          <w:rFonts w:ascii="Times New Roman" w:hAnsi="Times New Roman"/>
          <w:noProof/>
          <w:sz w:val="24"/>
        </w:rPr>
        <w:t>, comme suit:</w:t>
      </w:r>
    </w:p>
    <w:p w:rsidR="00D87E29" w:rsidRDefault="0060536A">
      <w:pPr>
        <w:numPr>
          <w:ilvl w:val="0"/>
          <w:numId w:val="22"/>
        </w:numPr>
        <w:spacing w:after="0"/>
        <w:jc w:val="both"/>
        <w:rPr>
          <w:rFonts w:ascii="Times New Roman" w:hAnsi="Times New Roman" w:cs="Times New Roman"/>
          <w:noProof/>
          <w:sz w:val="24"/>
          <w:szCs w:val="24"/>
        </w:rPr>
      </w:pPr>
      <w:r>
        <w:rPr>
          <w:rFonts w:ascii="Times New Roman" w:hAnsi="Times New Roman"/>
          <w:noProof/>
          <w:sz w:val="24"/>
        </w:rPr>
        <w:t>premier ajustement (à partir du 1</w:t>
      </w:r>
      <w:r>
        <w:rPr>
          <w:rFonts w:ascii="Times New Roman" w:hAnsi="Times New Roman"/>
          <w:noProof/>
          <w:sz w:val="24"/>
          <w:vertAlign w:val="superscript"/>
        </w:rPr>
        <w:t>er</w:t>
      </w:r>
      <w:r>
        <w:rPr>
          <w:rFonts w:ascii="Times New Roman" w:hAnsi="Times New Roman"/>
          <w:noProof/>
          <w:sz w:val="24"/>
        </w:rPr>
        <w:t xml:space="preserve"> janvier 2017) - directives du PE et du Conseil;</w:t>
      </w:r>
    </w:p>
    <w:p w:rsidR="00D87E29" w:rsidRDefault="0060536A">
      <w:pPr>
        <w:numPr>
          <w:ilvl w:val="0"/>
          <w:numId w:val="22"/>
        </w:numPr>
        <w:spacing w:after="0"/>
        <w:jc w:val="both"/>
        <w:rPr>
          <w:rFonts w:ascii="Times New Roman" w:hAnsi="Times New Roman" w:cs="Times New Roman"/>
          <w:noProof/>
          <w:sz w:val="24"/>
          <w:szCs w:val="24"/>
        </w:rPr>
      </w:pPr>
      <w:r>
        <w:rPr>
          <w:rFonts w:ascii="Times New Roman" w:hAnsi="Times New Roman"/>
          <w:noProof/>
          <w:sz w:val="24"/>
        </w:rPr>
        <w:t>deuxième ajustement (à partir du 1</w:t>
      </w:r>
      <w:r>
        <w:rPr>
          <w:rFonts w:ascii="Times New Roman" w:hAnsi="Times New Roman"/>
          <w:noProof/>
          <w:sz w:val="24"/>
          <w:vertAlign w:val="superscript"/>
        </w:rPr>
        <w:t>er</w:t>
      </w:r>
      <w:r>
        <w:rPr>
          <w:rFonts w:ascii="Times New Roman" w:hAnsi="Times New Roman"/>
          <w:noProof/>
          <w:sz w:val="24"/>
        </w:rPr>
        <w:t xml:space="preserve"> janvier 2018) - décisions du PE et du Conseil;</w:t>
      </w:r>
    </w:p>
    <w:p w:rsidR="00D87E29" w:rsidRDefault="0060536A">
      <w:pPr>
        <w:numPr>
          <w:ilvl w:val="0"/>
          <w:numId w:val="22"/>
        </w:numPr>
        <w:spacing w:after="0"/>
        <w:jc w:val="both"/>
        <w:rPr>
          <w:rFonts w:ascii="Times New Roman" w:hAnsi="Times New Roman" w:cs="Times New Roman"/>
          <w:noProof/>
          <w:sz w:val="24"/>
          <w:szCs w:val="24"/>
        </w:rPr>
      </w:pPr>
      <w:r>
        <w:rPr>
          <w:rFonts w:ascii="Times New Roman" w:hAnsi="Times New Roman"/>
          <w:noProof/>
          <w:sz w:val="24"/>
        </w:rPr>
        <w:t>troisième ajustement (à partir du 1</w:t>
      </w:r>
      <w:r>
        <w:rPr>
          <w:rFonts w:ascii="Times New Roman" w:hAnsi="Times New Roman"/>
          <w:noProof/>
          <w:sz w:val="24"/>
          <w:vertAlign w:val="superscript"/>
        </w:rPr>
        <w:t>er</w:t>
      </w:r>
      <w:r>
        <w:rPr>
          <w:rFonts w:ascii="Times New Roman" w:hAnsi="Times New Roman"/>
          <w:noProof/>
          <w:sz w:val="24"/>
        </w:rPr>
        <w:t xml:space="preserve"> janvier 2020) - règlements et directives du Conseil, et décisions du Conseil qui n'indiquent pas de destinataire; et </w:t>
      </w:r>
    </w:p>
    <w:p w:rsidR="00D87E29" w:rsidRDefault="0060536A">
      <w:pPr>
        <w:numPr>
          <w:ilvl w:val="0"/>
          <w:numId w:val="22"/>
        </w:numPr>
        <w:spacing w:after="0"/>
        <w:jc w:val="both"/>
        <w:rPr>
          <w:rFonts w:ascii="Times New Roman" w:hAnsi="Times New Roman" w:cs="Times New Roman"/>
          <w:noProof/>
          <w:sz w:val="24"/>
          <w:szCs w:val="24"/>
        </w:rPr>
      </w:pPr>
      <w:r>
        <w:rPr>
          <w:rFonts w:ascii="Times New Roman" w:hAnsi="Times New Roman"/>
          <w:noProof/>
          <w:sz w:val="24"/>
        </w:rPr>
        <w:lastRenderedPageBreak/>
        <w:t>quatrième ajustement (à partir du 1</w:t>
      </w:r>
      <w:r>
        <w:rPr>
          <w:rFonts w:ascii="Times New Roman" w:hAnsi="Times New Roman"/>
          <w:noProof/>
          <w:sz w:val="24"/>
          <w:vertAlign w:val="superscript"/>
        </w:rPr>
        <w:t>er</w:t>
      </w:r>
      <w:r>
        <w:rPr>
          <w:rFonts w:ascii="Times New Roman" w:hAnsi="Times New Roman"/>
          <w:noProof/>
          <w:sz w:val="24"/>
        </w:rPr>
        <w:t xml:space="preserve"> janvier 2021) - règlements et directives de la Commission, et décisions de la Commission qui n'indi</w:t>
      </w:r>
      <w:r>
        <w:rPr>
          <w:rFonts w:ascii="Times New Roman" w:hAnsi="Times New Roman"/>
          <w:noProof/>
          <w:sz w:val="24"/>
        </w:rPr>
        <w:t>quent pas de destinataire.</w:t>
      </w:r>
    </w:p>
    <w:p w:rsidR="00D87E29" w:rsidRDefault="00D87E29">
      <w:pPr>
        <w:spacing w:after="0"/>
        <w:jc w:val="both"/>
        <w:rPr>
          <w:rFonts w:ascii="Times New Roman" w:hAnsi="Times New Roman" w:cs="Times New Roman"/>
          <w:noProof/>
          <w:sz w:val="24"/>
          <w:szCs w:val="24"/>
        </w:rPr>
      </w:pPr>
    </w:p>
    <w:p w:rsidR="00D87E29" w:rsidRDefault="0060536A">
      <w:pPr>
        <w:spacing w:after="0"/>
        <w:jc w:val="both"/>
        <w:rPr>
          <w:rFonts w:ascii="Times New Roman" w:hAnsi="Times New Roman" w:cs="Times New Roman"/>
          <w:noProof/>
          <w:sz w:val="24"/>
          <w:szCs w:val="24"/>
        </w:rPr>
      </w:pPr>
      <w:r>
        <w:rPr>
          <w:rFonts w:ascii="Times New Roman" w:hAnsi="Times New Roman"/>
          <w:noProof/>
          <w:sz w:val="24"/>
        </w:rPr>
        <w:t>Conformément au règlement, la Commission est tenue de faire deux fois rapport au Conseil sur sa mise en œuvre avant que la dérogation ne cesse de s’appliquer. Au plus tard en octobre 2019, la Commission doit rendre compte des pr</w:t>
      </w:r>
      <w:r>
        <w:rPr>
          <w:rFonts w:ascii="Times New Roman" w:hAnsi="Times New Roman"/>
          <w:noProof/>
          <w:sz w:val="24"/>
        </w:rPr>
        <w:t xml:space="preserve">ogrès réalisés par les institutions dans la mise en œuvre de la réduction progressive. Après examen du rapport, le Conseil peut décider de réviser le calendrier figurant en annexe. </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En juin 2021 au plus tard, la Commission doit présenter au Conseil un nouv</w:t>
      </w:r>
      <w:r>
        <w:rPr>
          <w:rFonts w:ascii="Times New Roman" w:hAnsi="Times New Roman"/>
          <w:noProof/>
          <w:sz w:val="24"/>
        </w:rPr>
        <w:t>eau rapport «indiquant si les institutions de l'Union disposent de capacités suffisantes, par rapport aux autres langues officielles, pour appliquer le règlement nº 1 portant fixation du régime linguistique de la Communauté économique européenne et le règl</w:t>
      </w:r>
      <w:r>
        <w:rPr>
          <w:rFonts w:ascii="Times New Roman" w:hAnsi="Times New Roman"/>
          <w:noProof/>
          <w:sz w:val="24"/>
        </w:rPr>
        <w:t>ement nº 1 portant fixation du régime linguistique de la Communauté européenne de l'énergie atomique sans dérogation à partir du 1</w:t>
      </w:r>
      <w:r>
        <w:rPr>
          <w:rFonts w:ascii="Times New Roman" w:hAnsi="Times New Roman"/>
          <w:noProof/>
          <w:sz w:val="24"/>
          <w:vertAlign w:val="superscript"/>
        </w:rPr>
        <w:t>er</w:t>
      </w:r>
      <w:r>
        <w:rPr>
          <w:rFonts w:ascii="Times New Roman" w:hAnsi="Times New Roman"/>
          <w:noProof/>
          <w:sz w:val="24"/>
        </w:rPr>
        <w:t xml:space="preserve"> janvier 2022». En l’absence de règlement du Conseil en disposant autrement, la dérogation cessera de s’appliquer à partir d</w:t>
      </w:r>
      <w:r>
        <w:rPr>
          <w:rFonts w:ascii="Times New Roman" w:hAnsi="Times New Roman"/>
          <w:noProof/>
          <w:sz w:val="24"/>
        </w:rPr>
        <w:t>u 1</w:t>
      </w:r>
      <w:r>
        <w:rPr>
          <w:rFonts w:ascii="Times New Roman" w:hAnsi="Times New Roman"/>
          <w:noProof/>
          <w:sz w:val="24"/>
          <w:vertAlign w:val="superscript"/>
        </w:rPr>
        <w:t>er</w:t>
      </w:r>
      <w:r>
        <w:rPr>
          <w:rFonts w:ascii="Times New Roman" w:hAnsi="Times New Roman"/>
          <w:noProof/>
          <w:sz w:val="24"/>
        </w:rPr>
        <w:t xml:space="preserve"> janvier 2022. </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 xml:space="preserve">Ce </w:t>
      </w:r>
      <w:r>
        <w:rPr>
          <w:rFonts w:ascii="Times New Roman" w:hAnsi="Times New Roman"/>
          <w:b/>
          <w:noProof/>
          <w:sz w:val="24"/>
        </w:rPr>
        <w:t>premier rapport sur la mise en œuvre</w:t>
      </w:r>
      <w:r>
        <w:rPr>
          <w:rFonts w:ascii="Times New Roman" w:hAnsi="Times New Roman"/>
          <w:noProof/>
          <w:sz w:val="24"/>
        </w:rPr>
        <w:t xml:space="preserve"> dresse le bilan des progrès accomplis entre janvier 2016 et la mi-2019.</w:t>
      </w:r>
    </w:p>
    <w:p w:rsidR="00D87E29" w:rsidRDefault="0060536A">
      <w:pPr>
        <w:keepNext/>
        <w:keepLines/>
        <w:numPr>
          <w:ilvl w:val="0"/>
          <w:numId w:val="11"/>
        </w:numPr>
        <w:spacing w:after="240"/>
        <w:ind w:left="1004"/>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Progrès dans la mise en œuvre de la réduction progressive de la dérogation</w:t>
      </w:r>
    </w:p>
    <w:p w:rsidR="00D87E29" w:rsidRDefault="0060536A">
      <w:pPr>
        <w:keepNext/>
        <w:keepLines/>
        <w:numPr>
          <w:ilvl w:val="0"/>
          <w:numId w:val="19"/>
        </w:numPr>
        <w:tabs>
          <w:tab w:val="left" w:pos="2268"/>
        </w:tabs>
        <w:spacing w:after="240"/>
        <w:jc w:val="both"/>
        <w:outlineLvl w:val="1"/>
        <w:rPr>
          <w:rFonts w:ascii="Times New Roman" w:eastAsiaTheme="majorEastAsia" w:hAnsi="Times New Roman" w:cs="Times New Roman"/>
          <w:b/>
          <w:bCs/>
          <w:i/>
          <w:noProof/>
          <w:sz w:val="24"/>
          <w:szCs w:val="24"/>
        </w:rPr>
      </w:pPr>
      <w:r>
        <w:rPr>
          <w:rFonts w:ascii="Times New Roman" w:eastAsiaTheme="majorEastAsia" w:hAnsi="Times New Roman"/>
          <w:b/>
          <w:i/>
          <w:noProof/>
          <w:sz w:val="24"/>
        </w:rPr>
        <w:t xml:space="preserve">Coopération avec l’Irlande </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 xml:space="preserve">Les institutions et </w:t>
      </w:r>
      <w:r>
        <w:rPr>
          <w:rFonts w:ascii="Times New Roman" w:hAnsi="Times New Roman"/>
          <w:noProof/>
          <w:sz w:val="24"/>
        </w:rPr>
        <w:t>l’Irlande ont collaboré pour mettre en œuvre le règlement (UE, Euratom) 2015/2264. Conformément à l’article 2 du règlement, les «autorités irlandaises et la Commission, en collaboration avec les autres institutions de l'Union, se réunissent régulièrement a</w:t>
      </w:r>
      <w:r>
        <w:rPr>
          <w:rFonts w:ascii="Times New Roman" w:hAnsi="Times New Roman"/>
          <w:noProof/>
          <w:sz w:val="24"/>
        </w:rPr>
        <w:t>fin de vérifier que les institutions de l'Union recrutent un nombre suffisant de membres du personnel de langue irlandaise pour gérer avec succès la réduction progressive de la dérogation [....], et que les capacités des prestataires de services externes e</w:t>
      </w:r>
      <w:r>
        <w:rPr>
          <w:rFonts w:ascii="Times New Roman" w:hAnsi="Times New Roman"/>
          <w:noProof/>
          <w:sz w:val="24"/>
        </w:rPr>
        <w:t>t le recours à ceux-ci permettent de répondre aux besoins linguistiques des institutions de l'Union pour ce qui est de l'irlandais».</w:t>
      </w:r>
    </w:p>
    <w:p w:rsidR="00D87E29" w:rsidRDefault="0060536A">
      <w:pPr>
        <w:spacing w:after="120"/>
        <w:jc w:val="both"/>
        <w:rPr>
          <w:rFonts w:ascii="Times New Roman" w:hAnsi="Times New Roman" w:cs="Times New Roman"/>
          <w:noProof/>
          <w:sz w:val="24"/>
          <w:szCs w:val="24"/>
        </w:rPr>
      </w:pPr>
      <w:r>
        <w:rPr>
          <w:rFonts w:ascii="Times New Roman" w:hAnsi="Times New Roman"/>
          <w:noProof/>
          <w:sz w:val="24"/>
        </w:rPr>
        <w:t xml:space="preserve">En conséquence, un </w:t>
      </w:r>
      <w:r>
        <w:rPr>
          <w:rFonts w:ascii="Times New Roman" w:hAnsi="Times New Roman"/>
          <w:b/>
          <w:noProof/>
          <w:sz w:val="24"/>
        </w:rPr>
        <w:t>groupe de suivi de la dérogation concernant l’irlandais</w:t>
      </w:r>
      <w:r>
        <w:rPr>
          <w:rFonts w:ascii="Times New Roman" w:hAnsi="Times New Roman"/>
          <w:noProof/>
          <w:sz w:val="24"/>
        </w:rPr>
        <w:t>, composé de représentants des services linguisti</w:t>
      </w:r>
      <w:r>
        <w:rPr>
          <w:rFonts w:ascii="Times New Roman" w:hAnsi="Times New Roman"/>
          <w:noProof/>
          <w:sz w:val="24"/>
        </w:rPr>
        <w:t>ques des institutions de l’Union et de l’Irlande, a été constitué. Le groupe a commencé ses travaux en 2016 et les poursuivra jusqu’à ce que le règlement cesse de s’appliquer. Il possède une structure à deux niveaux:</w:t>
      </w:r>
    </w:p>
    <w:p w:rsidR="00D87E29" w:rsidRDefault="0060536A">
      <w:pPr>
        <w:numPr>
          <w:ilvl w:val="0"/>
          <w:numId w:val="23"/>
        </w:numPr>
        <w:spacing w:after="120"/>
        <w:ind w:hanging="357"/>
        <w:jc w:val="both"/>
        <w:rPr>
          <w:rFonts w:ascii="Times New Roman" w:hAnsi="Times New Roman" w:cs="Times New Roman"/>
          <w:noProof/>
          <w:sz w:val="24"/>
          <w:szCs w:val="24"/>
        </w:rPr>
      </w:pPr>
      <w:r>
        <w:rPr>
          <w:rFonts w:ascii="Times New Roman" w:hAnsi="Times New Roman"/>
          <w:noProof/>
          <w:sz w:val="24"/>
        </w:rPr>
        <w:t>au niveau directeur, la Commission (rep</w:t>
      </w:r>
      <w:r>
        <w:rPr>
          <w:rFonts w:ascii="Times New Roman" w:hAnsi="Times New Roman"/>
          <w:noProof/>
          <w:sz w:val="24"/>
        </w:rPr>
        <w:t>résentée par la direction générale de la traduction), en collaboration avec les autres institutions et l’Irlande (représentée par le ministère de la culture, du patrimoine et des affaires gaéliques), se réunissent une fois par an pour suivre les progrès ac</w:t>
      </w:r>
      <w:r>
        <w:rPr>
          <w:rFonts w:ascii="Times New Roman" w:hAnsi="Times New Roman"/>
          <w:noProof/>
          <w:sz w:val="24"/>
        </w:rPr>
        <w:t xml:space="preserve">complis et adopter des priorités annuelles dans les domaines suivants: </w:t>
      </w:r>
    </w:p>
    <w:p w:rsidR="00D87E29" w:rsidRDefault="0060536A">
      <w:pPr>
        <w:numPr>
          <w:ilvl w:val="1"/>
          <w:numId w:val="23"/>
        </w:numPr>
        <w:spacing w:after="0"/>
        <w:ind w:hanging="357"/>
        <w:jc w:val="both"/>
        <w:rPr>
          <w:rFonts w:ascii="Times New Roman" w:hAnsi="Times New Roman" w:cs="Times New Roman"/>
          <w:noProof/>
          <w:sz w:val="24"/>
          <w:szCs w:val="24"/>
        </w:rPr>
      </w:pPr>
      <w:r>
        <w:rPr>
          <w:rFonts w:ascii="Times New Roman" w:hAnsi="Times New Roman"/>
          <w:noProof/>
          <w:sz w:val="24"/>
        </w:rPr>
        <w:t>le recrutement pertinent pour les institutions;</w:t>
      </w:r>
    </w:p>
    <w:p w:rsidR="00D87E29" w:rsidRDefault="0060536A">
      <w:pPr>
        <w:numPr>
          <w:ilvl w:val="1"/>
          <w:numId w:val="23"/>
        </w:numPr>
        <w:spacing w:after="0"/>
        <w:ind w:hanging="357"/>
        <w:jc w:val="both"/>
        <w:rPr>
          <w:rFonts w:ascii="Times New Roman" w:hAnsi="Times New Roman" w:cs="Times New Roman"/>
          <w:noProof/>
          <w:sz w:val="24"/>
          <w:szCs w:val="24"/>
        </w:rPr>
      </w:pPr>
      <w:r>
        <w:rPr>
          <w:rFonts w:ascii="Times New Roman" w:hAnsi="Times New Roman"/>
          <w:noProof/>
          <w:sz w:val="24"/>
        </w:rPr>
        <w:t>les capacités des prestataires de services externes;</w:t>
      </w:r>
    </w:p>
    <w:p w:rsidR="00D87E29" w:rsidRDefault="0060536A">
      <w:pPr>
        <w:numPr>
          <w:ilvl w:val="1"/>
          <w:numId w:val="23"/>
        </w:numPr>
        <w:spacing w:after="0"/>
        <w:ind w:hanging="357"/>
        <w:jc w:val="both"/>
        <w:rPr>
          <w:rFonts w:ascii="Times New Roman" w:hAnsi="Times New Roman" w:cs="Times New Roman"/>
          <w:noProof/>
          <w:sz w:val="24"/>
          <w:szCs w:val="24"/>
        </w:rPr>
      </w:pPr>
      <w:r>
        <w:rPr>
          <w:rFonts w:ascii="Times New Roman" w:hAnsi="Times New Roman"/>
          <w:noProof/>
          <w:sz w:val="24"/>
        </w:rPr>
        <w:t xml:space="preserve">une collaboration accrue en matière de ressources linguistiques; et </w:t>
      </w:r>
    </w:p>
    <w:p w:rsidR="00D87E29" w:rsidRDefault="0060536A">
      <w:pPr>
        <w:numPr>
          <w:ilvl w:val="1"/>
          <w:numId w:val="23"/>
        </w:numPr>
        <w:spacing w:after="0"/>
        <w:ind w:hanging="357"/>
        <w:jc w:val="both"/>
        <w:rPr>
          <w:rFonts w:ascii="Times New Roman" w:hAnsi="Times New Roman" w:cs="Times New Roman"/>
          <w:noProof/>
          <w:sz w:val="24"/>
          <w:szCs w:val="24"/>
        </w:rPr>
      </w:pPr>
      <w:r>
        <w:rPr>
          <w:rFonts w:ascii="Times New Roman" w:hAnsi="Times New Roman"/>
          <w:noProof/>
          <w:sz w:val="24"/>
        </w:rPr>
        <w:t xml:space="preserve">les questions </w:t>
      </w:r>
      <w:r>
        <w:rPr>
          <w:rFonts w:ascii="Times New Roman" w:hAnsi="Times New Roman"/>
          <w:noProof/>
          <w:sz w:val="24"/>
        </w:rPr>
        <w:t xml:space="preserve">liées à la disponibilité de l’acquis et </w:t>
      </w:r>
    </w:p>
    <w:p w:rsidR="00D87E29" w:rsidRDefault="0060536A">
      <w:pPr>
        <w:numPr>
          <w:ilvl w:val="0"/>
          <w:numId w:val="23"/>
        </w:numPr>
        <w:spacing w:after="240"/>
        <w:ind w:hanging="357"/>
        <w:jc w:val="both"/>
        <w:rPr>
          <w:rFonts w:ascii="Times New Roman" w:hAnsi="Times New Roman" w:cs="Times New Roman"/>
          <w:noProof/>
          <w:sz w:val="24"/>
          <w:szCs w:val="24"/>
        </w:rPr>
      </w:pPr>
      <w:r>
        <w:rPr>
          <w:rFonts w:ascii="Times New Roman" w:hAnsi="Times New Roman"/>
          <w:noProof/>
          <w:sz w:val="24"/>
        </w:rPr>
        <w:t>au niveau opérationnel, les représentants des services linguistiques des institutions et du ministère de la culture, du patrimoine et des affaires gaéliques se réunissent au moins deux fois par an, poursuivent les travaux sur les priorités annuelles et ren</w:t>
      </w:r>
      <w:r>
        <w:rPr>
          <w:rFonts w:ascii="Times New Roman" w:hAnsi="Times New Roman"/>
          <w:noProof/>
          <w:sz w:val="24"/>
        </w:rPr>
        <w:t xml:space="preserve">dent compte au niveau directeur de l’avancement des travaux. </w:t>
      </w:r>
    </w:p>
    <w:p w:rsidR="00D87E29" w:rsidRDefault="0060536A">
      <w:pPr>
        <w:jc w:val="both"/>
        <w:rPr>
          <w:rFonts w:ascii="Times New Roman" w:hAnsi="Times New Roman" w:cs="Times New Roman"/>
          <w:noProof/>
          <w:sz w:val="24"/>
          <w:szCs w:val="24"/>
        </w:rPr>
      </w:pPr>
      <w:r>
        <w:rPr>
          <w:rFonts w:ascii="Times New Roman" w:hAnsi="Times New Roman"/>
          <w:noProof/>
          <w:sz w:val="24"/>
        </w:rPr>
        <w:t xml:space="preserve">Depuis l’adoption du règlement, la Commission et l’Irlande ont organisé conjointement trois conférences annuelles à Dublin consacrées à la langue irlandaise. </w:t>
      </w:r>
    </w:p>
    <w:p w:rsidR="00D87E29" w:rsidRDefault="0060536A">
      <w:pPr>
        <w:jc w:val="both"/>
        <w:rPr>
          <w:rFonts w:ascii="Times New Roman" w:hAnsi="Times New Roman" w:cs="Times New Roman"/>
          <w:noProof/>
          <w:sz w:val="24"/>
          <w:szCs w:val="24"/>
        </w:rPr>
      </w:pPr>
      <w:r>
        <w:rPr>
          <w:rFonts w:ascii="Times New Roman" w:hAnsi="Times New Roman"/>
          <w:noProof/>
          <w:sz w:val="24"/>
        </w:rPr>
        <w:t>L’</w:t>
      </w:r>
      <w:r>
        <w:rPr>
          <w:rFonts w:ascii="Times New Roman" w:hAnsi="Times New Roman"/>
          <w:b/>
          <w:noProof/>
          <w:sz w:val="24"/>
        </w:rPr>
        <w:t>état d’avancement</w:t>
      </w:r>
      <w:r>
        <w:rPr>
          <w:rFonts w:ascii="Times New Roman" w:hAnsi="Times New Roman"/>
          <w:noProof/>
          <w:sz w:val="24"/>
        </w:rPr>
        <w:t xml:space="preserve"> dans les principaux domaines est présenté au verso.</w:t>
      </w:r>
    </w:p>
    <w:p w:rsidR="00D87E29" w:rsidRDefault="0060536A">
      <w:pPr>
        <w:rPr>
          <w:rFonts w:ascii="Times New Roman" w:hAnsi="Times New Roman" w:cs="Times New Roman"/>
          <w:noProof/>
          <w:sz w:val="24"/>
          <w:szCs w:val="24"/>
        </w:rPr>
      </w:pPr>
      <w:r>
        <w:rPr>
          <w:noProof/>
        </w:rPr>
        <w:br w:type="page"/>
      </w:r>
    </w:p>
    <w:p w:rsidR="00D87E29" w:rsidRDefault="0060536A">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b/>
          <w:i/>
          <w:noProof/>
          <w:sz w:val="24"/>
        </w:rPr>
        <w:t>b.</w:t>
      </w:r>
      <w:r>
        <w:rPr>
          <w:noProof/>
        </w:rPr>
        <w:tab/>
      </w:r>
      <w:r>
        <w:rPr>
          <w:rFonts w:ascii="Times New Roman" w:eastAsiaTheme="majorEastAsia" w:hAnsi="Times New Roman"/>
          <w:b/>
          <w:i/>
          <w:noProof/>
          <w:sz w:val="24"/>
        </w:rPr>
        <w:t>Traductions vers l’irlandais</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La demande de traduction des institutions concerne avant tout des textes législatifs, puis d’autres documents non législatifs, en fonction des exigences politiques et au</w:t>
      </w:r>
      <w:r>
        <w:rPr>
          <w:rFonts w:ascii="Times New Roman" w:hAnsi="Times New Roman"/>
          <w:noProof/>
          <w:sz w:val="24"/>
        </w:rPr>
        <w:t>tres en matière de communication. Avec l’exécution des deux premiers ajustements en 2017 et 2018 (ajout des directives et des décisions adoptées par le Parlement européen et le Conseil), les institutions ont commencé à élargir l’éventail des textes législa</w:t>
      </w:r>
      <w:r>
        <w:rPr>
          <w:rFonts w:ascii="Times New Roman" w:hAnsi="Times New Roman"/>
          <w:noProof/>
          <w:sz w:val="24"/>
        </w:rPr>
        <w:t xml:space="preserve">tifs traduits en irlandais. Les </w:t>
      </w:r>
      <w:r>
        <w:rPr>
          <w:rFonts w:ascii="Times New Roman" w:hAnsi="Times New Roman"/>
          <w:b/>
          <w:noProof/>
          <w:sz w:val="24"/>
        </w:rPr>
        <w:t>deux premiers ajustements ont été intégralement mis en œuvre</w:t>
      </w:r>
      <w:r>
        <w:rPr>
          <w:rFonts w:ascii="Times New Roman" w:hAnsi="Times New Roman"/>
          <w:noProof/>
          <w:sz w:val="24"/>
        </w:rPr>
        <w:t xml:space="preserve">. </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 xml:space="preserve">Conformément au considérant 4 du règlement (UE, Euratom) 2015/2264, les institutions ont également traduit d’autres contenus pour accroître la disponibilité des </w:t>
      </w:r>
      <w:r>
        <w:rPr>
          <w:rFonts w:ascii="Times New Roman" w:hAnsi="Times New Roman"/>
          <w:noProof/>
          <w:sz w:val="24"/>
        </w:rPr>
        <w:t>informations en irlandais sur les activités de l’Union. Grâce à la combinaison des textes réglementaires et de ces autres contenus, les institutions</w:t>
      </w:r>
      <w:r>
        <w:rPr>
          <w:rFonts w:ascii="Times New Roman" w:hAnsi="Times New Roman"/>
          <w:noProof/>
          <w:sz w:val="24"/>
          <w:vertAlign w:val="superscript"/>
        </w:rPr>
        <w:footnoteReference w:id="6"/>
      </w:r>
      <w:r>
        <w:rPr>
          <w:rFonts w:ascii="Times New Roman" w:hAnsi="Times New Roman"/>
          <w:noProof/>
          <w:sz w:val="24"/>
        </w:rPr>
        <w:t xml:space="preserve"> ont </w:t>
      </w:r>
      <w:r>
        <w:rPr>
          <w:rFonts w:ascii="Times New Roman" w:hAnsi="Times New Roman"/>
          <w:b/>
          <w:noProof/>
          <w:sz w:val="24"/>
        </w:rPr>
        <w:t>plus que doublé le volume de la traduction vers l’irlandais</w:t>
      </w:r>
      <w:r>
        <w:rPr>
          <w:rFonts w:ascii="Times New Roman" w:hAnsi="Times New Roman"/>
          <w:noProof/>
          <w:sz w:val="24"/>
        </w:rPr>
        <w:t xml:space="preserve"> depuis 2016. </w:t>
      </w:r>
    </w:p>
    <w:p w:rsidR="00D87E29" w:rsidRDefault="0060536A">
      <w:pPr>
        <w:spacing w:after="240" w:line="240" w:lineRule="auto"/>
        <w:jc w:val="both"/>
        <w:rPr>
          <w:rFonts w:ascii="Times New Roman" w:hAnsi="Times New Roman" w:cs="Times New Roman"/>
          <w:noProof/>
          <w:sz w:val="24"/>
          <w:szCs w:val="24"/>
        </w:rPr>
      </w:pPr>
      <w:r>
        <w:rPr>
          <w:rFonts w:ascii="Times New Roman" w:hAnsi="Times New Roman"/>
          <w:noProof/>
          <w:sz w:val="24"/>
        </w:rPr>
        <w:t>Afin de préparer les prochai</w:t>
      </w:r>
      <w:r>
        <w:rPr>
          <w:rFonts w:ascii="Times New Roman" w:hAnsi="Times New Roman"/>
          <w:noProof/>
          <w:sz w:val="24"/>
        </w:rPr>
        <w:t xml:space="preserve">nes augmentations progressives prévues pour 2020 et 2021, la Commission a analysé les prévisions de la demande par type de document. Selon les prévisions, les augmentations de 2020 et de 2021 pourraient donner lieu à un </w:t>
      </w:r>
      <w:r>
        <w:rPr>
          <w:rFonts w:ascii="Times New Roman" w:hAnsi="Times New Roman"/>
          <w:b/>
          <w:noProof/>
          <w:sz w:val="24"/>
        </w:rPr>
        <w:t>nouveau doublement du volume</w:t>
      </w:r>
      <w:r>
        <w:rPr>
          <w:rFonts w:ascii="Times New Roman" w:hAnsi="Times New Roman"/>
          <w:noProof/>
          <w:sz w:val="24"/>
        </w:rPr>
        <w:t xml:space="preserve"> pour ce</w:t>
      </w:r>
      <w:r>
        <w:rPr>
          <w:rFonts w:ascii="Times New Roman" w:hAnsi="Times New Roman"/>
          <w:noProof/>
          <w:sz w:val="24"/>
        </w:rPr>
        <w:t>rtaines institutions entre la fin 2018 et l’année 2021. À l’expiration de la dérogation, en 2022, le segment de la demande restant (à savoir, les communications, les consultations et le matériel d’information) devrait entraîner une augmentation supplémenta</w:t>
      </w:r>
      <w:r>
        <w:rPr>
          <w:rFonts w:ascii="Times New Roman" w:hAnsi="Times New Roman"/>
          <w:noProof/>
          <w:sz w:val="24"/>
        </w:rPr>
        <w:t>ire de 40 % de la demande globale de traduction vers l’irlandais à la Commission</w:t>
      </w:r>
      <w:r>
        <w:rPr>
          <w:rFonts w:ascii="Times New Roman" w:hAnsi="Times New Roman"/>
          <w:b/>
          <w:noProof/>
          <w:sz w:val="24"/>
          <w:vertAlign w:val="superscript"/>
        </w:rPr>
        <w:footnoteReference w:id="7"/>
      </w:r>
      <w:r>
        <w:rPr>
          <w:rFonts w:ascii="Times New Roman" w:hAnsi="Times New Roman"/>
          <w:noProof/>
          <w:sz w:val="24"/>
        </w:rPr>
        <w:t>. En conséquence, la demande relative à l’irlandais devrait également augmenter de manière significative dans tous les autres services linguistiques.</w:t>
      </w:r>
      <w:r>
        <w:rPr>
          <w:rFonts w:ascii="Times New Roman" w:hAnsi="Times New Roman"/>
          <w:b/>
          <w:noProof/>
          <w:sz w:val="24"/>
          <w:vertAlign w:val="superscript"/>
        </w:rPr>
        <w:t xml:space="preserve"> </w:t>
      </w:r>
    </w:p>
    <w:p w:rsidR="00D87E29" w:rsidRDefault="0060536A">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b/>
          <w:i/>
          <w:noProof/>
          <w:sz w:val="24"/>
        </w:rPr>
        <w:t>c.</w:t>
      </w:r>
      <w:r>
        <w:rPr>
          <w:noProof/>
        </w:rPr>
        <w:tab/>
      </w:r>
      <w:r>
        <w:rPr>
          <w:rFonts w:ascii="Times New Roman" w:eastAsiaTheme="majorEastAsia" w:hAnsi="Times New Roman"/>
          <w:b/>
          <w:i/>
          <w:noProof/>
          <w:sz w:val="24"/>
        </w:rPr>
        <w:t>Recrutement de membre</w:t>
      </w:r>
      <w:r>
        <w:rPr>
          <w:rFonts w:ascii="Times New Roman" w:eastAsiaTheme="majorEastAsia" w:hAnsi="Times New Roman"/>
          <w:b/>
          <w:i/>
          <w:noProof/>
          <w:sz w:val="24"/>
        </w:rPr>
        <w:t xml:space="preserve">s du personnel de langue irlandaise </w:t>
      </w:r>
    </w:p>
    <w:p w:rsidR="00D87E29" w:rsidRDefault="0060536A">
      <w:pPr>
        <w:spacing w:after="240" w:line="240" w:lineRule="auto"/>
        <w:jc w:val="both"/>
        <w:rPr>
          <w:rFonts w:ascii="Times New Roman" w:eastAsia="Calibri" w:hAnsi="Times New Roman" w:cs="Times New Roman"/>
          <w:b/>
          <w:noProof/>
          <w:sz w:val="24"/>
          <w:szCs w:val="24"/>
        </w:rPr>
      </w:pPr>
      <w:r>
        <w:rPr>
          <w:rFonts w:ascii="Times New Roman" w:hAnsi="Times New Roman"/>
          <w:noProof/>
          <w:sz w:val="24"/>
        </w:rPr>
        <w:t xml:space="preserve">L’élément clé de la capacité de mise en œuvre du règlement (UE, Euratom) 2015/2264 est de parvenir à un </w:t>
      </w:r>
      <w:r>
        <w:rPr>
          <w:rFonts w:ascii="Times New Roman" w:hAnsi="Times New Roman"/>
          <w:b/>
          <w:noProof/>
          <w:sz w:val="24"/>
        </w:rPr>
        <w:t>nombre suffisant de membres du personnel de langue irlandaise</w:t>
      </w:r>
      <w:r>
        <w:rPr>
          <w:rFonts w:ascii="Times New Roman" w:hAnsi="Times New Roman"/>
          <w:noProof/>
          <w:sz w:val="24"/>
        </w:rPr>
        <w:t>. En 2015, les institutions et l’Irlande ont identifié</w:t>
      </w:r>
      <w:r>
        <w:rPr>
          <w:rFonts w:ascii="Times New Roman" w:hAnsi="Times New Roman"/>
          <w:noProof/>
          <w:sz w:val="24"/>
        </w:rPr>
        <w:t xml:space="preserve"> le principal défi à relever avant la fin de la dérogation: le nombre limité d’experts de langue irlandaise disponibles. En conséquence, afin de renforcer les capacités de production d’ici au 1</w:t>
      </w:r>
      <w:r>
        <w:rPr>
          <w:rFonts w:ascii="Times New Roman" w:hAnsi="Times New Roman"/>
          <w:noProof/>
          <w:sz w:val="24"/>
          <w:vertAlign w:val="superscript"/>
        </w:rPr>
        <w:t>er</w:t>
      </w:r>
      <w:r>
        <w:rPr>
          <w:rFonts w:ascii="Times New Roman" w:hAnsi="Times New Roman"/>
          <w:noProof/>
          <w:sz w:val="24"/>
        </w:rPr>
        <w:t xml:space="preserve"> janvier 2022, les institutions ont prévu une série de </w:t>
      </w:r>
      <w:r>
        <w:rPr>
          <w:rFonts w:ascii="Times New Roman" w:hAnsi="Times New Roman"/>
          <w:b/>
          <w:noProof/>
          <w:sz w:val="24"/>
        </w:rPr>
        <w:t>concou</w:t>
      </w:r>
      <w:r>
        <w:rPr>
          <w:rFonts w:ascii="Times New Roman" w:hAnsi="Times New Roman"/>
          <w:b/>
          <w:noProof/>
          <w:sz w:val="24"/>
        </w:rPr>
        <w:t>rs EPSO pour 2016, 2018 et 2020</w:t>
      </w:r>
      <w:r>
        <w:rPr>
          <w:rFonts w:ascii="Times New Roman" w:hAnsi="Times New Roman"/>
          <w:noProof/>
          <w:sz w:val="24"/>
        </w:rPr>
        <w:t>.</w:t>
      </w:r>
    </w:p>
    <w:p w:rsidR="00D87E29" w:rsidRDefault="0060536A">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Une estimation des besoins de recrutement de toutes les institutions a été réalisée sur la base des effectifs de 2014</w:t>
      </w:r>
      <w:r>
        <w:rPr>
          <w:rFonts w:ascii="Times New Roman" w:hAnsi="Times New Roman"/>
          <w:noProof/>
          <w:sz w:val="24"/>
          <w:vertAlign w:val="superscript"/>
        </w:rPr>
        <w:footnoteReference w:id="8"/>
      </w:r>
      <w:r>
        <w:rPr>
          <w:rFonts w:ascii="Times New Roman" w:hAnsi="Times New Roman"/>
          <w:noProof/>
          <w:sz w:val="24"/>
        </w:rPr>
        <w:t>. Depuis, les ressources ont fait l’objet d’un examen et des ajustements sont en cours en ce qui concerne</w:t>
      </w:r>
      <w:r>
        <w:rPr>
          <w:rFonts w:ascii="Times New Roman" w:hAnsi="Times New Roman"/>
          <w:noProof/>
          <w:sz w:val="24"/>
        </w:rPr>
        <w:t xml:space="preserve"> la composition des ressources en personnel interne, des capacités de traduction free-lance et des ressources dans le domaine des technologies du langage. Pour assurer l’augmentation du volume de traduction en irlandais, il est essentiel de continuer à dév</w:t>
      </w:r>
      <w:r>
        <w:rPr>
          <w:rFonts w:ascii="Times New Roman" w:hAnsi="Times New Roman"/>
          <w:noProof/>
          <w:sz w:val="24"/>
        </w:rPr>
        <w:t>elopper et à combiner, à des degrés divers dans les différentes institutions, ces trois principaux aspects des capacités pour la langue irlandaise.</w:t>
      </w:r>
    </w:p>
    <w:p w:rsidR="00D87E29" w:rsidRDefault="0060536A">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Les institutions continuent à attribuer de nouveaux postes à leurs départements linguistiques irlandais. Dep</w:t>
      </w:r>
      <w:r>
        <w:rPr>
          <w:rFonts w:ascii="Times New Roman" w:hAnsi="Times New Roman"/>
          <w:noProof/>
          <w:sz w:val="24"/>
        </w:rPr>
        <w:t xml:space="preserve">uis la fin de l’année 2015, </w:t>
      </w:r>
      <w:r>
        <w:rPr>
          <w:rFonts w:ascii="Times New Roman" w:hAnsi="Times New Roman"/>
          <w:b/>
          <w:noProof/>
          <w:sz w:val="24"/>
        </w:rPr>
        <w:t>le nombre de membres du personnel interne de langue irlandaise est passé de 58 à 102</w:t>
      </w:r>
      <w:r>
        <w:rPr>
          <w:rFonts w:ascii="Times New Roman" w:hAnsi="Times New Roman"/>
          <w:noProof/>
          <w:sz w:val="24"/>
        </w:rPr>
        <w:t>.</w:t>
      </w:r>
    </w:p>
    <w:p w:rsidR="00D87E29" w:rsidRDefault="0060536A">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Des concours EPSO pour traducteurs et assistants linguistiques GA</w:t>
      </w:r>
      <w:r>
        <w:rPr>
          <w:rFonts w:ascii="Times New Roman" w:hAnsi="Times New Roman"/>
          <w:noProof/>
          <w:sz w:val="24"/>
          <w:vertAlign w:val="superscript"/>
        </w:rPr>
        <w:footnoteReference w:id="9"/>
      </w:r>
      <w:r>
        <w:rPr>
          <w:rFonts w:ascii="Times New Roman" w:hAnsi="Times New Roman"/>
          <w:noProof/>
          <w:sz w:val="24"/>
        </w:rPr>
        <w:t xml:space="preserve"> ont été lancés en 2016. Le concours de traducteurs a attiré 210 candidats e</w:t>
      </w:r>
      <w:r>
        <w:rPr>
          <w:rFonts w:ascii="Times New Roman" w:hAnsi="Times New Roman"/>
          <w:noProof/>
          <w:sz w:val="24"/>
        </w:rPr>
        <w:t>t a permis d’obtenir 10 lauréats par rapport à un objectif de 62. Sur ces 10 lauréats, 8 étaient déjà employés par les institutions</w:t>
      </w:r>
      <w:r>
        <w:rPr>
          <w:rFonts w:ascii="Times New Roman" w:hAnsi="Times New Roman"/>
          <w:noProof/>
          <w:sz w:val="24"/>
          <w:vertAlign w:val="superscript"/>
        </w:rPr>
        <w:footnoteReference w:id="10"/>
      </w:r>
      <w:r>
        <w:rPr>
          <w:rFonts w:ascii="Times New Roman" w:hAnsi="Times New Roman"/>
          <w:noProof/>
          <w:sz w:val="24"/>
        </w:rPr>
        <w:t xml:space="preserve"> sur la base de contrats temporaires, de sorte que le gain net en termes de capacités était de 2 personnes. Pour le concours</w:t>
      </w:r>
      <w:r>
        <w:rPr>
          <w:rFonts w:ascii="Times New Roman" w:hAnsi="Times New Roman"/>
          <w:noProof/>
          <w:sz w:val="24"/>
        </w:rPr>
        <w:t xml:space="preserve"> d’assistants linguistiques, l’objectif de recrutement était de 13 personnes; 9 candidats sur 118 ont réussi, dont 6 étaient déjà employés par les institutions</w:t>
      </w:r>
      <w:r>
        <w:rPr>
          <w:rFonts w:ascii="Times New Roman" w:hAnsi="Times New Roman"/>
          <w:noProof/>
          <w:sz w:val="24"/>
          <w:vertAlign w:val="superscript"/>
        </w:rPr>
        <w:footnoteReference w:id="11"/>
      </w:r>
      <w:r>
        <w:rPr>
          <w:rFonts w:ascii="Times New Roman" w:hAnsi="Times New Roman"/>
          <w:noProof/>
          <w:sz w:val="24"/>
        </w:rPr>
        <w:t xml:space="preserve"> sur la base de contrats temporaires, ce qui représente un gain net de 3 personnes en termes de </w:t>
      </w:r>
      <w:r>
        <w:rPr>
          <w:rFonts w:ascii="Times New Roman" w:hAnsi="Times New Roman"/>
          <w:noProof/>
          <w:sz w:val="24"/>
        </w:rPr>
        <w:t>capacités.</w:t>
      </w:r>
    </w:p>
    <w:p w:rsidR="00D87E29" w:rsidRDefault="0060536A">
      <w:pPr>
        <w:spacing w:after="240"/>
        <w:jc w:val="both"/>
        <w:rPr>
          <w:rFonts w:ascii="Times New Roman" w:eastAsia="Calibri" w:hAnsi="Times New Roman" w:cs="Times New Roman"/>
          <w:noProof/>
          <w:sz w:val="24"/>
          <w:szCs w:val="24"/>
        </w:rPr>
      </w:pPr>
      <w:r>
        <w:rPr>
          <w:rFonts w:ascii="Times New Roman" w:hAnsi="Times New Roman"/>
          <w:noProof/>
          <w:sz w:val="24"/>
        </w:rPr>
        <w:t xml:space="preserve">Un concours EPSO de juristes-linguistes a été lancé en 2017. Il a attiré 26 candidats et permis d’obtenir 3 lauréats. </w:t>
      </w:r>
    </w:p>
    <w:p w:rsidR="00D87E29" w:rsidRDefault="0060536A">
      <w:pPr>
        <w:spacing w:after="240"/>
        <w:jc w:val="both"/>
        <w:rPr>
          <w:rFonts w:ascii="Times New Roman" w:eastAsia="Calibri" w:hAnsi="Times New Roman" w:cs="Times New Roman"/>
          <w:noProof/>
          <w:sz w:val="24"/>
          <w:szCs w:val="24"/>
        </w:rPr>
      </w:pPr>
      <w:r>
        <w:rPr>
          <w:rFonts w:ascii="Times New Roman" w:hAnsi="Times New Roman"/>
          <w:noProof/>
          <w:sz w:val="24"/>
        </w:rPr>
        <w:t>Le concours EPSO de 2018 pour traducteurs a attiré 190 candidats et fourni 15 lauréats. Pour optimiser les chances de succès d</w:t>
      </w:r>
      <w:r>
        <w:rPr>
          <w:rFonts w:ascii="Times New Roman" w:hAnsi="Times New Roman"/>
          <w:noProof/>
          <w:sz w:val="24"/>
        </w:rPr>
        <w:t>e la procédure de sélection, le délai de candidature a été prolongé de 2 semaines et la séquence des épreuves a été modifiée, de sorte que les épreuves de traduction ont précédé les tests informatisés.</w:t>
      </w:r>
    </w:p>
    <w:p w:rsidR="00D87E29" w:rsidRDefault="0060536A">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Les concours EPSO destinés aux linguistes irlandais co</w:t>
      </w:r>
      <w:r>
        <w:rPr>
          <w:rFonts w:ascii="Times New Roman" w:hAnsi="Times New Roman"/>
          <w:noProof/>
          <w:sz w:val="24"/>
        </w:rPr>
        <w:t>ntinuent de susciter un niveau raisonnable d’intérêt, mais il demeure difficile d’obtenir des taux de réussite correspondant aux besoins prévus.</w:t>
      </w:r>
    </w:p>
    <w:p w:rsidR="00D87E29" w:rsidRDefault="0060536A">
      <w:pPr>
        <w:spacing w:after="120"/>
        <w:ind w:left="567" w:hanging="567"/>
        <w:jc w:val="both"/>
        <w:rPr>
          <w:rFonts w:ascii="Times New Roman" w:eastAsia="Calibri" w:hAnsi="Times New Roman" w:cs="Times New Roman"/>
          <w:b/>
          <w:noProof/>
          <w:sz w:val="24"/>
          <w:szCs w:val="24"/>
        </w:rPr>
      </w:pPr>
      <w:r>
        <w:rPr>
          <w:rFonts w:ascii="Times New Roman" w:hAnsi="Times New Roman"/>
          <w:b/>
          <w:noProof/>
          <w:sz w:val="24"/>
        </w:rPr>
        <w:t>Tableau 1:</w:t>
      </w:r>
      <w:r>
        <w:rPr>
          <w:noProof/>
        </w:rPr>
        <w:tab/>
      </w:r>
      <w:r>
        <w:rPr>
          <w:rFonts w:ascii="Times New Roman" w:hAnsi="Times New Roman"/>
          <w:b/>
          <w:noProof/>
          <w:sz w:val="24"/>
        </w:rPr>
        <w:t>concours EPSO, 2016-2018</w:t>
      </w:r>
    </w:p>
    <w:tbl>
      <w:tblPr>
        <w:tblW w:w="0" w:type="auto"/>
        <w:tblInd w:w="-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69"/>
        <w:gridCol w:w="1418"/>
        <w:gridCol w:w="1134"/>
        <w:gridCol w:w="1417"/>
        <w:gridCol w:w="1559"/>
        <w:gridCol w:w="1418"/>
        <w:gridCol w:w="1276"/>
      </w:tblGrid>
      <w:tr w:rsidR="00D87E29">
        <w:trPr>
          <w:cantSplit/>
          <w:trHeight w:val="20"/>
        </w:trPr>
        <w:tc>
          <w:tcPr>
            <w:tcW w:w="769" w:type="dxa"/>
            <w:tcBorders>
              <w:top w:val="single" w:sz="8" w:space="0" w:color="A3A3A3"/>
              <w:left w:val="single" w:sz="8" w:space="0" w:color="A3A3A3"/>
              <w:bottom w:val="single" w:sz="8" w:space="0" w:color="A3A3A3"/>
              <w:right w:val="single" w:sz="8" w:space="0" w:color="A3A3A3"/>
            </w:tcBorders>
          </w:tcPr>
          <w:p w:rsidR="00D87E29" w:rsidRDefault="0060536A">
            <w:pPr>
              <w:spacing w:after="0"/>
              <w:jc w:val="center"/>
              <w:rPr>
                <w:rFonts w:ascii="Times New Roman" w:hAnsi="Times New Roman" w:cs="Times New Roman"/>
                <w:b/>
                <w:noProof/>
                <w:sz w:val="20"/>
                <w:szCs w:val="20"/>
              </w:rPr>
            </w:pPr>
            <w:r>
              <w:rPr>
                <w:rFonts w:ascii="Times New Roman" w:hAnsi="Times New Roman"/>
                <w:b/>
                <w:noProof/>
                <w:sz w:val="20"/>
              </w:rPr>
              <w:t>Année</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87E29" w:rsidRDefault="0060536A">
            <w:pPr>
              <w:spacing w:after="0"/>
              <w:jc w:val="center"/>
              <w:rPr>
                <w:rFonts w:ascii="Times New Roman" w:hAnsi="Times New Roman" w:cs="Times New Roman"/>
                <w:b/>
                <w:noProof/>
                <w:sz w:val="20"/>
                <w:szCs w:val="20"/>
              </w:rPr>
            </w:pPr>
            <w:r>
              <w:rPr>
                <w:rFonts w:ascii="Times New Roman" w:hAnsi="Times New Roman"/>
                <w:b/>
                <w:noProof/>
                <w:sz w:val="20"/>
              </w:rPr>
              <w:t>Concours</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87E29" w:rsidRDefault="0060536A">
            <w:pPr>
              <w:spacing w:after="0"/>
              <w:jc w:val="center"/>
              <w:rPr>
                <w:rFonts w:ascii="Times New Roman" w:hAnsi="Times New Roman" w:cs="Times New Roman"/>
                <w:b/>
                <w:noProof/>
                <w:sz w:val="20"/>
                <w:szCs w:val="20"/>
              </w:rPr>
            </w:pPr>
            <w:r>
              <w:rPr>
                <w:rFonts w:ascii="Times New Roman" w:hAnsi="Times New Roman"/>
                <w:b/>
                <w:noProof/>
                <w:sz w:val="20"/>
              </w:rPr>
              <w:t>Nombre de candidats</w:t>
            </w:r>
          </w:p>
        </w:tc>
        <w:tc>
          <w:tcPr>
            <w:tcW w:w="1417" w:type="dxa"/>
            <w:tcBorders>
              <w:top w:val="single" w:sz="8" w:space="0" w:color="A3A3A3"/>
              <w:left w:val="single" w:sz="8" w:space="0" w:color="A3A3A3"/>
              <w:bottom w:val="single" w:sz="8" w:space="0" w:color="A3A3A3"/>
              <w:right w:val="single" w:sz="8" w:space="0" w:color="A3A3A3"/>
            </w:tcBorders>
          </w:tcPr>
          <w:p w:rsidR="00D87E29" w:rsidRDefault="0060536A">
            <w:pPr>
              <w:spacing w:after="0"/>
              <w:jc w:val="center"/>
              <w:rPr>
                <w:rFonts w:ascii="Times New Roman" w:hAnsi="Times New Roman" w:cs="Times New Roman"/>
                <w:b/>
                <w:noProof/>
                <w:sz w:val="20"/>
                <w:szCs w:val="20"/>
              </w:rPr>
            </w:pPr>
            <w:r>
              <w:rPr>
                <w:rFonts w:ascii="Times New Roman" w:hAnsi="Times New Roman"/>
                <w:b/>
                <w:noProof/>
                <w:sz w:val="20"/>
              </w:rPr>
              <w:t>Admis aux épreuves de traduction</w:t>
            </w:r>
          </w:p>
        </w:tc>
        <w:tc>
          <w:tcPr>
            <w:tcW w:w="1559" w:type="dxa"/>
            <w:tcBorders>
              <w:top w:val="single" w:sz="8" w:space="0" w:color="A3A3A3"/>
              <w:left w:val="single" w:sz="8" w:space="0" w:color="A3A3A3"/>
              <w:bottom w:val="single" w:sz="8" w:space="0" w:color="A3A3A3"/>
              <w:right w:val="single" w:sz="8" w:space="0" w:color="A3A3A3"/>
            </w:tcBorders>
          </w:tcPr>
          <w:p w:rsidR="00D87E29" w:rsidRDefault="0060536A">
            <w:pPr>
              <w:spacing w:after="0"/>
              <w:jc w:val="center"/>
              <w:rPr>
                <w:rFonts w:ascii="Times New Roman" w:hAnsi="Times New Roman" w:cs="Times New Roman"/>
                <w:b/>
                <w:noProof/>
                <w:sz w:val="20"/>
                <w:szCs w:val="20"/>
              </w:rPr>
            </w:pPr>
            <w:r>
              <w:rPr>
                <w:rFonts w:ascii="Times New Roman" w:hAnsi="Times New Roman"/>
                <w:b/>
                <w:noProof/>
                <w:sz w:val="20"/>
              </w:rPr>
              <w:t>Invités</w:t>
            </w:r>
            <w:r>
              <w:rPr>
                <w:rFonts w:ascii="Times New Roman" w:hAnsi="Times New Roman"/>
                <w:b/>
                <w:noProof/>
                <w:sz w:val="20"/>
              </w:rPr>
              <w:t xml:space="preserve"> au centre d’évaluation</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87E29" w:rsidRDefault="0060536A">
            <w:pPr>
              <w:spacing w:after="0"/>
              <w:jc w:val="center"/>
              <w:rPr>
                <w:rFonts w:ascii="Times New Roman" w:hAnsi="Times New Roman" w:cs="Times New Roman"/>
                <w:b/>
                <w:noProof/>
                <w:sz w:val="20"/>
                <w:szCs w:val="20"/>
              </w:rPr>
            </w:pPr>
            <w:r>
              <w:rPr>
                <w:rFonts w:ascii="Times New Roman" w:hAnsi="Times New Roman"/>
                <w:b/>
                <w:noProof/>
                <w:sz w:val="20"/>
              </w:rPr>
              <w:t>Liste de réserve EPSO</w:t>
            </w:r>
          </w:p>
        </w:tc>
        <w:tc>
          <w:tcPr>
            <w:tcW w:w="1276" w:type="dxa"/>
            <w:tcBorders>
              <w:top w:val="single" w:sz="8" w:space="0" w:color="A3A3A3"/>
              <w:left w:val="single" w:sz="8" w:space="0" w:color="A3A3A3"/>
              <w:bottom w:val="single" w:sz="8" w:space="0" w:color="A3A3A3"/>
              <w:right w:val="single" w:sz="8" w:space="0" w:color="A3A3A3"/>
            </w:tcBorders>
          </w:tcPr>
          <w:p w:rsidR="00D87E29" w:rsidRDefault="0060536A">
            <w:pPr>
              <w:spacing w:after="0"/>
              <w:jc w:val="center"/>
              <w:rPr>
                <w:rFonts w:ascii="Times New Roman" w:hAnsi="Times New Roman" w:cs="Times New Roman"/>
                <w:b/>
                <w:noProof/>
                <w:sz w:val="20"/>
                <w:szCs w:val="20"/>
              </w:rPr>
            </w:pPr>
            <w:r>
              <w:rPr>
                <w:rFonts w:ascii="Times New Roman" w:hAnsi="Times New Roman"/>
                <w:b/>
                <w:noProof/>
                <w:sz w:val="20"/>
              </w:rPr>
              <w:t xml:space="preserve">Cible </w:t>
            </w:r>
          </w:p>
        </w:tc>
      </w:tr>
      <w:tr w:rsidR="00D87E29">
        <w:trPr>
          <w:cantSplit/>
          <w:trHeight w:val="20"/>
        </w:trPr>
        <w:tc>
          <w:tcPr>
            <w:tcW w:w="769" w:type="dxa"/>
            <w:vMerge w:val="restart"/>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b/>
                <w:bCs/>
                <w:noProof/>
                <w:sz w:val="20"/>
                <w:szCs w:val="20"/>
              </w:rPr>
            </w:pPr>
            <w:r>
              <w:rPr>
                <w:rFonts w:ascii="Times New Roman" w:hAnsi="Times New Roman"/>
                <w:b/>
                <w:noProof/>
                <w:sz w:val="20"/>
              </w:rPr>
              <w:t>2016</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hideMark/>
          </w:tcPr>
          <w:p w:rsidR="00D87E29" w:rsidRDefault="0060536A">
            <w:pPr>
              <w:spacing w:after="0"/>
              <w:jc w:val="both"/>
              <w:rPr>
                <w:rFonts w:ascii="Times New Roman" w:hAnsi="Times New Roman" w:cs="Times New Roman"/>
                <w:noProof/>
                <w:sz w:val="20"/>
                <w:szCs w:val="20"/>
              </w:rPr>
            </w:pPr>
            <w:r>
              <w:rPr>
                <w:rFonts w:ascii="Times New Roman" w:hAnsi="Times New Roman"/>
                <w:noProof/>
                <w:sz w:val="20"/>
              </w:rPr>
              <w:t>Traducteurs</w:t>
            </w:r>
          </w:p>
        </w:tc>
        <w:tc>
          <w:tcPr>
            <w:tcW w:w="1134" w:type="dxa"/>
            <w:vMerge w:val="restart"/>
            <w:tcBorders>
              <w:top w:val="single" w:sz="8" w:space="0" w:color="A3A3A3"/>
              <w:left w:val="single" w:sz="8" w:space="0" w:color="A3A3A3"/>
              <w:right w:val="single" w:sz="8" w:space="0" w:color="A3A3A3"/>
            </w:tcBorders>
            <w:tcMar>
              <w:top w:w="40" w:type="dxa"/>
              <w:left w:w="60" w:type="dxa"/>
              <w:bottom w:w="40" w:type="dxa"/>
              <w:right w:w="60" w:type="dxa"/>
            </w:tcMar>
            <w:hideMark/>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210</w:t>
            </w:r>
          </w:p>
        </w:tc>
        <w:tc>
          <w:tcPr>
            <w:tcW w:w="1417" w:type="dxa"/>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43*</w:t>
            </w:r>
          </w:p>
        </w:tc>
        <w:tc>
          <w:tcPr>
            <w:tcW w:w="1559" w:type="dxa"/>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10</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hideMark/>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10</w:t>
            </w:r>
          </w:p>
        </w:tc>
        <w:tc>
          <w:tcPr>
            <w:tcW w:w="1276" w:type="dxa"/>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bCs/>
                <w:noProof/>
                <w:sz w:val="20"/>
                <w:szCs w:val="20"/>
              </w:rPr>
            </w:pPr>
            <w:r>
              <w:rPr>
                <w:rFonts w:ascii="Times New Roman" w:hAnsi="Times New Roman"/>
                <w:noProof/>
                <w:sz w:val="20"/>
              </w:rPr>
              <w:t>62</w:t>
            </w:r>
          </w:p>
        </w:tc>
      </w:tr>
      <w:tr w:rsidR="00D87E29">
        <w:trPr>
          <w:cantSplit/>
          <w:trHeight w:val="41"/>
        </w:trPr>
        <w:tc>
          <w:tcPr>
            <w:tcW w:w="769" w:type="dxa"/>
            <w:vMerge/>
            <w:tcBorders>
              <w:left w:val="single" w:sz="8" w:space="0" w:color="A3A3A3"/>
              <w:right w:val="single" w:sz="8" w:space="0" w:color="A3A3A3"/>
            </w:tcBorders>
          </w:tcPr>
          <w:p w:rsidR="00D87E29" w:rsidRDefault="00D87E29">
            <w:pPr>
              <w:spacing w:after="0"/>
              <w:jc w:val="center"/>
              <w:rPr>
                <w:rFonts w:ascii="Times New Roman" w:hAnsi="Times New Roman" w:cs="Times New Roman"/>
                <w:b/>
                <w:bCs/>
                <w:noProof/>
                <w:sz w:val="20"/>
                <w:szCs w:val="20"/>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spacing w:after="0"/>
              <w:jc w:val="both"/>
              <w:rPr>
                <w:rFonts w:ascii="Times New Roman" w:hAnsi="Times New Roman" w:cs="Times New Roman"/>
                <w:bCs/>
                <w:noProof/>
                <w:sz w:val="20"/>
                <w:szCs w:val="20"/>
              </w:rPr>
            </w:pPr>
          </w:p>
        </w:tc>
        <w:tc>
          <w:tcPr>
            <w:tcW w:w="1134"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spacing w:after="0"/>
              <w:jc w:val="center"/>
              <w:rPr>
                <w:rFonts w:ascii="Times New Roman" w:hAnsi="Times New Roman" w:cs="Times New Roman"/>
                <w:noProof/>
                <w:sz w:val="20"/>
                <w:szCs w:val="20"/>
              </w:rPr>
            </w:pPr>
          </w:p>
        </w:tc>
        <w:tc>
          <w:tcPr>
            <w:tcW w:w="1417" w:type="dxa"/>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noProof/>
                <w:sz w:val="20"/>
                <w:szCs w:val="20"/>
              </w:rPr>
            </w:pPr>
          </w:p>
        </w:tc>
        <w:tc>
          <w:tcPr>
            <w:tcW w:w="1559" w:type="dxa"/>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noProof/>
                <w:sz w:val="20"/>
                <w:szCs w:val="20"/>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spacing w:after="0"/>
              <w:jc w:val="center"/>
              <w:rPr>
                <w:rFonts w:ascii="Times New Roman" w:hAnsi="Times New Roman" w:cs="Times New Roman"/>
                <w:bCs/>
                <w:noProof/>
                <w:sz w:val="20"/>
                <w:szCs w:val="20"/>
              </w:rPr>
            </w:pPr>
          </w:p>
        </w:tc>
        <w:tc>
          <w:tcPr>
            <w:tcW w:w="1276" w:type="dxa"/>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bCs/>
                <w:noProof/>
                <w:sz w:val="20"/>
                <w:szCs w:val="20"/>
              </w:rPr>
            </w:pPr>
          </w:p>
        </w:tc>
      </w:tr>
      <w:tr w:rsidR="00D87E29">
        <w:trPr>
          <w:cantSplit/>
          <w:trHeight w:val="20"/>
        </w:trPr>
        <w:tc>
          <w:tcPr>
            <w:tcW w:w="769" w:type="dxa"/>
            <w:vMerge/>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b/>
                <w:bCs/>
                <w:noProof/>
                <w:sz w:val="20"/>
                <w:szCs w:val="20"/>
              </w:rPr>
            </w:pP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87E29" w:rsidRDefault="0060536A">
            <w:pPr>
              <w:spacing w:after="0"/>
              <w:jc w:val="both"/>
              <w:rPr>
                <w:rFonts w:ascii="Times New Roman" w:hAnsi="Times New Roman" w:cs="Times New Roman"/>
                <w:noProof/>
                <w:sz w:val="20"/>
                <w:szCs w:val="20"/>
              </w:rPr>
            </w:pPr>
            <w:r>
              <w:rPr>
                <w:rFonts w:ascii="Times New Roman" w:hAnsi="Times New Roman"/>
                <w:noProof/>
                <w:sz w:val="20"/>
              </w:rPr>
              <w:t>Assistants</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118</w:t>
            </w:r>
          </w:p>
        </w:tc>
        <w:tc>
          <w:tcPr>
            <w:tcW w:w="1417" w:type="dxa"/>
            <w:tcBorders>
              <w:top w:val="single" w:sz="8" w:space="0" w:color="A3A3A3"/>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noProof/>
                <w:sz w:val="20"/>
                <w:szCs w:val="20"/>
              </w:rPr>
            </w:pPr>
          </w:p>
        </w:tc>
        <w:tc>
          <w:tcPr>
            <w:tcW w:w="1559" w:type="dxa"/>
            <w:tcBorders>
              <w:top w:val="single" w:sz="8" w:space="0" w:color="A3A3A3"/>
              <w:left w:val="single" w:sz="8" w:space="0" w:color="A3A3A3"/>
              <w:bottom w:val="single" w:sz="8" w:space="0" w:color="A3A3A3"/>
              <w:right w:val="single" w:sz="8" w:space="0" w:color="A3A3A3"/>
            </w:tcBorders>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28</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9</w:t>
            </w:r>
          </w:p>
        </w:tc>
        <w:tc>
          <w:tcPr>
            <w:tcW w:w="1276" w:type="dxa"/>
            <w:tcBorders>
              <w:top w:val="single" w:sz="8" w:space="0" w:color="A3A3A3"/>
              <w:left w:val="single" w:sz="8" w:space="0" w:color="A3A3A3"/>
              <w:bottom w:val="single" w:sz="8" w:space="0" w:color="A3A3A3"/>
              <w:right w:val="single" w:sz="8" w:space="0" w:color="A3A3A3"/>
            </w:tcBorders>
          </w:tcPr>
          <w:p w:rsidR="00D87E29" w:rsidRDefault="0060536A">
            <w:pPr>
              <w:spacing w:after="0"/>
              <w:jc w:val="center"/>
              <w:rPr>
                <w:rFonts w:ascii="Times New Roman" w:hAnsi="Times New Roman" w:cs="Times New Roman"/>
                <w:bCs/>
                <w:noProof/>
                <w:sz w:val="20"/>
                <w:szCs w:val="20"/>
              </w:rPr>
            </w:pPr>
            <w:r>
              <w:rPr>
                <w:rFonts w:ascii="Times New Roman" w:hAnsi="Times New Roman"/>
                <w:noProof/>
                <w:sz w:val="20"/>
              </w:rPr>
              <w:t>13</w:t>
            </w:r>
          </w:p>
        </w:tc>
      </w:tr>
      <w:tr w:rsidR="00D87E29">
        <w:trPr>
          <w:cantSplit/>
          <w:trHeight w:val="20"/>
        </w:trPr>
        <w:tc>
          <w:tcPr>
            <w:tcW w:w="769" w:type="dxa"/>
            <w:vMerge w:val="restart"/>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b/>
                <w:bCs/>
                <w:noProof/>
                <w:sz w:val="20"/>
                <w:szCs w:val="20"/>
              </w:rPr>
            </w:pPr>
            <w:r>
              <w:rPr>
                <w:rFonts w:ascii="Times New Roman" w:hAnsi="Times New Roman"/>
                <w:b/>
                <w:noProof/>
                <w:sz w:val="20"/>
              </w:rPr>
              <w:t>2017</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D87E29" w:rsidRDefault="0060536A">
            <w:pPr>
              <w:spacing w:after="0"/>
              <w:jc w:val="both"/>
              <w:rPr>
                <w:rFonts w:ascii="Times New Roman" w:hAnsi="Times New Roman" w:cs="Times New Roman"/>
                <w:bCs/>
                <w:noProof/>
                <w:sz w:val="20"/>
                <w:szCs w:val="20"/>
              </w:rPr>
            </w:pPr>
            <w:r>
              <w:rPr>
                <w:rFonts w:ascii="Times New Roman" w:hAnsi="Times New Roman"/>
                <w:noProof/>
                <w:sz w:val="20"/>
              </w:rPr>
              <w:t>Juristes-linguistes</w:t>
            </w:r>
          </w:p>
        </w:tc>
        <w:tc>
          <w:tcPr>
            <w:tcW w:w="1134"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26</w:t>
            </w:r>
          </w:p>
        </w:tc>
        <w:tc>
          <w:tcPr>
            <w:tcW w:w="1417" w:type="dxa"/>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8</w:t>
            </w:r>
          </w:p>
        </w:tc>
        <w:tc>
          <w:tcPr>
            <w:tcW w:w="1559" w:type="dxa"/>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5</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D87E29" w:rsidRDefault="0060536A">
            <w:pPr>
              <w:spacing w:after="0"/>
              <w:jc w:val="center"/>
              <w:rPr>
                <w:rFonts w:ascii="Times New Roman" w:hAnsi="Times New Roman" w:cs="Times New Roman"/>
                <w:bCs/>
                <w:noProof/>
                <w:sz w:val="20"/>
                <w:szCs w:val="20"/>
                <w:highlight w:val="yellow"/>
              </w:rPr>
            </w:pPr>
            <w:r>
              <w:rPr>
                <w:rFonts w:ascii="Times New Roman" w:hAnsi="Times New Roman"/>
                <w:noProof/>
                <w:sz w:val="20"/>
              </w:rPr>
              <w:t>3</w:t>
            </w:r>
          </w:p>
        </w:tc>
        <w:tc>
          <w:tcPr>
            <w:tcW w:w="1276" w:type="dxa"/>
            <w:tcBorders>
              <w:top w:val="single" w:sz="8" w:space="0" w:color="A3A3A3"/>
              <w:left w:val="single" w:sz="8" w:space="0" w:color="A3A3A3"/>
              <w:right w:val="single" w:sz="8" w:space="0" w:color="A3A3A3"/>
            </w:tcBorders>
          </w:tcPr>
          <w:p w:rsidR="00D87E29" w:rsidRDefault="0060536A">
            <w:pPr>
              <w:keepNext/>
              <w:keepLines/>
              <w:tabs>
                <w:tab w:val="left" w:pos="2268"/>
              </w:tabs>
              <w:spacing w:after="0"/>
              <w:jc w:val="center"/>
              <w:outlineLvl w:val="1"/>
              <w:rPr>
                <w:rFonts w:ascii="Times New Roman" w:hAnsi="Times New Roman" w:cs="Times New Roman"/>
                <w:bCs/>
                <w:noProof/>
                <w:sz w:val="20"/>
                <w:szCs w:val="20"/>
              </w:rPr>
            </w:pPr>
            <w:r>
              <w:rPr>
                <w:rFonts w:ascii="Times New Roman" w:hAnsi="Times New Roman"/>
                <w:noProof/>
                <w:sz w:val="20"/>
              </w:rPr>
              <w:t>8</w:t>
            </w:r>
          </w:p>
        </w:tc>
      </w:tr>
      <w:tr w:rsidR="00D87E29">
        <w:trPr>
          <w:cantSplit/>
          <w:trHeight w:val="20"/>
        </w:trPr>
        <w:tc>
          <w:tcPr>
            <w:tcW w:w="769" w:type="dxa"/>
            <w:vMerge/>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b/>
                <w:bCs/>
                <w:noProof/>
                <w:sz w:val="20"/>
                <w:szCs w:val="20"/>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spacing w:after="0"/>
              <w:jc w:val="both"/>
              <w:rPr>
                <w:rFonts w:ascii="Times New Roman" w:eastAsia="Calibri" w:hAnsi="Times New Roman" w:cs="Times New Roman"/>
                <w:noProof/>
                <w:sz w:val="20"/>
                <w:szCs w:val="20"/>
              </w:rPr>
            </w:pPr>
          </w:p>
        </w:tc>
        <w:tc>
          <w:tcPr>
            <w:tcW w:w="1134"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spacing w:after="0"/>
              <w:jc w:val="center"/>
              <w:rPr>
                <w:rFonts w:ascii="Times New Roman" w:hAnsi="Times New Roman" w:cs="Times New Roman"/>
                <w:noProof/>
                <w:sz w:val="20"/>
                <w:szCs w:val="20"/>
              </w:rPr>
            </w:pPr>
          </w:p>
        </w:tc>
        <w:tc>
          <w:tcPr>
            <w:tcW w:w="1417" w:type="dxa"/>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noProof/>
                <w:sz w:val="20"/>
                <w:szCs w:val="20"/>
              </w:rPr>
            </w:pPr>
          </w:p>
        </w:tc>
        <w:tc>
          <w:tcPr>
            <w:tcW w:w="1559" w:type="dxa"/>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noProof/>
                <w:sz w:val="20"/>
                <w:szCs w:val="20"/>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keepNext/>
              <w:keepLines/>
              <w:tabs>
                <w:tab w:val="left" w:pos="2268"/>
              </w:tabs>
              <w:spacing w:after="0"/>
              <w:jc w:val="center"/>
              <w:outlineLvl w:val="1"/>
              <w:rPr>
                <w:rFonts w:ascii="Times New Roman" w:hAnsi="Times New Roman" w:cs="Times New Roman"/>
                <w:bCs/>
                <w:noProof/>
                <w:sz w:val="20"/>
                <w:szCs w:val="20"/>
                <w:highlight w:val="yellow"/>
              </w:rPr>
            </w:pPr>
          </w:p>
        </w:tc>
        <w:tc>
          <w:tcPr>
            <w:tcW w:w="1276" w:type="dxa"/>
            <w:tcBorders>
              <w:left w:val="single" w:sz="8" w:space="0" w:color="A3A3A3"/>
              <w:bottom w:val="single" w:sz="8" w:space="0" w:color="A3A3A3"/>
              <w:right w:val="single" w:sz="8" w:space="0" w:color="A3A3A3"/>
            </w:tcBorders>
          </w:tcPr>
          <w:p w:rsidR="00D87E29" w:rsidRDefault="00D87E29">
            <w:pPr>
              <w:keepNext/>
              <w:keepLines/>
              <w:tabs>
                <w:tab w:val="left" w:pos="2268"/>
              </w:tabs>
              <w:spacing w:after="0"/>
              <w:jc w:val="center"/>
              <w:outlineLvl w:val="1"/>
              <w:rPr>
                <w:rFonts w:ascii="Times New Roman" w:hAnsi="Times New Roman" w:cs="Times New Roman"/>
                <w:bCs/>
                <w:noProof/>
                <w:sz w:val="20"/>
                <w:szCs w:val="20"/>
              </w:rPr>
            </w:pPr>
          </w:p>
        </w:tc>
      </w:tr>
      <w:tr w:rsidR="00D87E29">
        <w:trPr>
          <w:cantSplit/>
          <w:trHeight w:val="20"/>
        </w:trPr>
        <w:tc>
          <w:tcPr>
            <w:tcW w:w="769" w:type="dxa"/>
            <w:vMerge w:val="restart"/>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b/>
                <w:bCs/>
                <w:noProof/>
                <w:sz w:val="20"/>
                <w:szCs w:val="20"/>
              </w:rPr>
            </w:pPr>
            <w:r>
              <w:rPr>
                <w:rFonts w:ascii="Times New Roman" w:hAnsi="Times New Roman"/>
                <w:b/>
                <w:noProof/>
                <w:sz w:val="20"/>
              </w:rPr>
              <w:t>2018</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D87E29" w:rsidRDefault="0060536A">
            <w:pPr>
              <w:spacing w:after="0"/>
              <w:jc w:val="both"/>
              <w:rPr>
                <w:rFonts w:ascii="Times New Roman" w:hAnsi="Times New Roman" w:cs="Times New Roman"/>
                <w:bCs/>
                <w:noProof/>
                <w:sz w:val="20"/>
                <w:szCs w:val="20"/>
              </w:rPr>
            </w:pPr>
            <w:r>
              <w:rPr>
                <w:rFonts w:ascii="Times New Roman" w:hAnsi="Times New Roman"/>
                <w:noProof/>
                <w:sz w:val="20"/>
              </w:rPr>
              <w:t xml:space="preserve">Traducteurs </w:t>
            </w:r>
          </w:p>
        </w:tc>
        <w:tc>
          <w:tcPr>
            <w:tcW w:w="1134"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190</w:t>
            </w:r>
          </w:p>
        </w:tc>
        <w:tc>
          <w:tcPr>
            <w:tcW w:w="1417" w:type="dxa"/>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114**</w:t>
            </w:r>
          </w:p>
        </w:tc>
        <w:tc>
          <w:tcPr>
            <w:tcW w:w="1559" w:type="dxa"/>
            <w:tcBorders>
              <w:top w:val="single" w:sz="8" w:space="0" w:color="A3A3A3"/>
              <w:left w:val="single" w:sz="8" w:space="0" w:color="A3A3A3"/>
              <w:right w:val="single" w:sz="8" w:space="0" w:color="A3A3A3"/>
            </w:tcBorders>
          </w:tcPr>
          <w:p w:rsidR="00D87E29" w:rsidRDefault="0060536A">
            <w:pPr>
              <w:spacing w:after="0"/>
              <w:jc w:val="center"/>
              <w:rPr>
                <w:rFonts w:ascii="Times New Roman" w:hAnsi="Times New Roman" w:cs="Times New Roman"/>
                <w:noProof/>
                <w:sz w:val="20"/>
                <w:szCs w:val="20"/>
              </w:rPr>
            </w:pPr>
            <w:r>
              <w:rPr>
                <w:rFonts w:ascii="Times New Roman" w:hAnsi="Times New Roman"/>
                <w:noProof/>
                <w:sz w:val="20"/>
              </w:rPr>
              <w:t>17***</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D87E29" w:rsidRDefault="0060536A">
            <w:pPr>
              <w:keepNext/>
              <w:keepLines/>
              <w:tabs>
                <w:tab w:val="left" w:pos="2268"/>
              </w:tabs>
              <w:spacing w:after="0"/>
              <w:jc w:val="center"/>
              <w:outlineLvl w:val="1"/>
              <w:rPr>
                <w:rFonts w:ascii="Times New Roman" w:eastAsiaTheme="majorEastAsia" w:hAnsi="Times New Roman" w:cs="Times New Roman"/>
                <w:noProof/>
                <w:color w:val="5B9BD5" w:themeColor="accent1"/>
                <w:sz w:val="20"/>
                <w:szCs w:val="20"/>
              </w:rPr>
            </w:pPr>
            <w:r>
              <w:rPr>
                <w:rFonts w:ascii="Times New Roman" w:hAnsi="Times New Roman"/>
                <w:noProof/>
                <w:sz w:val="20"/>
              </w:rPr>
              <w:t>15</w:t>
            </w:r>
          </w:p>
        </w:tc>
        <w:tc>
          <w:tcPr>
            <w:tcW w:w="1276" w:type="dxa"/>
            <w:tcBorders>
              <w:top w:val="single" w:sz="8" w:space="0" w:color="A3A3A3"/>
              <w:left w:val="single" w:sz="8" w:space="0" w:color="A3A3A3"/>
              <w:right w:val="single" w:sz="8" w:space="0" w:color="A3A3A3"/>
            </w:tcBorders>
          </w:tcPr>
          <w:p w:rsidR="00D87E29" w:rsidRDefault="0060536A">
            <w:pPr>
              <w:keepNext/>
              <w:keepLines/>
              <w:tabs>
                <w:tab w:val="left" w:pos="2268"/>
              </w:tabs>
              <w:spacing w:after="0"/>
              <w:jc w:val="center"/>
              <w:outlineLvl w:val="1"/>
              <w:rPr>
                <w:rFonts w:ascii="Times New Roman" w:hAnsi="Times New Roman" w:cs="Times New Roman"/>
                <w:bCs/>
                <w:noProof/>
                <w:sz w:val="20"/>
                <w:szCs w:val="20"/>
              </w:rPr>
            </w:pPr>
            <w:r>
              <w:rPr>
                <w:rFonts w:ascii="Times New Roman" w:hAnsi="Times New Roman"/>
                <w:noProof/>
                <w:sz w:val="20"/>
              </w:rPr>
              <w:t>72</w:t>
            </w:r>
          </w:p>
        </w:tc>
      </w:tr>
      <w:tr w:rsidR="00D87E29">
        <w:trPr>
          <w:cantSplit/>
          <w:trHeight w:val="40"/>
        </w:trPr>
        <w:tc>
          <w:tcPr>
            <w:tcW w:w="769" w:type="dxa"/>
            <w:vMerge/>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b/>
                <w:bCs/>
                <w:noProof/>
                <w:sz w:val="20"/>
                <w:szCs w:val="20"/>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spacing w:after="0"/>
              <w:jc w:val="both"/>
              <w:rPr>
                <w:rFonts w:ascii="Times New Roman" w:hAnsi="Times New Roman" w:cs="Times New Roman"/>
                <w:b/>
                <w:bCs/>
                <w:noProof/>
                <w:sz w:val="20"/>
                <w:szCs w:val="20"/>
              </w:rPr>
            </w:pPr>
          </w:p>
        </w:tc>
        <w:tc>
          <w:tcPr>
            <w:tcW w:w="1134"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spacing w:after="0"/>
              <w:jc w:val="center"/>
              <w:rPr>
                <w:rFonts w:ascii="Times New Roman" w:hAnsi="Times New Roman" w:cs="Times New Roman"/>
                <w:noProof/>
                <w:sz w:val="20"/>
                <w:szCs w:val="20"/>
              </w:rPr>
            </w:pPr>
          </w:p>
        </w:tc>
        <w:tc>
          <w:tcPr>
            <w:tcW w:w="1417" w:type="dxa"/>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noProof/>
                <w:sz w:val="20"/>
                <w:szCs w:val="20"/>
              </w:rPr>
            </w:pPr>
          </w:p>
        </w:tc>
        <w:tc>
          <w:tcPr>
            <w:tcW w:w="1559" w:type="dxa"/>
            <w:tcBorders>
              <w:left w:val="single" w:sz="8" w:space="0" w:color="A3A3A3"/>
              <w:bottom w:val="single" w:sz="8" w:space="0" w:color="A3A3A3"/>
              <w:right w:val="single" w:sz="8" w:space="0" w:color="A3A3A3"/>
            </w:tcBorders>
          </w:tcPr>
          <w:p w:rsidR="00D87E29" w:rsidRDefault="00D87E29">
            <w:pPr>
              <w:spacing w:after="0"/>
              <w:jc w:val="center"/>
              <w:rPr>
                <w:rFonts w:ascii="Times New Roman" w:hAnsi="Times New Roman" w:cs="Times New Roman"/>
                <w:noProof/>
                <w:sz w:val="20"/>
                <w:szCs w:val="20"/>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D87E29" w:rsidRDefault="00D87E29">
            <w:pPr>
              <w:keepNext/>
              <w:keepLines/>
              <w:tabs>
                <w:tab w:val="left" w:pos="2268"/>
              </w:tabs>
              <w:spacing w:after="0"/>
              <w:jc w:val="center"/>
              <w:outlineLvl w:val="1"/>
              <w:rPr>
                <w:rFonts w:ascii="Times New Roman" w:hAnsi="Times New Roman" w:cs="Times New Roman"/>
                <w:b/>
                <w:bCs/>
                <w:noProof/>
                <w:sz w:val="20"/>
                <w:szCs w:val="20"/>
                <w:highlight w:val="yellow"/>
              </w:rPr>
            </w:pPr>
          </w:p>
        </w:tc>
        <w:tc>
          <w:tcPr>
            <w:tcW w:w="1276" w:type="dxa"/>
            <w:tcBorders>
              <w:left w:val="single" w:sz="8" w:space="0" w:color="A3A3A3"/>
              <w:bottom w:val="single" w:sz="8" w:space="0" w:color="A3A3A3"/>
              <w:right w:val="single" w:sz="8" w:space="0" w:color="A3A3A3"/>
            </w:tcBorders>
          </w:tcPr>
          <w:p w:rsidR="00D87E29" w:rsidRDefault="00D87E29">
            <w:pPr>
              <w:keepNext/>
              <w:keepLines/>
              <w:tabs>
                <w:tab w:val="left" w:pos="2268"/>
              </w:tabs>
              <w:spacing w:after="0"/>
              <w:jc w:val="center"/>
              <w:outlineLvl w:val="1"/>
              <w:rPr>
                <w:rFonts w:ascii="Times New Roman" w:hAnsi="Times New Roman" w:cs="Times New Roman"/>
                <w:b/>
                <w:bCs/>
                <w:noProof/>
                <w:sz w:val="20"/>
                <w:szCs w:val="20"/>
                <w:highlight w:val="yellow"/>
              </w:rPr>
            </w:pPr>
          </w:p>
        </w:tc>
      </w:tr>
    </w:tbl>
    <w:p w:rsidR="00D87E29" w:rsidRDefault="0060536A">
      <w:pPr>
        <w:spacing w:after="0"/>
        <w:jc w:val="both"/>
        <w:rPr>
          <w:rFonts w:ascii="Times New Roman" w:eastAsia="Calibri" w:hAnsi="Times New Roman" w:cs="Times New Roman"/>
          <w:noProof/>
          <w:sz w:val="20"/>
          <w:szCs w:val="20"/>
        </w:rPr>
      </w:pPr>
      <w:r>
        <w:rPr>
          <w:rFonts w:ascii="Times New Roman" w:hAnsi="Times New Roman"/>
          <w:noProof/>
          <w:sz w:val="20"/>
        </w:rPr>
        <w:t xml:space="preserve">* admission sur la base de tests </w:t>
      </w:r>
      <w:r>
        <w:rPr>
          <w:rFonts w:ascii="Times New Roman" w:hAnsi="Times New Roman"/>
          <w:noProof/>
          <w:sz w:val="20"/>
        </w:rPr>
        <w:t>informatisés</w:t>
      </w:r>
    </w:p>
    <w:p w:rsidR="00D87E29" w:rsidRDefault="0060536A">
      <w:pPr>
        <w:spacing w:after="0"/>
        <w:jc w:val="both"/>
        <w:rPr>
          <w:rFonts w:ascii="Times New Roman" w:eastAsia="Calibri" w:hAnsi="Times New Roman" w:cs="Times New Roman"/>
          <w:noProof/>
          <w:sz w:val="20"/>
          <w:szCs w:val="20"/>
        </w:rPr>
      </w:pPr>
      <w:r>
        <w:rPr>
          <w:rFonts w:ascii="Times New Roman" w:hAnsi="Times New Roman"/>
          <w:noProof/>
          <w:sz w:val="20"/>
        </w:rPr>
        <w:t>** admission fondée uniquement sur les candidatures</w:t>
      </w:r>
    </w:p>
    <w:p w:rsidR="00D87E29" w:rsidRDefault="0060536A">
      <w:pPr>
        <w:spacing w:after="0"/>
        <w:jc w:val="both"/>
        <w:rPr>
          <w:rFonts w:ascii="Times New Roman" w:eastAsia="Calibri" w:hAnsi="Times New Roman" w:cs="Times New Roman"/>
          <w:noProof/>
          <w:sz w:val="20"/>
          <w:szCs w:val="20"/>
        </w:rPr>
      </w:pPr>
      <w:r>
        <w:rPr>
          <w:rFonts w:ascii="Times New Roman" w:hAnsi="Times New Roman"/>
          <w:noProof/>
          <w:sz w:val="20"/>
        </w:rPr>
        <w:t>*** tests informatisés intégrés dans le centre d’évaluation</w:t>
      </w:r>
    </w:p>
    <w:p w:rsidR="00D87E29" w:rsidRDefault="00D87E29">
      <w:pPr>
        <w:spacing w:after="0"/>
        <w:jc w:val="both"/>
        <w:rPr>
          <w:rFonts w:ascii="Times New Roman" w:eastAsia="Calibri" w:hAnsi="Times New Roman" w:cs="Times New Roman"/>
          <w:noProof/>
          <w:sz w:val="24"/>
          <w:szCs w:val="24"/>
        </w:rPr>
      </w:pP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 xml:space="preserve">Afin de compenser les faibles rendements des concours EPSO, les institutions ont également investi intensivement dans </w:t>
      </w:r>
      <w:r>
        <w:rPr>
          <w:rFonts w:ascii="Times New Roman" w:hAnsi="Times New Roman"/>
          <w:b/>
          <w:noProof/>
          <w:sz w:val="24"/>
        </w:rPr>
        <w:t xml:space="preserve">le </w:t>
      </w:r>
      <w:r>
        <w:rPr>
          <w:rFonts w:ascii="Times New Roman" w:hAnsi="Times New Roman"/>
          <w:b/>
          <w:noProof/>
          <w:sz w:val="24"/>
        </w:rPr>
        <w:t>recrutement et la formation de personnel temporaire</w:t>
      </w:r>
      <w:r>
        <w:rPr>
          <w:rFonts w:ascii="Times New Roman" w:hAnsi="Times New Roman"/>
          <w:noProof/>
          <w:sz w:val="24"/>
        </w:rPr>
        <w:t xml:space="preserve"> en vue de renforcer les capacités de traduction. À titre de mesure de substitution, elles ont lancé 14 procédures de sélection pour agents temporaires</w:t>
      </w:r>
      <w:r>
        <w:rPr>
          <w:rFonts w:ascii="Times New Roman" w:hAnsi="Times New Roman"/>
          <w:noProof/>
          <w:sz w:val="24"/>
          <w:vertAlign w:val="superscript"/>
        </w:rPr>
        <w:footnoteReference w:id="12"/>
      </w:r>
      <w:r>
        <w:rPr>
          <w:rFonts w:ascii="Times New Roman" w:hAnsi="Times New Roman"/>
          <w:noProof/>
          <w:sz w:val="24"/>
        </w:rPr>
        <w:t xml:space="preserve"> entre 2015 et la mi-2019. Les possibilités de format</w:t>
      </w:r>
      <w:r>
        <w:rPr>
          <w:rFonts w:ascii="Times New Roman" w:hAnsi="Times New Roman"/>
          <w:noProof/>
          <w:sz w:val="24"/>
        </w:rPr>
        <w:t>ion supplémentaires créées par l’Irlande et la formation dispensée par les institutions aux agents temporaires ont permis de remédier de manière pragmatique au faible taux de réussite aux concours EPSO. En outre, l’EPSO a lancé au début de l’année 2019 une</w:t>
      </w:r>
      <w:r>
        <w:rPr>
          <w:rFonts w:ascii="Times New Roman" w:hAnsi="Times New Roman"/>
          <w:noProof/>
          <w:sz w:val="24"/>
        </w:rPr>
        <w:t xml:space="preserve"> procédure de sélection de traducteurs agents contractuels.</w:t>
      </w:r>
    </w:p>
    <w:p w:rsidR="00D87E29" w:rsidRDefault="0060536A">
      <w:pPr>
        <w:spacing w:after="240"/>
        <w:jc w:val="both"/>
        <w:rPr>
          <w:rFonts w:ascii="Times New Roman" w:eastAsia="Calibri" w:hAnsi="Times New Roman" w:cs="Times New Roman"/>
          <w:noProof/>
          <w:sz w:val="24"/>
          <w:szCs w:val="24"/>
        </w:rPr>
      </w:pPr>
      <w:r>
        <w:rPr>
          <w:rFonts w:ascii="Times New Roman" w:hAnsi="Times New Roman"/>
          <w:noProof/>
          <w:sz w:val="24"/>
        </w:rPr>
        <w:t>Bien que la dérogation ne fasse pas référence à l’</w:t>
      </w:r>
      <w:r>
        <w:rPr>
          <w:rFonts w:ascii="Times New Roman" w:hAnsi="Times New Roman"/>
          <w:b/>
          <w:noProof/>
          <w:sz w:val="24"/>
        </w:rPr>
        <w:t>interprétation</w:t>
      </w:r>
      <w:r>
        <w:rPr>
          <w:rFonts w:ascii="Times New Roman" w:hAnsi="Times New Roman"/>
          <w:noProof/>
          <w:sz w:val="24"/>
        </w:rPr>
        <w:t>, celle-ci doit également être prise en compte, étant donné que les interprètes tendent à faire partie du même groupe de recrues pot</w:t>
      </w:r>
      <w:r>
        <w:rPr>
          <w:rFonts w:ascii="Times New Roman" w:hAnsi="Times New Roman"/>
          <w:noProof/>
          <w:sz w:val="24"/>
        </w:rPr>
        <w:t>entielles. Toutes les institutions de l’UE doivent se doter d'un nombre suffisant d’interprètes pour répondre à la demande pour ce qui est de l’irlandais après la suppression de la dérogation. Elles ont pu répondre à la demande, qui se limite à l’interprét</w:t>
      </w:r>
      <w:r>
        <w:rPr>
          <w:rFonts w:ascii="Times New Roman" w:hAnsi="Times New Roman"/>
          <w:noProof/>
          <w:sz w:val="24"/>
        </w:rPr>
        <w:t>ation à partir de l’irlandais («irlandais passif»). Le service d’interprétation de la Commission, la DG SCIC, y est parvenu en faisant appel à trois interprètes permanents (deux avec l’irlandais passif et un avec l’irlandais actif) et à un nombre suffisant</w:t>
      </w:r>
      <w:r>
        <w:rPr>
          <w:rFonts w:ascii="Times New Roman" w:hAnsi="Times New Roman"/>
          <w:noProof/>
          <w:sz w:val="24"/>
        </w:rPr>
        <w:t xml:space="preserve"> d’interprètes free-lance accrédités, qui peuvent être appelés à travailler pour la Commission, le Conseil, le CESE et le CdR. Les demandes d’interprétation à partir de l’irlandais dans les quatre institutions desservies par la DG SCIC sont tombées de 20 e</w:t>
      </w:r>
      <w:r>
        <w:rPr>
          <w:rFonts w:ascii="Times New Roman" w:hAnsi="Times New Roman"/>
          <w:noProof/>
          <w:sz w:val="24"/>
        </w:rPr>
        <w:t>n 2011 à 4 en 2018 et à 2, jusqu'ici, en 2019. À ce jour, il n’a pas été demandé à la DG SCIC d’assurer l’interprétation vers l’irlandais («irlandais actif»), ce qui a été explicitement reconnu dans un échange de lettres entre la DG SCIC et le ministère ir</w:t>
      </w:r>
      <w:r>
        <w:rPr>
          <w:rFonts w:ascii="Times New Roman" w:hAnsi="Times New Roman"/>
          <w:noProof/>
          <w:sz w:val="24"/>
        </w:rPr>
        <w:t>landais de la culture, du patrimoine et des affaires gaéliques. Au PE (comme au Parlement irlandais), l’interprétation n’est actuellement assurée qu’à partir de l’irlandais, mais non vers l’irlandais, en session plénière (y compris la session de nuit) et à</w:t>
      </w:r>
      <w:r>
        <w:rPr>
          <w:rFonts w:ascii="Times New Roman" w:hAnsi="Times New Roman"/>
          <w:noProof/>
          <w:sz w:val="24"/>
        </w:rPr>
        <w:t xml:space="preserve"> l’occasion d’autres réunions, moyennant préavis. La Cour de justice de l’Union européenne n’a pas besoin d’interprètes permanents de langue irlandaise, étant donné qu’aucune affaire n’a jamais été portée devant la Cour en irlandais. </w:t>
      </w:r>
    </w:p>
    <w:p w:rsidR="00D87E29" w:rsidRDefault="0060536A">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L’Office des publicat</w:t>
      </w:r>
      <w:r>
        <w:rPr>
          <w:rFonts w:ascii="Times New Roman" w:hAnsi="Times New Roman"/>
          <w:noProof/>
          <w:sz w:val="24"/>
        </w:rPr>
        <w:t xml:space="preserve">ions (OP) a besoin de capacités en langue irlandaise à l’échelon des assistants pour effectuer </w:t>
      </w:r>
      <w:r>
        <w:rPr>
          <w:rFonts w:ascii="Times New Roman" w:hAnsi="Times New Roman"/>
          <w:b/>
          <w:noProof/>
          <w:sz w:val="24"/>
        </w:rPr>
        <w:t>la vérification linguistique et la correction d’épreuves</w:t>
      </w:r>
      <w:r>
        <w:rPr>
          <w:rFonts w:ascii="Times New Roman" w:hAnsi="Times New Roman"/>
          <w:noProof/>
          <w:sz w:val="24"/>
        </w:rPr>
        <w:t>. À l’heure actuelle, l’OP dispose d’un agent temporaire de langue irlandaise et cherche à renforcer prog</w:t>
      </w:r>
      <w:r>
        <w:rPr>
          <w:rFonts w:ascii="Times New Roman" w:hAnsi="Times New Roman"/>
          <w:noProof/>
          <w:sz w:val="24"/>
        </w:rPr>
        <w:t xml:space="preserve">ressivement ses capacités en langue irlandaise pour les aligner sur celles de la plupart des autres langues. Compte tenu du nombre restreint de postes et de leur spécificité, il n’est pas rentable d’organiser un concours EPSO pour le seul OP. </w:t>
      </w:r>
    </w:p>
    <w:p w:rsidR="00D87E29" w:rsidRDefault="0060536A">
      <w:pPr>
        <w:spacing w:after="240" w:line="276" w:lineRule="auto"/>
        <w:jc w:val="both"/>
        <w:rPr>
          <w:rFonts w:ascii="Times New Roman" w:eastAsia="Calibri" w:hAnsi="Times New Roman" w:cs="Times New Roman"/>
          <w:noProof/>
          <w:sz w:val="24"/>
          <w:szCs w:val="24"/>
        </w:rPr>
      </w:pPr>
      <w:r>
        <w:rPr>
          <w:rFonts w:ascii="Times New Roman" w:hAnsi="Times New Roman"/>
          <w:b/>
          <w:noProof/>
          <w:sz w:val="24"/>
        </w:rPr>
        <w:t xml:space="preserve">L’Irlande a </w:t>
      </w:r>
      <w:r>
        <w:rPr>
          <w:rFonts w:ascii="Times New Roman" w:hAnsi="Times New Roman"/>
          <w:b/>
          <w:noProof/>
          <w:sz w:val="24"/>
        </w:rPr>
        <w:t>également déployé des efforts considérables</w:t>
      </w:r>
      <w:r>
        <w:rPr>
          <w:noProof/>
        </w:rPr>
        <w:t xml:space="preserve"> </w:t>
      </w:r>
      <w:r>
        <w:rPr>
          <w:rFonts w:ascii="Times New Roman" w:hAnsi="Times New Roman"/>
          <w:noProof/>
          <w:sz w:val="24"/>
        </w:rPr>
        <w:t>pour préparer des candidats aux carrières au sein des institutions et pour stimuler le recrutement. Depuis 2007, elle a organisé une série de cours d’irlandais de niveau universitaire et de cours utilisant l’irla</w:t>
      </w:r>
      <w:r>
        <w:rPr>
          <w:rFonts w:ascii="Times New Roman" w:hAnsi="Times New Roman"/>
          <w:noProof/>
          <w:sz w:val="24"/>
        </w:rPr>
        <w:t>ndais, notamment dans le cadre de l’initiative pour des compétences avancées en langue irlandaise. En 2015, elle a créé un centre d’excellence pour les carrières nécessitant la langue irlandaise dans l’Union européenne afin de faciliter la coordination ent</w:t>
      </w:r>
      <w:r>
        <w:rPr>
          <w:rFonts w:ascii="Times New Roman" w:hAnsi="Times New Roman"/>
          <w:noProof/>
          <w:sz w:val="24"/>
        </w:rPr>
        <w:t xml:space="preserve">re les établissements d’enseignement supérieur participant à l’initiative. Toujours en 2015, elle a prévu un budget de 4 700 000 EUR pour la création de 15 nouveaux cours spécialisés dans les institutions participantes sur une période de 8 ans. </w:t>
      </w:r>
      <w:r>
        <w:rPr>
          <w:rFonts w:ascii="Times New Roman" w:hAnsi="Times New Roman"/>
          <w:noProof/>
          <w:color w:val="000000"/>
          <w:sz w:val="24"/>
        </w:rPr>
        <w:t>Tous les co</w:t>
      </w:r>
      <w:r>
        <w:rPr>
          <w:rFonts w:ascii="Times New Roman" w:hAnsi="Times New Roman"/>
          <w:noProof/>
          <w:color w:val="000000"/>
          <w:sz w:val="24"/>
        </w:rPr>
        <w:t>urs financés dans le cadre de cette initiative, y compris les cours de droit, dispensent désormais un enseignement dans une troisième langue de l’UE et comprennent des modules sur les aptitudes psychométriques pour préparer les étudiants aux concours EPSO.</w:t>
      </w:r>
      <w:r>
        <w:rPr>
          <w:rFonts w:ascii="Times New Roman" w:hAnsi="Times New Roman"/>
          <w:noProof/>
          <w:color w:val="000000"/>
          <w:sz w:val="24"/>
        </w:rPr>
        <w:t xml:space="preserve"> La Commission a contribué à mettre en place, et continue de soutenir, un master en interprétation de conférence à l’Université nationale d’Irlande, à Galway.</w:t>
      </w:r>
    </w:p>
    <w:p w:rsidR="00D87E29" w:rsidRDefault="0060536A">
      <w:pPr>
        <w:spacing w:after="240" w:line="276" w:lineRule="auto"/>
        <w:jc w:val="both"/>
        <w:rPr>
          <w:rFonts w:ascii="Times New Roman" w:eastAsia="Calibri" w:hAnsi="Times New Roman" w:cs="Times New Roman"/>
          <w:noProof/>
          <w:sz w:val="24"/>
          <w:szCs w:val="24"/>
        </w:rPr>
      </w:pPr>
      <w:r>
        <w:rPr>
          <w:rFonts w:ascii="Times New Roman" w:hAnsi="Times New Roman"/>
          <w:noProof/>
          <w:sz w:val="24"/>
        </w:rPr>
        <w:t xml:space="preserve">Au cours de la période 2016-2018, l’Irlande et les institutions elles-mêmes ont assuré la </w:t>
      </w:r>
      <w:r>
        <w:rPr>
          <w:rFonts w:ascii="Times New Roman" w:hAnsi="Times New Roman"/>
          <w:b/>
          <w:noProof/>
          <w:sz w:val="24"/>
        </w:rPr>
        <w:t>promoti</w:t>
      </w:r>
      <w:r>
        <w:rPr>
          <w:rFonts w:ascii="Times New Roman" w:hAnsi="Times New Roman"/>
          <w:b/>
          <w:noProof/>
          <w:sz w:val="24"/>
        </w:rPr>
        <w:t>on des carrières au sein des institutions pour les linguistes irlandais</w:t>
      </w:r>
      <w:r>
        <w:rPr>
          <w:rFonts w:ascii="Times New Roman" w:hAnsi="Times New Roman"/>
          <w:noProof/>
          <w:sz w:val="24"/>
        </w:rPr>
        <w:t>, par le biais de campagnes publicitaires, de salons de l’emploi, de visites d’universités et de visites des institutions par des étudiants universitaires irlandais, de manifestations d</w:t>
      </w:r>
      <w:r>
        <w:rPr>
          <w:rFonts w:ascii="Times New Roman" w:hAnsi="Times New Roman"/>
          <w:noProof/>
          <w:sz w:val="24"/>
        </w:rPr>
        <w:t>e lancement spécialisées, d’articles de presse et d’interviews à la radio. Les conférences annuelles organisées à Dublin ont porté sur des sujets liés à la traduction et à l’interprétation en irlandais et ont permis de mieux faire connaître les possibilité</w:t>
      </w:r>
      <w:r>
        <w:rPr>
          <w:rFonts w:ascii="Times New Roman" w:hAnsi="Times New Roman"/>
          <w:noProof/>
          <w:sz w:val="24"/>
        </w:rPr>
        <w:t>s offertes et le profil du personnel de langue irlandaise dont les institutions ont besoin.</w:t>
      </w:r>
      <w:r>
        <w:rPr>
          <w:rFonts w:ascii="Times New Roman" w:hAnsi="Times New Roman"/>
          <w:noProof/>
          <w:color w:val="000000"/>
          <w:sz w:val="24"/>
        </w:rPr>
        <w:t xml:space="preserve"> </w:t>
      </w:r>
      <w:r>
        <w:rPr>
          <w:rFonts w:ascii="Times New Roman" w:hAnsi="Times New Roman"/>
          <w:noProof/>
          <w:sz w:val="24"/>
        </w:rPr>
        <w:t>Afin d’étendre leur action aux jeunes générations de locuteurs irlandais, la Commission et l’Irlande ont lancé en 2017 un concours spécial de jeunes traducteurs pou</w:t>
      </w:r>
      <w:r>
        <w:rPr>
          <w:rFonts w:ascii="Times New Roman" w:hAnsi="Times New Roman"/>
          <w:noProof/>
          <w:sz w:val="24"/>
        </w:rPr>
        <w:t>r les élèves de l’enseignement secondaire de langue irlandaise (cycle supérieur). En 2018, 21 écoles au total y ont participé.</w:t>
      </w:r>
    </w:p>
    <w:p w:rsidR="00D87E29" w:rsidRDefault="0060536A">
      <w:pPr>
        <w:spacing w:after="240" w:line="276" w:lineRule="auto"/>
        <w:jc w:val="both"/>
        <w:rPr>
          <w:rFonts w:ascii="Times New Roman" w:eastAsia="Calibri" w:hAnsi="Times New Roman" w:cs="Times New Roman"/>
          <w:noProof/>
          <w:sz w:val="24"/>
          <w:szCs w:val="24"/>
        </w:rPr>
      </w:pPr>
      <w:r>
        <w:rPr>
          <w:rFonts w:ascii="Times New Roman" w:hAnsi="Times New Roman"/>
          <w:noProof/>
          <w:sz w:val="24"/>
        </w:rPr>
        <w:t>En résumé, malgré un certain nombre de mesures spécifiques de nature pragmatique prises pour renforcer les capacités de traductio</w:t>
      </w:r>
      <w:r>
        <w:rPr>
          <w:rFonts w:ascii="Times New Roman" w:hAnsi="Times New Roman"/>
          <w:noProof/>
          <w:sz w:val="24"/>
        </w:rPr>
        <w:t xml:space="preserve">n et d’interprétation en irlandais, l’expérience acquise à ce jour indique que des efforts considérables restent nécessaires au cours des trois prochaines années pour répondre aux besoins prévus. </w:t>
      </w:r>
    </w:p>
    <w:p w:rsidR="00D87E29" w:rsidRDefault="0060536A">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b/>
          <w:i/>
          <w:noProof/>
          <w:sz w:val="24"/>
        </w:rPr>
        <w:t>d.</w:t>
      </w:r>
      <w:r>
        <w:rPr>
          <w:noProof/>
        </w:rPr>
        <w:tab/>
      </w:r>
      <w:r>
        <w:rPr>
          <w:rFonts w:ascii="Times New Roman" w:eastAsiaTheme="majorEastAsia" w:hAnsi="Times New Roman"/>
          <w:b/>
          <w:i/>
          <w:noProof/>
          <w:sz w:val="24"/>
        </w:rPr>
        <w:t>Capacités des prestataires de services externes</w:t>
      </w:r>
    </w:p>
    <w:p w:rsidR="00D87E29" w:rsidRDefault="0060536A">
      <w:pPr>
        <w:spacing w:after="240" w:line="276" w:lineRule="auto"/>
        <w:jc w:val="both"/>
        <w:rPr>
          <w:rFonts w:ascii="Times New Roman" w:eastAsia="Calibri" w:hAnsi="Times New Roman" w:cs="Times New Roman"/>
          <w:noProof/>
          <w:sz w:val="24"/>
          <w:szCs w:val="24"/>
        </w:rPr>
      </w:pPr>
      <w:r>
        <w:rPr>
          <w:rFonts w:ascii="Times New Roman" w:hAnsi="Times New Roman"/>
          <w:noProof/>
          <w:sz w:val="24"/>
        </w:rPr>
        <w:t>Les inst</w:t>
      </w:r>
      <w:r>
        <w:rPr>
          <w:rFonts w:ascii="Times New Roman" w:hAnsi="Times New Roman"/>
          <w:noProof/>
          <w:sz w:val="24"/>
        </w:rPr>
        <w:t xml:space="preserve">itutions </w:t>
      </w:r>
      <w:r>
        <w:rPr>
          <w:rFonts w:ascii="Times New Roman" w:hAnsi="Times New Roman"/>
          <w:b/>
          <w:noProof/>
          <w:sz w:val="24"/>
        </w:rPr>
        <w:t>externalisent leurs travaux de traduction dans des proportions variables</w:t>
      </w:r>
      <w:r>
        <w:rPr>
          <w:rFonts w:ascii="Times New Roman" w:hAnsi="Times New Roman"/>
          <w:noProof/>
          <w:sz w:val="24"/>
        </w:rPr>
        <w:t>. La Commission est l'institution qui recourt le plus à l’externalisation en termes de volume. Les institutions prévoient d’utiliser davantage le marché des free-lances irland</w:t>
      </w:r>
      <w:r>
        <w:rPr>
          <w:rFonts w:ascii="Times New Roman" w:hAnsi="Times New Roman"/>
          <w:noProof/>
          <w:sz w:val="24"/>
        </w:rPr>
        <w:t>ais pour compléter leurs capacités internes.</w:t>
      </w:r>
    </w:p>
    <w:p w:rsidR="00D87E29" w:rsidRDefault="0060536A">
      <w:pPr>
        <w:spacing w:after="240" w:line="276" w:lineRule="auto"/>
        <w:jc w:val="both"/>
        <w:rPr>
          <w:rFonts w:ascii="Times New Roman" w:eastAsia="Calibri" w:hAnsi="Times New Roman" w:cs="Times New Roman"/>
          <w:noProof/>
          <w:sz w:val="24"/>
          <w:szCs w:val="24"/>
        </w:rPr>
      </w:pPr>
      <w:r>
        <w:rPr>
          <w:rFonts w:ascii="Times New Roman" w:hAnsi="Times New Roman"/>
          <w:noProof/>
          <w:sz w:val="24"/>
        </w:rPr>
        <w:t xml:space="preserve">La Commission et le Parlement européen ont organisé des </w:t>
      </w:r>
      <w:r>
        <w:rPr>
          <w:rFonts w:ascii="Times New Roman" w:hAnsi="Times New Roman"/>
          <w:b/>
          <w:noProof/>
          <w:sz w:val="24"/>
        </w:rPr>
        <w:t>appels d’offres supplémentaires pour les services de traduction</w:t>
      </w:r>
      <w:r>
        <w:rPr>
          <w:rFonts w:ascii="Times New Roman" w:hAnsi="Times New Roman"/>
          <w:noProof/>
          <w:sz w:val="24"/>
        </w:rPr>
        <w:t xml:space="preserve"> au cours de la période de référence afin de renforcer les capacités et d’améliorer le rende</w:t>
      </w:r>
      <w:r>
        <w:rPr>
          <w:rFonts w:ascii="Times New Roman" w:hAnsi="Times New Roman"/>
          <w:noProof/>
          <w:sz w:val="24"/>
        </w:rPr>
        <w:t>ment et la qualité. Les nouveaux contrats de la Commission sont entrés en vigueur en juillet 2018. Les premiers résultats sont encourageants, même si le volume externalisé ne représente encore qu’une fraction de ce qui est nécessaire pour satisfaire la dem</w:t>
      </w:r>
      <w:r>
        <w:rPr>
          <w:rFonts w:ascii="Times New Roman" w:hAnsi="Times New Roman"/>
          <w:noProof/>
          <w:sz w:val="24"/>
        </w:rPr>
        <w:t xml:space="preserve">ande sans dérogation. Un appel d’offres a été lancé en novembre 2018 par le PE, avec la participation du Conseil, de la Cour des comptes, du CESE et du CdR. En mars 2019, le Parlement européen a lancé un autre appel d’offres pour la traduction free-lance, </w:t>
      </w:r>
      <w:r>
        <w:rPr>
          <w:rFonts w:ascii="Times New Roman" w:hAnsi="Times New Roman"/>
          <w:noProof/>
          <w:sz w:val="24"/>
        </w:rPr>
        <w:t xml:space="preserve">comprenant l’irlandais. En mai 2019, la Commission a également publié un nouvel appel d’offres pour la traduction free-lance, y compris l’irlandais. Ces procédures sont toujours en cours. Des </w:t>
      </w:r>
      <w:r>
        <w:rPr>
          <w:rFonts w:ascii="Times New Roman" w:hAnsi="Times New Roman"/>
          <w:b/>
          <w:noProof/>
          <w:sz w:val="24"/>
        </w:rPr>
        <w:t>actions de sensibilisation</w:t>
      </w:r>
      <w:r>
        <w:rPr>
          <w:rFonts w:ascii="Times New Roman" w:hAnsi="Times New Roman"/>
          <w:noProof/>
          <w:sz w:val="24"/>
        </w:rPr>
        <w:t xml:space="preserve"> à l’intention des prestataires de ser</w:t>
      </w:r>
      <w:r>
        <w:rPr>
          <w:rFonts w:ascii="Times New Roman" w:hAnsi="Times New Roman"/>
          <w:noProof/>
          <w:sz w:val="24"/>
        </w:rPr>
        <w:t>vices extérieurs sur les possibilités de travailler avec la Commission ont été organisées au cours de la période de référence. Des webinaires et des événements en direct ont notamment été prévus pour toucher le plus large public possible. Les besoins actue</w:t>
      </w:r>
      <w:r>
        <w:rPr>
          <w:rFonts w:ascii="Times New Roman" w:hAnsi="Times New Roman"/>
          <w:noProof/>
          <w:sz w:val="24"/>
        </w:rPr>
        <w:t>ls et futurs en matière de traduction free-lance ont été au centre de la conférence annuelle de 2018 à Dublin.</w:t>
      </w:r>
    </w:p>
    <w:p w:rsidR="00D87E29" w:rsidRDefault="0060536A">
      <w:pPr>
        <w:spacing w:after="240" w:line="276" w:lineRule="auto"/>
        <w:jc w:val="both"/>
        <w:rPr>
          <w:rFonts w:ascii="Times New Roman" w:eastAsia="Calibri" w:hAnsi="Times New Roman" w:cs="Times New Roman"/>
          <w:noProof/>
          <w:sz w:val="24"/>
          <w:szCs w:val="24"/>
        </w:rPr>
      </w:pPr>
      <w:r>
        <w:rPr>
          <w:rFonts w:ascii="Times New Roman" w:hAnsi="Times New Roman"/>
          <w:noProof/>
          <w:sz w:val="24"/>
        </w:rPr>
        <w:t xml:space="preserve">Les services d’interprétation de la Commission (DG SCIC), du PE et de la CJUE peuvent disposer de </w:t>
      </w:r>
      <w:r>
        <w:rPr>
          <w:rFonts w:ascii="Times New Roman" w:hAnsi="Times New Roman"/>
          <w:b/>
          <w:noProof/>
          <w:sz w:val="24"/>
        </w:rPr>
        <w:t>11 interprètes free-lance accrédités à partir d</w:t>
      </w:r>
      <w:r>
        <w:rPr>
          <w:rFonts w:ascii="Times New Roman" w:hAnsi="Times New Roman"/>
          <w:b/>
          <w:noProof/>
          <w:sz w:val="24"/>
        </w:rPr>
        <w:t>e l’irlandais</w:t>
      </w:r>
      <w:r>
        <w:rPr>
          <w:rFonts w:ascii="Times New Roman" w:hAnsi="Times New Roman"/>
          <w:noProof/>
          <w:sz w:val="24"/>
        </w:rPr>
        <w:t>; seuls cinq d’entre eux possèdent l’irlandais comme langue active. Les tests d’accréditation n’ont permis d’obtenir aucun lauréat en 2016, 2017 ou 2019.</w:t>
      </w:r>
    </w:p>
    <w:p w:rsidR="00D87E29" w:rsidRDefault="0060536A">
      <w:pPr>
        <w:spacing w:after="240" w:line="276" w:lineRule="auto"/>
        <w:jc w:val="both"/>
        <w:rPr>
          <w:rFonts w:ascii="Times New Roman" w:hAnsi="Times New Roman" w:cs="Times New Roman"/>
          <w:noProof/>
          <w:color w:val="0D0D0D" w:themeColor="text1" w:themeTint="F2"/>
          <w:sz w:val="24"/>
          <w:szCs w:val="24"/>
        </w:rPr>
      </w:pPr>
      <w:r>
        <w:rPr>
          <w:rFonts w:ascii="Times New Roman" w:hAnsi="Times New Roman"/>
          <w:noProof/>
          <w:color w:val="0D0D0D" w:themeColor="text1" w:themeTint="F2"/>
          <w:sz w:val="24"/>
        </w:rPr>
        <w:t>En avril 2019, l’OP a lancé un appel d’offres pour des prestataires de services externes;</w:t>
      </w:r>
      <w:r>
        <w:rPr>
          <w:rFonts w:ascii="Times New Roman" w:hAnsi="Times New Roman"/>
          <w:noProof/>
          <w:color w:val="0D0D0D" w:themeColor="text1" w:themeTint="F2"/>
          <w:sz w:val="24"/>
        </w:rPr>
        <w:t xml:space="preserve"> aucune offre n’ayant été reçue, l’appel d’offres sera relancé.</w:t>
      </w:r>
    </w:p>
    <w:p w:rsidR="00D87E29" w:rsidRDefault="0060536A">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b/>
          <w:i/>
          <w:noProof/>
          <w:sz w:val="24"/>
        </w:rPr>
        <w:t>e.</w:t>
      </w:r>
      <w:r>
        <w:rPr>
          <w:noProof/>
        </w:rPr>
        <w:tab/>
      </w:r>
      <w:r>
        <w:rPr>
          <w:rFonts w:ascii="Times New Roman" w:eastAsiaTheme="majorEastAsia" w:hAnsi="Times New Roman"/>
          <w:b/>
          <w:i/>
          <w:noProof/>
          <w:sz w:val="24"/>
        </w:rPr>
        <w:t>Ressources linguistiques pour l’irlandais</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 xml:space="preserve">Les capacités de traduction comprennent également les ressources linguistiques. Les institutions et l’Irlande ont poursuivi le projet de </w:t>
      </w:r>
      <w:r>
        <w:rPr>
          <w:rFonts w:ascii="Times New Roman" w:hAnsi="Times New Roman"/>
          <w:b/>
          <w:noProof/>
          <w:sz w:val="24"/>
        </w:rPr>
        <w:t>terminolog</w:t>
      </w:r>
      <w:r>
        <w:rPr>
          <w:rFonts w:ascii="Times New Roman" w:hAnsi="Times New Roman"/>
          <w:b/>
          <w:noProof/>
          <w:sz w:val="24"/>
        </w:rPr>
        <w:t>ie</w:t>
      </w:r>
      <w:r>
        <w:rPr>
          <w:rFonts w:ascii="Times New Roman" w:hAnsi="Times New Roman"/>
          <w:noProof/>
          <w:sz w:val="24"/>
        </w:rPr>
        <w:t xml:space="preserve"> IATE GA</w:t>
      </w:r>
      <w:r>
        <w:rPr>
          <w:rFonts w:ascii="Times New Roman" w:hAnsi="Times New Roman"/>
          <w:noProof/>
          <w:sz w:val="24"/>
          <w:vertAlign w:val="superscript"/>
        </w:rPr>
        <w:footnoteReference w:id="13"/>
      </w:r>
      <w:r>
        <w:rPr>
          <w:rFonts w:ascii="Times New Roman" w:hAnsi="Times New Roman"/>
          <w:noProof/>
          <w:sz w:val="24"/>
        </w:rPr>
        <w:t>, qui en est à sa 11</w:t>
      </w:r>
      <w:r>
        <w:rPr>
          <w:rFonts w:ascii="Times New Roman" w:hAnsi="Times New Roman"/>
          <w:noProof/>
          <w:sz w:val="24"/>
          <w:vertAlign w:val="superscript"/>
        </w:rPr>
        <w:t>e</w:t>
      </w:r>
      <w:r>
        <w:rPr>
          <w:rFonts w:ascii="Times New Roman" w:hAnsi="Times New Roman"/>
          <w:noProof/>
          <w:sz w:val="24"/>
        </w:rPr>
        <w:t xml:space="preserve"> année d’exploitation et pour lequel l’Irlande a approuvé des financements jusqu’à la fin de 2021. IATE GA contient 65 592 entrées (contre 56 860 en 2015). Les institutions ont commencé à travailler avec l’Irlande à la mise </w:t>
      </w:r>
      <w:r>
        <w:rPr>
          <w:rFonts w:ascii="Times New Roman" w:hAnsi="Times New Roman"/>
          <w:noProof/>
          <w:sz w:val="24"/>
        </w:rPr>
        <w:t>en place d’un réseau de terminologues spécialisés de langue irlandaise en Irlande.</w:t>
      </w:r>
    </w:p>
    <w:p w:rsidR="00D87E29" w:rsidRDefault="0060536A">
      <w:pPr>
        <w:spacing w:after="240"/>
        <w:jc w:val="both"/>
        <w:rPr>
          <w:rFonts w:ascii="Times New Roman" w:hAnsi="Times New Roman" w:cs="Times New Roman"/>
          <w:noProof/>
          <w:sz w:val="24"/>
          <w:szCs w:val="24"/>
        </w:rPr>
      </w:pPr>
      <w:r>
        <w:rPr>
          <w:rFonts w:ascii="Times New Roman" w:hAnsi="Times New Roman"/>
          <w:b/>
          <w:noProof/>
          <w:sz w:val="24"/>
        </w:rPr>
        <w:t>Les outils de traduction assistée par ordinateur</w:t>
      </w:r>
      <w:r>
        <w:rPr>
          <w:noProof/>
        </w:rPr>
        <w:t xml:space="preserve"> </w:t>
      </w:r>
      <w:r>
        <w:rPr>
          <w:rFonts w:ascii="Times New Roman" w:hAnsi="Times New Roman"/>
          <w:noProof/>
          <w:sz w:val="24"/>
        </w:rPr>
        <w:t>et la traduction automatique sont essentiels pour l’efficacité des services de traduction. Ils sont alimentés par des corpus</w:t>
      </w:r>
      <w:r>
        <w:rPr>
          <w:rFonts w:ascii="Times New Roman" w:hAnsi="Times New Roman"/>
          <w:noProof/>
          <w:sz w:val="24"/>
        </w:rPr>
        <w:t xml:space="preserve"> bi- ou multilingues, souvent sous forme de mémoires de traduction basées sur des traductions précédentes. Euramis, la banque interinstitutionnelle de </w:t>
      </w:r>
      <w:r>
        <w:rPr>
          <w:rFonts w:ascii="Times New Roman" w:hAnsi="Times New Roman"/>
          <w:b/>
          <w:noProof/>
          <w:sz w:val="24"/>
        </w:rPr>
        <w:t>mémoires de traduction</w:t>
      </w:r>
      <w:r>
        <w:rPr>
          <w:rFonts w:ascii="Times New Roman" w:hAnsi="Times New Roman"/>
          <w:noProof/>
          <w:sz w:val="24"/>
        </w:rPr>
        <w:t>, contient actuellement environ 5,8 millions de segments vers ou à partir de l’irla</w:t>
      </w:r>
      <w:r>
        <w:rPr>
          <w:rFonts w:ascii="Times New Roman" w:hAnsi="Times New Roman"/>
          <w:noProof/>
          <w:sz w:val="24"/>
        </w:rPr>
        <w:t>ndais (contre 3,5 millions en 2015). Cela représente environ un dixième des 30 à 50 millions de segments détenus pour la plupart des autres couples de langues.</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L’Irlande s’est engagée à fournir aux institutions des mémoires de traduction contenant des alig</w:t>
      </w:r>
      <w:r>
        <w:rPr>
          <w:rFonts w:ascii="Times New Roman" w:hAnsi="Times New Roman"/>
          <w:noProof/>
          <w:sz w:val="24"/>
        </w:rPr>
        <w:t>nements des textes anglais et irlandais de la législation nationale. Un accord a été mis au point entre les institutions et l’Irlande; il est en attente de finalisation.</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 xml:space="preserve">Un moteur de </w:t>
      </w:r>
      <w:r>
        <w:rPr>
          <w:rFonts w:ascii="Times New Roman" w:hAnsi="Times New Roman"/>
          <w:b/>
          <w:noProof/>
          <w:sz w:val="24"/>
        </w:rPr>
        <w:t>traduction automatique</w:t>
      </w:r>
      <w:r>
        <w:rPr>
          <w:rFonts w:ascii="Times New Roman" w:hAnsi="Times New Roman"/>
          <w:noProof/>
          <w:sz w:val="24"/>
        </w:rPr>
        <w:t xml:space="preserve"> irlandais fondé sur la traduction automatique neur</w:t>
      </w:r>
      <w:r>
        <w:rPr>
          <w:rFonts w:ascii="Times New Roman" w:hAnsi="Times New Roman"/>
          <w:noProof/>
          <w:sz w:val="24"/>
        </w:rPr>
        <w:t>onale a été établi en mars 2018 dans le cadre du système de traduction automatique (eTranslation)</w:t>
      </w:r>
      <w:r>
        <w:rPr>
          <w:rFonts w:ascii="Times New Roman" w:hAnsi="Times New Roman"/>
          <w:noProof/>
          <w:sz w:val="24"/>
          <w:vertAlign w:val="superscript"/>
        </w:rPr>
        <w:footnoteReference w:id="14"/>
      </w:r>
      <w:r>
        <w:rPr>
          <w:rFonts w:ascii="Times New Roman" w:hAnsi="Times New Roman"/>
          <w:noProof/>
          <w:sz w:val="24"/>
        </w:rPr>
        <w:t xml:space="preserve"> de la Commission et est à la disposition des institutions ainsi que des autorités irlandaises. Toutefois, étant donné que la traduction automatique est alime</w:t>
      </w:r>
      <w:r>
        <w:rPr>
          <w:rFonts w:ascii="Times New Roman" w:hAnsi="Times New Roman"/>
          <w:noProof/>
          <w:sz w:val="24"/>
        </w:rPr>
        <w:t>ntée par des données et que ces données proviennent d’Euramis, le volume relativement faible de données utilisées pour former les moteurs irlandais a pour conséquence que les résultats de la traduction automatique irlandaise ne sont pas aussi bons que ceux</w:t>
      </w:r>
      <w:r>
        <w:rPr>
          <w:rFonts w:ascii="Times New Roman" w:hAnsi="Times New Roman"/>
          <w:noProof/>
          <w:sz w:val="24"/>
        </w:rPr>
        <w:t xml:space="preserve"> obtenus pour d’autres langues. L’initiative de coordination des ressources linguistiques européennes vise à recueillir davantage de données linguistiques afin d’améliorer les moteurs.</w:t>
      </w:r>
    </w:p>
    <w:p w:rsidR="00D87E29" w:rsidRDefault="0060536A">
      <w:pPr>
        <w:jc w:val="both"/>
        <w:rPr>
          <w:rFonts w:ascii="Times New Roman" w:hAnsi="Times New Roman" w:cs="Times New Roman"/>
          <w:noProof/>
          <w:sz w:val="24"/>
          <w:szCs w:val="24"/>
        </w:rPr>
      </w:pPr>
      <w:r>
        <w:rPr>
          <w:rFonts w:ascii="Times New Roman" w:hAnsi="Times New Roman"/>
          <w:noProof/>
          <w:sz w:val="24"/>
        </w:rPr>
        <w:t>L’OP a collaboré avec le gouvernement irlandais et avec le groupe lingu</w:t>
      </w:r>
      <w:r>
        <w:rPr>
          <w:rFonts w:ascii="Times New Roman" w:hAnsi="Times New Roman"/>
          <w:noProof/>
          <w:sz w:val="24"/>
        </w:rPr>
        <w:t>istique interinstitutionnel irlandais pour harmoniser le code de rédaction interinstitutionnel avec la nouvelle norme officielle pour l’irlandais. L’OP dispose également d’outils de correction d’épreuves assistée par ordinateur conçus pour être utilisés av</w:t>
      </w:r>
      <w:r>
        <w:rPr>
          <w:rFonts w:ascii="Times New Roman" w:hAnsi="Times New Roman"/>
          <w:noProof/>
          <w:sz w:val="24"/>
        </w:rPr>
        <w:t>ec les textes du Journal officiel en langue irlandaise. Ils seront étendus à la jurisprudence irlandaise.</w:t>
      </w:r>
    </w:p>
    <w:p w:rsidR="00D87E29" w:rsidRDefault="0060536A">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b/>
          <w:i/>
          <w:noProof/>
          <w:sz w:val="24"/>
        </w:rPr>
        <w:t>f.</w:t>
      </w:r>
      <w:r>
        <w:rPr>
          <w:noProof/>
        </w:rPr>
        <w:tab/>
      </w:r>
      <w:r>
        <w:rPr>
          <w:rFonts w:ascii="Times New Roman" w:eastAsiaTheme="majorEastAsia" w:hAnsi="Times New Roman"/>
          <w:b/>
          <w:i/>
          <w:noProof/>
          <w:sz w:val="24"/>
        </w:rPr>
        <w:t>Questions liées à la disponibilité de l’acquis</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L’irlandais est la première langue officielle et de travail dans laquelle le corpus législatif de l’</w:t>
      </w:r>
      <w:r>
        <w:rPr>
          <w:rFonts w:ascii="Times New Roman" w:hAnsi="Times New Roman"/>
          <w:noProof/>
          <w:sz w:val="24"/>
        </w:rPr>
        <w:t>UE (l’«acquis») n’a pas encore été traduit. L’acquis contient actuellement environ 160 000 pages de textes juridiques (Journal officiel) et représente une part importante des mémoires de traduction des institutions ainsi qu’une riche source de terminologie</w:t>
      </w:r>
      <w:r>
        <w:rPr>
          <w:rFonts w:ascii="Times New Roman" w:hAnsi="Times New Roman"/>
          <w:noProof/>
          <w:sz w:val="24"/>
        </w:rPr>
        <w:t>. Pour remédier à l’absence de version irlandaise, le service juridique de la Commission a établi une liste prioritaire d’environ 11 000 pages d’actes de base et de versions consolidées d’actes dont les traductions vers l’irlandais seraient les plus import</w:t>
      </w:r>
      <w:r>
        <w:rPr>
          <w:rFonts w:ascii="Times New Roman" w:hAnsi="Times New Roman"/>
          <w:noProof/>
          <w:sz w:val="24"/>
        </w:rPr>
        <w:t>antes. Les institutions les traduisent conjointement dans la mesure où les ressources le permettent; à ce jour, environ 4 697 pages ont été traduites. Les traductions ne sont toutefois pas authentifiées et ne servent qu’à alimenter les mémoires de traducti</w:t>
      </w:r>
      <w:r>
        <w:rPr>
          <w:rFonts w:ascii="Times New Roman" w:hAnsi="Times New Roman"/>
          <w:noProof/>
          <w:sz w:val="24"/>
        </w:rPr>
        <w:t>on et à améliorer l’efficacité opérationnelle. La CJUE traduit la jurisprudence et des segments de texte/expressions qui reviennent fréquemment dans ses textes.</w:t>
      </w:r>
    </w:p>
    <w:p w:rsidR="00D87E29" w:rsidRDefault="0060536A">
      <w:pPr>
        <w:jc w:val="both"/>
        <w:rPr>
          <w:rFonts w:ascii="Times New Roman" w:hAnsi="Times New Roman" w:cs="Times New Roman"/>
          <w:noProof/>
          <w:sz w:val="24"/>
          <w:szCs w:val="24"/>
        </w:rPr>
      </w:pPr>
      <w:r>
        <w:rPr>
          <w:rFonts w:ascii="Times New Roman" w:hAnsi="Times New Roman"/>
          <w:noProof/>
          <w:sz w:val="24"/>
        </w:rPr>
        <w:t xml:space="preserve">Pour contribuer aux efforts des institutions, </w:t>
      </w:r>
      <w:r>
        <w:rPr>
          <w:rFonts w:ascii="Times New Roman" w:hAnsi="Times New Roman"/>
          <w:b/>
          <w:noProof/>
          <w:sz w:val="24"/>
        </w:rPr>
        <w:t>l’Irlande finance</w:t>
      </w:r>
      <w:r>
        <w:rPr>
          <w:rFonts w:ascii="Times New Roman" w:hAnsi="Times New Roman"/>
          <w:noProof/>
          <w:sz w:val="24"/>
        </w:rPr>
        <w:t xml:space="preserve">, depuis septembre 2018, </w:t>
      </w:r>
      <w:r>
        <w:rPr>
          <w:rFonts w:ascii="Times New Roman" w:hAnsi="Times New Roman"/>
          <w:b/>
          <w:noProof/>
          <w:sz w:val="24"/>
        </w:rPr>
        <w:t>un prog</w:t>
      </w:r>
      <w:r>
        <w:rPr>
          <w:rFonts w:ascii="Times New Roman" w:hAnsi="Times New Roman"/>
          <w:b/>
          <w:noProof/>
          <w:sz w:val="24"/>
        </w:rPr>
        <w:t>ramme de stages</w:t>
      </w:r>
      <w:r>
        <w:rPr>
          <w:rFonts w:ascii="Times New Roman" w:hAnsi="Times New Roman"/>
          <w:noProof/>
          <w:sz w:val="24"/>
        </w:rPr>
        <w:t xml:space="preserve"> pour la traduction de l’acquis. Un budget alloué jusqu’en 2021 a été adopté pour financer 12 stages de 5 mois par an dans les services de traduction des principales institutions (deux candidats au PE, deux au Conseil et deux à la Commission</w:t>
      </w:r>
      <w:r>
        <w:rPr>
          <w:rFonts w:ascii="Times New Roman" w:hAnsi="Times New Roman"/>
          <w:noProof/>
          <w:sz w:val="24"/>
        </w:rPr>
        <w:t xml:space="preserve">, et ce deux fois par an). Seuls quatre des six stagiaires prévus ont commencé lors de la première phase (deux au Parlement européen, un au Conseil et un à la Commission) en septembre/octobre 2018, tandis que trois stagiaires sont arrivés pour la deuxième </w:t>
      </w:r>
      <w:r>
        <w:rPr>
          <w:rFonts w:ascii="Times New Roman" w:hAnsi="Times New Roman"/>
          <w:noProof/>
          <w:sz w:val="24"/>
        </w:rPr>
        <w:t>phase en mars 2019 (deux à la Commission et un au Conseil). L’Irlande a accepté d’inclure le CESE et le CdR dans le programme et un stagiaire a commencé au sein des commissions mixtes en mars 2019. En avril 2019, l’Irlande a augmenté la subvention</w:t>
      </w:r>
      <w:r>
        <w:rPr>
          <w:rFonts w:ascii="Times New Roman" w:hAnsi="Times New Roman"/>
          <w:noProof/>
          <w:sz w:val="24"/>
          <w:vertAlign w:val="superscript"/>
        </w:rPr>
        <w:footnoteReference w:id="15"/>
      </w:r>
      <w:r>
        <w:rPr>
          <w:rFonts w:ascii="Times New Roman" w:hAnsi="Times New Roman"/>
          <w:noProof/>
          <w:sz w:val="24"/>
        </w:rPr>
        <w:t xml:space="preserve"> pour co</w:t>
      </w:r>
      <w:r>
        <w:rPr>
          <w:rFonts w:ascii="Times New Roman" w:hAnsi="Times New Roman"/>
          <w:noProof/>
          <w:sz w:val="24"/>
        </w:rPr>
        <w:t>uvrir 10 stagiaires au total et leur permettre de passer 10 mois de stage à partir d’octobre 2019 (2 stagiaires pour la Commission, 3 stagiaires dont 1 correcteur pour le PE, 2 stagiaires pour le Conseil, 2 stagiaires pour le CESE et le CdR et 1 correcteur</w:t>
      </w:r>
      <w:r>
        <w:rPr>
          <w:rFonts w:ascii="Times New Roman" w:hAnsi="Times New Roman"/>
          <w:noProof/>
          <w:sz w:val="24"/>
        </w:rPr>
        <w:t xml:space="preserve"> pour l’OP). </w:t>
      </w:r>
    </w:p>
    <w:p w:rsidR="00D87E29" w:rsidRDefault="0060536A">
      <w:pPr>
        <w:rPr>
          <w:rFonts w:ascii="Times New Roman" w:hAnsi="Times New Roman" w:cs="Times New Roman"/>
          <w:noProof/>
          <w:sz w:val="24"/>
          <w:szCs w:val="24"/>
        </w:rPr>
      </w:pPr>
      <w:r>
        <w:rPr>
          <w:noProof/>
        </w:rPr>
        <w:br w:type="page"/>
      </w:r>
    </w:p>
    <w:p w:rsidR="00D87E29" w:rsidRDefault="0060536A">
      <w:pPr>
        <w:keepNext/>
        <w:keepLines/>
        <w:numPr>
          <w:ilvl w:val="0"/>
          <w:numId w:val="11"/>
        </w:numPr>
        <w:spacing w:after="240"/>
        <w:ind w:left="1004"/>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 xml:space="preserve">Conclusions </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Les institutions sont pleinement déterminées à mettre en œuvre le règlement (UE, Euratom) 2015/2264. Leur coopération avec l’Irlande a facilité les progrès dans tous les domaines énoncés dans le règlement. Elles ont mis en œuvre avec succès les deux premiè</w:t>
      </w:r>
      <w:r>
        <w:rPr>
          <w:rFonts w:ascii="Times New Roman" w:hAnsi="Times New Roman"/>
          <w:noProof/>
          <w:sz w:val="24"/>
        </w:rPr>
        <w:t xml:space="preserve">res augmentations progressives (couvrant les directives et les décisions adoptées par le Parlement européen et le Conseil) et ont plus que doublé le volume de la traduction vers l’irlandais depuis 2016. </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Afin de créer une capacité interne stable et suffisa</w:t>
      </w:r>
      <w:r>
        <w:rPr>
          <w:rFonts w:ascii="Times New Roman" w:hAnsi="Times New Roman"/>
          <w:noProof/>
          <w:sz w:val="24"/>
        </w:rPr>
        <w:t>nte, quatre concours EPSO ont été organisés au cours de la période de référence, n’ayant permis d’obtenir que 10 traducteurs et 9 assistants en 2017, et 15 traducteurs et 3 juristes-linguistes en 2019. Depuis la fin de l’année 2015, les institutions ont au</w:t>
      </w:r>
      <w:r>
        <w:rPr>
          <w:rFonts w:ascii="Times New Roman" w:hAnsi="Times New Roman"/>
          <w:noProof/>
          <w:sz w:val="24"/>
        </w:rPr>
        <w:t>gmenté le nombre de linguistes internes de langue irlandaise, qui sont passés de 58 à 102. Malgré cet effort considérable et concerté, les progrès sont plus lents que prévu en raison de la faible réserve de linguistes possédant l’irlandais et du faible tau</w:t>
      </w:r>
      <w:r>
        <w:rPr>
          <w:rFonts w:ascii="Times New Roman" w:hAnsi="Times New Roman"/>
          <w:noProof/>
          <w:sz w:val="24"/>
        </w:rPr>
        <w:t>x de réussite aux concours EPSO. Quelque 14 procédures de sélection d’agents temporaires ont été organisées afin de compenser le manque de candidats ayant réussi les concours EPSO, offrant des postes temporaires pendant lesquels le personnel reçoit une for</w:t>
      </w:r>
      <w:r>
        <w:rPr>
          <w:rFonts w:ascii="Times New Roman" w:hAnsi="Times New Roman"/>
          <w:noProof/>
          <w:sz w:val="24"/>
        </w:rPr>
        <w:t>mation interne.</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Pour compléter les capacités internes et élargir la réserve de prestataires externes dans laquelle les institutions pourront puiser, la Commission et le PE ont organisé des appels d’offres supplémentaires pour des services de traduction fre</w:t>
      </w:r>
      <w:r>
        <w:rPr>
          <w:rFonts w:ascii="Times New Roman" w:hAnsi="Times New Roman"/>
          <w:noProof/>
          <w:sz w:val="24"/>
        </w:rPr>
        <w:t>e-lance en irlandais ainsi que des tests d’accréditation d’interprètes free-lance.</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Des progrès ont été réalisés dans la mise en place de ressources en matière de technologies du langage pour l’irlandais et un nouveau moteur de traduction automatique neuron</w:t>
      </w:r>
      <w:r>
        <w:rPr>
          <w:rFonts w:ascii="Times New Roman" w:hAnsi="Times New Roman"/>
          <w:noProof/>
          <w:sz w:val="24"/>
        </w:rPr>
        <w:t>ale anglais-irlandais a été élaboré dans le cadre du système eTranslation, même si les corpus et mémoires actuels restent relativement modestes. Pour accroître les ressources disponibles en matière de données linguistiques, un accord a été établi entre les</w:t>
      </w:r>
      <w:r>
        <w:rPr>
          <w:rFonts w:ascii="Times New Roman" w:hAnsi="Times New Roman"/>
          <w:noProof/>
          <w:sz w:val="24"/>
        </w:rPr>
        <w:t xml:space="preserve"> institutions et l’Irlande sur le partage des corpus bilingues du droit national irlandais; il doit maintenant être finalisé. Les institutions et l’Irlande ont également poursuivi leurs travaux sur le projet de terminologie IATE.</w:t>
      </w:r>
    </w:p>
    <w:p w:rsidR="00D87E29" w:rsidRDefault="0060536A">
      <w:pPr>
        <w:spacing w:after="240"/>
        <w:jc w:val="both"/>
        <w:rPr>
          <w:rFonts w:ascii="Times New Roman" w:eastAsia="Calibri" w:hAnsi="Times New Roman" w:cs="Times New Roman"/>
          <w:noProof/>
          <w:sz w:val="24"/>
          <w:szCs w:val="24"/>
        </w:rPr>
      </w:pPr>
      <w:r>
        <w:rPr>
          <w:rFonts w:ascii="Times New Roman" w:hAnsi="Times New Roman"/>
          <w:noProof/>
          <w:sz w:val="24"/>
        </w:rPr>
        <w:t>Les prévisions des demande</w:t>
      </w:r>
      <w:r>
        <w:rPr>
          <w:rFonts w:ascii="Times New Roman" w:hAnsi="Times New Roman"/>
          <w:noProof/>
          <w:sz w:val="24"/>
        </w:rPr>
        <w:t>s de traduction indiquent que la réalisation des ajustements de 2020 et de 2021 nécessitera beaucoup plus de capacités. La demande globale sans dérogation au règlement nº 1 couvre la traduction non seulement de la législation, mais aussi des documents d’or</w:t>
      </w:r>
      <w:r>
        <w:rPr>
          <w:rFonts w:ascii="Times New Roman" w:hAnsi="Times New Roman"/>
          <w:noProof/>
          <w:sz w:val="24"/>
        </w:rPr>
        <w:t>dre politique, des communications, des consultations et du matériel d’information. Il convient également de prendre en compte les besoins en matière d’interprétation. Des efforts importants seront nécessaires de la part des institutions, en synergie avec l</w:t>
      </w:r>
      <w:r>
        <w:rPr>
          <w:rFonts w:ascii="Times New Roman" w:hAnsi="Times New Roman"/>
          <w:noProof/>
          <w:sz w:val="24"/>
        </w:rPr>
        <w:t>’Irlande, afin de constituer une capacité suffisante pour répondre aux besoins prévus. Un réexamen des ressources a été effectué depuis la dernière estimation des besoins en 2015; des ajustements de la palette des ressources sont en cours et les besoins pr</w:t>
      </w:r>
      <w:r>
        <w:rPr>
          <w:rFonts w:ascii="Times New Roman" w:hAnsi="Times New Roman"/>
          <w:noProof/>
          <w:sz w:val="24"/>
        </w:rPr>
        <w:t>écis en personnel font l’objet d’un examen continu. Pour assurer l’augmentation du volume de traduction en irlandais, il est essentiel de continuer à développer et à combiner, à des degrés divers dans les différentes institutions, les trois principaux aspe</w:t>
      </w:r>
      <w:r>
        <w:rPr>
          <w:rFonts w:ascii="Times New Roman" w:hAnsi="Times New Roman"/>
          <w:noProof/>
          <w:sz w:val="24"/>
        </w:rPr>
        <w:t xml:space="preserve">cts des capacités: le personnel interne, la traduction externe et les ressources en technologies du langage.  </w:t>
      </w:r>
    </w:p>
    <w:p w:rsidR="00D87E29" w:rsidRDefault="0060536A">
      <w:pPr>
        <w:spacing w:after="240"/>
        <w:jc w:val="both"/>
        <w:rPr>
          <w:rFonts w:ascii="Times New Roman" w:hAnsi="Times New Roman" w:cs="Times New Roman"/>
          <w:noProof/>
          <w:sz w:val="24"/>
          <w:szCs w:val="24"/>
        </w:rPr>
      </w:pPr>
      <w:r>
        <w:rPr>
          <w:rFonts w:ascii="Times New Roman" w:hAnsi="Times New Roman"/>
          <w:noProof/>
          <w:sz w:val="24"/>
        </w:rPr>
        <w:t>La Commission fera à nouveau rapport au Conseil au plus tard en juin 2021 afin de déterminer si les institutions disposent d’une capacité suffisa</w:t>
      </w:r>
      <w:r>
        <w:rPr>
          <w:rFonts w:ascii="Times New Roman" w:hAnsi="Times New Roman"/>
          <w:noProof/>
          <w:sz w:val="24"/>
        </w:rPr>
        <w:t>nte, par rapport aux autres langues officielles, pour appliquer le règlement nº 1 sans dérogation à partir du 1</w:t>
      </w:r>
      <w:r>
        <w:rPr>
          <w:rFonts w:ascii="Times New Roman" w:hAnsi="Times New Roman"/>
          <w:noProof/>
          <w:sz w:val="24"/>
          <w:vertAlign w:val="superscript"/>
        </w:rPr>
        <w:t>er</w:t>
      </w:r>
      <w:r>
        <w:rPr>
          <w:rFonts w:ascii="Times New Roman" w:hAnsi="Times New Roman"/>
          <w:noProof/>
          <w:sz w:val="24"/>
        </w:rPr>
        <w:t xml:space="preserve"> janvier 2022.</w:t>
      </w:r>
    </w:p>
    <w:p w:rsidR="00D87E29" w:rsidRDefault="00D87E29">
      <w:pPr>
        <w:rPr>
          <w:noProof/>
        </w:rPr>
      </w:pPr>
    </w:p>
    <w:sectPr w:rsidR="00D87E2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29" w:rsidRDefault="0060536A">
      <w:pPr>
        <w:spacing w:after="0" w:line="240" w:lineRule="auto"/>
      </w:pPr>
      <w:r>
        <w:separator/>
      </w:r>
    </w:p>
  </w:endnote>
  <w:endnote w:type="continuationSeparator" w:id="0">
    <w:p w:rsidR="00D87E29" w:rsidRDefault="0060536A">
      <w:pPr>
        <w:spacing w:after="0" w:line="240" w:lineRule="auto"/>
      </w:pPr>
      <w:r>
        <w:continuationSeparator/>
      </w:r>
    </w:p>
  </w:endnote>
  <w:endnote w:type="continuationNotice" w:id="1">
    <w:p w:rsidR="00D87E29" w:rsidRDefault="00D87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60536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082166"/>
      <w:docPartObj>
        <w:docPartGallery w:val="Page Numbers (Bottom of Page)"/>
        <w:docPartUnique/>
      </w:docPartObj>
    </w:sdtPr>
    <w:sdtEndPr>
      <w:rPr>
        <w:rFonts w:ascii="Times New Roman" w:hAnsi="Times New Roman" w:cs="Times New Roman"/>
        <w:sz w:val="20"/>
        <w:szCs w:val="20"/>
      </w:rPr>
    </w:sdtEndPr>
    <w:sdtContent>
      <w:p w:rsidR="00D87E29" w:rsidRDefault="0060536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D87E29" w:rsidRDefault="00D87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362067"/>
      <w:docPartObj>
        <w:docPartGallery w:val="Page Numbers (Bottom of Page)"/>
        <w:docPartUnique/>
      </w:docPartObj>
    </w:sdtPr>
    <w:sdtEndPr>
      <w:rPr>
        <w:noProof/>
      </w:rPr>
    </w:sdtEndPr>
    <w:sdtContent>
      <w:bookmarkStart w:id="1" w:name="_GoBack" w:displacedByCustomXml="prev"/>
      <w:bookmarkEnd w:id="1" w:displacedByCustomXml="prev"/>
      <w:p w:rsidR="0060536A" w:rsidRDefault="006053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87E29" w:rsidRDefault="00D8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29" w:rsidRDefault="0060536A">
      <w:pPr>
        <w:spacing w:after="0" w:line="240" w:lineRule="auto"/>
      </w:pPr>
      <w:r>
        <w:separator/>
      </w:r>
    </w:p>
  </w:footnote>
  <w:footnote w:type="continuationSeparator" w:id="0">
    <w:p w:rsidR="00D87E29" w:rsidRDefault="0060536A">
      <w:pPr>
        <w:spacing w:after="0" w:line="240" w:lineRule="auto"/>
      </w:pPr>
      <w:r>
        <w:continuationSeparator/>
      </w:r>
    </w:p>
  </w:footnote>
  <w:footnote w:type="continuationNotice" w:id="1">
    <w:p w:rsidR="00D87E29" w:rsidRDefault="00D87E29">
      <w:pPr>
        <w:spacing w:after="0" w:line="240" w:lineRule="auto"/>
      </w:pPr>
    </w:p>
  </w:footnote>
  <w:footnote w:id="2">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Règlement nº 1 du Conseil du 15 avril 1958 portant fixation du régime </w:t>
      </w:r>
      <w:r>
        <w:rPr>
          <w:rFonts w:ascii="Times New Roman" w:hAnsi="Times New Roman"/>
        </w:rPr>
        <w:t>linguistique de la Communauté économique européenne (JO 17 du 6.10.1958, p. 385), et règlement nº 1 du Conseil du 15 avril 1958 portant fixation du régime linguistique de la Communauté européenne de l'énergie atomique (JO 17 du 6.10.1958, p. 401).</w:t>
      </w:r>
    </w:p>
  </w:footnote>
  <w:footnote w:id="3">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w:t>
      </w:r>
      <w:r>
        <w:rPr>
          <w:rFonts w:ascii="Times New Roman" w:hAnsi="Times New Roman"/>
        </w:rPr>
        <w:t>ment (CE) nº 920/2005 du Conseil modifiant le règlement nº 1 du 15 avril 1958 portant fixation du régime linguistique de la Communauté économique européenne et le règlement nº 1 du 15 avril 1958 portant fixation du régime linguistique de la Communauté euro</w:t>
      </w:r>
      <w:r>
        <w:rPr>
          <w:rFonts w:ascii="Times New Roman" w:hAnsi="Times New Roman"/>
        </w:rPr>
        <w:t>péenne de l'énergie atomique et introduisant des mesures dérogatoires temporaires à ces règlements (JO L 156 du 18.6.2005, p. 3).</w:t>
      </w:r>
    </w:p>
  </w:footnote>
  <w:footnote w:id="4">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1257/2010 du Conseil prorogeant les mesures dérogatoires temporaires au règlement nº 1 du 15 avril 1958 p</w:t>
      </w:r>
      <w:r>
        <w:rPr>
          <w:rFonts w:ascii="Times New Roman" w:hAnsi="Times New Roman"/>
        </w:rPr>
        <w:t xml:space="preserve">ortant fixation du régime linguistique de la Communauté économique européenne et au règlement nº 1 du 15 avril 1958 portant fixation du régime linguistique de la Communauté européenne de l'énergie atomique introduites par le règlement (CE) nº 920/2005 (JO </w:t>
      </w:r>
      <w:r>
        <w:rPr>
          <w:rFonts w:ascii="Times New Roman" w:hAnsi="Times New Roman"/>
        </w:rPr>
        <w:t>L 343 du 29.12.2010, p. 5).</w:t>
      </w:r>
    </w:p>
  </w:footnote>
  <w:footnote w:id="5">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Euratom) 2015/2264 du Conseil prorogeant et supprimant progressivement les mesures dérogatoires temporaires au règlement nº 1 du 15 avril 1958 portant fixation du régime linguistique de la Communauté économique</w:t>
      </w:r>
      <w:r>
        <w:rPr>
          <w:rFonts w:ascii="Times New Roman" w:hAnsi="Times New Roman"/>
        </w:rPr>
        <w:t xml:space="preserve"> européenne et au règlement nº 1 du 15 avril 1958 portant fixation du régime linguistique de la Communauté européenne de l'énergie atomique introduites par le règlement (CE) nº 920/2005 (JO L 322 du 8.12.2015, p. 1).</w:t>
      </w:r>
    </w:p>
  </w:footnote>
  <w:footnote w:id="6">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institutions de l’UE disposant d</w:t>
      </w:r>
      <w:r>
        <w:rPr>
          <w:rFonts w:ascii="Times New Roman" w:hAnsi="Times New Roman"/>
        </w:rPr>
        <w:t>es services de traduction les plus importants, à savoir la Commission, le Parlement européen et le Conseil.</w:t>
      </w:r>
    </w:p>
  </w:footnote>
  <w:footnote w:id="7">
    <w:p w:rsidR="00D87E29" w:rsidRDefault="0060536A">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Rien que pour la Commission, on est passé de 8</w:t>
      </w:r>
      <w:r>
        <w:rPr>
          <w:rFonts w:ascii="Times New Roman" w:hAnsi="Times New Roman"/>
          <w:sz w:val="24"/>
        </w:rPr>
        <w:t> </w:t>
      </w:r>
      <w:r>
        <w:rPr>
          <w:rFonts w:ascii="Times New Roman" w:hAnsi="Times New Roman"/>
        </w:rPr>
        <w:t>000 pages environ à 19</w:t>
      </w:r>
      <w:r>
        <w:rPr>
          <w:rFonts w:ascii="Times New Roman" w:hAnsi="Times New Roman"/>
          <w:sz w:val="24"/>
        </w:rPr>
        <w:t> </w:t>
      </w:r>
      <w:r>
        <w:rPr>
          <w:rFonts w:ascii="Times New Roman" w:hAnsi="Times New Roman"/>
        </w:rPr>
        <w:t>000 pages entre 2016 et 2018, et on devrait passer de 19</w:t>
      </w:r>
      <w:r>
        <w:rPr>
          <w:rFonts w:ascii="Times New Roman" w:hAnsi="Times New Roman"/>
          <w:sz w:val="24"/>
        </w:rPr>
        <w:t> </w:t>
      </w:r>
      <w:r>
        <w:rPr>
          <w:rFonts w:ascii="Times New Roman" w:hAnsi="Times New Roman"/>
        </w:rPr>
        <w:t>000 pages à envi</w:t>
      </w:r>
      <w:r>
        <w:rPr>
          <w:rFonts w:ascii="Times New Roman" w:hAnsi="Times New Roman"/>
        </w:rPr>
        <w:t>ron 50</w:t>
      </w:r>
      <w:r>
        <w:rPr>
          <w:rFonts w:ascii="Times New Roman" w:hAnsi="Times New Roman"/>
          <w:sz w:val="24"/>
        </w:rPr>
        <w:t> </w:t>
      </w:r>
      <w:r>
        <w:rPr>
          <w:rFonts w:ascii="Times New Roman" w:hAnsi="Times New Roman"/>
        </w:rPr>
        <w:t>000 pages entre 2018 et 2021, puis de 50</w:t>
      </w:r>
      <w:r>
        <w:rPr>
          <w:rFonts w:ascii="Times New Roman" w:hAnsi="Times New Roman"/>
          <w:sz w:val="24"/>
        </w:rPr>
        <w:t> </w:t>
      </w:r>
      <w:r>
        <w:rPr>
          <w:rFonts w:ascii="Times New Roman" w:hAnsi="Times New Roman"/>
        </w:rPr>
        <w:t>000 pages à environ 83</w:t>
      </w:r>
      <w:r>
        <w:rPr>
          <w:rFonts w:ascii="Times New Roman" w:hAnsi="Times New Roman"/>
          <w:sz w:val="24"/>
        </w:rPr>
        <w:t> </w:t>
      </w:r>
      <w:r>
        <w:rPr>
          <w:rFonts w:ascii="Times New Roman" w:hAnsi="Times New Roman"/>
        </w:rPr>
        <w:t>000 pages à partir de 2022.</w:t>
      </w:r>
    </w:p>
  </w:footnote>
  <w:footnote w:id="8">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Fiche financière élaborée par la Commission en vue de l’adoption du règlement (UE, Euratom) 2015/2264.</w:t>
      </w:r>
    </w:p>
  </w:footnote>
  <w:footnote w:id="9">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GA est le code ISO de la langue irlandaise.</w:t>
      </w:r>
    </w:p>
  </w:footnote>
  <w:footnote w:id="10">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Q</w:t>
      </w:r>
      <w:r>
        <w:rPr>
          <w:rFonts w:ascii="Times New Roman" w:hAnsi="Times New Roman"/>
        </w:rPr>
        <w:t>uatre au PE, deux au Conseil et deux à la Commission.</w:t>
      </w:r>
    </w:p>
  </w:footnote>
  <w:footnote w:id="11">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Deux au PE, trois au Conseil et un à la Commission (service juridique).</w:t>
      </w:r>
    </w:p>
  </w:footnote>
  <w:footnote w:id="12">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PE: 1 pour les traducteurs, respectivement en 2016 et 2019 et 1 pour les assistants en 2017; 1 pour les juristes-linguistes </w:t>
      </w:r>
      <w:r>
        <w:rPr>
          <w:rFonts w:ascii="Times New Roman" w:hAnsi="Times New Roman"/>
        </w:rPr>
        <w:t>en 2017; Conseil: 1 pour les traducteurs, respectivement en 2016, 2017 et 2018 et 1 pour les assistants en 2017; 1 pour les juristes-linguistes en 2017; Commission: 1 pour les traducteurs, respectivement en 2017, 2018 et 2019; CJUE: 1 pour les juristes-lin</w:t>
      </w:r>
      <w:r>
        <w:rPr>
          <w:rFonts w:ascii="Times New Roman" w:hAnsi="Times New Roman"/>
        </w:rPr>
        <w:t>guistes de langue irlandaise en 2017 et 1 pour les correcteurs en 2018.</w:t>
      </w:r>
    </w:p>
  </w:footnote>
  <w:footnote w:id="13">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base de données terminologique utilisée par toutes les institutions, également partiellement accessible au public.</w:t>
      </w:r>
    </w:p>
  </w:footnote>
  <w:footnote w:id="14">
    <w:p w:rsidR="00D87E29" w:rsidRDefault="0060536A">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eTranslation (précédemment MT@EC) fournit une traduction aut</w:t>
      </w:r>
      <w:r>
        <w:rPr>
          <w:rFonts w:ascii="Times New Roman" w:hAnsi="Times New Roman"/>
        </w:rPr>
        <w:t>omatique aux DG de la Commission, ainsi qu’aux autres institutions et aux États membres (organismes publics).</w:t>
      </w:r>
    </w:p>
  </w:footnote>
  <w:footnote w:id="15">
    <w:p w:rsidR="00D87E29" w:rsidRDefault="0060536A">
      <w:pPr>
        <w:pStyle w:val="FootnoteText"/>
        <w:rPr>
          <w:lang w:val="hu-HU"/>
        </w:rPr>
      </w:pPr>
      <w:r>
        <w:rPr>
          <w:rStyle w:val="FootnoteReference"/>
        </w:rPr>
        <w:footnoteRef/>
      </w:r>
      <w:r>
        <w:t xml:space="preserve">   </w:t>
      </w:r>
      <w:r>
        <w:rPr>
          <w:rFonts w:ascii="Times New Roman" w:hAnsi="Times New Roman"/>
        </w:rPr>
        <w:t xml:space="preserve">De 120 000 EUR à 200 000 EUR.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29" w:rsidRDefault="00D8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27E"/>
    <w:multiLevelType w:val="hybridMultilevel"/>
    <w:tmpl w:val="3BAECBE2"/>
    <w:lvl w:ilvl="0" w:tplc="08090013">
      <w:start w:val="1"/>
      <w:numFmt w:val="upperRoman"/>
      <w:lvlText w:val="%1."/>
      <w:lvlJc w:val="righ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86214"/>
    <w:multiLevelType w:val="hybridMultilevel"/>
    <w:tmpl w:val="12A82302"/>
    <w:lvl w:ilvl="0" w:tplc="55F892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974DE"/>
    <w:multiLevelType w:val="hybridMultilevel"/>
    <w:tmpl w:val="89E473E0"/>
    <w:lvl w:ilvl="0" w:tplc="463491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64021"/>
    <w:multiLevelType w:val="multilevel"/>
    <w:tmpl w:val="E0B89E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83695"/>
    <w:multiLevelType w:val="hybridMultilevel"/>
    <w:tmpl w:val="7722EC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45D17"/>
    <w:multiLevelType w:val="hybridMultilevel"/>
    <w:tmpl w:val="F6D276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C47FFE"/>
    <w:multiLevelType w:val="hybridMultilevel"/>
    <w:tmpl w:val="DC6800A2"/>
    <w:lvl w:ilvl="0" w:tplc="C2B095F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167E1F"/>
    <w:multiLevelType w:val="hybridMultilevel"/>
    <w:tmpl w:val="AAB0CFA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277DE"/>
    <w:multiLevelType w:val="multilevel"/>
    <w:tmpl w:val="B1E05AC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898"/>
    <w:multiLevelType w:val="hybridMultilevel"/>
    <w:tmpl w:val="A3185F4C"/>
    <w:lvl w:ilvl="0" w:tplc="2F94873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A392C"/>
    <w:multiLevelType w:val="hybridMultilevel"/>
    <w:tmpl w:val="6268A160"/>
    <w:lvl w:ilvl="0" w:tplc="9AB2302C">
      <w:start w:val="1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1884"/>
    <w:multiLevelType w:val="hybridMultilevel"/>
    <w:tmpl w:val="87AC336C"/>
    <w:lvl w:ilvl="0" w:tplc="DC2ABE98">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43264"/>
    <w:multiLevelType w:val="hybridMultilevel"/>
    <w:tmpl w:val="D8EEBE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54E83"/>
    <w:multiLevelType w:val="hybridMultilevel"/>
    <w:tmpl w:val="97063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F01A2"/>
    <w:multiLevelType w:val="hybridMultilevel"/>
    <w:tmpl w:val="990CF5B0"/>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A3FC4"/>
    <w:multiLevelType w:val="hybridMultilevel"/>
    <w:tmpl w:val="B0E84878"/>
    <w:lvl w:ilvl="0" w:tplc="B63C90F6">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7D5A59"/>
    <w:multiLevelType w:val="hybridMultilevel"/>
    <w:tmpl w:val="09C65E16"/>
    <w:lvl w:ilvl="0" w:tplc="971A504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53AC1"/>
    <w:multiLevelType w:val="hybridMultilevel"/>
    <w:tmpl w:val="5DAAB6C0"/>
    <w:lvl w:ilvl="0" w:tplc="DC2ABE98">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864AD"/>
    <w:multiLevelType w:val="hybridMultilevel"/>
    <w:tmpl w:val="10F6F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710185"/>
    <w:multiLevelType w:val="hybridMultilevel"/>
    <w:tmpl w:val="E826B932"/>
    <w:lvl w:ilvl="0" w:tplc="4A48437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C0980"/>
    <w:multiLevelType w:val="hybridMultilevel"/>
    <w:tmpl w:val="59687A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8"/>
  </w:num>
  <w:num w:numId="3">
    <w:abstractNumId w:val="19"/>
  </w:num>
  <w:num w:numId="4">
    <w:abstractNumId w:val="12"/>
  </w:num>
  <w:num w:numId="5">
    <w:abstractNumId w:val="14"/>
  </w:num>
  <w:num w:numId="6">
    <w:abstractNumId w:val="8"/>
  </w:num>
  <w:num w:numId="7">
    <w:abstractNumId w:val="3"/>
  </w:num>
  <w:num w:numId="8">
    <w:abstractNumId w:val="6"/>
  </w:num>
  <w:num w:numId="9">
    <w:abstractNumId w:val="13"/>
  </w:num>
  <w:num w:numId="10">
    <w:abstractNumId w:val="4"/>
  </w:num>
  <w:num w:numId="11">
    <w:abstractNumId w:val="0"/>
  </w:num>
  <w:num w:numId="12">
    <w:abstractNumId w:val="1"/>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17"/>
  </w:num>
  <w:num w:numId="18">
    <w:abstractNumId w:val="11"/>
  </w:num>
  <w:num w:numId="19">
    <w:abstractNumId w:val="16"/>
  </w:num>
  <w:num w:numId="20">
    <w:abstractNumId w:val="5"/>
  </w:num>
  <w:num w:numId="21">
    <w:abstractNumId w:val="21"/>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DDEAAE-D40C-4984-B6D1-635DE1C25C8C"/>
    <w:docVar w:name="LW_COVERPAGE_TYPE" w:val="1"/>
    <w:docVar w:name="LW_CROSSREFERENCE" w:val="&lt;UNUSED&gt;"/>
    <w:docVar w:name="LW_DocType" w:val="NORMAL"/>
    <w:docVar w:name="LW_EMISSION" w:val="4.7.2019"/>
    <w:docVar w:name="LW_EMISSION_ISODATE" w:val="2019-07-04"/>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es progrès réalisés par les institutions de l'Union dans la mise en \u339?uvre de la réduction progressive de la dérogation concernant l'irlandais&lt;/FMT&gt;_x000d__x000d__x000d__x000d__x000d__x000b_"/>
    <w:docVar w:name="LW_TYPE.DOC.CP" w:val="RAPPORT DE LA COMMISSION AU CONSEIL"/>
  </w:docVars>
  <w:rsids>
    <w:rsidRoot w:val="00D87E29"/>
    <w:rsid w:val="0060536A"/>
    <w:rsid w:val="00D8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812D42D-4E26-4B1E-AD66-92488F7C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Normal"/>
    <w:link w:val="DateChar"/>
    <w:semiHidden/>
    <w:unhideWhenUsed/>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semiHidden/>
    <w:rPr>
      <w:rFonts w:ascii="Times New Roman" w:eastAsia="Times New Roman" w:hAnsi="Times New Roman" w:cs="Times New Roman"/>
      <w:sz w:val="24"/>
      <w:szCs w:val="20"/>
      <w:lang w:val="fr-FR" w:eastAsia="fr-FR"/>
    </w:rPr>
  </w:style>
  <w:style w:type="paragraph" w:customStyle="1" w:styleId="Enclosures">
    <w:name w:val="Enclosures"/>
    <w:basedOn w:val="Normal"/>
    <w:next w:val="Normal"/>
    <w:pPr>
      <w:keepNext/>
      <w:keepLines/>
      <w:tabs>
        <w:tab w:val="left" w:pos="5642"/>
      </w:tabs>
      <w:spacing w:before="480" w:after="0" w:line="240" w:lineRule="auto"/>
      <w:ind w:left="1792" w:hanging="1792"/>
    </w:pPr>
    <w:rPr>
      <w:rFonts w:ascii="Times New Roman" w:eastAsia="Times New Roman" w:hAnsi="Times New Roman" w:cs="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ZDGName">
    <w:name w:val="Z_DGName"/>
    <w:basedOn w:val="Normal"/>
    <w:uiPriority w:val="99"/>
    <w:pPr>
      <w:widowControl w:val="0"/>
      <w:snapToGrid w:val="0"/>
      <w:spacing w:after="0" w:line="240" w:lineRule="auto"/>
      <w:ind w:right="85"/>
    </w:pPr>
    <w:rPr>
      <w:rFonts w:ascii="Arial" w:eastAsia="Times New Roman" w:hAnsi="Arial" w:cs="Times New Roman"/>
      <w:sz w:val="16"/>
      <w:szCs w:val="20"/>
    </w:rPr>
  </w:style>
  <w:style w:type="paragraph" w:customStyle="1" w:styleId="ZCom">
    <w:name w:val="Z_Com"/>
    <w:basedOn w:val="Normal"/>
    <w:next w:val="ZDGName"/>
    <w:uiPriority w:val="99"/>
    <w:pPr>
      <w:widowControl w:val="0"/>
      <w:snapToGrid w:val="0"/>
      <w:spacing w:after="0" w:line="240" w:lineRule="auto"/>
      <w:ind w:right="85"/>
      <w:jc w:val="both"/>
    </w:pPr>
    <w:rPr>
      <w:rFonts w:ascii="Arial" w:eastAsia="Times New Roman" w:hAnsi="Arial" w:cs="Times New Roman"/>
      <w:sz w:val="24"/>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Pr>
      <w:sz w:val="20"/>
      <w:szCs w:val="20"/>
      <w:shd w:val="clear" w:color="auto" w:fill="FFFFFF"/>
    </w:rPr>
  </w:style>
  <w:style w:type="character" w:customStyle="1" w:styleId="Bodytext5Italic">
    <w:name w:val="Body text (5)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customStyle="1" w:styleId="Footnote0">
    <w:name w:val="Footnote"/>
    <w:basedOn w:val="Normal"/>
    <w:link w:val="Footnote"/>
    <w:pPr>
      <w:widowControl w:val="0"/>
      <w:shd w:val="clear" w:color="auto" w:fill="FFFFFF"/>
      <w:spacing w:after="0" w:line="350" w:lineRule="exact"/>
      <w:ind w:hanging="400"/>
      <w:jc w:val="both"/>
    </w:pPr>
    <w:rPr>
      <w:sz w:val="20"/>
      <w:szCs w:val="20"/>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character" w:customStyle="1" w:styleId="italic">
    <w:name w:val="italic"/>
    <w:basedOn w:val="DefaultParagraphFont"/>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13"/>
      </w:numPr>
      <w:spacing w:line="360" w:lineRule="auto"/>
    </w:pPr>
    <w:rPr>
      <w:sz w:val="24"/>
    </w:rPr>
  </w:style>
  <w:style w:type="paragraph" w:customStyle="1" w:styleId="LegalNumPar2">
    <w:name w:val="LegalNumPar2"/>
    <w:basedOn w:val="Normal"/>
    <w:pPr>
      <w:numPr>
        <w:ilvl w:val="1"/>
        <w:numId w:val="13"/>
      </w:numPr>
      <w:spacing w:line="360" w:lineRule="auto"/>
    </w:pPr>
    <w:rPr>
      <w:sz w:val="24"/>
    </w:rPr>
  </w:style>
  <w:style w:type="paragraph" w:customStyle="1" w:styleId="LegalNumPar3">
    <w:name w:val="LegalNumPar3"/>
    <w:basedOn w:val="Normal"/>
    <w:pPr>
      <w:numPr>
        <w:ilvl w:val="2"/>
        <w:numId w:val="13"/>
      </w:numPr>
      <w:spacing w:line="360" w:lineRule="auto"/>
    </w:pPr>
    <w:rPr>
      <w:sz w:val="24"/>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472">
      <w:bodyDiv w:val="1"/>
      <w:marLeft w:val="0"/>
      <w:marRight w:val="0"/>
      <w:marTop w:val="0"/>
      <w:marBottom w:val="0"/>
      <w:divBdr>
        <w:top w:val="none" w:sz="0" w:space="0" w:color="auto"/>
        <w:left w:val="none" w:sz="0" w:space="0" w:color="auto"/>
        <w:bottom w:val="none" w:sz="0" w:space="0" w:color="auto"/>
        <w:right w:val="none" w:sz="0" w:space="0" w:color="auto"/>
      </w:divBdr>
    </w:div>
    <w:div w:id="363018195">
      <w:bodyDiv w:val="1"/>
      <w:marLeft w:val="0"/>
      <w:marRight w:val="0"/>
      <w:marTop w:val="0"/>
      <w:marBottom w:val="0"/>
      <w:divBdr>
        <w:top w:val="none" w:sz="0" w:space="0" w:color="auto"/>
        <w:left w:val="none" w:sz="0" w:space="0" w:color="auto"/>
        <w:bottom w:val="none" w:sz="0" w:space="0" w:color="auto"/>
        <w:right w:val="none" w:sz="0" w:space="0" w:color="auto"/>
      </w:divBdr>
    </w:div>
    <w:div w:id="527527636">
      <w:bodyDiv w:val="1"/>
      <w:marLeft w:val="0"/>
      <w:marRight w:val="0"/>
      <w:marTop w:val="0"/>
      <w:marBottom w:val="0"/>
      <w:divBdr>
        <w:top w:val="none" w:sz="0" w:space="0" w:color="auto"/>
        <w:left w:val="none" w:sz="0" w:space="0" w:color="auto"/>
        <w:bottom w:val="none" w:sz="0" w:space="0" w:color="auto"/>
        <w:right w:val="none" w:sz="0" w:space="0" w:color="auto"/>
      </w:divBdr>
    </w:div>
    <w:div w:id="838882885">
      <w:bodyDiv w:val="1"/>
      <w:marLeft w:val="0"/>
      <w:marRight w:val="0"/>
      <w:marTop w:val="0"/>
      <w:marBottom w:val="0"/>
      <w:divBdr>
        <w:top w:val="none" w:sz="0" w:space="0" w:color="auto"/>
        <w:left w:val="none" w:sz="0" w:space="0" w:color="auto"/>
        <w:bottom w:val="none" w:sz="0" w:space="0" w:color="auto"/>
        <w:right w:val="none" w:sz="0" w:space="0" w:color="auto"/>
      </w:divBdr>
    </w:div>
    <w:div w:id="1026636719">
      <w:bodyDiv w:val="1"/>
      <w:marLeft w:val="0"/>
      <w:marRight w:val="0"/>
      <w:marTop w:val="0"/>
      <w:marBottom w:val="0"/>
      <w:divBdr>
        <w:top w:val="none" w:sz="0" w:space="0" w:color="auto"/>
        <w:left w:val="none" w:sz="0" w:space="0" w:color="auto"/>
        <w:bottom w:val="none" w:sz="0" w:space="0" w:color="auto"/>
        <w:right w:val="none" w:sz="0" w:space="0" w:color="auto"/>
      </w:divBdr>
    </w:div>
    <w:div w:id="13531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B8E681-3A35-485A-97D8-605F6412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4119</Words>
  <Characters>22700</Characters>
  <Application>Microsoft Office Word</Application>
  <DocSecurity>0</DocSecurity>
  <Lines>391</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20</cp:revision>
  <cp:lastPrinted>2019-06-20T09:47:00Z</cp:lastPrinted>
  <dcterms:created xsi:type="dcterms:W3CDTF">2019-06-20T11:20:00Z</dcterms:created>
  <dcterms:modified xsi:type="dcterms:W3CDTF">2019-06-25T13:57:00Z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